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E7268" w14:textId="0083E3CD" w:rsidR="003D07F7" w:rsidRPr="00C15A8F" w:rsidRDefault="00EE02FE" w:rsidP="00C15A8F">
      <w:pPr>
        <w:pStyle w:val="Title"/>
      </w:pPr>
      <w:r w:rsidRPr="00C15A8F">
        <w:t xml:space="preserve">The </w:t>
      </w:r>
      <w:r w:rsidR="00DC77ED" w:rsidRPr="00C15A8F">
        <w:t>Chemical and Physical</w:t>
      </w:r>
      <w:r w:rsidRPr="00C15A8F">
        <w:t xml:space="preserve"> Impact</w:t>
      </w:r>
      <w:r w:rsidR="006E554F" w:rsidRPr="00C15A8F">
        <w:t>s</w:t>
      </w:r>
      <w:r w:rsidRPr="00C15A8F">
        <w:t xml:space="preserve"> of Magma </w:t>
      </w:r>
      <w:r w:rsidR="0095406D" w:rsidRPr="00C15A8F">
        <w:t>O</w:t>
      </w:r>
      <w:r w:rsidRPr="00C15A8F">
        <w:t xml:space="preserve">cean Solidification: </w:t>
      </w:r>
      <w:r w:rsidR="001A6F83" w:rsidRPr="00C15A8F">
        <w:t xml:space="preserve">Insights </w:t>
      </w:r>
      <w:r w:rsidR="00A31824" w:rsidRPr="00C15A8F">
        <w:t>into</w:t>
      </w:r>
      <w:r w:rsidR="000E3D24" w:rsidRPr="00C15A8F">
        <w:t xml:space="preserve"> </w:t>
      </w:r>
      <w:r w:rsidRPr="00C15A8F">
        <w:t>Lunar Magma Ocean Solidification</w:t>
      </w:r>
      <w:r w:rsidR="000E3D24" w:rsidRPr="00C15A8F">
        <w:t>,</w:t>
      </w:r>
      <w:r w:rsidRPr="00C15A8F">
        <w:t xml:space="preserve"> Mantle Formation</w:t>
      </w:r>
      <w:r w:rsidR="000E3D24" w:rsidRPr="00C15A8F">
        <w:t>, and Mantle Evolution</w:t>
      </w:r>
      <w:r w:rsidR="007A593F" w:rsidRPr="00C15A8F">
        <w:t>.</w:t>
      </w:r>
    </w:p>
    <w:p w14:paraId="4F9C0655" w14:textId="77777777" w:rsidR="00236E6D" w:rsidRPr="00C15A8F" w:rsidRDefault="00236E6D" w:rsidP="003A00AE">
      <w:pPr>
        <w:spacing w:line="480" w:lineRule="auto"/>
      </w:pPr>
    </w:p>
    <w:p w14:paraId="7AA03933" w14:textId="77777777" w:rsidR="003A00AE" w:rsidRPr="00C15A8F" w:rsidRDefault="003A00AE" w:rsidP="003A00AE">
      <w:pPr>
        <w:spacing w:line="480" w:lineRule="auto"/>
      </w:pPr>
    </w:p>
    <w:p w14:paraId="1C691B18" w14:textId="77777777" w:rsidR="003A00AE" w:rsidRPr="00C15A8F" w:rsidRDefault="003A00AE" w:rsidP="003A00AE">
      <w:pPr>
        <w:spacing w:line="480" w:lineRule="auto"/>
      </w:pPr>
    </w:p>
    <w:p w14:paraId="77FBEEA4" w14:textId="77777777" w:rsidR="00236E6D" w:rsidRDefault="00236E6D" w:rsidP="003A00AE">
      <w:pPr>
        <w:spacing w:line="480" w:lineRule="auto"/>
      </w:pPr>
    </w:p>
    <w:p w14:paraId="66B9726F" w14:textId="77777777" w:rsidR="00C15A8F" w:rsidRDefault="00C15A8F" w:rsidP="003A00AE">
      <w:pPr>
        <w:spacing w:line="480" w:lineRule="auto"/>
      </w:pPr>
    </w:p>
    <w:p w14:paraId="75431BED" w14:textId="77777777" w:rsidR="00C15A8F" w:rsidRPr="00C15A8F" w:rsidRDefault="00C15A8F" w:rsidP="003A00AE">
      <w:pPr>
        <w:spacing w:line="480" w:lineRule="auto"/>
      </w:pPr>
    </w:p>
    <w:p w14:paraId="16FF0893" w14:textId="77777777" w:rsidR="00236E6D" w:rsidRPr="00C15A8F" w:rsidRDefault="00236E6D" w:rsidP="003A00AE">
      <w:pPr>
        <w:spacing w:line="480" w:lineRule="auto"/>
      </w:pPr>
    </w:p>
    <w:p w14:paraId="50F8B576" w14:textId="20499A0E" w:rsidR="00236E6D" w:rsidRPr="00C15A8F" w:rsidRDefault="009C755C" w:rsidP="003A00AE">
      <w:pPr>
        <w:spacing w:line="480" w:lineRule="auto"/>
        <w:jc w:val="center"/>
        <w:rPr>
          <w:b/>
          <w:bCs/>
        </w:rPr>
      </w:pPr>
      <w:r w:rsidRPr="00C15A8F">
        <w:rPr>
          <w:b/>
          <w:bCs/>
        </w:rPr>
        <w:t xml:space="preserve">A </w:t>
      </w:r>
      <w:r w:rsidR="000C05C3" w:rsidRPr="00C15A8F">
        <w:rPr>
          <w:b/>
          <w:bCs/>
        </w:rPr>
        <w:t>Dissertation</w:t>
      </w:r>
      <w:r w:rsidRPr="00C15A8F">
        <w:rPr>
          <w:b/>
          <w:bCs/>
        </w:rPr>
        <w:t xml:space="preserve"> Presented for</w:t>
      </w:r>
      <w:r w:rsidR="008865B6" w:rsidRPr="00C15A8F">
        <w:rPr>
          <w:b/>
          <w:bCs/>
        </w:rPr>
        <w:t xml:space="preserve"> the</w:t>
      </w:r>
    </w:p>
    <w:p w14:paraId="70564356" w14:textId="1AAB24C4" w:rsidR="009C755C" w:rsidRPr="00C15A8F" w:rsidRDefault="000C05C3" w:rsidP="003A00AE">
      <w:pPr>
        <w:spacing w:line="480" w:lineRule="auto"/>
        <w:jc w:val="center"/>
        <w:rPr>
          <w:b/>
          <w:bCs/>
        </w:rPr>
      </w:pPr>
      <w:r w:rsidRPr="00C15A8F">
        <w:rPr>
          <w:b/>
          <w:bCs/>
        </w:rPr>
        <w:t>Doctor of Philosophy</w:t>
      </w:r>
    </w:p>
    <w:p w14:paraId="3862216B" w14:textId="77777777" w:rsidR="009C755C" w:rsidRPr="00C15A8F" w:rsidRDefault="009C755C" w:rsidP="003A00AE">
      <w:pPr>
        <w:spacing w:line="480" w:lineRule="auto"/>
        <w:jc w:val="center"/>
        <w:rPr>
          <w:b/>
          <w:bCs/>
        </w:rPr>
      </w:pPr>
      <w:r w:rsidRPr="00C15A8F">
        <w:rPr>
          <w:b/>
          <w:bCs/>
        </w:rPr>
        <w:t>Degree</w:t>
      </w:r>
    </w:p>
    <w:p w14:paraId="27A8E45C" w14:textId="77777777" w:rsidR="009C755C" w:rsidRPr="00C15A8F" w:rsidRDefault="009C755C" w:rsidP="003A00AE">
      <w:pPr>
        <w:spacing w:line="480" w:lineRule="auto"/>
        <w:jc w:val="center"/>
        <w:rPr>
          <w:b/>
          <w:bCs/>
        </w:rPr>
      </w:pPr>
      <w:r w:rsidRPr="00C15A8F">
        <w:rPr>
          <w:b/>
          <w:bCs/>
        </w:rPr>
        <w:t>The University of Tennessee, Knoxville</w:t>
      </w:r>
    </w:p>
    <w:p w14:paraId="154D52C6" w14:textId="77777777" w:rsidR="00236E6D" w:rsidRPr="00C15A8F" w:rsidRDefault="00236E6D" w:rsidP="003A00AE">
      <w:pPr>
        <w:spacing w:line="480" w:lineRule="auto"/>
      </w:pPr>
    </w:p>
    <w:p w14:paraId="669F9291" w14:textId="77777777" w:rsidR="00236E6D" w:rsidRPr="00C15A8F" w:rsidRDefault="00236E6D" w:rsidP="003A00AE">
      <w:pPr>
        <w:spacing w:line="480" w:lineRule="auto"/>
      </w:pPr>
    </w:p>
    <w:p w14:paraId="12C6AD5B" w14:textId="77777777" w:rsidR="00236E6D" w:rsidRPr="00C15A8F" w:rsidRDefault="00236E6D" w:rsidP="003A00AE">
      <w:pPr>
        <w:spacing w:line="480" w:lineRule="auto"/>
      </w:pPr>
    </w:p>
    <w:p w14:paraId="6AF52604" w14:textId="77777777" w:rsidR="00236E6D" w:rsidRPr="00C15A8F" w:rsidRDefault="00236E6D" w:rsidP="003A00AE">
      <w:pPr>
        <w:spacing w:line="480" w:lineRule="auto"/>
      </w:pPr>
    </w:p>
    <w:p w14:paraId="59C05CDD" w14:textId="77777777" w:rsidR="009D2AA9" w:rsidRPr="00C15A8F" w:rsidRDefault="009D2AA9" w:rsidP="003A00AE">
      <w:pPr>
        <w:spacing w:line="480" w:lineRule="auto"/>
      </w:pPr>
    </w:p>
    <w:p w14:paraId="43B77C67" w14:textId="77777777" w:rsidR="009D2AA9" w:rsidRPr="00C15A8F" w:rsidRDefault="009D2AA9" w:rsidP="003A00AE">
      <w:pPr>
        <w:spacing w:line="480" w:lineRule="auto"/>
      </w:pPr>
    </w:p>
    <w:p w14:paraId="2CD3B11B" w14:textId="77777777" w:rsidR="003A00AE" w:rsidRPr="00C15A8F" w:rsidRDefault="003A00AE" w:rsidP="003A00AE">
      <w:pPr>
        <w:spacing w:line="480" w:lineRule="auto"/>
      </w:pPr>
    </w:p>
    <w:p w14:paraId="0C513A90" w14:textId="77777777" w:rsidR="00236E6D" w:rsidRPr="00C15A8F" w:rsidRDefault="00236E6D" w:rsidP="003A00AE">
      <w:pPr>
        <w:spacing w:line="480" w:lineRule="auto"/>
      </w:pPr>
    </w:p>
    <w:p w14:paraId="23405718" w14:textId="7C7776D8" w:rsidR="00236E6D" w:rsidRPr="00C15A8F" w:rsidRDefault="000C05C3" w:rsidP="003A00AE">
      <w:pPr>
        <w:spacing w:line="480" w:lineRule="auto"/>
        <w:jc w:val="center"/>
        <w:rPr>
          <w:b/>
          <w:bCs/>
        </w:rPr>
      </w:pPr>
      <w:r w:rsidRPr="00C15A8F">
        <w:rPr>
          <w:b/>
          <w:bCs/>
        </w:rPr>
        <w:t>Jesse L.</w:t>
      </w:r>
      <w:r w:rsidR="003D07F7" w:rsidRPr="00C15A8F">
        <w:rPr>
          <w:b/>
          <w:bCs/>
        </w:rPr>
        <w:t xml:space="preserve"> </w:t>
      </w:r>
      <w:r w:rsidRPr="00C15A8F">
        <w:rPr>
          <w:b/>
          <w:bCs/>
        </w:rPr>
        <w:t>Scholpp</w:t>
      </w:r>
    </w:p>
    <w:p w14:paraId="78761DAE" w14:textId="77777777" w:rsidR="000B7795" w:rsidRDefault="000B7795" w:rsidP="003A00AE">
      <w:pPr>
        <w:spacing w:line="480" w:lineRule="auto"/>
        <w:jc w:val="center"/>
        <w:rPr>
          <w:b/>
          <w:bCs/>
        </w:rPr>
        <w:sectPr w:rsidR="000B7795" w:rsidSect="000B7795">
          <w:footerReference w:type="default" r:id="rId8"/>
          <w:footerReference w:type="first" r:id="rId9"/>
          <w:pgSz w:w="12240" w:h="15840" w:code="1"/>
          <w:pgMar w:top="1440" w:right="1800" w:bottom="1872" w:left="1800" w:header="720" w:footer="1440" w:gutter="0"/>
          <w:pgNumType w:fmt="lowerRoman" w:start="1"/>
          <w:cols w:space="720"/>
          <w:noEndnote/>
          <w:titlePg/>
        </w:sectPr>
      </w:pPr>
      <w:r w:rsidRPr="00C15A8F">
        <w:rPr>
          <w:b/>
          <w:bCs/>
        </w:rPr>
        <w:t>May</w:t>
      </w:r>
      <w:r w:rsidR="009C755C" w:rsidRPr="00C15A8F">
        <w:rPr>
          <w:b/>
          <w:bCs/>
        </w:rPr>
        <w:t xml:space="preserve"> </w:t>
      </w:r>
      <w:r w:rsidR="00206090" w:rsidRPr="00C15A8F">
        <w:rPr>
          <w:b/>
          <w:bCs/>
        </w:rPr>
        <w:t>20</w:t>
      </w:r>
      <w:r w:rsidR="005A007D" w:rsidRPr="00C15A8F">
        <w:rPr>
          <w:b/>
          <w:bCs/>
        </w:rPr>
        <w:t>25</w:t>
      </w:r>
    </w:p>
    <w:p w14:paraId="6BA27945" w14:textId="665DA6C0" w:rsidR="00236E6D" w:rsidRPr="00C70DD4" w:rsidRDefault="003D07F7" w:rsidP="009302DF">
      <w:pPr>
        <w:spacing w:line="480" w:lineRule="auto"/>
        <w:rPr>
          <w:b/>
          <w:bCs/>
        </w:rPr>
      </w:pPr>
      <w:r w:rsidRPr="009D2AA9">
        <w:lastRenderedPageBreak/>
        <w:t>Copyright © 20</w:t>
      </w:r>
      <w:r w:rsidR="00206090">
        <w:t>2</w:t>
      </w:r>
      <w:r w:rsidR="00603E57">
        <w:t>5</w:t>
      </w:r>
      <w:r w:rsidR="00236E6D" w:rsidRPr="009D2AA9">
        <w:t xml:space="preserve"> by </w:t>
      </w:r>
      <w:r w:rsidR="0069768D">
        <w:t>Jesse L. Scholpp</w:t>
      </w:r>
    </w:p>
    <w:p w14:paraId="53134E24" w14:textId="77777777" w:rsidR="00236E6D" w:rsidRPr="009D2AA9" w:rsidRDefault="00236E6D" w:rsidP="009302DF">
      <w:pPr>
        <w:spacing w:line="480" w:lineRule="auto"/>
      </w:pPr>
      <w:r w:rsidRPr="009D2AA9">
        <w:t>All rights reserved.</w:t>
      </w:r>
    </w:p>
    <w:p w14:paraId="26A9A182" w14:textId="77777777" w:rsidR="00236E6D" w:rsidRPr="009D2AA9" w:rsidRDefault="00236E6D" w:rsidP="002F3782"/>
    <w:p w14:paraId="54A5B751" w14:textId="77777777" w:rsidR="00236E6D" w:rsidRPr="009D2AA9" w:rsidRDefault="00236E6D" w:rsidP="002F3782"/>
    <w:p w14:paraId="74767604" w14:textId="77777777" w:rsidR="00236E6D" w:rsidRPr="009D2AA9" w:rsidRDefault="00236E6D" w:rsidP="002F3782"/>
    <w:p w14:paraId="7F9A5E40" w14:textId="77777777" w:rsidR="00236E6D" w:rsidRPr="009D2AA9" w:rsidRDefault="00236E6D" w:rsidP="002F3782"/>
    <w:p w14:paraId="601EC58B" w14:textId="77777777" w:rsidR="00236E6D" w:rsidRPr="009D2AA9" w:rsidRDefault="00236E6D" w:rsidP="002F3782"/>
    <w:p w14:paraId="178D4EEC" w14:textId="77777777" w:rsidR="00236E6D" w:rsidRPr="009D2AA9" w:rsidRDefault="00236E6D" w:rsidP="002F3782"/>
    <w:p w14:paraId="23197D04" w14:textId="77777777" w:rsidR="00236E6D" w:rsidRPr="009D2AA9" w:rsidRDefault="00236E6D" w:rsidP="002F3782"/>
    <w:p w14:paraId="23DDCEA8" w14:textId="77777777" w:rsidR="00236E6D" w:rsidRPr="009D2AA9" w:rsidRDefault="00236E6D" w:rsidP="002F3782"/>
    <w:p w14:paraId="0F4DD275" w14:textId="77777777" w:rsidR="00236E6D" w:rsidRPr="009D2AA9" w:rsidRDefault="00236E6D" w:rsidP="002F3782"/>
    <w:p w14:paraId="378F9AA9" w14:textId="77777777" w:rsidR="00236E6D" w:rsidRPr="009D2AA9" w:rsidRDefault="00236E6D" w:rsidP="002F3782"/>
    <w:p w14:paraId="1B2D1C2A" w14:textId="77777777" w:rsidR="00236E6D" w:rsidRPr="009D2AA9" w:rsidRDefault="00236E6D" w:rsidP="002F3782"/>
    <w:p w14:paraId="2C9E37C6" w14:textId="77777777" w:rsidR="00236E6D" w:rsidRPr="009D2AA9" w:rsidRDefault="00236E6D" w:rsidP="002F3782"/>
    <w:p w14:paraId="4CCE6977" w14:textId="77777777" w:rsidR="00236E6D" w:rsidRPr="009D2AA9" w:rsidRDefault="00236E6D" w:rsidP="002F3782"/>
    <w:p w14:paraId="25B0DF76" w14:textId="77777777" w:rsidR="00236E6D" w:rsidRPr="009D2AA9" w:rsidRDefault="00236E6D" w:rsidP="002F3782"/>
    <w:p w14:paraId="0D79748F" w14:textId="77777777" w:rsidR="009D2AA9" w:rsidRDefault="009D2AA9" w:rsidP="002F3782"/>
    <w:p w14:paraId="07793864" w14:textId="77777777" w:rsidR="009D2AA9" w:rsidRDefault="009D2AA9" w:rsidP="002F3782"/>
    <w:p w14:paraId="50750EC6" w14:textId="77777777" w:rsidR="009D2AA9" w:rsidRDefault="009D2AA9" w:rsidP="002F3782"/>
    <w:p w14:paraId="35C48F7B" w14:textId="77777777" w:rsidR="009D2AA9" w:rsidRDefault="009D2AA9" w:rsidP="002F3782"/>
    <w:p w14:paraId="50C13B72" w14:textId="77777777" w:rsidR="009D2AA9" w:rsidRDefault="009D2AA9" w:rsidP="002F3782"/>
    <w:p w14:paraId="2012757C" w14:textId="77777777" w:rsidR="009D2AA9" w:rsidRDefault="009D2AA9" w:rsidP="002F3782"/>
    <w:p w14:paraId="7F31CD31" w14:textId="77777777" w:rsidR="009D2AA9" w:rsidRDefault="009D2AA9" w:rsidP="002F3782"/>
    <w:p w14:paraId="3499C504" w14:textId="77777777" w:rsidR="009D2AA9" w:rsidRDefault="009D2AA9" w:rsidP="002F3782"/>
    <w:p w14:paraId="0A27F9CE" w14:textId="77777777" w:rsidR="009D2AA9" w:rsidRDefault="009D2AA9" w:rsidP="002F3782"/>
    <w:p w14:paraId="3AA71506" w14:textId="77777777" w:rsidR="009D2AA9" w:rsidRDefault="009D2AA9" w:rsidP="002F3782"/>
    <w:p w14:paraId="36DE6212" w14:textId="77777777" w:rsidR="009D2AA9" w:rsidRDefault="009D2AA9" w:rsidP="002F3782"/>
    <w:p w14:paraId="0C650CAE" w14:textId="77777777" w:rsidR="009D2AA9" w:rsidRDefault="009D2AA9" w:rsidP="002F3782"/>
    <w:p w14:paraId="1BA43545" w14:textId="77777777" w:rsidR="009D2AA9" w:rsidRDefault="009D2AA9" w:rsidP="002F3782"/>
    <w:p w14:paraId="059C6B8A" w14:textId="77777777" w:rsidR="009D2AA9" w:rsidRDefault="009D2AA9" w:rsidP="002F3782"/>
    <w:p w14:paraId="5CD64DF2" w14:textId="77777777" w:rsidR="009D2AA9" w:rsidRDefault="009D2AA9" w:rsidP="002F3782"/>
    <w:p w14:paraId="24791B53" w14:textId="77777777" w:rsidR="009D2AA9" w:rsidRDefault="009D2AA9" w:rsidP="002F3782"/>
    <w:p w14:paraId="551A13E5" w14:textId="77777777" w:rsidR="009D2AA9" w:rsidRDefault="009D2AA9" w:rsidP="002F3782"/>
    <w:p w14:paraId="647A22BD" w14:textId="77777777" w:rsidR="009D2AA9" w:rsidRDefault="009D2AA9" w:rsidP="002F3782"/>
    <w:p w14:paraId="3C9391BD" w14:textId="77777777" w:rsidR="009D2AA9" w:rsidRDefault="009D2AA9" w:rsidP="002F3782"/>
    <w:p w14:paraId="044ADAC7" w14:textId="77777777" w:rsidR="009D2AA9" w:rsidRDefault="009D2AA9" w:rsidP="002F3782"/>
    <w:p w14:paraId="46B7B2F9" w14:textId="77777777" w:rsidR="009D2AA9" w:rsidRDefault="009D2AA9" w:rsidP="002F3782"/>
    <w:p w14:paraId="1059DA85" w14:textId="77777777" w:rsidR="009D2AA9" w:rsidRDefault="009D2AA9" w:rsidP="002F3782"/>
    <w:p w14:paraId="6220CE8C" w14:textId="77777777" w:rsidR="009D2AA9" w:rsidRDefault="009D2AA9" w:rsidP="002F3782"/>
    <w:p w14:paraId="1FA0AD79" w14:textId="77777777" w:rsidR="009D2AA9" w:rsidRDefault="009D2AA9" w:rsidP="002F3782"/>
    <w:p w14:paraId="722BC1E9" w14:textId="77777777" w:rsidR="009D2AA9" w:rsidRDefault="009D2AA9" w:rsidP="002F3782"/>
    <w:p w14:paraId="13BB0860" w14:textId="77777777" w:rsidR="009D2AA9" w:rsidRDefault="009D2AA9" w:rsidP="002F3782"/>
    <w:p w14:paraId="5DC64CAD" w14:textId="77777777" w:rsidR="00A24064" w:rsidRDefault="00A24064" w:rsidP="002F3782"/>
    <w:p w14:paraId="777128F2" w14:textId="7AA6B156" w:rsidR="00A24064" w:rsidRPr="00C55955" w:rsidRDefault="00A24064" w:rsidP="00BD186E">
      <w:pPr>
        <w:pStyle w:val="AltHeading1"/>
      </w:pPr>
      <w:r w:rsidRPr="00C55955">
        <w:lastRenderedPageBreak/>
        <w:t>DEDICATION</w:t>
      </w:r>
    </w:p>
    <w:p w14:paraId="77949F73" w14:textId="39FA186F" w:rsidR="00A24064" w:rsidRPr="00885029" w:rsidRDefault="00D26604" w:rsidP="009302DF">
      <w:pPr>
        <w:spacing w:line="480" w:lineRule="auto"/>
        <w:ind w:firstLine="720"/>
      </w:pPr>
      <w:r w:rsidRPr="00C55955">
        <w:t xml:space="preserve">I dedicate this to my wife and my family; I could not have done this without their unwavering support and love. I also dedicate this to my late </w:t>
      </w:r>
      <w:r w:rsidR="007367B5" w:rsidRPr="00C55955">
        <w:t xml:space="preserve">friend and </w:t>
      </w:r>
      <w:r w:rsidRPr="00C55955">
        <w:t>undergraduate research assistant</w:t>
      </w:r>
      <w:r w:rsidR="00524DEA" w:rsidRPr="00C55955">
        <w:t>,</w:t>
      </w:r>
      <w:r w:rsidRPr="00C55955">
        <w:t xml:space="preserve"> Olivia Wilkerson; her endless curiosity, love of geology, and goofy personality was always a welcomed reminder of why</w:t>
      </w:r>
      <w:r w:rsidR="005B198F">
        <w:t xml:space="preserve"> I</w:t>
      </w:r>
      <w:r w:rsidRPr="00C55955">
        <w:t xml:space="preserve"> love</w:t>
      </w:r>
      <w:r w:rsidR="0092474E" w:rsidRPr="00C55955">
        <w:t xml:space="preserve"> doing research</w:t>
      </w:r>
      <w:r w:rsidR="001B2FDE" w:rsidRPr="00885029">
        <w:t xml:space="preserve"> and</w:t>
      </w:r>
      <w:r w:rsidRPr="00885029">
        <w:t xml:space="preserve"> advising undergraduate researchers.</w:t>
      </w:r>
    </w:p>
    <w:p w14:paraId="313D06C3" w14:textId="67EE1EAF" w:rsidR="00A24064" w:rsidRDefault="00A24064" w:rsidP="00D26CBA">
      <w:pPr>
        <w:spacing w:line="480" w:lineRule="auto"/>
      </w:pPr>
      <w:r>
        <w:br w:type="page"/>
      </w:r>
    </w:p>
    <w:p w14:paraId="0452903C" w14:textId="1BB60726" w:rsidR="00CD73A9" w:rsidRPr="00C55955" w:rsidRDefault="00CD73A9" w:rsidP="00BD186E">
      <w:pPr>
        <w:pStyle w:val="AltHeading1"/>
      </w:pPr>
      <w:r w:rsidRPr="00C55955">
        <w:lastRenderedPageBreak/>
        <w:t>ACKNOWLEDGEMENTS</w:t>
      </w:r>
    </w:p>
    <w:p w14:paraId="5D323C1F" w14:textId="77777777" w:rsidR="005F5DA6" w:rsidRDefault="00100535" w:rsidP="00885029">
      <w:pPr>
        <w:spacing w:line="480" w:lineRule="auto"/>
        <w:ind w:firstLine="720"/>
      </w:pPr>
      <w:r w:rsidRPr="00C55955">
        <w:t>I want to thank my advisor, Nick Dygert, for his support and guidance over the last four and a half years. I am grateful for the opportunity to work with and learn from him. I am also profoundly thankful for his support whenever I presented him with highly ambitious project ideas that required significant effort on his part. I thank</w:t>
      </w:r>
      <w:r w:rsidRPr="00885029">
        <w:t xml:space="preserve"> my committee, Molly McCanta, Anna Szynkiewicz, and Colin Jackson, for their support during my degree. I would also like to thank those who have mentored me throughout my geoscience journey and are why I am where I am today- Jeffrey Ryan and John Shervais.</w:t>
      </w:r>
    </w:p>
    <w:p w14:paraId="13AEE86D" w14:textId="25377FE5" w:rsidR="00100535" w:rsidRPr="00885029" w:rsidRDefault="00100535" w:rsidP="00885029">
      <w:pPr>
        <w:spacing w:line="480" w:lineRule="auto"/>
        <w:ind w:firstLine="720"/>
      </w:pPr>
      <w:r w:rsidRPr="00885029">
        <w:t>I would like to thank those who assisted me with my laboratory work and research- Allan Patchen, Hirochika Sumino, Graham Pearson, Andy Dufrane, Sarah Woodland, Noah Hooper, Olivia Wilkerson, Sabrina Sanders, and Kydin Keylock. I would like to thank the University of Tennessee</w:t>
      </w:r>
      <w:r w:rsidR="00DB3B18">
        <w:t>,</w:t>
      </w:r>
      <w:r w:rsidRPr="00885029">
        <w:t xml:space="preserve"> the National Science Foundation</w:t>
      </w:r>
      <w:r w:rsidR="00DB3B18">
        <w:t xml:space="preserve"> (NSF), and the National Aeronautics and Space Administration (NASA)</w:t>
      </w:r>
      <w:r w:rsidRPr="00885029">
        <w:t xml:space="preserve"> for funding and allowing me to conduct my research and follow my curiosity.</w:t>
      </w:r>
    </w:p>
    <w:p w14:paraId="381765AE" w14:textId="5E95A0B3" w:rsidR="00100535" w:rsidRPr="00885029" w:rsidRDefault="00100535" w:rsidP="00885029">
      <w:pPr>
        <w:spacing w:line="480" w:lineRule="auto"/>
        <w:ind w:firstLine="720"/>
      </w:pPr>
      <w:r w:rsidRPr="00885029">
        <w:t>I would like to give a special thanks to the Internation</w:t>
      </w:r>
      <w:r w:rsidR="000B67EA">
        <w:t>al</w:t>
      </w:r>
      <w:r w:rsidRPr="00885029">
        <w:t xml:space="preserve"> Ocean Discovery Program (IODP) Expedition 391 science team members who helped keep me from going insane during the two-month-long Covid quarantine cruise- Katie Potter, Aaron Avery, John Shervais, Wendy Nelson, Sonia Tikoo-Schantz, Harsha Thoram, Kevin Gaastra, and Mike Widdowson. Without all of you, I would have never made it through the craziness of that expedition.</w:t>
      </w:r>
    </w:p>
    <w:p w14:paraId="74A49402" w14:textId="31F622FD" w:rsidR="00100535" w:rsidRPr="00885029" w:rsidRDefault="00100535" w:rsidP="00885029">
      <w:pPr>
        <w:spacing w:line="480" w:lineRule="auto"/>
        <w:ind w:firstLine="720"/>
      </w:pPr>
      <w:r w:rsidRPr="00885029">
        <w:t xml:space="preserve">I would also like to thank all the incredible faculty, staff, and graduate students in the Department of Earth, Environmental, and Planetary Sciences who have supported me over the last four and a half years. To my friends- Stephen Hill, Allison Rogers, John </w:t>
      </w:r>
      <w:r w:rsidRPr="00885029">
        <w:lastRenderedPageBreak/>
        <w:t>Fulginiti, Cameron Harris, Emily Roberts, Dian Ji, Micki Recchuiti, Noah Hooper,</w:t>
      </w:r>
      <w:r w:rsidR="008E5A44" w:rsidRPr="00885029">
        <w:t xml:space="preserve"> Olivia Wilkerson,</w:t>
      </w:r>
      <w:r w:rsidRPr="00885029">
        <w:t xml:space="preserve"> Sabrina Sanders, Rachel Huk, Gabby Boggs, Udit Basu, Nick Brey, Sonja Schmoyer, Justin Hard</w:t>
      </w:r>
      <w:r w:rsidR="00F56F6D">
        <w:t>i</w:t>
      </w:r>
      <w:r w:rsidRPr="00885029">
        <w:t xml:space="preserve">n, Ben Alexander, Claire Mondro, and Tyler and Nadine Grambling, thank you for your friendship. Whether it was office and lab shenanigans, venting sessions over drinks, or dark humor when nothing was going right, all of you kept me going. </w:t>
      </w:r>
    </w:p>
    <w:p w14:paraId="68CEFBB9" w14:textId="2A9B3249" w:rsidR="00100535" w:rsidRPr="00885029" w:rsidRDefault="00100535" w:rsidP="00885029">
      <w:pPr>
        <w:spacing w:line="480" w:lineRule="auto"/>
        <w:ind w:firstLine="720"/>
      </w:pPr>
      <w:r w:rsidRPr="00885029">
        <w:t xml:space="preserve">And finally, I am incredibly grateful for all my family's unwavering love and support. Mom and Dad, you always believed in me even and encouraged me when I felt lost and didn’t know what I was going to do with my life. I am genuinely grateful for everything you’ve done for me, and I could never have done this without you. To my sister, Sami, thank you for always being there when I needed you and listening when I needed someone to vent to about my research problems, even if it sounded like gibberish to you. To my wife, Kendall, thank you for being my biggest fan and encouraging me when I felt like </w:t>
      </w:r>
      <w:r w:rsidR="00FE2FA8" w:rsidRPr="00885029">
        <w:t>I was just wasting my time and money getting this degree</w:t>
      </w:r>
      <w:r w:rsidRPr="00885029">
        <w:t>. Thank you for financially and emotionally supporting me over the last three years. Thank you for taking care of me when I was working 14-hour days and was too exhausted to take care of myself. I would have never survived this process without you.</w:t>
      </w:r>
    </w:p>
    <w:p w14:paraId="70CC89D8" w14:textId="388CFC11" w:rsidR="007F7A99" w:rsidRDefault="00CD73A9" w:rsidP="00885029">
      <w:pPr>
        <w:spacing w:line="480" w:lineRule="auto"/>
      </w:pPr>
      <w:r w:rsidRPr="009D2AA9">
        <w:br w:type="page"/>
      </w:r>
    </w:p>
    <w:p w14:paraId="05879153" w14:textId="77777777" w:rsidR="00236E6D" w:rsidRPr="00BD186E" w:rsidRDefault="00236E6D" w:rsidP="00BD186E">
      <w:pPr>
        <w:pStyle w:val="AltHeading1"/>
      </w:pPr>
      <w:r w:rsidRPr="00BD186E">
        <w:lastRenderedPageBreak/>
        <w:t>ABSTRACT</w:t>
      </w:r>
    </w:p>
    <w:p w14:paraId="3CDEC96F" w14:textId="4B5925BC" w:rsidR="00236E6D" w:rsidRPr="00885029" w:rsidRDefault="00D64DBA" w:rsidP="00885029">
      <w:pPr>
        <w:spacing w:line="480" w:lineRule="auto"/>
      </w:pPr>
      <w:r w:rsidRPr="00BD186E">
        <w:tab/>
      </w:r>
      <w:r w:rsidR="00720A3A" w:rsidRPr="00BD186E">
        <w:rPr>
          <w:color w:val="000000" w:themeColor="text1"/>
        </w:rPr>
        <w:t>Solidification of a lunar magma ocean (LMO) after a giant planetary collision event formed the Moon’s gravitationally unstable juvenile mantle. Hybridization of the lunar mantle during the overturn of late-crystallized Ti- rich ilmenite-bearing cumulates (IBC) in the lunar interior is called upon to explain the variable Ti and REE abundances of melts. We experimentally</w:t>
      </w:r>
      <w:r w:rsidR="00720A3A" w:rsidRPr="00885029">
        <w:rPr>
          <w:color w:val="000000" w:themeColor="text1"/>
        </w:rPr>
        <w:t xml:space="preserve"> investigated hybridization reactions in experiments that juxtapose an IBC glass against presynthesized dunite in a reaction couple at temperatures of 1100-1300</w:t>
      </w:r>
      <w:r w:rsidR="00720A3A" w:rsidRPr="00885029">
        <w:rPr>
          <w:color w:val="000000" w:themeColor="text1"/>
          <w:vertAlign w:val="superscript"/>
        </w:rPr>
        <w:t xml:space="preserve"> º</w:t>
      </w:r>
      <w:r w:rsidR="00720A3A" w:rsidRPr="00885029">
        <w:rPr>
          <w:color w:val="000000" w:themeColor="text1"/>
        </w:rPr>
        <w:t xml:space="preserve">C and pressures of 0.5-2.02 GPa for 0.33-31.66 hours. </w:t>
      </w:r>
      <w:r w:rsidR="00720A3A" w:rsidRPr="00885029">
        <w:t xml:space="preserve">We then model chemical fractionation during LMO solidification, mantle hybridization, and partial melting of hybridized and unhybridized cumulates to evaluate the formation of lunar basalts, picritic glasses, and crustal cumulates. </w:t>
      </w:r>
      <w:r w:rsidR="00720A3A" w:rsidRPr="00885029">
        <w:rPr>
          <w:color w:val="000000" w:themeColor="text1"/>
        </w:rPr>
        <w:t>Subsolidus experiments produce garnet in the IBC at 2 GPa. Supersolidus experiments exhibit dissolution of olivine material into the IBC melt and the formation of clinopyroxene at the IBC melt-dunite interface. Simple numerical simulations suggest that mechanical mixing may be required in addition to dissolution-precipitation reactions to produce volumetrically significant hybridized mantle sources capable of producing lunar melts over geologically relevant timescales.</w:t>
      </w:r>
      <w:r w:rsidR="00720A3A" w:rsidRPr="00885029">
        <w:t xml:space="preserve"> </w:t>
      </w:r>
      <w:r w:rsidR="00720A3A" w:rsidRPr="00885029">
        <w:rPr>
          <w:color w:val="000000" w:themeColor="text1"/>
        </w:rPr>
        <w:t xml:space="preserve">Geochemical models indicate that plagioclase floatation efficiency during LMO solidification and crustal formation must be &gt;90% to explain the negative Eu anomaly demonstrated by lunar melts. Melting models demonstrate that unhybridized cumulates could produce low-Ti melts, and hybridized garnet-free sources can generate many intermediate to high-Ti melts. The Heavy Rare Earth Element depleted compositions of some high-Ti lunar melts require a ~0.25-5% garnet component in the downwelling IBC or hybridized sources. The need for garnet combined with isotope ratios of high-Ti lunar </w:t>
      </w:r>
      <w:r w:rsidR="00720A3A" w:rsidRPr="00885029">
        <w:rPr>
          <w:color w:val="000000" w:themeColor="text1"/>
        </w:rPr>
        <w:lastRenderedPageBreak/>
        <w:t xml:space="preserve">basalts indicates the cumulate overturn is likely required. Geochemical models of LMO solidification also demonstrate that the Moon likely contains </w:t>
      </w:r>
      <w:r w:rsidR="00746527" w:rsidRPr="00885029">
        <w:rPr>
          <w:color w:val="000000" w:themeColor="text1"/>
        </w:rPr>
        <w:t>&lt;</w:t>
      </w:r>
      <w:r w:rsidR="00720A3A" w:rsidRPr="00885029">
        <w:rPr>
          <w:color w:val="000000" w:themeColor="text1"/>
        </w:rPr>
        <w:t xml:space="preserve">86% </w:t>
      </w:r>
      <w:r w:rsidR="00746527" w:rsidRPr="00885029">
        <w:rPr>
          <w:color w:val="000000" w:themeColor="text1"/>
        </w:rPr>
        <w:t>of the Earth’s</w:t>
      </w:r>
      <w:r w:rsidR="00720A3A" w:rsidRPr="00885029">
        <w:rPr>
          <w:color w:val="000000" w:themeColor="text1"/>
        </w:rPr>
        <w:t xml:space="preserve"> K </w:t>
      </w:r>
      <w:r w:rsidR="00746527" w:rsidRPr="00885029">
        <w:rPr>
          <w:color w:val="000000" w:themeColor="text1"/>
        </w:rPr>
        <w:t>budget</w:t>
      </w:r>
      <w:r w:rsidR="00720A3A" w:rsidRPr="00885029">
        <w:rPr>
          <w:color w:val="000000" w:themeColor="text1"/>
        </w:rPr>
        <w:t>. This K depletion significantly decreases radiogenic heat production within the Moon since K is the primary heat-producing element (HPE) in most planets.</w:t>
      </w:r>
      <w:r w:rsidR="00EA2D72" w:rsidRPr="00885029">
        <w:rPr>
          <w:color w:val="000000" w:themeColor="text1"/>
        </w:rPr>
        <w:t xml:space="preserve"> </w:t>
      </w:r>
      <w:r w:rsidR="00EA2D72" w:rsidRPr="00885029">
        <w:t>Geochemical m</w:t>
      </w:r>
      <w:r w:rsidR="00EA2D72" w:rsidRPr="00885029">
        <w:rPr>
          <w:color w:val="000000" w:themeColor="text1"/>
        </w:rPr>
        <w:t>odels</w:t>
      </w:r>
      <w:r w:rsidR="00EA2D72" w:rsidRPr="00885029">
        <w:t xml:space="preserve"> also</w:t>
      </w:r>
      <w:r w:rsidR="00EA2D72" w:rsidRPr="00885029">
        <w:rPr>
          <w:color w:val="000000" w:themeColor="text1"/>
        </w:rPr>
        <w:t xml:space="preserve"> demonstrate that &gt;90% of the lunar HPE budget should initially </w:t>
      </w:r>
      <w:r w:rsidR="00EA2D72" w:rsidRPr="00885029">
        <w:t xml:space="preserve">be </w:t>
      </w:r>
      <w:r w:rsidR="00EA2D72" w:rsidRPr="00885029">
        <w:rPr>
          <w:color w:val="000000" w:themeColor="text1"/>
        </w:rPr>
        <w:t xml:space="preserve">concentrated in the </w:t>
      </w:r>
      <w:r w:rsidR="00EA2D72" w:rsidRPr="00885029">
        <w:t>lunar</w:t>
      </w:r>
      <w:r w:rsidR="00EA2D72" w:rsidRPr="00885029">
        <w:rPr>
          <w:color w:val="000000" w:themeColor="text1"/>
        </w:rPr>
        <w:t xml:space="preserve"> crust and upper mantle cumulates following LMO solidification.</w:t>
      </w:r>
      <w:r w:rsidR="00720A3A" w:rsidRPr="00885029">
        <w:rPr>
          <w:color w:val="000000" w:themeColor="text1"/>
        </w:rPr>
        <w:t xml:space="preserve"> </w:t>
      </w:r>
    </w:p>
    <w:p w14:paraId="49950AC8" w14:textId="77777777" w:rsidR="002F13EF" w:rsidRDefault="002F13EF" w:rsidP="002F13EF">
      <w:pPr>
        <w:sectPr w:rsidR="002F13EF" w:rsidSect="000B7795">
          <w:footerReference w:type="first" r:id="rId10"/>
          <w:pgSz w:w="12240" w:h="15840" w:code="1"/>
          <w:pgMar w:top="1440" w:right="1800" w:bottom="1872" w:left="1800" w:header="720" w:footer="1440" w:gutter="0"/>
          <w:pgNumType w:fmt="lowerRoman" w:start="2"/>
          <w:cols w:space="720"/>
          <w:noEndnote/>
          <w:titlePg/>
        </w:sectPr>
      </w:pPr>
    </w:p>
    <w:p w14:paraId="2F98B1F6" w14:textId="2C9AB630" w:rsidR="002F13EF" w:rsidRPr="007F7A99" w:rsidRDefault="002F13EF" w:rsidP="00BD186E">
      <w:pPr>
        <w:pStyle w:val="AltHeading1"/>
      </w:pPr>
      <w:r w:rsidRPr="009D2AA9">
        <w:lastRenderedPageBreak/>
        <w:t>TABLE</w:t>
      </w:r>
      <w:r>
        <w:t xml:space="preserve"> of Contents</w:t>
      </w:r>
    </w:p>
    <w:p w14:paraId="4C07A1D6" w14:textId="41C899A0" w:rsidR="00BA7855" w:rsidRPr="00BA7855" w:rsidRDefault="00E26011" w:rsidP="00BA7855">
      <w:pPr>
        <w:pStyle w:val="TOC1"/>
        <w:rPr>
          <w:rFonts w:eastAsiaTheme="minorEastAsia"/>
          <w:noProof/>
          <w:kern w:val="2"/>
          <w14:ligatures w14:val="standardContextual"/>
        </w:rPr>
      </w:pPr>
      <w:r w:rsidRPr="00BA7855">
        <w:fldChar w:fldCharType="begin"/>
      </w:r>
      <w:r w:rsidRPr="00BA7855">
        <w:instrText xml:space="preserve"> TOC \o "2-4" \h \z \t "Heading 1,1,Chapter,1,Non Numbered Heading,1,Non Numbered Heading 2,2" </w:instrText>
      </w:r>
      <w:r w:rsidRPr="00BA7855">
        <w:fldChar w:fldCharType="separate"/>
      </w:r>
      <w:hyperlink w:anchor="_Toc185325596" w:history="1">
        <w:r w:rsidR="00BA7855" w:rsidRPr="00BA7855">
          <w:rPr>
            <w:rStyle w:val="Hyperlink"/>
            <w:rFonts w:ascii="Times New Roman" w:hAnsi="Times New Roman"/>
            <w:noProof/>
          </w:rPr>
          <w:t>INTRODUCTION AND LITERATURE REVIEW</w:t>
        </w:r>
        <w:r w:rsidR="00BA7855" w:rsidRPr="00BA7855">
          <w:rPr>
            <w:noProof/>
            <w:webHidden/>
          </w:rPr>
          <w:tab/>
        </w:r>
        <w:r w:rsidR="00BA7855" w:rsidRPr="00BA7855">
          <w:rPr>
            <w:noProof/>
            <w:webHidden/>
          </w:rPr>
          <w:fldChar w:fldCharType="begin"/>
        </w:r>
        <w:r w:rsidR="00BA7855" w:rsidRPr="00BA7855">
          <w:rPr>
            <w:noProof/>
            <w:webHidden/>
          </w:rPr>
          <w:instrText xml:space="preserve"> PAGEREF _Toc185325596 \h </w:instrText>
        </w:r>
        <w:r w:rsidR="00BA7855" w:rsidRPr="00BA7855">
          <w:rPr>
            <w:noProof/>
            <w:webHidden/>
          </w:rPr>
        </w:r>
        <w:r w:rsidR="00BA7855" w:rsidRPr="00BA7855">
          <w:rPr>
            <w:noProof/>
            <w:webHidden/>
          </w:rPr>
          <w:fldChar w:fldCharType="separate"/>
        </w:r>
        <w:r w:rsidR="00143EE1">
          <w:rPr>
            <w:noProof/>
            <w:webHidden/>
          </w:rPr>
          <w:t>1</w:t>
        </w:r>
        <w:r w:rsidR="00BA7855" w:rsidRPr="00BA7855">
          <w:rPr>
            <w:noProof/>
            <w:webHidden/>
          </w:rPr>
          <w:fldChar w:fldCharType="end"/>
        </w:r>
      </w:hyperlink>
    </w:p>
    <w:p w14:paraId="5BD87851" w14:textId="545CA8C8"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597" w:history="1">
        <w:r w:rsidRPr="00BA7855">
          <w:rPr>
            <w:rStyle w:val="Hyperlink"/>
            <w:rFonts w:ascii="Times New Roman" w:hAnsi="Times New Roman"/>
            <w:noProof/>
          </w:rPr>
          <w:t>Lunar Magma Ocean Formation and Solidification</w:t>
        </w:r>
        <w:r w:rsidRPr="00BA7855">
          <w:rPr>
            <w:noProof/>
            <w:webHidden/>
          </w:rPr>
          <w:tab/>
        </w:r>
        <w:r w:rsidRPr="00BA7855">
          <w:rPr>
            <w:noProof/>
            <w:webHidden/>
          </w:rPr>
          <w:fldChar w:fldCharType="begin"/>
        </w:r>
        <w:r w:rsidRPr="00BA7855">
          <w:rPr>
            <w:noProof/>
            <w:webHidden/>
          </w:rPr>
          <w:instrText xml:space="preserve"> PAGEREF _Toc185325597 \h </w:instrText>
        </w:r>
        <w:r w:rsidRPr="00BA7855">
          <w:rPr>
            <w:noProof/>
            <w:webHidden/>
          </w:rPr>
        </w:r>
        <w:r w:rsidRPr="00BA7855">
          <w:rPr>
            <w:noProof/>
            <w:webHidden/>
          </w:rPr>
          <w:fldChar w:fldCharType="separate"/>
        </w:r>
        <w:r w:rsidR="00143EE1">
          <w:rPr>
            <w:noProof/>
            <w:webHidden/>
          </w:rPr>
          <w:t>2</w:t>
        </w:r>
        <w:r w:rsidRPr="00BA7855">
          <w:rPr>
            <w:noProof/>
            <w:webHidden/>
          </w:rPr>
          <w:fldChar w:fldCharType="end"/>
        </w:r>
      </w:hyperlink>
    </w:p>
    <w:p w14:paraId="1A8C92A5" w14:textId="542BAE94"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598" w:history="1">
        <w:r w:rsidRPr="00BA7855">
          <w:rPr>
            <w:rStyle w:val="Hyperlink"/>
            <w:rFonts w:ascii="Times New Roman" w:hAnsi="Times New Roman"/>
            <w:noProof/>
          </w:rPr>
          <w:t>LMO Solidification Products and Their Physical Effects</w:t>
        </w:r>
        <w:r w:rsidRPr="00BA7855">
          <w:rPr>
            <w:noProof/>
            <w:webHidden/>
          </w:rPr>
          <w:tab/>
        </w:r>
        <w:r w:rsidRPr="00BA7855">
          <w:rPr>
            <w:noProof/>
            <w:webHidden/>
          </w:rPr>
          <w:fldChar w:fldCharType="begin"/>
        </w:r>
        <w:r w:rsidRPr="00BA7855">
          <w:rPr>
            <w:noProof/>
            <w:webHidden/>
          </w:rPr>
          <w:instrText xml:space="preserve"> PAGEREF _Toc185325598 \h </w:instrText>
        </w:r>
        <w:r w:rsidRPr="00BA7855">
          <w:rPr>
            <w:noProof/>
            <w:webHidden/>
          </w:rPr>
        </w:r>
        <w:r w:rsidRPr="00BA7855">
          <w:rPr>
            <w:noProof/>
            <w:webHidden/>
          </w:rPr>
          <w:fldChar w:fldCharType="separate"/>
        </w:r>
        <w:r w:rsidR="00143EE1">
          <w:rPr>
            <w:noProof/>
            <w:webHidden/>
          </w:rPr>
          <w:t>3</w:t>
        </w:r>
        <w:r w:rsidRPr="00BA7855">
          <w:rPr>
            <w:noProof/>
            <w:webHidden/>
          </w:rPr>
          <w:fldChar w:fldCharType="end"/>
        </w:r>
      </w:hyperlink>
    </w:p>
    <w:p w14:paraId="1DE287E7" w14:textId="55BF9CE8"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599" w:history="1">
        <w:r w:rsidRPr="00BA7855">
          <w:rPr>
            <w:rStyle w:val="Hyperlink"/>
            <w:rFonts w:ascii="Times New Roman" w:hAnsi="Times New Roman"/>
            <w:noProof/>
          </w:rPr>
          <w:t>References</w:t>
        </w:r>
        <w:r w:rsidRPr="00BA7855">
          <w:rPr>
            <w:noProof/>
            <w:webHidden/>
          </w:rPr>
          <w:tab/>
        </w:r>
        <w:r w:rsidRPr="00BA7855">
          <w:rPr>
            <w:noProof/>
            <w:webHidden/>
          </w:rPr>
          <w:fldChar w:fldCharType="begin"/>
        </w:r>
        <w:r w:rsidRPr="00BA7855">
          <w:rPr>
            <w:noProof/>
            <w:webHidden/>
          </w:rPr>
          <w:instrText xml:space="preserve"> PAGEREF _Toc185325599 \h </w:instrText>
        </w:r>
        <w:r w:rsidRPr="00BA7855">
          <w:rPr>
            <w:noProof/>
            <w:webHidden/>
          </w:rPr>
        </w:r>
        <w:r w:rsidRPr="00BA7855">
          <w:rPr>
            <w:noProof/>
            <w:webHidden/>
          </w:rPr>
          <w:fldChar w:fldCharType="separate"/>
        </w:r>
        <w:r w:rsidR="00143EE1">
          <w:rPr>
            <w:noProof/>
            <w:webHidden/>
          </w:rPr>
          <w:t>6</w:t>
        </w:r>
        <w:r w:rsidRPr="00BA7855">
          <w:rPr>
            <w:noProof/>
            <w:webHidden/>
          </w:rPr>
          <w:fldChar w:fldCharType="end"/>
        </w:r>
      </w:hyperlink>
    </w:p>
    <w:p w14:paraId="16847918" w14:textId="3E2C8DDE" w:rsidR="00BA7855" w:rsidRPr="00BA7855" w:rsidRDefault="00BA7855" w:rsidP="00BA7855">
      <w:pPr>
        <w:pStyle w:val="TOC1"/>
        <w:tabs>
          <w:tab w:val="left" w:pos="1680"/>
        </w:tabs>
        <w:rPr>
          <w:rFonts w:eastAsiaTheme="minorEastAsia"/>
          <w:noProof/>
          <w:kern w:val="2"/>
          <w14:ligatures w14:val="standardContextual"/>
        </w:rPr>
      </w:pPr>
      <w:hyperlink w:anchor="_Toc185325600" w:history="1">
        <w:r w:rsidRPr="00BA7855">
          <w:rPr>
            <w:rStyle w:val="Hyperlink"/>
            <w:rFonts w:ascii="Times New Roman" w:hAnsi="Times New Roman"/>
            <w:noProof/>
          </w:rPr>
          <w:t>CHAPTER 1</w:t>
        </w:r>
        <w:r w:rsidR="00C325C1">
          <w:rPr>
            <w:rFonts w:eastAsiaTheme="minorEastAsia"/>
            <w:noProof/>
            <w:kern w:val="2"/>
            <w14:ligatures w14:val="standardContextual"/>
          </w:rPr>
          <w:t xml:space="preserve"> </w:t>
        </w:r>
        <w:r w:rsidRPr="00BA7855">
          <w:rPr>
            <w:rStyle w:val="Hyperlink"/>
            <w:rFonts w:ascii="Times New Roman" w:hAnsi="Times New Roman"/>
            <w:noProof/>
          </w:rPr>
          <w:t>Experimental Insights into the Mineralogy and Melt-Rock Reactions Produced by Lunar Cumulate Mantle Overturn</w:t>
        </w:r>
        <w:r w:rsidRPr="00BA7855">
          <w:rPr>
            <w:noProof/>
            <w:webHidden/>
          </w:rPr>
          <w:tab/>
        </w:r>
        <w:r w:rsidRPr="00BA7855">
          <w:rPr>
            <w:noProof/>
            <w:webHidden/>
          </w:rPr>
          <w:fldChar w:fldCharType="begin"/>
        </w:r>
        <w:r w:rsidRPr="00BA7855">
          <w:rPr>
            <w:noProof/>
            <w:webHidden/>
          </w:rPr>
          <w:instrText xml:space="preserve"> PAGEREF _Toc185325600 \h </w:instrText>
        </w:r>
        <w:r w:rsidRPr="00BA7855">
          <w:rPr>
            <w:noProof/>
            <w:webHidden/>
          </w:rPr>
        </w:r>
        <w:r w:rsidRPr="00BA7855">
          <w:rPr>
            <w:noProof/>
            <w:webHidden/>
          </w:rPr>
          <w:fldChar w:fldCharType="separate"/>
        </w:r>
        <w:r w:rsidR="00143EE1">
          <w:rPr>
            <w:noProof/>
            <w:webHidden/>
          </w:rPr>
          <w:t>12</w:t>
        </w:r>
        <w:r w:rsidRPr="00BA7855">
          <w:rPr>
            <w:noProof/>
            <w:webHidden/>
          </w:rPr>
          <w:fldChar w:fldCharType="end"/>
        </w:r>
      </w:hyperlink>
    </w:p>
    <w:p w14:paraId="73264ED4" w14:textId="3CA739BA"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601" w:history="1">
        <w:r w:rsidRPr="00BA7855">
          <w:rPr>
            <w:rStyle w:val="Hyperlink"/>
            <w:rFonts w:ascii="Times New Roman" w:hAnsi="Times New Roman"/>
            <w:noProof/>
          </w:rPr>
          <w:t>Abstract</w:t>
        </w:r>
        <w:r w:rsidRPr="00BA7855">
          <w:rPr>
            <w:noProof/>
            <w:webHidden/>
          </w:rPr>
          <w:tab/>
        </w:r>
        <w:r w:rsidRPr="00BA7855">
          <w:rPr>
            <w:noProof/>
            <w:webHidden/>
          </w:rPr>
          <w:fldChar w:fldCharType="begin"/>
        </w:r>
        <w:r w:rsidRPr="00BA7855">
          <w:rPr>
            <w:noProof/>
            <w:webHidden/>
          </w:rPr>
          <w:instrText xml:space="preserve"> PAGEREF _Toc185325601 \h </w:instrText>
        </w:r>
        <w:r w:rsidRPr="00BA7855">
          <w:rPr>
            <w:noProof/>
            <w:webHidden/>
          </w:rPr>
        </w:r>
        <w:r w:rsidRPr="00BA7855">
          <w:rPr>
            <w:noProof/>
            <w:webHidden/>
          </w:rPr>
          <w:fldChar w:fldCharType="separate"/>
        </w:r>
        <w:r w:rsidR="00143EE1">
          <w:rPr>
            <w:noProof/>
            <w:webHidden/>
          </w:rPr>
          <w:t>13</w:t>
        </w:r>
        <w:r w:rsidRPr="00BA7855">
          <w:rPr>
            <w:noProof/>
            <w:webHidden/>
          </w:rPr>
          <w:fldChar w:fldCharType="end"/>
        </w:r>
      </w:hyperlink>
    </w:p>
    <w:p w14:paraId="1FAB154D" w14:textId="201D5F8D"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02" w:history="1">
        <w:r w:rsidRPr="00BA7855">
          <w:rPr>
            <w:rStyle w:val="Hyperlink"/>
            <w:rFonts w:ascii="Times New Roman" w:hAnsi="Times New Roman"/>
            <w:noProof/>
          </w:rPr>
          <w:t>1.1</w:t>
        </w:r>
        <w:r w:rsidRPr="00BA7855">
          <w:rPr>
            <w:rFonts w:eastAsiaTheme="minorEastAsia"/>
            <w:noProof/>
            <w:kern w:val="2"/>
            <w14:ligatures w14:val="standardContextual"/>
          </w:rPr>
          <w:tab/>
        </w:r>
        <w:r w:rsidRPr="00BA7855">
          <w:rPr>
            <w:rStyle w:val="Hyperlink"/>
            <w:rFonts w:ascii="Times New Roman" w:hAnsi="Times New Roman"/>
            <w:noProof/>
          </w:rPr>
          <w:t>Introduction</w:t>
        </w:r>
        <w:r w:rsidRPr="00BA7855">
          <w:rPr>
            <w:noProof/>
            <w:webHidden/>
          </w:rPr>
          <w:tab/>
        </w:r>
        <w:r w:rsidRPr="00BA7855">
          <w:rPr>
            <w:noProof/>
            <w:webHidden/>
          </w:rPr>
          <w:fldChar w:fldCharType="begin"/>
        </w:r>
        <w:r w:rsidRPr="00BA7855">
          <w:rPr>
            <w:noProof/>
            <w:webHidden/>
          </w:rPr>
          <w:instrText xml:space="preserve"> PAGEREF _Toc185325602 \h </w:instrText>
        </w:r>
        <w:r w:rsidRPr="00BA7855">
          <w:rPr>
            <w:noProof/>
            <w:webHidden/>
          </w:rPr>
        </w:r>
        <w:r w:rsidRPr="00BA7855">
          <w:rPr>
            <w:noProof/>
            <w:webHidden/>
          </w:rPr>
          <w:fldChar w:fldCharType="separate"/>
        </w:r>
        <w:r w:rsidR="00143EE1">
          <w:rPr>
            <w:noProof/>
            <w:webHidden/>
          </w:rPr>
          <w:t>14</w:t>
        </w:r>
        <w:r w:rsidRPr="00BA7855">
          <w:rPr>
            <w:noProof/>
            <w:webHidden/>
          </w:rPr>
          <w:fldChar w:fldCharType="end"/>
        </w:r>
      </w:hyperlink>
    </w:p>
    <w:p w14:paraId="015CEF3D" w14:textId="45ABA236"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03" w:history="1">
        <w:r w:rsidRPr="00BA7855">
          <w:rPr>
            <w:rStyle w:val="Hyperlink"/>
            <w:rFonts w:ascii="Times New Roman" w:hAnsi="Times New Roman"/>
            <w:noProof/>
          </w:rPr>
          <w:t>1.2</w:t>
        </w:r>
        <w:r w:rsidRPr="00BA7855">
          <w:rPr>
            <w:rFonts w:eastAsiaTheme="minorEastAsia"/>
            <w:noProof/>
            <w:kern w:val="2"/>
            <w14:ligatures w14:val="standardContextual"/>
          </w:rPr>
          <w:tab/>
        </w:r>
        <w:r w:rsidRPr="00BA7855">
          <w:rPr>
            <w:rStyle w:val="Hyperlink"/>
            <w:rFonts w:ascii="Times New Roman" w:hAnsi="Times New Roman"/>
            <w:noProof/>
          </w:rPr>
          <w:t>Methods</w:t>
        </w:r>
        <w:r w:rsidRPr="00BA7855">
          <w:rPr>
            <w:noProof/>
            <w:webHidden/>
          </w:rPr>
          <w:tab/>
        </w:r>
        <w:r w:rsidRPr="00BA7855">
          <w:rPr>
            <w:noProof/>
            <w:webHidden/>
          </w:rPr>
          <w:fldChar w:fldCharType="begin"/>
        </w:r>
        <w:r w:rsidRPr="00BA7855">
          <w:rPr>
            <w:noProof/>
            <w:webHidden/>
          </w:rPr>
          <w:instrText xml:space="preserve"> PAGEREF _Toc185325603 \h </w:instrText>
        </w:r>
        <w:r w:rsidRPr="00BA7855">
          <w:rPr>
            <w:noProof/>
            <w:webHidden/>
          </w:rPr>
        </w:r>
        <w:r w:rsidRPr="00BA7855">
          <w:rPr>
            <w:noProof/>
            <w:webHidden/>
          </w:rPr>
          <w:fldChar w:fldCharType="separate"/>
        </w:r>
        <w:r w:rsidR="00143EE1">
          <w:rPr>
            <w:noProof/>
            <w:webHidden/>
          </w:rPr>
          <w:t>18</w:t>
        </w:r>
        <w:r w:rsidRPr="00BA7855">
          <w:rPr>
            <w:noProof/>
            <w:webHidden/>
          </w:rPr>
          <w:fldChar w:fldCharType="end"/>
        </w:r>
      </w:hyperlink>
    </w:p>
    <w:p w14:paraId="6552967A" w14:textId="58B63853"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04" w:history="1">
        <w:r w:rsidRPr="00BA7855">
          <w:rPr>
            <w:rStyle w:val="Hyperlink"/>
            <w:rFonts w:ascii="Times New Roman" w:hAnsi="Times New Roman"/>
            <w:noProof/>
          </w:rPr>
          <w:t>1.2.1</w:t>
        </w:r>
        <w:r w:rsidRPr="00BA7855">
          <w:rPr>
            <w:rFonts w:eastAsiaTheme="minorEastAsia"/>
            <w:noProof/>
            <w:kern w:val="2"/>
            <w14:ligatures w14:val="standardContextual"/>
          </w:rPr>
          <w:tab/>
        </w:r>
        <w:r w:rsidRPr="00BA7855">
          <w:rPr>
            <w:rStyle w:val="Hyperlink"/>
            <w:rFonts w:ascii="Times New Roman" w:hAnsi="Times New Roman"/>
            <w:noProof/>
          </w:rPr>
          <w:t>Starting Materials</w:t>
        </w:r>
        <w:r w:rsidRPr="00BA7855">
          <w:rPr>
            <w:noProof/>
            <w:webHidden/>
          </w:rPr>
          <w:tab/>
        </w:r>
        <w:r w:rsidRPr="00BA7855">
          <w:rPr>
            <w:noProof/>
            <w:webHidden/>
          </w:rPr>
          <w:fldChar w:fldCharType="begin"/>
        </w:r>
        <w:r w:rsidRPr="00BA7855">
          <w:rPr>
            <w:noProof/>
            <w:webHidden/>
          </w:rPr>
          <w:instrText xml:space="preserve"> PAGEREF _Toc185325604 \h </w:instrText>
        </w:r>
        <w:r w:rsidRPr="00BA7855">
          <w:rPr>
            <w:noProof/>
            <w:webHidden/>
          </w:rPr>
        </w:r>
        <w:r w:rsidRPr="00BA7855">
          <w:rPr>
            <w:noProof/>
            <w:webHidden/>
          </w:rPr>
          <w:fldChar w:fldCharType="separate"/>
        </w:r>
        <w:r w:rsidR="00143EE1">
          <w:rPr>
            <w:noProof/>
            <w:webHidden/>
          </w:rPr>
          <w:t>18</w:t>
        </w:r>
        <w:r w:rsidRPr="00BA7855">
          <w:rPr>
            <w:noProof/>
            <w:webHidden/>
          </w:rPr>
          <w:fldChar w:fldCharType="end"/>
        </w:r>
      </w:hyperlink>
    </w:p>
    <w:p w14:paraId="2C63C3AE" w14:textId="2EAD3064"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05" w:history="1">
        <w:r w:rsidRPr="00BA7855">
          <w:rPr>
            <w:rStyle w:val="Hyperlink"/>
            <w:rFonts w:ascii="Times New Roman" w:hAnsi="Times New Roman"/>
            <w:noProof/>
          </w:rPr>
          <w:t>1.2.2</w:t>
        </w:r>
        <w:r w:rsidRPr="00BA7855">
          <w:rPr>
            <w:rFonts w:eastAsiaTheme="minorEastAsia"/>
            <w:noProof/>
            <w:kern w:val="2"/>
            <w14:ligatures w14:val="standardContextual"/>
          </w:rPr>
          <w:tab/>
        </w:r>
        <w:r w:rsidRPr="00BA7855">
          <w:rPr>
            <w:rStyle w:val="Hyperlink"/>
            <w:rFonts w:ascii="Times New Roman" w:hAnsi="Times New Roman"/>
            <w:noProof/>
          </w:rPr>
          <w:t>Experiments</w:t>
        </w:r>
        <w:r w:rsidRPr="00BA7855">
          <w:rPr>
            <w:noProof/>
            <w:webHidden/>
          </w:rPr>
          <w:tab/>
        </w:r>
        <w:r w:rsidRPr="00BA7855">
          <w:rPr>
            <w:noProof/>
            <w:webHidden/>
          </w:rPr>
          <w:fldChar w:fldCharType="begin"/>
        </w:r>
        <w:r w:rsidRPr="00BA7855">
          <w:rPr>
            <w:noProof/>
            <w:webHidden/>
          </w:rPr>
          <w:instrText xml:space="preserve"> PAGEREF _Toc185325605 \h </w:instrText>
        </w:r>
        <w:r w:rsidRPr="00BA7855">
          <w:rPr>
            <w:noProof/>
            <w:webHidden/>
          </w:rPr>
        </w:r>
        <w:r w:rsidRPr="00BA7855">
          <w:rPr>
            <w:noProof/>
            <w:webHidden/>
          </w:rPr>
          <w:fldChar w:fldCharType="separate"/>
        </w:r>
        <w:r w:rsidR="00143EE1">
          <w:rPr>
            <w:noProof/>
            <w:webHidden/>
          </w:rPr>
          <w:t>19</w:t>
        </w:r>
        <w:r w:rsidRPr="00BA7855">
          <w:rPr>
            <w:noProof/>
            <w:webHidden/>
          </w:rPr>
          <w:fldChar w:fldCharType="end"/>
        </w:r>
      </w:hyperlink>
    </w:p>
    <w:p w14:paraId="0A56A4BC" w14:textId="64709E8E"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06" w:history="1">
        <w:r w:rsidRPr="00BA7855">
          <w:rPr>
            <w:rStyle w:val="Hyperlink"/>
            <w:rFonts w:ascii="Times New Roman" w:hAnsi="Times New Roman"/>
            <w:noProof/>
          </w:rPr>
          <w:t>1.2.3</w:t>
        </w:r>
        <w:r w:rsidRPr="00BA7855">
          <w:rPr>
            <w:rFonts w:eastAsiaTheme="minorEastAsia"/>
            <w:noProof/>
            <w:kern w:val="2"/>
            <w14:ligatures w14:val="standardContextual"/>
          </w:rPr>
          <w:tab/>
        </w:r>
        <w:r w:rsidRPr="00BA7855">
          <w:rPr>
            <w:rStyle w:val="Hyperlink"/>
            <w:rFonts w:ascii="Times New Roman" w:hAnsi="Times New Roman"/>
            <w:noProof/>
          </w:rPr>
          <w:t>Analysis of Run Products</w:t>
        </w:r>
        <w:r w:rsidRPr="00BA7855">
          <w:rPr>
            <w:noProof/>
            <w:webHidden/>
          </w:rPr>
          <w:tab/>
        </w:r>
        <w:r w:rsidRPr="00BA7855">
          <w:rPr>
            <w:noProof/>
            <w:webHidden/>
          </w:rPr>
          <w:fldChar w:fldCharType="begin"/>
        </w:r>
        <w:r w:rsidRPr="00BA7855">
          <w:rPr>
            <w:noProof/>
            <w:webHidden/>
          </w:rPr>
          <w:instrText xml:space="preserve"> PAGEREF _Toc185325606 \h </w:instrText>
        </w:r>
        <w:r w:rsidRPr="00BA7855">
          <w:rPr>
            <w:noProof/>
            <w:webHidden/>
          </w:rPr>
        </w:r>
        <w:r w:rsidRPr="00BA7855">
          <w:rPr>
            <w:noProof/>
            <w:webHidden/>
          </w:rPr>
          <w:fldChar w:fldCharType="separate"/>
        </w:r>
        <w:r w:rsidR="00143EE1">
          <w:rPr>
            <w:noProof/>
            <w:webHidden/>
          </w:rPr>
          <w:t>21</w:t>
        </w:r>
        <w:r w:rsidRPr="00BA7855">
          <w:rPr>
            <w:noProof/>
            <w:webHidden/>
          </w:rPr>
          <w:fldChar w:fldCharType="end"/>
        </w:r>
      </w:hyperlink>
    </w:p>
    <w:p w14:paraId="38FA6E74" w14:textId="6DD98B78"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07" w:history="1">
        <w:r w:rsidRPr="00BA7855">
          <w:rPr>
            <w:rStyle w:val="Hyperlink"/>
            <w:rFonts w:ascii="Times New Roman" w:hAnsi="Times New Roman"/>
            <w:noProof/>
          </w:rPr>
          <w:t>1.3</w:t>
        </w:r>
        <w:r w:rsidRPr="00BA7855">
          <w:rPr>
            <w:rFonts w:eastAsiaTheme="minorEastAsia"/>
            <w:noProof/>
            <w:kern w:val="2"/>
            <w14:ligatures w14:val="standardContextual"/>
          </w:rPr>
          <w:tab/>
        </w:r>
        <w:r w:rsidRPr="00BA7855">
          <w:rPr>
            <w:rStyle w:val="Hyperlink"/>
            <w:rFonts w:ascii="Times New Roman" w:hAnsi="Times New Roman"/>
            <w:noProof/>
          </w:rPr>
          <w:t>Results</w:t>
        </w:r>
        <w:r w:rsidRPr="00BA7855">
          <w:rPr>
            <w:noProof/>
            <w:webHidden/>
          </w:rPr>
          <w:tab/>
        </w:r>
        <w:r w:rsidRPr="00BA7855">
          <w:rPr>
            <w:noProof/>
            <w:webHidden/>
          </w:rPr>
          <w:fldChar w:fldCharType="begin"/>
        </w:r>
        <w:r w:rsidRPr="00BA7855">
          <w:rPr>
            <w:noProof/>
            <w:webHidden/>
          </w:rPr>
          <w:instrText xml:space="preserve"> PAGEREF _Toc185325607 \h </w:instrText>
        </w:r>
        <w:r w:rsidRPr="00BA7855">
          <w:rPr>
            <w:noProof/>
            <w:webHidden/>
          </w:rPr>
        </w:r>
        <w:r w:rsidRPr="00BA7855">
          <w:rPr>
            <w:noProof/>
            <w:webHidden/>
          </w:rPr>
          <w:fldChar w:fldCharType="separate"/>
        </w:r>
        <w:r w:rsidR="00143EE1">
          <w:rPr>
            <w:noProof/>
            <w:webHidden/>
          </w:rPr>
          <w:t>25</w:t>
        </w:r>
        <w:r w:rsidRPr="00BA7855">
          <w:rPr>
            <w:noProof/>
            <w:webHidden/>
          </w:rPr>
          <w:fldChar w:fldCharType="end"/>
        </w:r>
      </w:hyperlink>
    </w:p>
    <w:p w14:paraId="7A6C2DC8" w14:textId="1DBD05A3"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08" w:history="1">
        <w:r w:rsidRPr="00BA7855">
          <w:rPr>
            <w:rStyle w:val="Hyperlink"/>
            <w:rFonts w:ascii="Times New Roman" w:hAnsi="Times New Roman"/>
            <w:noProof/>
          </w:rPr>
          <w:t>1.3.1</w:t>
        </w:r>
        <w:r w:rsidRPr="00BA7855">
          <w:rPr>
            <w:rFonts w:eastAsiaTheme="minorEastAsia"/>
            <w:noProof/>
            <w:kern w:val="2"/>
            <w14:ligatures w14:val="standardContextual"/>
          </w:rPr>
          <w:tab/>
        </w:r>
        <w:r w:rsidRPr="00BA7855">
          <w:rPr>
            <w:rStyle w:val="Hyperlink"/>
            <w:rFonts w:ascii="Times New Roman" w:hAnsi="Times New Roman"/>
            <w:noProof/>
          </w:rPr>
          <w:t>Near Solidus Experiments</w:t>
        </w:r>
        <w:r w:rsidRPr="00BA7855">
          <w:rPr>
            <w:noProof/>
            <w:webHidden/>
          </w:rPr>
          <w:tab/>
        </w:r>
        <w:r w:rsidRPr="00BA7855">
          <w:rPr>
            <w:noProof/>
            <w:webHidden/>
          </w:rPr>
          <w:fldChar w:fldCharType="begin"/>
        </w:r>
        <w:r w:rsidRPr="00BA7855">
          <w:rPr>
            <w:noProof/>
            <w:webHidden/>
          </w:rPr>
          <w:instrText xml:space="preserve"> PAGEREF _Toc185325608 \h </w:instrText>
        </w:r>
        <w:r w:rsidRPr="00BA7855">
          <w:rPr>
            <w:noProof/>
            <w:webHidden/>
          </w:rPr>
        </w:r>
        <w:r w:rsidRPr="00BA7855">
          <w:rPr>
            <w:noProof/>
            <w:webHidden/>
          </w:rPr>
          <w:fldChar w:fldCharType="separate"/>
        </w:r>
        <w:r w:rsidR="00143EE1">
          <w:rPr>
            <w:noProof/>
            <w:webHidden/>
          </w:rPr>
          <w:t>26</w:t>
        </w:r>
        <w:r w:rsidRPr="00BA7855">
          <w:rPr>
            <w:noProof/>
            <w:webHidden/>
          </w:rPr>
          <w:fldChar w:fldCharType="end"/>
        </w:r>
      </w:hyperlink>
    </w:p>
    <w:p w14:paraId="2325431A" w14:textId="1D1332BD"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09" w:history="1">
        <w:r w:rsidRPr="00BA7855">
          <w:rPr>
            <w:rStyle w:val="Hyperlink"/>
            <w:rFonts w:ascii="Times New Roman" w:hAnsi="Times New Roman"/>
            <w:noProof/>
          </w:rPr>
          <w:t>1.3.1.1</w:t>
        </w:r>
        <w:r w:rsidRPr="00BA7855">
          <w:rPr>
            <w:rFonts w:eastAsiaTheme="minorEastAsia"/>
            <w:noProof/>
            <w:kern w:val="2"/>
            <w14:ligatures w14:val="standardContextual"/>
          </w:rPr>
          <w:tab/>
        </w:r>
        <w:r w:rsidRPr="00BA7855">
          <w:rPr>
            <w:rStyle w:val="Hyperlink"/>
            <w:rFonts w:ascii="Times New Roman" w:hAnsi="Times New Roman"/>
            <w:noProof/>
          </w:rPr>
          <w:t>Products and Growth Textures</w:t>
        </w:r>
        <w:r w:rsidRPr="00BA7855">
          <w:rPr>
            <w:noProof/>
            <w:webHidden/>
          </w:rPr>
          <w:tab/>
        </w:r>
        <w:r w:rsidRPr="00BA7855">
          <w:rPr>
            <w:noProof/>
            <w:webHidden/>
          </w:rPr>
          <w:fldChar w:fldCharType="begin"/>
        </w:r>
        <w:r w:rsidRPr="00BA7855">
          <w:rPr>
            <w:noProof/>
            <w:webHidden/>
          </w:rPr>
          <w:instrText xml:space="preserve"> PAGEREF _Toc185325609 \h </w:instrText>
        </w:r>
        <w:r w:rsidRPr="00BA7855">
          <w:rPr>
            <w:noProof/>
            <w:webHidden/>
          </w:rPr>
        </w:r>
        <w:r w:rsidRPr="00BA7855">
          <w:rPr>
            <w:noProof/>
            <w:webHidden/>
          </w:rPr>
          <w:fldChar w:fldCharType="separate"/>
        </w:r>
        <w:r w:rsidR="00143EE1">
          <w:rPr>
            <w:noProof/>
            <w:webHidden/>
          </w:rPr>
          <w:t>26</w:t>
        </w:r>
        <w:r w:rsidRPr="00BA7855">
          <w:rPr>
            <w:noProof/>
            <w:webHidden/>
          </w:rPr>
          <w:fldChar w:fldCharType="end"/>
        </w:r>
      </w:hyperlink>
    </w:p>
    <w:p w14:paraId="678BF038" w14:textId="62B34884"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10" w:history="1">
        <w:r w:rsidRPr="00BA7855">
          <w:rPr>
            <w:rStyle w:val="Hyperlink"/>
            <w:rFonts w:ascii="Times New Roman" w:hAnsi="Times New Roman"/>
            <w:noProof/>
          </w:rPr>
          <w:t>1.3.1.2</w:t>
        </w:r>
        <w:r w:rsidRPr="00BA7855">
          <w:rPr>
            <w:rFonts w:eastAsiaTheme="minorEastAsia"/>
            <w:noProof/>
            <w:kern w:val="2"/>
            <w14:ligatures w14:val="standardContextual"/>
          </w:rPr>
          <w:tab/>
        </w:r>
        <w:r w:rsidRPr="00BA7855">
          <w:rPr>
            <w:rStyle w:val="Hyperlink"/>
            <w:rFonts w:ascii="Times New Roman" w:hAnsi="Times New Roman"/>
            <w:noProof/>
          </w:rPr>
          <w:t>Phase Chemistry</w:t>
        </w:r>
        <w:r w:rsidRPr="00BA7855">
          <w:rPr>
            <w:noProof/>
            <w:webHidden/>
          </w:rPr>
          <w:tab/>
        </w:r>
        <w:r w:rsidRPr="00BA7855">
          <w:rPr>
            <w:noProof/>
            <w:webHidden/>
          </w:rPr>
          <w:fldChar w:fldCharType="begin"/>
        </w:r>
        <w:r w:rsidRPr="00BA7855">
          <w:rPr>
            <w:noProof/>
            <w:webHidden/>
          </w:rPr>
          <w:instrText xml:space="preserve"> PAGEREF _Toc185325610 \h </w:instrText>
        </w:r>
        <w:r w:rsidRPr="00BA7855">
          <w:rPr>
            <w:noProof/>
            <w:webHidden/>
          </w:rPr>
        </w:r>
        <w:r w:rsidRPr="00BA7855">
          <w:rPr>
            <w:noProof/>
            <w:webHidden/>
          </w:rPr>
          <w:fldChar w:fldCharType="separate"/>
        </w:r>
        <w:r w:rsidR="00143EE1">
          <w:rPr>
            <w:noProof/>
            <w:webHidden/>
          </w:rPr>
          <w:t>28</w:t>
        </w:r>
        <w:r w:rsidRPr="00BA7855">
          <w:rPr>
            <w:noProof/>
            <w:webHidden/>
          </w:rPr>
          <w:fldChar w:fldCharType="end"/>
        </w:r>
      </w:hyperlink>
    </w:p>
    <w:p w14:paraId="7E8B81E3" w14:textId="642FDBE0"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11" w:history="1">
        <w:r w:rsidRPr="00BA7855">
          <w:rPr>
            <w:rStyle w:val="Hyperlink"/>
            <w:rFonts w:ascii="Times New Roman" w:hAnsi="Times New Roman"/>
            <w:noProof/>
          </w:rPr>
          <w:t>1.3.2</w:t>
        </w:r>
        <w:r w:rsidRPr="00BA7855">
          <w:rPr>
            <w:rFonts w:eastAsiaTheme="minorEastAsia"/>
            <w:noProof/>
            <w:kern w:val="2"/>
            <w14:ligatures w14:val="standardContextual"/>
          </w:rPr>
          <w:tab/>
        </w:r>
        <w:r w:rsidRPr="00BA7855">
          <w:rPr>
            <w:rStyle w:val="Hyperlink"/>
            <w:rFonts w:ascii="Times New Roman" w:hAnsi="Times New Roman"/>
            <w:noProof/>
          </w:rPr>
          <w:t>Supersolidus Experiments</w:t>
        </w:r>
        <w:r w:rsidRPr="00BA7855">
          <w:rPr>
            <w:noProof/>
            <w:webHidden/>
          </w:rPr>
          <w:tab/>
        </w:r>
        <w:r w:rsidRPr="00BA7855">
          <w:rPr>
            <w:noProof/>
            <w:webHidden/>
          </w:rPr>
          <w:fldChar w:fldCharType="begin"/>
        </w:r>
        <w:r w:rsidRPr="00BA7855">
          <w:rPr>
            <w:noProof/>
            <w:webHidden/>
          </w:rPr>
          <w:instrText xml:space="preserve"> PAGEREF _Toc185325611 \h </w:instrText>
        </w:r>
        <w:r w:rsidRPr="00BA7855">
          <w:rPr>
            <w:noProof/>
            <w:webHidden/>
          </w:rPr>
        </w:r>
        <w:r w:rsidRPr="00BA7855">
          <w:rPr>
            <w:noProof/>
            <w:webHidden/>
          </w:rPr>
          <w:fldChar w:fldCharType="separate"/>
        </w:r>
        <w:r w:rsidR="00143EE1">
          <w:rPr>
            <w:noProof/>
            <w:webHidden/>
          </w:rPr>
          <w:t>34</w:t>
        </w:r>
        <w:r w:rsidRPr="00BA7855">
          <w:rPr>
            <w:noProof/>
            <w:webHidden/>
          </w:rPr>
          <w:fldChar w:fldCharType="end"/>
        </w:r>
      </w:hyperlink>
    </w:p>
    <w:p w14:paraId="4902D0BC" w14:textId="47B320FD"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12" w:history="1">
        <w:r w:rsidRPr="00BA7855">
          <w:rPr>
            <w:rStyle w:val="Hyperlink"/>
            <w:rFonts w:ascii="Times New Roman" w:hAnsi="Times New Roman"/>
            <w:noProof/>
          </w:rPr>
          <w:t>1.3.2.1</w:t>
        </w:r>
        <w:r w:rsidRPr="00BA7855">
          <w:rPr>
            <w:rFonts w:eastAsiaTheme="minorEastAsia"/>
            <w:noProof/>
            <w:kern w:val="2"/>
            <w14:ligatures w14:val="standardContextual"/>
          </w:rPr>
          <w:tab/>
        </w:r>
        <w:r w:rsidRPr="00BA7855">
          <w:rPr>
            <w:rStyle w:val="Hyperlink"/>
            <w:rFonts w:ascii="Times New Roman" w:hAnsi="Times New Roman"/>
            <w:noProof/>
          </w:rPr>
          <w:t>Group A Products and Growth Textures</w:t>
        </w:r>
        <w:r w:rsidRPr="00BA7855">
          <w:rPr>
            <w:noProof/>
            <w:webHidden/>
          </w:rPr>
          <w:tab/>
        </w:r>
        <w:r w:rsidRPr="00BA7855">
          <w:rPr>
            <w:noProof/>
            <w:webHidden/>
          </w:rPr>
          <w:fldChar w:fldCharType="begin"/>
        </w:r>
        <w:r w:rsidRPr="00BA7855">
          <w:rPr>
            <w:noProof/>
            <w:webHidden/>
          </w:rPr>
          <w:instrText xml:space="preserve"> PAGEREF _Toc185325612 \h </w:instrText>
        </w:r>
        <w:r w:rsidRPr="00BA7855">
          <w:rPr>
            <w:noProof/>
            <w:webHidden/>
          </w:rPr>
        </w:r>
        <w:r w:rsidRPr="00BA7855">
          <w:rPr>
            <w:noProof/>
            <w:webHidden/>
          </w:rPr>
          <w:fldChar w:fldCharType="separate"/>
        </w:r>
        <w:r w:rsidR="00143EE1">
          <w:rPr>
            <w:noProof/>
            <w:webHidden/>
          </w:rPr>
          <w:t>34</w:t>
        </w:r>
        <w:r w:rsidRPr="00BA7855">
          <w:rPr>
            <w:noProof/>
            <w:webHidden/>
          </w:rPr>
          <w:fldChar w:fldCharType="end"/>
        </w:r>
      </w:hyperlink>
    </w:p>
    <w:p w14:paraId="0C0E8C19" w14:textId="7168BC0E"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13" w:history="1">
        <w:r w:rsidRPr="00BA7855">
          <w:rPr>
            <w:rStyle w:val="Hyperlink"/>
            <w:rFonts w:ascii="Times New Roman" w:hAnsi="Times New Roman"/>
            <w:noProof/>
          </w:rPr>
          <w:t>1.3.2.2</w:t>
        </w:r>
        <w:r w:rsidRPr="00BA7855">
          <w:rPr>
            <w:rFonts w:eastAsiaTheme="minorEastAsia"/>
            <w:noProof/>
            <w:kern w:val="2"/>
            <w14:ligatures w14:val="standardContextual"/>
          </w:rPr>
          <w:tab/>
        </w:r>
        <w:r w:rsidRPr="00BA7855">
          <w:rPr>
            <w:rStyle w:val="Hyperlink"/>
            <w:rFonts w:ascii="Times New Roman" w:hAnsi="Times New Roman"/>
            <w:noProof/>
          </w:rPr>
          <w:t>Group A Mineral and Melt Chemistry</w:t>
        </w:r>
        <w:r w:rsidRPr="00BA7855">
          <w:rPr>
            <w:noProof/>
            <w:webHidden/>
          </w:rPr>
          <w:tab/>
        </w:r>
        <w:r w:rsidRPr="00BA7855">
          <w:rPr>
            <w:noProof/>
            <w:webHidden/>
          </w:rPr>
          <w:fldChar w:fldCharType="begin"/>
        </w:r>
        <w:r w:rsidRPr="00BA7855">
          <w:rPr>
            <w:noProof/>
            <w:webHidden/>
          </w:rPr>
          <w:instrText xml:space="preserve"> PAGEREF _Toc185325613 \h </w:instrText>
        </w:r>
        <w:r w:rsidRPr="00BA7855">
          <w:rPr>
            <w:noProof/>
            <w:webHidden/>
          </w:rPr>
        </w:r>
        <w:r w:rsidRPr="00BA7855">
          <w:rPr>
            <w:noProof/>
            <w:webHidden/>
          </w:rPr>
          <w:fldChar w:fldCharType="separate"/>
        </w:r>
        <w:r w:rsidR="00143EE1">
          <w:rPr>
            <w:noProof/>
            <w:webHidden/>
          </w:rPr>
          <w:t>36</w:t>
        </w:r>
        <w:r w:rsidRPr="00BA7855">
          <w:rPr>
            <w:noProof/>
            <w:webHidden/>
          </w:rPr>
          <w:fldChar w:fldCharType="end"/>
        </w:r>
      </w:hyperlink>
    </w:p>
    <w:p w14:paraId="25215FB8" w14:textId="4DCAAB38"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14" w:history="1">
        <w:r w:rsidRPr="00BA7855">
          <w:rPr>
            <w:rStyle w:val="Hyperlink"/>
            <w:rFonts w:ascii="Times New Roman" w:hAnsi="Times New Roman"/>
            <w:noProof/>
          </w:rPr>
          <w:t>1.3.2.3</w:t>
        </w:r>
        <w:r w:rsidRPr="00BA7855">
          <w:rPr>
            <w:rFonts w:eastAsiaTheme="minorEastAsia"/>
            <w:noProof/>
            <w:kern w:val="2"/>
            <w14:ligatures w14:val="standardContextual"/>
          </w:rPr>
          <w:tab/>
        </w:r>
        <w:r w:rsidRPr="00BA7855">
          <w:rPr>
            <w:rStyle w:val="Hyperlink"/>
            <w:rFonts w:ascii="Times New Roman" w:hAnsi="Times New Roman"/>
            <w:noProof/>
          </w:rPr>
          <w:t>Group B Products and Growth Textures</w:t>
        </w:r>
        <w:r w:rsidRPr="00BA7855">
          <w:rPr>
            <w:noProof/>
            <w:webHidden/>
          </w:rPr>
          <w:tab/>
        </w:r>
        <w:r w:rsidRPr="00BA7855">
          <w:rPr>
            <w:noProof/>
            <w:webHidden/>
          </w:rPr>
          <w:fldChar w:fldCharType="begin"/>
        </w:r>
        <w:r w:rsidRPr="00BA7855">
          <w:rPr>
            <w:noProof/>
            <w:webHidden/>
          </w:rPr>
          <w:instrText xml:space="preserve"> PAGEREF _Toc185325614 \h </w:instrText>
        </w:r>
        <w:r w:rsidRPr="00BA7855">
          <w:rPr>
            <w:noProof/>
            <w:webHidden/>
          </w:rPr>
        </w:r>
        <w:r w:rsidRPr="00BA7855">
          <w:rPr>
            <w:noProof/>
            <w:webHidden/>
          </w:rPr>
          <w:fldChar w:fldCharType="separate"/>
        </w:r>
        <w:r w:rsidR="00143EE1">
          <w:rPr>
            <w:noProof/>
            <w:webHidden/>
          </w:rPr>
          <w:t>37</w:t>
        </w:r>
        <w:r w:rsidRPr="00BA7855">
          <w:rPr>
            <w:noProof/>
            <w:webHidden/>
          </w:rPr>
          <w:fldChar w:fldCharType="end"/>
        </w:r>
      </w:hyperlink>
    </w:p>
    <w:p w14:paraId="0C61D802" w14:textId="6119D45C"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15" w:history="1">
        <w:r w:rsidRPr="00BA7855">
          <w:rPr>
            <w:rStyle w:val="Hyperlink"/>
            <w:rFonts w:ascii="Times New Roman" w:hAnsi="Times New Roman"/>
            <w:noProof/>
          </w:rPr>
          <w:t>1.3.2.4</w:t>
        </w:r>
        <w:r w:rsidRPr="00BA7855">
          <w:rPr>
            <w:rFonts w:eastAsiaTheme="minorEastAsia"/>
            <w:noProof/>
            <w:kern w:val="2"/>
            <w14:ligatures w14:val="standardContextual"/>
          </w:rPr>
          <w:tab/>
        </w:r>
        <w:r w:rsidRPr="00BA7855">
          <w:rPr>
            <w:rStyle w:val="Hyperlink"/>
            <w:rFonts w:ascii="Times New Roman" w:hAnsi="Times New Roman"/>
            <w:noProof/>
          </w:rPr>
          <w:t>Group B Mineral and Melt Chemistry</w:t>
        </w:r>
        <w:r w:rsidRPr="00BA7855">
          <w:rPr>
            <w:noProof/>
            <w:webHidden/>
          </w:rPr>
          <w:tab/>
        </w:r>
        <w:r w:rsidRPr="00BA7855">
          <w:rPr>
            <w:noProof/>
            <w:webHidden/>
          </w:rPr>
          <w:fldChar w:fldCharType="begin"/>
        </w:r>
        <w:r w:rsidRPr="00BA7855">
          <w:rPr>
            <w:noProof/>
            <w:webHidden/>
          </w:rPr>
          <w:instrText xml:space="preserve"> PAGEREF _Toc185325615 \h </w:instrText>
        </w:r>
        <w:r w:rsidRPr="00BA7855">
          <w:rPr>
            <w:noProof/>
            <w:webHidden/>
          </w:rPr>
        </w:r>
        <w:r w:rsidRPr="00BA7855">
          <w:rPr>
            <w:noProof/>
            <w:webHidden/>
          </w:rPr>
          <w:fldChar w:fldCharType="separate"/>
        </w:r>
        <w:r w:rsidR="00143EE1">
          <w:rPr>
            <w:noProof/>
            <w:webHidden/>
          </w:rPr>
          <w:t>39</w:t>
        </w:r>
        <w:r w:rsidRPr="00BA7855">
          <w:rPr>
            <w:noProof/>
            <w:webHidden/>
          </w:rPr>
          <w:fldChar w:fldCharType="end"/>
        </w:r>
      </w:hyperlink>
    </w:p>
    <w:p w14:paraId="20A8871E" w14:textId="637F3E79"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16" w:history="1">
        <w:r w:rsidRPr="00BA7855">
          <w:rPr>
            <w:rStyle w:val="Hyperlink"/>
            <w:rFonts w:ascii="Times New Roman" w:hAnsi="Times New Roman"/>
            <w:noProof/>
          </w:rPr>
          <w:t>1.3.3</w:t>
        </w:r>
        <w:r w:rsidRPr="00BA7855">
          <w:rPr>
            <w:rFonts w:eastAsiaTheme="minorEastAsia"/>
            <w:noProof/>
            <w:kern w:val="2"/>
            <w14:ligatures w14:val="standardContextual"/>
          </w:rPr>
          <w:tab/>
        </w:r>
        <w:r w:rsidRPr="00BA7855">
          <w:rPr>
            <w:rStyle w:val="Hyperlink"/>
            <w:rFonts w:ascii="Times New Roman" w:hAnsi="Times New Roman"/>
            <w:noProof/>
          </w:rPr>
          <w:t>Step-Cooled Experiment</w:t>
        </w:r>
        <w:r w:rsidRPr="00BA7855">
          <w:rPr>
            <w:noProof/>
            <w:webHidden/>
          </w:rPr>
          <w:tab/>
        </w:r>
        <w:r w:rsidRPr="00BA7855">
          <w:rPr>
            <w:noProof/>
            <w:webHidden/>
          </w:rPr>
          <w:fldChar w:fldCharType="begin"/>
        </w:r>
        <w:r w:rsidRPr="00BA7855">
          <w:rPr>
            <w:noProof/>
            <w:webHidden/>
          </w:rPr>
          <w:instrText xml:space="preserve"> PAGEREF _Toc185325616 \h </w:instrText>
        </w:r>
        <w:r w:rsidRPr="00BA7855">
          <w:rPr>
            <w:noProof/>
            <w:webHidden/>
          </w:rPr>
        </w:r>
        <w:r w:rsidRPr="00BA7855">
          <w:rPr>
            <w:noProof/>
            <w:webHidden/>
          </w:rPr>
          <w:fldChar w:fldCharType="separate"/>
        </w:r>
        <w:r w:rsidR="00143EE1">
          <w:rPr>
            <w:noProof/>
            <w:webHidden/>
          </w:rPr>
          <w:t>39</w:t>
        </w:r>
        <w:r w:rsidRPr="00BA7855">
          <w:rPr>
            <w:noProof/>
            <w:webHidden/>
          </w:rPr>
          <w:fldChar w:fldCharType="end"/>
        </w:r>
      </w:hyperlink>
    </w:p>
    <w:p w14:paraId="7C543AD3" w14:textId="6586854A"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17" w:history="1">
        <w:r w:rsidRPr="00BA7855">
          <w:rPr>
            <w:rStyle w:val="Hyperlink"/>
            <w:rFonts w:ascii="Times New Roman" w:hAnsi="Times New Roman"/>
            <w:noProof/>
          </w:rPr>
          <w:t>1.3.3.1</w:t>
        </w:r>
        <w:r w:rsidRPr="00BA7855">
          <w:rPr>
            <w:rFonts w:eastAsiaTheme="minorEastAsia"/>
            <w:noProof/>
            <w:kern w:val="2"/>
            <w14:ligatures w14:val="standardContextual"/>
          </w:rPr>
          <w:tab/>
        </w:r>
        <w:r w:rsidRPr="00BA7855">
          <w:rPr>
            <w:rStyle w:val="Hyperlink"/>
            <w:rFonts w:ascii="Times New Roman" w:hAnsi="Times New Roman"/>
            <w:noProof/>
          </w:rPr>
          <w:t>Products and Growth Textures</w:t>
        </w:r>
        <w:r w:rsidRPr="00BA7855">
          <w:rPr>
            <w:noProof/>
            <w:webHidden/>
          </w:rPr>
          <w:tab/>
        </w:r>
        <w:r w:rsidRPr="00BA7855">
          <w:rPr>
            <w:noProof/>
            <w:webHidden/>
          </w:rPr>
          <w:fldChar w:fldCharType="begin"/>
        </w:r>
        <w:r w:rsidRPr="00BA7855">
          <w:rPr>
            <w:noProof/>
            <w:webHidden/>
          </w:rPr>
          <w:instrText xml:space="preserve"> PAGEREF _Toc185325617 \h </w:instrText>
        </w:r>
        <w:r w:rsidRPr="00BA7855">
          <w:rPr>
            <w:noProof/>
            <w:webHidden/>
          </w:rPr>
        </w:r>
        <w:r w:rsidRPr="00BA7855">
          <w:rPr>
            <w:noProof/>
            <w:webHidden/>
          </w:rPr>
          <w:fldChar w:fldCharType="separate"/>
        </w:r>
        <w:r w:rsidR="00143EE1">
          <w:rPr>
            <w:noProof/>
            <w:webHidden/>
          </w:rPr>
          <w:t>39</w:t>
        </w:r>
        <w:r w:rsidRPr="00BA7855">
          <w:rPr>
            <w:noProof/>
            <w:webHidden/>
          </w:rPr>
          <w:fldChar w:fldCharType="end"/>
        </w:r>
      </w:hyperlink>
    </w:p>
    <w:p w14:paraId="4661A1F2" w14:textId="459741DB"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18" w:history="1">
        <w:r w:rsidRPr="00BA7855">
          <w:rPr>
            <w:rStyle w:val="Hyperlink"/>
            <w:rFonts w:ascii="Times New Roman" w:hAnsi="Times New Roman"/>
            <w:noProof/>
          </w:rPr>
          <w:t>1.3.3.2</w:t>
        </w:r>
        <w:r w:rsidRPr="00BA7855">
          <w:rPr>
            <w:rFonts w:eastAsiaTheme="minorEastAsia"/>
            <w:noProof/>
            <w:kern w:val="2"/>
            <w14:ligatures w14:val="standardContextual"/>
          </w:rPr>
          <w:tab/>
        </w:r>
        <w:r w:rsidRPr="00BA7855">
          <w:rPr>
            <w:rStyle w:val="Hyperlink"/>
            <w:rFonts w:ascii="Times New Roman" w:hAnsi="Times New Roman"/>
            <w:noProof/>
          </w:rPr>
          <w:t>Mineral and Melt Chemistry</w:t>
        </w:r>
        <w:r w:rsidRPr="00BA7855">
          <w:rPr>
            <w:noProof/>
            <w:webHidden/>
          </w:rPr>
          <w:tab/>
        </w:r>
        <w:r w:rsidRPr="00BA7855">
          <w:rPr>
            <w:noProof/>
            <w:webHidden/>
          </w:rPr>
          <w:fldChar w:fldCharType="begin"/>
        </w:r>
        <w:r w:rsidRPr="00BA7855">
          <w:rPr>
            <w:noProof/>
            <w:webHidden/>
          </w:rPr>
          <w:instrText xml:space="preserve"> PAGEREF _Toc185325618 \h </w:instrText>
        </w:r>
        <w:r w:rsidRPr="00BA7855">
          <w:rPr>
            <w:noProof/>
            <w:webHidden/>
          </w:rPr>
        </w:r>
        <w:r w:rsidRPr="00BA7855">
          <w:rPr>
            <w:noProof/>
            <w:webHidden/>
          </w:rPr>
          <w:fldChar w:fldCharType="separate"/>
        </w:r>
        <w:r w:rsidR="00143EE1">
          <w:rPr>
            <w:noProof/>
            <w:webHidden/>
          </w:rPr>
          <w:t>40</w:t>
        </w:r>
        <w:r w:rsidRPr="00BA7855">
          <w:rPr>
            <w:noProof/>
            <w:webHidden/>
          </w:rPr>
          <w:fldChar w:fldCharType="end"/>
        </w:r>
      </w:hyperlink>
    </w:p>
    <w:p w14:paraId="2A8E8CF8" w14:textId="122A27D4"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19" w:history="1">
        <w:r w:rsidRPr="00BA7855">
          <w:rPr>
            <w:rStyle w:val="Hyperlink"/>
            <w:rFonts w:ascii="Times New Roman" w:hAnsi="Times New Roman"/>
            <w:noProof/>
          </w:rPr>
          <w:t>1.4</w:t>
        </w:r>
        <w:r w:rsidRPr="00BA7855">
          <w:rPr>
            <w:rFonts w:eastAsiaTheme="minorEastAsia"/>
            <w:noProof/>
            <w:kern w:val="2"/>
            <w14:ligatures w14:val="standardContextual"/>
          </w:rPr>
          <w:tab/>
        </w:r>
        <w:r w:rsidRPr="00BA7855">
          <w:rPr>
            <w:rStyle w:val="Hyperlink"/>
            <w:rFonts w:ascii="Times New Roman" w:hAnsi="Times New Roman"/>
            <w:noProof/>
          </w:rPr>
          <w:t>Discussion</w:t>
        </w:r>
        <w:r w:rsidRPr="00BA7855">
          <w:rPr>
            <w:noProof/>
            <w:webHidden/>
          </w:rPr>
          <w:tab/>
        </w:r>
        <w:r w:rsidRPr="00BA7855">
          <w:rPr>
            <w:noProof/>
            <w:webHidden/>
          </w:rPr>
          <w:fldChar w:fldCharType="begin"/>
        </w:r>
        <w:r w:rsidRPr="00BA7855">
          <w:rPr>
            <w:noProof/>
            <w:webHidden/>
          </w:rPr>
          <w:instrText xml:space="preserve"> PAGEREF _Toc185325619 \h </w:instrText>
        </w:r>
        <w:r w:rsidRPr="00BA7855">
          <w:rPr>
            <w:noProof/>
            <w:webHidden/>
          </w:rPr>
        </w:r>
        <w:r w:rsidRPr="00BA7855">
          <w:rPr>
            <w:noProof/>
            <w:webHidden/>
          </w:rPr>
          <w:fldChar w:fldCharType="separate"/>
        </w:r>
        <w:r w:rsidR="00143EE1">
          <w:rPr>
            <w:noProof/>
            <w:webHidden/>
          </w:rPr>
          <w:t>42</w:t>
        </w:r>
        <w:r w:rsidRPr="00BA7855">
          <w:rPr>
            <w:noProof/>
            <w:webHidden/>
          </w:rPr>
          <w:fldChar w:fldCharType="end"/>
        </w:r>
      </w:hyperlink>
    </w:p>
    <w:p w14:paraId="39C2C795" w14:textId="12AF7FC5"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20" w:history="1">
        <w:r w:rsidRPr="00BA7855">
          <w:rPr>
            <w:rStyle w:val="Hyperlink"/>
            <w:rFonts w:ascii="Times New Roman" w:hAnsi="Times New Roman"/>
            <w:noProof/>
          </w:rPr>
          <w:t>1.4.1</w:t>
        </w:r>
        <w:r w:rsidRPr="00BA7855">
          <w:rPr>
            <w:rFonts w:eastAsiaTheme="minorEastAsia"/>
            <w:noProof/>
            <w:kern w:val="2"/>
            <w14:ligatures w14:val="standardContextual"/>
          </w:rPr>
          <w:tab/>
        </w:r>
        <w:r w:rsidRPr="00BA7855">
          <w:rPr>
            <w:rStyle w:val="Hyperlink"/>
            <w:rFonts w:ascii="Times New Roman" w:hAnsi="Times New Roman"/>
            <w:noProof/>
          </w:rPr>
          <w:t>Dissolution-precipitation reactions and IBC liquid crystallization</w:t>
        </w:r>
        <w:r w:rsidRPr="00BA7855">
          <w:rPr>
            <w:noProof/>
            <w:webHidden/>
          </w:rPr>
          <w:tab/>
        </w:r>
        <w:r w:rsidRPr="00BA7855">
          <w:rPr>
            <w:noProof/>
            <w:webHidden/>
          </w:rPr>
          <w:fldChar w:fldCharType="begin"/>
        </w:r>
        <w:r w:rsidRPr="00BA7855">
          <w:rPr>
            <w:noProof/>
            <w:webHidden/>
          </w:rPr>
          <w:instrText xml:space="preserve"> PAGEREF _Toc185325620 \h </w:instrText>
        </w:r>
        <w:r w:rsidRPr="00BA7855">
          <w:rPr>
            <w:noProof/>
            <w:webHidden/>
          </w:rPr>
        </w:r>
        <w:r w:rsidRPr="00BA7855">
          <w:rPr>
            <w:noProof/>
            <w:webHidden/>
          </w:rPr>
          <w:fldChar w:fldCharType="separate"/>
        </w:r>
        <w:r w:rsidR="00143EE1">
          <w:rPr>
            <w:noProof/>
            <w:webHidden/>
          </w:rPr>
          <w:t>42</w:t>
        </w:r>
        <w:r w:rsidRPr="00BA7855">
          <w:rPr>
            <w:noProof/>
            <w:webHidden/>
          </w:rPr>
          <w:fldChar w:fldCharType="end"/>
        </w:r>
      </w:hyperlink>
    </w:p>
    <w:p w14:paraId="006F6F88" w14:textId="3E823FF9"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21" w:history="1">
        <w:r w:rsidRPr="00BA7855">
          <w:rPr>
            <w:rStyle w:val="Hyperlink"/>
            <w:rFonts w:ascii="Times New Roman" w:hAnsi="Times New Roman"/>
            <w:noProof/>
          </w:rPr>
          <w:t>1.4.1.1</w:t>
        </w:r>
        <w:r w:rsidRPr="00BA7855">
          <w:rPr>
            <w:rFonts w:eastAsiaTheme="minorEastAsia"/>
            <w:noProof/>
            <w:kern w:val="2"/>
            <w14:ligatures w14:val="standardContextual"/>
          </w:rPr>
          <w:tab/>
        </w:r>
        <w:r w:rsidRPr="00BA7855">
          <w:rPr>
            <w:rStyle w:val="Hyperlink"/>
            <w:rFonts w:ascii="Times New Roman" w:hAnsi="Times New Roman"/>
            <w:noProof/>
          </w:rPr>
          <w:t>Dunite Assimilation</w:t>
        </w:r>
        <w:r w:rsidRPr="00BA7855">
          <w:rPr>
            <w:noProof/>
            <w:webHidden/>
          </w:rPr>
          <w:tab/>
        </w:r>
        <w:r w:rsidRPr="00BA7855">
          <w:rPr>
            <w:noProof/>
            <w:webHidden/>
          </w:rPr>
          <w:fldChar w:fldCharType="begin"/>
        </w:r>
        <w:r w:rsidRPr="00BA7855">
          <w:rPr>
            <w:noProof/>
            <w:webHidden/>
          </w:rPr>
          <w:instrText xml:space="preserve"> PAGEREF _Toc185325621 \h </w:instrText>
        </w:r>
        <w:r w:rsidRPr="00BA7855">
          <w:rPr>
            <w:noProof/>
            <w:webHidden/>
          </w:rPr>
        </w:r>
        <w:r w:rsidRPr="00BA7855">
          <w:rPr>
            <w:noProof/>
            <w:webHidden/>
          </w:rPr>
          <w:fldChar w:fldCharType="separate"/>
        </w:r>
        <w:r w:rsidR="00143EE1">
          <w:rPr>
            <w:noProof/>
            <w:webHidden/>
          </w:rPr>
          <w:t>42</w:t>
        </w:r>
        <w:r w:rsidRPr="00BA7855">
          <w:rPr>
            <w:noProof/>
            <w:webHidden/>
          </w:rPr>
          <w:fldChar w:fldCharType="end"/>
        </w:r>
      </w:hyperlink>
    </w:p>
    <w:p w14:paraId="4E16640F" w14:textId="2E4DD785"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22" w:history="1">
        <w:r w:rsidRPr="00BA7855">
          <w:rPr>
            <w:rStyle w:val="Hyperlink"/>
            <w:rFonts w:ascii="Times New Roman" w:hAnsi="Times New Roman"/>
            <w:noProof/>
          </w:rPr>
          <w:t>1.4.1.2</w:t>
        </w:r>
        <w:r w:rsidRPr="00BA7855">
          <w:rPr>
            <w:rFonts w:eastAsiaTheme="minorEastAsia"/>
            <w:noProof/>
            <w:kern w:val="2"/>
            <w14:ligatures w14:val="standardContextual"/>
          </w:rPr>
          <w:tab/>
        </w:r>
        <w:r w:rsidRPr="00BA7855">
          <w:rPr>
            <w:rStyle w:val="Hyperlink"/>
            <w:rFonts w:ascii="Times New Roman" w:hAnsi="Times New Roman"/>
            <w:noProof/>
          </w:rPr>
          <w:t>Crystallization in the IBC melt</w:t>
        </w:r>
        <w:r w:rsidRPr="00BA7855">
          <w:rPr>
            <w:noProof/>
            <w:webHidden/>
          </w:rPr>
          <w:tab/>
        </w:r>
        <w:r w:rsidRPr="00BA7855">
          <w:rPr>
            <w:noProof/>
            <w:webHidden/>
          </w:rPr>
          <w:fldChar w:fldCharType="begin"/>
        </w:r>
        <w:r w:rsidRPr="00BA7855">
          <w:rPr>
            <w:noProof/>
            <w:webHidden/>
          </w:rPr>
          <w:instrText xml:space="preserve"> PAGEREF _Toc185325622 \h </w:instrText>
        </w:r>
        <w:r w:rsidRPr="00BA7855">
          <w:rPr>
            <w:noProof/>
            <w:webHidden/>
          </w:rPr>
        </w:r>
        <w:r w:rsidRPr="00BA7855">
          <w:rPr>
            <w:noProof/>
            <w:webHidden/>
          </w:rPr>
          <w:fldChar w:fldCharType="separate"/>
        </w:r>
        <w:r w:rsidR="00143EE1">
          <w:rPr>
            <w:noProof/>
            <w:webHidden/>
          </w:rPr>
          <w:t>45</w:t>
        </w:r>
        <w:r w:rsidRPr="00BA7855">
          <w:rPr>
            <w:noProof/>
            <w:webHidden/>
          </w:rPr>
          <w:fldChar w:fldCharType="end"/>
        </w:r>
      </w:hyperlink>
    </w:p>
    <w:p w14:paraId="4C09815F" w14:textId="0FFD01C6"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23" w:history="1">
        <w:r w:rsidRPr="00BA7855">
          <w:rPr>
            <w:rStyle w:val="Hyperlink"/>
            <w:rFonts w:ascii="Times New Roman" w:hAnsi="Times New Roman"/>
            <w:noProof/>
          </w:rPr>
          <w:t>1.4.2</w:t>
        </w:r>
        <w:r w:rsidRPr="00BA7855">
          <w:rPr>
            <w:rFonts w:eastAsiaTheme="minorEastAsia"/>
            <w:noProof/>
            <w:kern w:val="2"/>
            <w14:ligatures w14:val="standardContextual"/>
          </w:rPr>
          <w:tab/>
        </w:r>
        <w:r w:rsidRPr="00BA7855">
          <w:rPr>
            <w:rStyle w:val="Hyperlink"/>
            <w:rFonts w:ascii="Times New Roman" w:hAnsi="Times New Roman"/>
            <w:noProof/>
          </w:rPr>
          <w:t>Dissolution, Diffusion, and Advection</w:t>
        </w:r>
        <w:r w:rsidRPr="00BA7855">
          <w:rPr>
            <w:noProof/>
            <w:webHidden/>
          </w:rPr>
          <w:tab/>
        </w:r>
        <w:r w:rsidRPr="00BA7855">
          <w:rPr>
            <w:noProof/>
            <w:webHidden/>
          </w:rPr>
          <w:fldChar w:fldCharType="begin"/>
        </w:r>
        <w:r w:rsidRPr="00BA7855">
          <w:rPr>
            <w:noProof/>
            <w:webHidden/>
          </w:rPr>
          <w:instrText xml:space="preserve"> PAGEREF _Toc185325623 \h </w:instrText>
        </w:r>
        <w:r w:rsidRPr="00BA7855">
          <w:rPr>
            <w:noProof/>
            <w:webHidden/>
          </w:rPr>
        </w:r>
        <w:r w:rsidRPr="00BA7855">
          <w:rPr>
            <w:noProof/>
            <w:webHidden/>
          </w:rPr>
          <w:fldChar w:fldCharType="separate"/>
        </w:r>
        <w:r w:rsidR="00143EE1">
          <w:rPr>
            <w:noProof/>
            <w:webHidden/>
          </w:rPr>
          <w:t>46</w:t>
        </w:r>
        <w:r w:rsidRPr="00BA7855">
          <w:rPr>
            <w:noProof/>
            <w:webHidden/>
          </w:rPr>
          <w:fldChar w:fldCharType="end"/>
        </w:r>
      </w:hyperlink>
    </w:p>
    <w:p w14:paraId="23B4EA5D" w14:textId="5CBB13E5"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24" w:history="1">
        <w:r w:rsidRPr="00BA7855">
          <w:rPr>
            <w:rStyle w:val="Hyperlink"/>
            <w:rFonts w:ascii="Times New Roman" w:hAnsi="Times New Roman"/>
            <w:noProof/>
          </w:rPr>
          <w:t>1.4.2.1</w:t>
        </w:r>
        <w:r w:rsidRPr="00BA7855">
          <w:rPr>
            <w:rFonts w:eastAsiaTheme="minorEastAsia"/>
            <w:noProof/>
            <w:kern w:val="2"/>
            <w14:ligatures w14:val="standardContextual"/>
          </w:rPr>
          <w:tab/>
        </w:r>
        <w:r w:rsidRPr="00BA7855">
          <w:rPr>
            <w:rStyle w:val="Hyperlink"/>
            <w:rFonts w:ascii="Times New Roman" w:hAnsi="Times New Roman"/>
            <w:noProof/>
          </w:rPr>
          <w:t>Solid-State Diffusion</w:t>
        </w:r>
        <w:r w:rsidRPr="00BA7855">
          <w:rPr>
            <w:noProof/>
            <w:webHidden/>
          </w:rPr>
          <w:tab/>
        </w:r>
        <w:r w:rsidRPr="00BA7855">
          <w:rPr>
            <w:noProof/>
            <w:webHidden/>
          </w:rPr>
          <w:fldChar w:fldCharType="begin"/>
        </w:r>
        <w:r w:rsidRPr="00BA7855">
          <w:rPr>
            <w:noProof/>
            <w:webHidden/>
          </w:rPr>
          <w:instrText xml:space="preserve"> PAGEREF _Toc185325624 \h </w:instrText>
        </w:r>
        <w:r w:rsidRPr="00BA7855">
          <w:rPr>
            <w:noProof/>
            <w:webHidden/>
          </w:rPr>
        </w:r>
        <w:r w:rsidRPr="00BA7855">
          <w:rPr>
            <w:noProof/>
            <w:webHidden/>
          </w:rPr>
          <w:fldChar w:fldCharType="separate"/>
        </w:r>
        <w:r w:rsidR="00143EE1">
          <w:rPr>
            <w:noProof/>
            <w:webHidden/>
          </w:rPr>
          <w:t>46</w:t>
        </w:r>
        <w:r w:rsidRPr="00BA7855">
          <w:rPr>
            <w:noProof/>
            <w:webHidden/>
          </w:rPr>
          <w:fldChar w:fldCharType="end"/>
        </w:r>
      </w:hyperlink>
    </w:p>
    <w:p w14:paraId="6E8FA4E2" w14:textId="18F95ADA"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25" w:history="1">
        <w:r w:rsidRPr="00BA7855">
          <w:rPr>
            <w:rStyle w:val="Hyperlink"/>
            <w:rFonts w:ascii="Times New Roman" w:hAnsi="Times New Roman"/>
            <w:noProof/>
          </w:rPr>
          <w:t>1.4.2.2</w:t>
        </w:r>
        <w:r w:rsidRPr="00BA7855">
          <w:rPr>
            <w:rFonts w:eastAsiaTheme="minorEastAsia"/>
            <w:noProof/>
            <w:kern w:val="2"/>
            <w14:ligatures w14:val="standardContextual"/>
          </w:rPr>
          <w:tab/>
        </w:r>
        <w:r w:rsidRPr="00BA7855">
          <w:rPr>
            <w:rStyle w:val="Hyperlink"/>
            <w:rFonts w:ascii="Times New Roman" w:hAnsi="Times New Roman"/>
            <w:noProof/>
          </w:rPr>
          <w:t>Dunite Dissolution Rates, and Effects of Dunite Dissolution on IBC Liquid</w:t>
        </w:r>
        <w:r w:rsidR="00C325C1">
          <w:rPr>
            <w:noProof/>
            <w:webHidden/>
          </w:rPr>
          <w:tab/>
        </w:r>
        <w:r w:rsidR="00C325C1">
          <w:rPr>
            <w:noProof/>
            <w:webHidden/>
          </w:rPr>
          <w:tab/>
        </w:r>
        <w:r w:rsidRPr="00BA7855">
          <w:rPr>
            <w:noProof/>
            <w:webHidden/>
          </w:rPr>
          <w:fldChar w:fldCharType="begin"/>
        </w:r>
        <w:r w:rsidRPr="00BA7855">
          <w:rPr>
            <w:noProof/>
            <w:webHidden/>
          </w:rPr>
          <w:instrText xml:space="preserve"> PAGEREF _Toc185325625 \h </w:instrText>
        </w:r>
        <w:r w:rsidRPr="00BA7855">
          <w:rPr>
            <w:noProof/>
            <w:webHidden/>
          </w:rPr>
        </w:r>
        <w:r w:rsidRPr="00BA7855">
          <w:rPr>
            <w:noProof/>
            <w:webHidden/>
          </w:rPr>
          <w:fldChar w:fldCharType="separate"/>
        </w:r>
        <w:r w:rsidR="00143EE1">
          <w:rPr>
            <w:noProof/>
            <w:webHidden/>
          </w:rPr>
          <w:t>49</w:t>
        </w:r>
        <w:r w:rsidRPr="00BA7855">
          <w:rPr>
            <w:noProof/>
            <w:webHidden/>
          </w:rPr>
          <w:fldChar w:fldCharType="end"/>
        </w:r>
      </w:hyperlink>
    </w:p>
    <w:p w14:paraId="17B56DA9" w14:textId="0FEC26DE"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26" w:history="1">
        <w:r w:rsidRPr="00BA7855">
          <w:rPr>
            <w:rStyle w:val="Hyperlink"/>
            <w:rFonts w:ascii="Times New Roman" w:hAnsi="Times New Roman"/>
            <w:noProof/>
          </w:rPr>
          <w:t>1.4.2.3</w:t>
        </w:r>
        <w:r w:rsidRPr="00BA7855">
          <w:rPr>
            <w:rFonts w:eastAsiaTheme="minorEastAsia"/>
            <w:noProof/>
            <w:kern w:val="2"/>
            <w14:ligatures w14:val="standardContextual"/>
          </w:rPr>
          <w:tab/>
        </w:r>
        <w:r w:rsidRPr="00BA7855">
          <w:rPr>
            <w:rStyle w:val="Hyperlink"/>
            <w:rFonts w:ascii="Times New Roman" w:hAnsi="Times New Roman"/>
            <w:noProof/>
          </w:rPr>
          <w:t>Vein Formation</w:t>
        </w:r>
        <w:r w:rsidRPr="00BA7855">
          <w:rPr>
            <w:noProof/>
            <w:webHidden/>
          </w:rPr>
          <w:tab/>
        </w:r>
        <w:r w:rsidRPr="00BA7855">
          <w:rPr>
            <w:noProof/>
            <w:webHidden/>
          </w:rPr>
          <w:fldChar w:fldCharType="begin"/>
        </w:r>
        <w:r w:rsidRPr="00BA7855">
          <w:rPr>
            <w:noProof/>
            <w:webHidden/>
          </w:rPr>
          <w:instrText xml:space="preserve"> PAGEREF _Toc185325626 \h </w:instrText>
        </w:r>
        <w:r w:rsidRPr="00BA7855">
          <w:rPr>
            <w:noProof/>
            <w:webHidden/>
          </w:rPr>
        </w:r>
        <w:r w:rsidRPr="00BA7855">
          <w:rPr>
            <w:noProof/>
            <w:webHidden/>
          </w:rPr>
          <w:fldChar w:fldCharType="separate"/>
        </w:r>
        <w:r w:rsidR="00143EE1">
          <w:rPr>
            <w:noProof/>
            <w:webHidden/>
          </w:rPr>
          <w:t>56</w:t>
        </w:r>
        <w:r w:rsidRPr="00BA7855">
          <w:rPr>
            <w:noProof/>
            <w:webHidden/>
          </w:rPr>
          <w:fldChar w:fldCharType="end"/>
        </w:r>
      </w:hyperlink>
    </w:p>
    <w:p w14:paraId="263CB41A" w14:textId="7F8E10FC"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27" w:history="1">
        <w:r w:rsidRPr="00BA7855">
          <w:rPr>
            <w:rStyle w:val="Hyperlink"/>
            <w:rFonts w:ascii="Times New Roman" w:hAnsi="Times New Roman"/>
            <w:noProof/>
          </w:rPr>
          <w:t>1.4.3</w:t>
        </w:r>
        <w:r w:rsidRPr="00BA7855">
          <w:rPr>
            <w:rFonts w:eastAsiaTheme="minorEastAsia"/>
            <w:noProof/>
            <w:kern w:val="2"/>
            <w14:ligatures w14:val="standardContextual"/>
          </w:rPr>
          <w:tab/>
        </w:r>
        <w:r w:rsidRPr="00BA7855">
          <w:rPr>
            <w:rStyle w:val="Hyperlink"/>
            <w:rFonts w:ascii="Times New Roman" w:hAnsi="Times New Roman"/>
            <w:noProof/>
          </w:rPr>
          <w:t>Phase Equilibria</w:t>
        </w:r>
        <w:r w:rsidRPr="00BA7855">
          <w:rPr>
            <w:noProof/>
            <w:webHidden/>
          </w:rPr>
          <w:tab/>
        </w:r>
        <w:r w:rsidRPr="00BA7855">
          <w:rPr>
            <w:noProof/>
            <w:webHidden/>
          </w:rPr>
          <w:fldChar w:fldCharType="begin"/>
        </w:r>
        <w:r w:rsidRPr="00BA7855">
          <w:rPr>
            <w:noProof/>
            <w:webHidden/>
          </w:rPr>
          <w:instrText xml:space="preserve"> PAGEREF _Toc185325627 \h </w:instrText>
        </w:r>
        <w:r w:rsidRPr="00BA7855">
          <w:rPr>
            <w:noProof/>
            <w:webHidden/>
          </w:rPr>
        </w:r>
        <w:r w:rsidRPr="00BA7855">
          <w:rPr>
            <w:noProof/>
            <w:webHidden/>
          </w:rPr>
          <w:fldChar w:fldCharType="separate"/>
        </w:r>
        <w:r w:rsidR="00143EE1">
          <w:rPr>
            <w:noProof/>
            <w:webHidden/>
          </w:rPr>
          <w:t>56</w:t>
        </w:r>
        <w:r w:rsidRPr="00BA7855">
          <w:rPr>
            <w:noProof/>
            <w:webHidden/>
          </w:rPr>
          <w:fldChar w:fldCharType="end"/>
        </w:r>
      </w:hyperlink>
    </w:p>
    <w:p w14:paraId="01D61CC5" w14:textId="7C49111E"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28" w:history="1">
        <w:r w:rsidRPr="00BA7855">
          <w:rPr>
            <w:rStyle w:val="Hyperlink"/>
            <w:rFonts w:ascii="Times New Roman" w:hAnsi="Times New Roman"/>
            <w:noProof/>
          </w:rPr>
          <w:t>1.4.3.1</w:t>
        </w:r>
        <w:r w:rsidRPr="00BA7855">
          <w:rPr>
            <w:rFonts w:eastAsiaTheme="minorEastAsia"/>
            <w:noProof/>
            <w:kern w:val="2"/>
            <w14:ligatures w14:val="standardContextual"/>
          </w:rPr>
          <w:tab/>
        </w:r>
        <w:r w:rsidRPr="00BA7855">
          <w:rPr>
            <w:rStyle w:val="Hyperlink"/>
            <w:rFonts w:ascii="Times New Roman" w:hAnsi="Times New Roman"/>
            <w:noProof/>
          </w:rPr>
          <w:t>Fe-Ti Oxides</w:t>
        </w:r>
        <w:r w:rsidRPr="00BA7855">
          <w:rPr>
            <w:noProof/>
            <w:webHidden/>
          </w:rPr>
          <w:tab/>
        </w:r>
        <w:r w:rsidRPr="00BA7855">
          <w:rPr>
            <w:noProof/>
            <w:webHidden/>
          </w:rPr>
          <w:fldChar w:fldCharType="begin"/>
        </w:r>
        <w:r w:rsidRPr="00BA7855">
          <w:rPr>
            <w:noProof/>
            <w:webHidden/>
          </w:rPr>
          <w:instrText xml:space="preserve"> PAGEREF _Toc185325628 \h </w:instrText>
        </w:r>
        <w:r w:rsidRPr="00BA7855">
          <w:rPr>
            <w:noProof/>
            <w:webHidden/>
          </w:rPr>
        </w:r>
        <w:r w:rsidRPr="00BA7855">
          <w:rPr>
            <w:noProof/>
            <w:webHidden/>
          </w:rPr>
          <w:fldChar w:fldCharType="separate"/>
        </w:r>
        <w:r w:rsidR="00143EE1">
          <w:rPr>
            <w:noProof/>
            <w:webHidden/>
          </w:rPr>
          <w:t>58</w:t>
        </w:r>
        <w:r w:rsidRPr="00BA7855">
          <w:rPr>
            <w:noProof/>
            <w:webHidden/>
          </w:rPr>
          <w:fldChar w:fldCharType="end"/>
        </w:r>
      </w:hyperlink>
    </w:p>
    <w:p w14:paraId="0E1A6472" w14:textId="3D1D6B31"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29" w:history="1">
        <w:r w:rsidRPr="00BA7855">
          <w:rPr>
            <w:rStyle w:val="Hyperlink"/>
            <w:rFonts w:ascii="Times New Roman" w:hAnsi="Times New Roman"/>
            <w:noProof/>
          </w:rPr>
          <w:t>1.4.3.2</w:t>
        </w:r>
        <w:r w:rsidRPr="00BA7855">
          <w:rPr>
            <w:rFonts w:eastAsiaTheme="minorEastAsia"/>
            <w:noProof/>
            <w:kern w:val="2"/>
            <w14:ligatures w14:val="standardContextual"/>
          </w:rPr>
          <w:tab/>
        </w:r>
        <w:r w:rsidRPr="00BA7855">
          <w:rPr>
            <w:rStyle w:val="Hyperlink"/>
            <w:rFonts w:ascii="Times New Roman" w:hAnsi="Times New Roman"/>
            <w:noProof/>
          </w:rPr>
          <w:t>Garnet</w:t>
        </w:r>
        <w:r w:rsidRPr="00BA7855">
          <w:rPr>
            <w:noProof/>
            <w:webHidden/>
          </w:rPr>
          <w:tab/>
        </w:r>
        <w:r w:rsidRPr="00BA7855">
          <w:rPr>
            <w:noProof/>
            <w:webHidden/>
          </w:rPr>
          <w:fldChar w:fldCharType="begin"/>
        </w:r>
        <w:r w:rsidRPr="00BA7855">
          <w:rPr>
            <w:noProof/>
            <w:webHidden/>
          </w:rPr>
          <w:instrText xml:space="preserve"> PAGEREF _Toc185325629 \h </w:instrText>
        </w:r>
        <w:r w:rsidRPr="00BA7855">
          <w:rPr>
            <w:noProof/>
            <w:webHidden/>
          </w:rPr>
        </w:r>
        <w:r w:rsidRPr="00BA7855">
          <w:rPr>
            <w:noProof/>
            <w:webHidden/>
          </w:rPr>
          <w:fldChar w:fldCharType="separate"/>
        </w:r>
        <w:r w:rsidR="00143EE1">
          <w:rPr>
            <w:noProof/>
            <w:webHidden/>
          </w:rPr>
          <w:t>59</w:t>
        </w:r>
        <w:r w:rsidRPr="00BA7855">
          <w:rPr>
            <w:noProof/>
            <w:webHidden/>
          </w:rPr>
          <w:fldChar w:fldCharType="end"/>
        </w:r>
      </w:hyperlink>
    </w:p>
    <w:p w14:paraId="258C29B5" w14:textId="7B23C660"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30" w:history="1">
        <w:r w:rsidRPr="00BA7855">
          <w:rPr>
            <w:rStyle w:val="Hyperlink"/>
            <w:rFonts w:ascii="Times New Roman" w:hAnsi="Times New Roman"/>
            <w:noProof/>
          </w:rPr>
          <w:t>1.5</w:t>
        </w:r>
        <w:r w:rsidRPr="00BA7855">
          <w:rPr>
            <w:rFonts w:eastAsiaTheme="minorEastAsia"/>
            <w:noProof/>
            <w:kern w:val="2"/>
            <w14:ligatures w14:val="standardContextual"/>
          </w:rPr>
          <w:tab/>
        </w:r>
        <w:r w:rsidRPr="00BA7855">
          <w:rPr>
            <w:rStyle w:val="Hyperlink"/>
            <w:rFonts w:ascii="Times New Roman" w:hAnsi="Times New Roman"/>
            <w:noProof/>
          </w:rPr>
          <w:t>Implications for the Lunar Mantle</w:t>
        </w:r>
        <w:r w:rsidRPr="00BA7855">
          <w:rPr>
            <w:noProof/>
            <w:webHidden/>
          </w:rPr>
          <w:tab/>
        </w:r>
        <w:r w:rsidRPr="00BA7855">
          <w:rPr>
            <w:noProof/>
            <w:webHidden/>
          </w:rPr>
          <w:fldChar w:fldCharType="begin"/>
        </w:r>
        <w:r w:rsidRPr="00BA7855">
          <w:rPr>
            <w:noProof/>
            <w:webHidden/>
          </w:rPr>
          <w:instrText xml:space="preserve"> PAGEREF _Toc185325630 \h </w:instrText>
        </w:r>
        <w:r w:rsidRPr="00BA7855">
          <w:rPr>
            <w:noProof/>
            <w:webHidden/>
          </w:rPr>
        </w:r>
        <w:r w:rsidRPr="00BA7855">
          <w:rPr>
            <w:noProof/>
            <w:webHidden/>
          </w:rPr>
          <w:fldChar w:fldCharType="separate"/>
        </w:r>
        <w:r w:rsidR="00143EE1">
          <w:rPr>
            <w:noProof/>
            <w:webHidden/>
          </w:rPr>
          <w:t>60</w:t>
        </w:r>
        <w:r w:rsidRPr="00BA7855">
          <w:rPr>
            <w:noProof/>
            <w:webHidden/>
          </w:rPr>
          <w:fldChar w:fldCharType="end"/>
        </w:r>
      </w:hyperlink>
    </w:p>
    <w:p w14:paraId="0D28C964" w14:textId="54DFB61F"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31" w:history="1">
        <w:r w:rsidRPr="00BA7855">
          <w:rPr>
            <w:rStyle w:val="Hyperlink"/>
            <w:rFonts w:ascii="Times New Roman" w:hAnsi="Times New Roman"/>
            <w:noProof/>
          </w:rPr>
          <w:t>1.5.1</w:t>
        </w:r>
        <w:r w:rsidRPr="00BA7855">
          <w:rPr>
            <w:rFonts w:eastAsiaTheme="minorEastAsia"/>
            <w:noProof/>
            <w:kern w:val="2"/>
            <w14:ligatures w14:val="standardContextual"/>
          </w:rPr>
          <w:tab/>
        </w:r>
        <w:r w:rsidRPr="00BA7855">
          <w:rPr>
            <w:rStyle w:val="Hyperlink"/>
            <w:rFonts w:ascii="Times New Roman" w:hAnsi="Times New Roman"/>
            <w:noProof/>
          </w:rPr>
          <w:t>Metamorphic Reactions</w:t>
        </w:r>
        <w:r w:rsidRPr="00BA7855">
          <w:rPr>
            <w:noProof/>
            <w:webHidden/>
          </w:rPr>
          <w:tab/>
        </w:r>
        <w:r w:rsidRPr="00BA7855">
          <w:rPr>
            <w:noProof/>
            <w:webHidden/>
          </w:rPr>
          <w:fldChar w:fldCharType="begin"/>
        </w:r>
        <w:r w:rsidRPr="00BA7855">
          <w:rPr>
            <w:noProof/>
            <w:webHidden/>
          </w:rPr>
          <w:instrText xml:space="preserve"> PAGEREF _Toc185325631 \h </w:instrText>
        </w:r>
        <w:r w:rsidRPr="00BA7855">
          <w:rPr>
            <w:noProof/>
            <w:webHidden/>
          </w:rPr>
        </w:r>
        <w:r w:rsidRPr="00BA7855">
          <w:rPr>
            <w:noProof/>
            <w:webHidden/>
          </w:rPr>
          <w:fldChar w:fldCharType="separate"/>
        </w:r>
        <w:r w:rsidR="00143EE1">
          <w:rPr>
            <w:noProof/>
            <w:webHidden/>
          </w:rPr>
          <w:t>61</w:t>
        </w:r>
        <w:r w:rsidRPr="00BA7855">
          <w:rPr>
            <w:noProof/>
            <w:webHidden/>
          </w:rPr>
          <w:fldChar w:fldCharType="end"/>
        </w:r>
      </w:hyperlink>
    </w:p>
    <w:p w14:paraId="70C2C37D" w14:textId="20B9DB13"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32" w:history="1">
        <w:r w:rsidRPr="00BA7855">
          <w:rPr>
            <w:rStyle w:val="Hyperlink"/>
            <w:rFonts w:ascii="Times New Roman" w:hAnsi="Times New Roman"/>
            <w:noProof/>
          </w:rPr>
          <w:t>1.5.2</w:t>
        </w:r>
        <w:r w:rsidRPr="00BA7855">
          <w:rPr>
            <w:rFonts w:eastAsiaTheme="minorEastAsia"/>
            <w:noProof/>
            <w:kern w:val="2"/>
            <w14:ligatures w14:val="standardContextual"/>
          </w:rPr>
          <w:tab/>
        </w:r>
        <w:r w:rsidRPr="00BA7855">
          <w:rPr>
            <w:rStyle w:val="Hyperlink"/>
            <w:rFonts w:ascii="Times New Roman" w:hAnsi="Times New Roman"/>
            <w:noProof/>
          </w:rPr>
          <w:t>Formation of Hybridized Mantle Sources</w:t>
        </w:r>
        <w:r w:rsidRPr="00BA7855">
          <w:rPr>
            <w:noProof/>
            <w:webHidden/>
          </w:rPr>
          <w:tab/>
        </w:r>
        <w:r w:rsidRPr="00BA7855">
          <w:rPr>
            <w:noProof/>
            <w:webHidden/>
          </w:rPr>
          <w:fldChar w:fldCharType="begin"/>
        </w:r>
        <w:r w:rsidRPr="00BA7855">
          <w:rPr>
            <w:noProof/>
            <w:webHidden/>
          </w:rPr>
          <w:instrText xml:space="preserve"> PAGEREF _Toc185325632 \h </w:instrText>
        </w:r>
        <w:r w:rsidRPr="00BA7855">
          <w:rPr>
            <w:noProof/>
            <w:webHidden/>
          </w:rPr>
        </w:r>
        <w:r w:rsidRPr="00BA7855">
          <w:rPr>
            <w:noProof/>
            <w:webHidden/>
          </w:rPr>
          <w:fldChar w:fldCharType="separate"/>
        </w:r>
        <w:r w:rsidR="00143EE1">
          <w:rPr>
            <w:noProof/>
            <w:webHidden/>
          </w:rPr>
          <w:t>62</w:t>
        </w:r>
        <w:r w:rsidRPr="00BA7855">
          <w:rPr>
            <w:noProof/>
            <w:webHidden/>
          </w:rPr>
          <w:fldChar w:fldCharType="end"/>
        </w:r>
      </w:hyperlink>
    </w:p>
    <w:p w14:paraId="7AD27B28" w14:textId="10BCD505"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33" w:history="1">
        <w:r w:rsidRPr="00BA7855">
          <w:rPr>
            <w:rStyle w:val="Hyperlink"/>
            <w:rFonts w:ascii="Times New Roman" w:hAnsi="Times New Roman"/>
            <w:noProof/>
          </w:rPr>
          <w:t>1.6</w:t>
        </w:r>
        <w:r w:rsidRPr="00BA7855">
          <w:rPr>
            <w:rFonts w:eastAsiaTheme="minorEastAsia"/>
            <w:noProof/>
            <w:kern w:val="2"/>
            <w14:ligatures w14:val="standardContextual"/>
          </w:rPr>
          <w:tab/>
        </w:r>
        <w:r w:rsidRPr="00BA7855">
          <w:rPr>
            <w:rStyle w:val="Hyperlink"/>
            <w:rFonts w:ascii="Times New Roman" w:hAnsi="Times New Roman"/>
            <w:noProof/>
          </w:rPr>
          <w:t>Summary and Conclusions</w:t>
        </w:r>
        <w:r w:rsidRPr="00BA7855">
          <w:rPr>
            <w:noProof/>
            <w:webHidden/>
          </w:rPr>
          <w:tab/>
        </w:r>
        <w:r w:rsidRPr="00BA7855">
          <w:rPr>
            <w:noProof/>
            <w:webHidden/>
          </w:rPr>
          <w:fldChar w:fldCharType="begin"/>
        </w:r>
        <w:r w:rsidRPr="00BA7855">
          <w:rPr>
            <w:noProof/>
            <w:webHidden/>
          </w:rPr>
          <w:instrText xml:space="preserve"> PAGEREF _Toc185325633 \h </w:instrText>
        </w:r>
        <w:r w:rsidRPr="00BA7855">
          <w:rPr>
            <w:noProof/>
            <w:webHidden/>
          </w:rPr>
        </w:r>
        <w:r w:rsidRPr="00BA7855">
          <w:rPr>
            <w:noProof/>
            <w:webHidden/>
          </w:rPr>
          <w:fldChar w:fldCharType="separate"/>
        </w:r>
        <w:r w:rsidR="00143EE1">
          <w:rPr>
            <w:noProof/>
            <w:webHidden/>
          </w:rPr>
          <w:t>67</w:t>
        </w:r>
        <w:r w:rsidRPr="00BA7855">
          <w:rPr>
            <w:noProof/>
            <w:webHidden/>
          </w:rPr>
          <w:fldChar w:fldCharType="end"/>
        </w:r>
      </w:hyperlink>
    </w:p>
    <w:p w14:paraId="77CBAB55" w14:textId="66DEAF6D"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34" w:history="1">
        <w:r w:rsidRPr="00BA7855">
          <w:rPr>
            <w:rStyle w:val="Hyperlink"/>
            <w:rFonts w:ascii="Times New Roman" w:hAnsi="Times New Roman"/>
            <w:noProof/>
          </w:rPr>
          <w:t>1.7</w:t>
        </w:r>
        <w:r w:rsidRPr="00BA7855">
          <w:rPr>
            <w:rFonts w:eastAsiaTheme="minorEastAsia"/>
            <w:noProof/>
            <w:kern w:val="2"/>
            <w14:ligatures w14:val="standardContextual"/>
          </w:rPr>
          <w:tab/>
        </w:r>
        <w:r w:rsidRPr="00BA7855">
          <w:rPr>
            <w:rStyle w:val="Hyperlink"/>
            <w:rFonts w:ascii="Times New Roman" w:hAnsi="Times New Roman"/>
            <w:noProof/>
          </w:rPr>
          <w:t>Acknowledgements</w:t>
        </w:r>
        <w:r w:rsidRPr="00BA7855">
          <w:rPr>
            <w:noProof/>
            <w:webHidden/>
          </w:rPr>
          <w:tab/>
        </w:r>
        <w:r w:rsidRPr="00BA7855">
          <w:rPr>
            <w:noProof/>
            <w:webHidden/>
          </w:rPr>
          <w:fldChar w:fldCharType="begin"/>
        </w:r>
        <w:r w:rsidRPr="00BA7855">
          <w:rPr>
            <w:noProof/>
            <w:webHidden/>
          </w:rPr>
          <w:instrText xml:space="preserve"> PAGEREF _Toc185325634 \h </w:instrText>
        </w:r>
        <w:r w:rsidRPr="00BA7855">
          <w:rPr>
            <w:noProof/>
            <w:webHidden/>
          </w:rPr>
        </w:r>
        <w:r w:rsidRPr="00BA7855">
          <w:rPr>
            <w:noProof/>
            <w:webHidden/>
          </w:rPr>
          <w:fldChar w:fldCharType="separate"/>
        </w:r>
        <w:r w:rsidR="00143EE1">
          <w:rPr>
            <w:noProof/>
            <w:webHidden/>
          </w:rPr>
          <w:t>68</w:t>
        </w:r>
        <w:r w:rsidRPr="00BA7855">
          <w:rPr>
            <w:noProof/>
            <w:webHidden/>
          </w:rPr>
          <w:fldChar w:fldCharType="end"/>
        </w:r>
      </w:hyperlink>
    </w:p>
    <w:p w14:paraId="5B78DB2E" w14:textId="073D6E8B"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635" w:history="1">
        <w:r w:rsidRPr="00BA7855">
          <w:rPr>
            <w:rStyle w:val="Hyperlink"/>
            <w:rFonts w:ascii="Times New Roman" w:hAnsi="Times New Roman"/>
            <w:noProof/>
          </w:rPr>
          <w:t>References</w:t>
        </w:r>
        <w:r w:rsidRPr="00BA7855">
          <w:rPr>
            <w:noProof/>
            <w:webHidden/>
          </w:rPr>
          <w:tab/>
        </w:r>
        <w:r w:rsidRPr="00BA7855">
          <w:rPr>
            <w:noProof/>
            <w:webHidden/>
          </w:rPr>
          <w:fldChar w:fldCharType="begin"/>
        </w:r>
        <w:r w:rsidRPr="00BA7855">
          <w:rPr>
            <w:noProof/>
            <w:webHidden/>
          </w:rPr>
          <w:instrText xml:space="preserve"> PAGEREF _Toc185325635 \h </w:instrText>
        </w:r>
        <w:r w:rsidRPr="00BA7855">
          <w:rPr>
            <w:noProof/>
            <w:webHidden/>
          </w:rPr>
        </w:r>
        <w:r w:rsidRPr="00BA7855">
          <w:rPr>
            <w:noProof/>
            <w:webHidden/>
          </w:rPr>
          <w:fldChar w:fldCharType="separate"/>
        </w:r>
        <w:r w:rsidR="00143EE1">
          <w:rPr>
            <w:noProof/>
            <w:webHidden/>
          </w:rPr>
          <w:t>69</w:t>
        </w:r>
        <w:r w:rsidRPr="00BA7855">
          <w:rPr>
            <w:noProof/>
            <w:webHidden/>
          </w:rPr>
          <w:fldChar w:fldCharType="end"/>
        </w:r>
      </w:hyperlink>
    </w:p>
    <w:p w14:paraId="467D64ED" w14:textId="0CBEA0EA"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636" w:history="1">
        <w:r w:rsidRPr="00BA7855">
          <w:rPr>
            <w:rStyle w:val="Hyperlink"/>
            <w:rFonts w:ascii="Times New Roman" w:hAnsi="Times New Roman"/>
            <w:noProof/>
          </w:rPr>
          <w:t>Appendix A</w:t>
        </w:r>
        <w:r w:rsidRPr="00BA7855">
          <w:rPr>
            <w:noProof/>
            <w:webHidden/>
          </w:rPr>
          <w:tab/>
        </w:r>
        <w:r w:rsidRPr="00BA7855">
          <w:rPr>
            <w:noProof/>
            <w:webHidden/>
          </w:rPr>
          <w:fldChar w:fldCharType="begin"/>
        </w:r>
        <w:r w:rsidRPr="00BA7855">
          <w:rPr>
            <w:noProof/>
            <w:webHidden/>
          </w:rPr>
          <w:instrText xml:space="preserve"> PAGEREF _Toc185325636 \h </w:instrText>
        </w:r>
        <w:r w:rsidRPr="00BA7855">
          <w:rPr>
            <w:noProof/>
            <w:webHidden/>
          </w:rPr>
        </w:r>
        <w:r w:rsidRPr="00BA7855">
          <w:rPr>
            <w:noProof/>
            <w:webHidden/>
          </w:rPr>
          <w:fldChar w:fldCharType="separate"/>
        </w:r>
        <w:r w:rsidR="00143EE1">
          <w:rPr>
            <w:noProof/>
            <w:webHidden/>
          </w:rPr>
          <w:t>90</w:t>
        </w:r>
        <w:r w:rsidRPr="00BA7855">
          <w:rPr>
            <w:noProof/>
            <w:webHidden/>
          </w:rPr>
          <w:fldChar w:fldCharType="end"/>
        </w:r>
      </w:hyperlink>
    </w:p>
    <w:p w14:paraId="5395C38B" w14:textId="333FF97C" w:rsidR="00BA7855" w:rsidRPr="00BA7855" w:rsidRDefault="00BA7855" w:rsidP="00BA7855">
      <w:pPr>
        <w:pStyle w:val="TOC1"/>
        <w:tabs>
          <w:tab w:val="left" w:pos="1680"/>
        </w:tabs>
        <w:rPr>
          <w:rFonts w:eastAsiaTheme="minorEastAsia"/>
          <w:noProof/>
          <w:kern w:val="2"/>
          <w14:ligatures w14:val="standardContextual"/>
        </w:rPr>
      </w:pPr>
      <w:hyperlink w:anchor="_Toc185325637" w:history="1">
        <w:r w:rsidRPr="00BA7855">
          <w:rPr>
            <w:rStyle w:val="Hyperlink"/>
            <w:rFonts w:ascii="Times New Roman" w:hAnsi="Times New Roman"/>
            <w:noProof/>
          </w:rPr>
          <w:t>CHAPTER 2</w:t>
        </w:r>
        <w:r w:rsidR="00C325C1">
          <w:rPr>
            <w:rFonts w:eastAsiaTheme="minorEastAsia"/>
            <w:noProof/>
            <w:kern w:val="2"/>
            <w14:ligatures w14:val="standardContextual"/>
          </w:rPr>
          <w:t xml:space="preserve"> </w:t>
        </w:r>
        <w:r w:rsidRPr="00BA7855">
          <w:rPr>
            <w:rStyle w:val="Hyperlink"/>
            <w:rFonts w:ascii="Times New Roman" w:hAnsi="Times New Roman"/>
            <w:noProof/>
          </w:rPr>
          <w:t>Trace Element and Isotopic Evolution of the Lunar Interior During Magma Ocean Solidification, Cumulate Overturn, and Subsequent Melting: Insights into Lunar Melt Sources</w:t>
        </w:r>
        <w:r w:rsidRPr="00BA7855">
          <w:rPr>
            <w:noProof/>
            <w:webHidden/>
          </w:rPr>
          <w:tab/>
        </w:r>
        <w:r w:rsidRPr="00BA7855">
          <w:rPr>
            <w:noProof/>
            <w:webHidden/>
          </w:rPr>
          <w:fldChar w:fldCharType="begin"/>
        </w:r>
        <w:r w:rsidRPr="00BA7855">
          <w:rPr>
            <w:noProof/>
            <w:webHidden/>
          </w:rPr>
          <w:instrText xml:space="preserve"> PAGEREF _Toc185325637 \h </w:instrText>
        </w:r>
        <w:r w:rsidRPr="00BA7855">
          <w:rPr>
            <w:noProof/>
            <w:webHidden/>
          </w:rPr>
        </w:r>
        <w:r w:rsidRPr="00BA7855">
          <w:rPr>
            <w:noProof/>
            <w:webHidden/>
          </w:rPr>
          <w:fldChar w:fldCharType="separate"/>
        </w:r>
        <w:r w:rsidR="00143EE1">
          <w:rPr>
            <w:noProof/>
            <w:webHidden/>
          </w:rPr>
          <w:t>105</w:t>
        </w:r>
        <w:r w:rsidRPr="00BA7855">
          <w:rPr>
            <w:noProof/>
            <w:webHidden/>
          </w:rPr>
          <w:fldChar w:fldCharType="end"/>
        </w:r>
      </w:hyperlink>
    </w:p>
    <w:p w14:paraId="337B9778" w14:textId="5B6E1622"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638" w:history="1">
        <w:r w:rsidRPr="00BA7855">
          <w:rPr>
            <w:rStyle w:val="Hyperlink"/>
            <w:rFonts w:ascii="Times New Roman" w:hAnsi="Times New Roman"/>
            <w:noProof/>
          </w:rPr>
          <w:t>Abstract</w:t>
        </w:r>
        <w:r w:rsidRPr="00BA7855">
          <w:rPr>
            <w:noProof/>
            <w:webHidden/>
          </w:rPr>
          <w:tab/>
        </w:r>
        <w:r w:rsidRPr="00BA7855">
          <w:rPr>
            <w:noProof/>
            <w:webHidden/>
          </w:rPr>
          <w:fldChar w:fldCharType="begin"/>
        </w:r>
        <w:r w:rsidRPr="00BA7855">
          <w:rPr>
            <w:noProof/>
            <w:webHidden/>
          </w:rPr>
          <w:instrText xml:space="preserve"> PAGEREF _Toc185325638 \h </w:instrText>
        </w:r>
        <w:r w:rsidRPr="00BA7855">
          <w:rPr>
            <w:noProof/>
            <w:webHidden/>
          </w:rPr>
        </w:r>
        <w:r w:rsidRPr="00BA7855">
          <w:rPr>
            <w:noProof/>
            <w:webHidden/>
          </w:rPr>
          <w:fldChar w:fldCharType="separate"/>
        </w:r>
        <w:r w:rsidR="00143EE1">
          <w:rPr>
            <w:noProof/>
            <w:webHidden/>
          </w:rPr>
          <w:t>106</w:t>
        </w:r>
        <w:r w:rsidRPr="00BA7855">
          <w:rPr>
            <w:noProof/>
            <w:webHidden/>
          </w:rPr>
          <w:fldChar w:fldCharType="end"/>
        </w:r>
      </w:hyperlink>
    </w:p>
    <w:p w14:paraId="276EA69E" w14:textId="146EB6C2"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39" w:history="1">
        <w:r w:rsidRPr="00BA7855">
          <w:rPr>
            <w:rStyle w:val="Hyperlink"/>
            <w:rFonts w:ascii="Times New Roman" w:hAnsi="Times New Roman"/>
            <w:noProof/>
          </w:rPr>
          <w:t>2.1</w:t>
        </w:r>
        <w:r w:rsidRPr="00BA7855">
          <w:rPr>
            <w:rFonts w:eastAsiaTheme="minorEastAsia"/>
            <w:noProof/>
            <w:kern w:val="2"/>
            <w14:ligatures w14:val="standardContextual"/>
          </w:rPr>
          <w:tab/>
        </w:r>
        <w:r w:rsidRPr="00BA7855">
          <w:rPr>
            <w:rStyle w:val="Hyperlink"/>
            <w:rFonts w:ascii="Times New Roman" w:hAnsi="Times New Roman"/>
            <w:noProof/>
          </w:rPr>
          <w:t>Introduction</w:t>
        </w:r>
        <w:r w:rsidRPr="00BA7855">
          <w:rPr>
            <w:noProof/>
            <w:webHidden/>
          </w:rPr>
          <w:tab/>
        </w:r>
        <w:r w:rsidRPr="00BA7855">
          <w:rPr>
            <w:noProof/>
            <w:webHidden/>
          </w:rPr>
          <w:fldChar w:fldCharType="begin"/>
        </w:r>
        <w:r w:rsidRPr="00BA7855">
          <w:rPr>
            <w:noProof/>
            <w:webHidden/>
          </w:rPr>
          <w:instrText xml:space="preserve"> PAGEREF _Toc185325639 \h </w:instrText>
        </w:r>
        <w:r w:rsidRPr="00BA7855">
          <w:rPr>
            <w:noProof/>
            <w:webHidden/>
          </w:rPr>
        </w:r>
        <w:r w:rsidRPr="00BA7855">
          <w:rPr>
            <w:noProof/>
            <w:webHidden/>
          </w:rPr>
          <w:fldChar w:fldCharType="separate"/>
        </w:r>
        <w:r w:rsidR="00143EE1">
          <w:rPr>
            <w:noProof/>
            <w:webHidden/>
          </w:rPr>
          <w:t>108</w:t>
        </w:r>
        <w:r w:rsidRPr="00BA7855">
          <w:rPr>
            <w:noProof/>
            <w:webHidden/>
          </w:rPr>
          <w:fldChar w:fldCharType="end"/>
        </w:r>
      </w:hyperlink>
    </w:p>
    <w:p w14:paraId="5AFAD4F0" w14:textId="421CC8D1"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40" w:history="1">
        <w:r w:rsidRPr="00BA7855">
          <w:rPr>
            <w:rStyle w:val="Hyperlink"/>
            <w:rFonts w:ascii="Times New Roman" w:hAnsi="Times New Roman"/>
            <w:noProof/>
          </w:rPr>
          <w:t>2.2</w:t>
        </w:r>
        <w:r w:rsidRPr="00BA7855">
          <w:rPr>
            <w:rFonts w:eastAsiaTheme="minorEastAsia"/>
            <w:noProof/>
            <w:kern w:val="2"/>
            <w14:ligatures w14:val="standardContextual"/>
          </w:rPr>
          <w:tab/>
        </w:r>
        <w:r w:rsidRPr="00BA7855">
          <w:rPr>
            <w:rStyle w:val="Hyperlink"/>
            <w:rFonts w:ascii="Times New Roman" w:hAnsi="Times New Roman"/>
            <w:noProof/>
          </w:rPr>
          <w:t>Geochemical Modeling</w:t>
        </w:r>
        <w:r w:rsidRPr="00BA7855">
          <w:rPr>
            <w:noProof/>
            <w:webHidden/>
          </w:rPr>
          <w:tab/>
        </w:r>
        <w:r w:rsidRPr="00BA7855">
          <w:rPr>
            <w:noProof/>
            <w:webHidden/>
          </w:rPr>
          <w:fldChar w:fldCharType="begin"/>
        </w:r>
        <w:r w:rsidRPr="00BA7855">
          <w:rPr>
            <w:noProof/>
            <w:webHidden/>
          </w:rPr>
          <w:instrText xml:space="preserve"> PAGEREF _Toc185325640 \h </w:instrText>
        </w:r>
        <w:r w:rsidRPr="00BA7855">
          <w:rPr>
            <w:noProof/>
            <w:webHidden/>
          </w:rPr>
        </w:r>
        <w:r w:rsidRPr="00BA7855">
          <w:rPr>
            <w:noProof/>
            <w:webHidden/>
          </w:rPr>
          <w:fldChar w:fldCharType="separate"/>
        </w:r>
        <w:r w:rsidR="00143EE1">
          <w:rPr>
            <w:noProof/>
            <w:webHidden/>
          </w:rPr>
          <w:t>114</w:t>
        </w:r>
        <w:r w:rsidRPr="00BA7855">
          <w:rPr>
            <w:noProof/>
            <w:webHidden/>
          </w:rPr>
          <w:fldChar w:fldCharType="end"/>
        </w:r>
      </w:hyperlink>
    </w:p>
    <w:p w14:paraId="63C7D759" w14:textId="6729AB46"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41" w:history="1">
        <w:r w:rsidRPr="00BA7855">
          <w:rPr>
            <w:rStyle w:val="Hyperlink"/>
            <w:rFonts w:ascii="Times New Roman" w:hAnsi="Times New Roman"/>
            <w:noProof/>
          </w:rPr>
          <w:t>2.2.1</w:t>
        </w:r>
        <w:r w:rsidRPr="00BA7855">
          <w:rPr>
            <w:rFonts w:eastAsiaTheme="minorEastAsia"/>
            <w:noProof/>
            <w:kern w:val="2"/>
            <w14:ligatures w14:val="standardContextual"/>
          </w:rPr>
          <w:tab/>
        </w:r>
        <w:r w:rsidRPr="00BA7855">
          <w:rPr>
            <w:rStyle w:val="Hyperlink"/>
            <w:rFonts w:ascii="Times New Roman" w:hAnsi="Times New Roman"/>
            <w:noProof/>
          </w:rPr>
          <w:t>Model Assumptions: Lunar Bulk Composition</w:t>
        </w:r>
        <w:r w:rsidRPr="00BA7855">
          <w:rPr>
            <w:noProof/>
            <w:webHidden/>
          </w:rPr>
          <w:tab/>
        </w:r>
        <w:r w:rsidRPr="00BA7855">
          <w:rPr>
            <w:noProof/>
            <w:webHidden/>
          </w:rPr>
          <w:fldChar w:fldCharType="begin"/>
        </w:r>
        <w:r w:rsidRPr="00BA7855">
          <w:rPr>
            <w:noProof/>
            <w:webHidden/>
          </w:rPr>
          <w:instrText xml:space="preserve"> PAGEREF _Toc185325641 \h </w:instrText>
        </w:r>
        <w:r w:rsidRPr="00BA7855">
          <w:rPr>
            <w:noProof/>
            <w:webHidden/>
          </w:rPr>
        </w:r>
        <w:r w:rsidRPr="00BA7855">
          <w:rPr>
            <w:noProof/>
            <w:webHidden/>
          </w:rPr>
          <w:fldChar w:fldCharType="separate"/>
        </w:r>
        <w:r w:rsidR="00143EE1">
          <w:rPr>
            <w:noProof/>
            <w:webHidden/>
          </w:rPr>
          <w:t>114</w:t>
        </w:r>
        <w:r w:rsidRPr="00BA7855">
          <w:rPr>
            <w:noProof/>
            <w:webHidden/>
          </w:rPr>
          <w:fldChar w:fldCharType="end"/>
        </w:r>
      </w:hyperlink>
    </w:p>
    <w:p w14:paraId="049D5B36" w14:textId="42078003"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42" w:history="1">
        <w:r w:rsidRPr="00BA7855">
          <w:rPr>
            <w:rStyle w:val="Hyperlink"/>
            <w:rFonts w:ascii="Times New Roman" w:hAnsi="Times New Roman"/>
            <w:noProof/>
          </w:rPr>
          <w:t>2.2.2</w:t>
        </w:r>
        <w:r w:rsidRPr="00BA7855">
          <w:rPr>
            <w:rFonts w:eastAsiaTheme="minorEastAsia"/>
            <w:noProof/>
            <w:kern w:val="2"/>
            <w14:ligatures w14:val="standardContextual"/>
          </w:rPr>
          <w:tab/>
        </w:r>
        <w:r w:rsidRPr="00BA7855">
          <w:rPr>
            <w:rStyle w:val="Hyperlink"/>
            <w:rFonts w:ascii="Times New Roman" w:hAnsi="Times New Roman"/>
            <w:noProof/>
          </w:rPr>
          <w:t>Lunar Magma Ocean Solidification Models</w:t>
        </w:r>
        <w:r w:rsidRPr="00BA7855">
          <w:rPr>
            <w:noProof/>
            <w:webHidden/>
          </w:rPr>
          <w:tab/>
        </w:r>
        <w:r w:rsidRPr="00BA7855">
          <w:rPr>
            <w:noProof/>
            <w:webHidden/>
          </w:rPr>
          <w:fldChar w:fldCharType="begin"/>
        </w:r>
        <w:r w:rsidRPr="00BA7855">
          <w:rPr>
            <w:noProof/>
            <w:webHidden/>
          </w:rPr>
          <w:instrText xml:space="preserve"> PAGEREF _Toc185325642 \h </w:instrText>
        </w:r>
        <w:r w:rsidRPr="00BA7855">
          <w:rPr>
            <w:noProof/>
            <w:webHidden/>
          </w:rPr>
        </w:r>
        <w:r w:rsidRPr="00BA7855">
          <w:rPr>
            <w:noProof/>
            <w:webHidden/>
          </w:rPr>
          <w:fldChar w:fldCharType="separate"/>
        </w:r>
        <w:r w:rsidR="00143EE1">
          <w:rPr>
            <w:noProof/>
            <w:webHidden/>
          </w:rPr>
          <w:t>115</w:t>
        </w:r>
        <w:r w:rsidRPr="00BA7855">
          <w:rPr>
            <w:noProof/>
            <w:webHidden/>
          </w:rPr>
          <w:fldChar w:fldCharType="end"/>
        </w:r>
      </w:hyperlink>
    </w:p>
    <w:p w14:paraId="23C0CCFC" w14:textId="4C00BD7E"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43" w:history="1">
        <w:r w:rsidRPr="00BA7855">
          <w:rPr>
            <w:rStyle w:val="Hyperlink"/>
            <w:rFonts w:ascii="Times New Roman" w:hAnsi="Times New Roman"/>
            <w:noProof/>
          </w:rPr>
          <w:t>2.2.3</w:t>
        </w:r>
        <w:r w:rsidRPr="00BA7855">
          <w:rPr>
            <w:rFonts w:eastAsiaTheme="minorEastAsia"/>
            <w:noProof/>
            <w:kern w:val="2"/>
            <w14:ligatures w14:val="standardContextual"/>
          </w:rPr>
          <w:tab/>
        </w:r>
        <w:r w:rsidRPr="00BA7855">
          <w:rPr>
            <w:rStyle w:val="Hyperlink"/>
            <w:rFonts w:ascii="Times New Roman" w:hAnsi="Times New Roman"/>
            <w:noProof/>
          </w:rPr>
          <w:t>LMO Solidification Products</w:t>
        </w:r>
        <w:r w:rsidRPr="00BA7855">
          <w:rPr>
            <w:noProof/>
            <w:webHidden/>
          </w:rPr>
          <w:tab/>
        </w:r>
        <w:r w:rsidRPr="00BA7855">
          <w:rPr>
            <w:noProof/>
            <w:webHidden/>
          </w:rPr>
          <w:fldChar w:fldCharType="begin"/>
        </w:r>
        <w:r w:rsidRPr="00BA7855">
          <w:rPr>
            <w:noProof/>
            <w:webHidden/>
          </w:rPr>
          <w:instrText xml:space="preserve"> PAGEREF _Toc185325643 \h </w:instrText>
        </w:r>
        <w:r w:rsidRPr="00BA7855">
          <w:rPr>
            <w:noProof/>
            <w:webHidden/>
          </w:rPr>
        </w:r>
        <w:r w:rsidRPr="00BA7855">
          <w:rPr>
            <w:noProof/>
            <w:webHidden/>
          </w:rPr>
          <w:fldChar w:fldCharType="separate"/>
        </w:r>
        <w:r w:rsidR="00143EE1">
          <w:rPr>
            <w:noProof/>
            <w:webHidden/>
          </w:rPr>
          <w:t>125</w:t>
        </w:r>
        <w:r w:rsidRPr="00BA7855">
          <w:rPr>
            <w:noProof/>
            <w:webHidden/>
          </w:rPr>
          <w:fldChar w:fldCharType="end"/>
        </w:r>
      </w:hyperlink>
    </w:p>
    <w:p w14:paraId="36849306" w14:textId="65BBB604"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44" w:history="1">
        <w:r w:rsidRPr="00BA7855">
          <w:rPr>
            <w:rStyle w:val="Hyperlink"/>
            <w:rFonts w:ascii="Times New Roman" w:hAnsi="Times New Roman"/>
            <w:noProof/>
          </w:rPr>
          <w:t>2.2.4</w:t>
        </w:r>
        <w:r w:rsidRPr="00BA7855">
          <w:rPr>
            <w:rFonts w:eastAsiaTheme="minorEastAsia"/>
            <w:noProof/>
            <w:kern w:val="2"/>
            <w14:ligatures w14:val="standardContextual"/>
          </w:rPr>
          <w:tab/>
        </w:r>
        <w:r w:rsidRPr="00BA7855">
          <w:rPr>
            <w:rStyle w:val="Hyperlink"/>
            <w:rFonts w:ascii="Times New Roman" w:hAnsi="Times New Roman"/>
            <w:noProof/>
          </w:rPr>
          <w:t>Eu anomalies of LMO cumulates and cumulate melts</w:t>
        </w:r>
        <w:r w:rsidRPr="00BA7855">
          <w:rPr>
            <w:noProof/>
            <w:webHidden/>
          </w:rPr>
          <w:tab/>
        </w:r>
        <w:r w:rsidRPr="00BA7855">
          <w:rPr>
            <w:noProof/>
            <w:webHidden/>
          </w:rPr>
          <w:fldChar w:fldCharType="begin"/>
        </w:r>
        <w:r w:rsidRPr="00BA7855">
          <w:rPr>
            <w:noProof/>
            <w:webHidden/>
          </w:rPr>
          <w:instrText xml:space="preserve"> PAGEREF _Toc185325644 \h </w:instrText>
        </w:r>
        <w:r w:rsidRPr="00BA7855">
          <w:rPr>
            <w:noProof/>
            <w:webHidden/>
          </w:rPr>
        </w:r>
        <w:r w:rsidRPr="00BA7855">
          <w:rPr>
            <w:noProof/>
            <w:webHidden/>
          </w:rPr>
          <w:fldChar w:fldCharType="separate"/>
        </w:r>
        <w:r w:rsidR="00143EE1">
          <w:rPr>
            <w:noProof/>
            <w:webHidden/>
          </w:rPr>
          <w:t>132</w:t>
        </w:r>
        <w:r w:rsidRPr="00BA7855">
          <w:rPr>
            <w:noProof/>
            <w:webHidden/>
          </w:rPr>
          <w:fldChar w:fldCharType="end"/>
        </w:r>
      </w:hyperlink>
    </w:p>
    <w:p w14:paraId="17091EDB" w14:textId="31F44C12"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45" w:history="1">
        <w:r w:rsidRPr="00BA7855">
          <w:rPr>
            <w:rStyle w:val="Hyperlink"/>
            <w:rFonts w:ascii="Times New Roman" w:hAnsi="Times New Roman"/>
            <w:noProof/>
          </w:rPr>
          <w:t>2.2.4.1</w:t>
        </w:r>
        <w:r w:rsidRPr="00BA7855">
          <w:rPr>
            <w:rFonts w:eastAsiaTheme="minorEastAsia"/>
            <w:noProof/>
            <w:kern w:val="2"/>
            <w14:ligatures w14:val="standardContextual"/>
          </w:rPr>
          <w:tab/>
        </w:r>
        <w:r w:rsidRPr="00BA7855">
          <w:rPr>
            <w:rStyle w:val="Hyperlink"/>
            <w:rFonts w:ascii="Times New Roman" w:hAnsi="Times New Roman"/>
            <w:noProof/>
          </w:rPr>
          <w:t>Residual LMO liquids and their relation to “KREEP”</w:t>
        </w:r>
        <w:r w:rsidRPr="00BA7855">
          <w:rPr>
            <w:noProof/>
            <w:webHidden/>
          </w:rPr>
          <w:tab/>
        </w:r>
        <w:r w:rsidRPr="00BA7855">
          <w:rPr>
            <w:noProof/>
            <w:webHidden/>
          </w:rPr>
          <w:fldChar w:fldCharType="begin"/>
        </w:r>
        <w:r w:rsidRPr="00BA7855">
          <w:rPr>
            <w:noProof/>
            <w:webHidden/>
          </w:rPr>
          <w:instrText xml:space="preserve"> PAGEREF _Toc185325645 \h </w:instrText>
        </w:r>
        <w:r w:rsidRPr="00BA7855">
          <w:rPr>
            <w:noProof/>
            <w:webHidden/>
          </w:rPr>
        </w:r>
        <w:r w:rsidRPr="00BA7855">
          <w:rPr>
            <w:noProof/>
            <w:webHidden/>
          </w:rPr>
          <w:fldChar w:fldCharType="separate"/>
        </w:r>
        <w:r w:rsidR="00143EE1">
          <w:rPr>
            <w:noProof/>
            <w:webHidden/>
          </w:rPr>
          <w:t>133</w:t>
        </w:r>
        <w:r w:rsidRPr="00BA7855">
          <w:rPr>
            <w:noProof/>
            <w:webHidden/>
          </w:rPr>
          <w:fldChar w:fldCharType="end"/>
        </w:r>
      </w:hyperlink>
    </w:p>
    <w:p w14:paraId="53F16A95" w14:textId="03199518"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46" w:history="1">
        <w:r w:rsidRPr="00BA7855">
          <w:rPr>
            <w:rStyle w:val="Hyperlink"/>
            <w:rFonts w:ascii="Times New Roman" w:hAnsi="Times New Roman"/>
            <w:noProof/>
          </w:rPr>
          <w:t>2.2.5</w:t>
        </w:r>
        <w:r w:rsidRPr="00BA7855">
          <w:rPr>
            <w:rFonts w:eastAsiaTheme="minorEastAsia"/>
            <w:noProof/>
            <w:kern w:val="2"/>
            <w14:ligatures w14:val="standardContextual"/>
          </w:rPr>
          <w:tab/>
        </w:r>
        <w:r w:rsidRPr="00BA7855">
          <w:rPr>
            <w:rStyle w:val="Hyperlink"/>
            <w:rFonts w:ascii="Times New Roman" w:hAnsi="Times New Roman"/>
            <w:noProof/>
          </w:rPr>
          <w:t>Partial Melting Models</w:t>
        </w:r>
        <w:r w:rsidRPr="00BA7855">
          <w:rPr>
            <w:noProof/>
            <w:webHidden/>
          </w:rPr>
          <w:tab/>
        </w:r>
        <w:r w:rsidRPr="00BA7855">
          <w:rPr>
            <w:noProof/>
            <w:webHidden/>
          </w:rPr>
          <w:fldChar w:fldCharType="begin"/>
        </w:r>
        <w:r w:rsidRPr="00BA7855">
          <w:rPr>
            <w:noProof/>
            <w:webHidden/>
          </w:rPr>
          <w:instrText xml:space="preserve"> PAGEREF _Toc185325646 \h </w:instrText>
        </w:r>
        <w:r w:rsidRPr="00BA7855">
          <w:rPr>
            <w:noProof/>
            <w:webHidden/>
          </w:rPr>
        </w:r>
        <w:r w:rsidRPr="00BA7855">
          <w:rPr>
            <w:noProof/>
            <w:webHidden/>
          </w:rPr>
          <w:fldChar w:fldCharType="separate"/>
        </w:r>
        <w:r w:rsidR="00143EE1">
          <w:rPr>
            <w:noProof/>
            <w:webHidden/>
          </w:rPr>
          <w:t>134</w:t>
        </w:r>
        <w:r w:rsidRPr="00BA7855">
          <w:rPr>
            <w:noProof/>
            <w:webHidden/>
          </w:rPr>
          <w:fldChar w:fldCharType="end"/>
        </w:r>
      </w:hyperlink>
    </w:p>
    <w:p w14:paraId="6F92CAB7" w14:textId="56763ED3"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47" w:history="1">
        <w:r w:rsidRPr="00BA7855">
          <w:rPr>
            <w:rStyle w:val="Hyperlink"/>
            <w:rFonts w:ascii="Times New Roman" w:hAnsi="Times New Roman"/>
            <w:noProof/>
          </w:rPr>
          <w:t>2.2.6</w:t>
        </w:r>
        <w:r w:rsidRPr="00BA7855">
          <w:rPr>
            <w:rFonts w:eastAsiaTheme="minorEastAsia"/>
            <w:noProof/>
            <w:kern w:val="2"/>
            <w14:ligatures w14:val="standardContextual"/>
          </w:rPr>
          <w:tab/>
        </w:r>
        <w:r w:rsidRPr="00BA7855">
          <w:rPr>
            <w:rStyle w:val="Hyperlink"/>
            <w:rFonts w:ascii="Times New Roman" w:hAnsi="Times New Roman"/>
            <w:noProof/>
          </w:rPr>
          <w:t>Partial Melting of Initial LMO Cumulates</w:t>
        </w:r>
        <w:r w:rsidRPr="00BA7855">
          <w:rPr>
            <w:noProof/>
            <w:webHidden/>
          </w:rPr>
          <w:tab/>
        </w:r>
        <w:r w:rsidRPr="00BA7855">
          <w:rPr>
            <w:noProof/>
            <w:webHidden/>
          </w:rPr>
          <w:fldChar w:fldCharType="begin"/>
        </w:r>
        <w:r w:rsidRPr="00BA7855">
          <w:rPr>
            <w:noProof/>
            <w:webHidden/>
          </w:rPr>
          <w:instrText xml:space="preserve"> PAGEREF _Toc185325647 \h </w:instrText>
        </w:r>
        <w:r w:rsidRPr="00BA7855">
          <w:rPr>
            <w:noProof/>
            <w:webHidden/>
          </w:rPr>
        </w:r>
        <w:r w:rsidRPr="00BA7855">
          <w:rPr>
            <w:noProof/>
            <w:webHidden/>
          </w:rPr>
          <w:fldChar w:fldCharType="separate"/>
        </w:r>
        <w:r w:rsidR="00143EE1">
          <w:rPr>
            <w:noProof/>
            <w:webHidden/>
          </w:rPr>
          <w:t>136</w:t>
        </w:r>
        <w:r w:rsidRPr="00BA7855">
          <w:rPr>
            <w:noProof/>
            <w:webHidden/>
          </w:rPr>
          <w:fldChar w:fldCharType="end"/>
        </w:r>
      </w:hyperlink>
    </w:p>
    <w:p w14:paraId="6D77C098" w14:textId="03D64765"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48" w:history="1">
        <w:r w:rsidRPr="00BA7855">
          <w:rPr>
            <w:rStyle w:val="Hyperlink"/>
            <w:rFonts w:ascii="Times New Roman" w:hAnsi="Times New Roman"/>
            <w:noProof/>
          </w:rPr>
          <w:t>2.3</w:t>
        </w:r>
        <w:r w:rsidRPr="00BA7855">
          <w:rPr>
            <w:rFonts w:eastAsiaTheme="minorEastAsia"/>
            <w:noProof/>
            <w:kern w:val="2"/>
            <w14:ligatures w14:val="standardContextual"/>
          </w:rPr>
          <w:tab/>
        </w:r>
        <w:r w:rsidRPr="00BA7855">
          <w:rPr>
            <w:rStyle w:val="Hyperlink"/>
            <w:rFonts w:ascii="Times New Roman" w:hAnsi="Times New Roman"/>
            <w:noProof/>
          </w:rPr>
          <w:t>Mantle Hybridization After Cumulate Mantle Overturn</w:t>
        </w:r>
        <w:r w:rsidRPr="00BA7855">
          <w:rPr>
            <w:noProof/>
            <w:webHidden/>
          </w:rPr>
          <w:tab/>
        </w:r>
        <w:r w:rsidRPr="00BA7855">
          <w:rPr>
            <w:noProof/>
            <w:webHidden/>
          </w:rPr>
          <w:fldChar w:fldCharType="begin"/>
        </w:r>
        <w:r w:rsidRPr="00BA7855">
          <w:rPr>
            <w:noProof/>
            <w:webHidden/>
          </w:rPr>
          <w:instrText xml:space="preserve"> PAGEREF _Toc185325648 \h </w:instrText>
        </w:r>
        <w:r w:rsidRPr="00BA7855">
          <w:rPr>
            <w:noProof/>
            <w:webHidden/>
          </w:rPr>
        </w:r>
        <w:r w:rsidRPr="00BA7855">
          <w:rPr>
            <w:noProof/>
            <w:webHidden/>
          </w:rPr>
          <w:fldChar w:fldCharType="separate"/>
        </w:r>
        <w:r w:rsidR="00143EE1">
          <w:rPr>
            <w:noProof/>
            <w:webHidden/>
          </w:rPr>
          <w:t>143</w:t>
        </w:r>
        <w:r w:rsidRPr="00BA7855">
          <w:rPr>
            <w:noProof/>
            <w:webHidden/>
          </w:rPr>
          <w:fldChar w:fldCharType="end"/>
        </w:r>
      </w:hyperlink>
    </w:p>
    <w:p w14:paraId="262479A3" w14:textId="45CA92B7"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49" w:history="1">
        <w:r w:rsidRPr="00BA7855">
          <w:rPr>
            <w:rStyle w:val="Hyperlink"/>
            <w:rFonts w:ascii="Times New Roman" w:hAnsi="Times New Roman"/>
            <w:noProof/>
          </w:rPr>
          <w:t>2.3.1</w:t>
        </w:r>
        <w:r w:rsidRPr="00BA7855">
          <w:rPr>
            <w:rFonts w:eastAsiaTheme="minorEastAsia"/>
            <w:noProof/>
            <w:kern w:val="2"/>
            <w14:ligatures w14:val="standardContextual"/>
          </w:rPr>
          <w:tab/>
        </w:r>
        <w:r w:rsidRPr="00BA7855">
          <w:rPr>
            <w:rStyle w:val="Hyperlink"/>
            <w:rFonts w:ascii="Times New Roman" w:hAnsi="Times New Roman"/>
            <w:noProof/>
          </w:rPr>
          <w:t>Mineralogy of the Downwelling IBC Material</w:t>
        </w:r>
        <w:r w:rsidRPr="00BA7855">
          <w:rPr>
            <w:noProof/>
            <w:webHidden/>
          </w:rPr>
          <w:tab/>
        </w:r>
        <w:r w:rsidRPr="00BA7855">
          <w:rPr>
            <w:noProof/>
            <w:webHidden/>
          </w:rPr>
          <w:fldChar w:fldCharType="begin"/>
        </w:r>
        <w:r w:rsidRPr="00BA7855">
          <w:rPr>
            <w:noProof/>
            <w:webHidden/>
          </w:rPr>
          <w:instrText xml:space="preserve"> PAGEREF _Toc185325649 \h </w:instrText>
        </w:r>
        <w:r w:rsidRPr="00BA7855">
          <w:rPr>
            <w:noProof/>
            <w:webHidden/>
          </w:rPr>
        </w:r>
        <w:r w:rsidRPr="00BA7855">
          <w:rPr>
            <w:noProof/>
            <w:webHidden/>
          </w:rPr>
          <w:fldChar w:fldCharType="separate"/>
        </w:r>
        <w:r w:rsidR="00143EE1">
          <w:rPr>
            <w:noProof/>
            <w:webHidden/>
          </w:rPr>
          <w:t>144</w:t>
        </w:r>
        <w:r w:rsidRPr="00BA7855">
          <w:rPr>
            <w:noProof/>
            <w:webHidden/>
          </w:rPr>
          <w:fldChar w:fldCharType="end"/>
        </w:r>
      </w:hyperlink>
    </w:p>
    <w:p w14:paraId="605B23C7" w14:textId="3948DEBB"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50" w:history="1">
        <w:r w:rsidRPr="00BA7855">
          <w:rPr>
            <w:rStyle w:val="Hyperlink"/>
            <w:rFonts w:ascii="Times New Roman" w:hAnsi="Times New Roman"/>
            <w:noProof/>
          </w:rPr>
          <w:t>2.3.2</w:t>
        </w:r>
        <w:r w:rsidRPr="00BA7855">
          <w:rPr>
            <w:rFonts w:eastAsiaTheme="minorEastAsia"/>
            <w:noProof/>
            <w:kern w:val="2"/>
            <w14:ligatures w14:val="standardContextual"/>
          </w:rPr>
          <w:tab/>
        </w:r>
        <w:r w:rsidRPr="00BA7855">
          <w:rPr>
            <w:rStyle w:val="Hyperlink"/>
            <w:rFonts w:ascii="Times New Roman" w:hAnsi="Times New Roman"/>
            <w:noProof/>
          </w:rPr>
          <w:t>Partial Melting of Downwelling IBC</w:t>
        </w:r>
        <w:r w:rsidRPr="00BA7855">
          <w:rPr>
            <w:noProof/>
            <w:webHidden/>
          </w:rPr>
          <w:tab/>
        </w:r>
        <w:r w:rsidRPr="00BA7855">
          <w:rPr>
            <w:noProof/>
            <w:webHidden/>
          </w:rPr>
          <w:fldChar w:fldCharType="begin"/>
        </w:r>
        <w:r w:rsidRPr="00BA7855">
          <w:rPr>
            <w:noProof/>
            <w:webHidden/>
          </w:rPr>
          <w:instrText xml:space="preserve"> PAGEREF _Toc185325650 \h </w:instrText>
        </w:r>
        <w:r w:rsidRPr="00BA7855">
          <w:rPr>
            <w:noProof/>
            <w:webHidden/>
          </w:rPr>
        </w:r>
        <w:r w:rsidRPr="00BA7855">
          <w:rPr>
            <w:noProof/>
            <w:webHidden/>
          </w:rPr>
          <w:fldChar w:fldCharType="separate"/>
        </w:r>
        <w:r w:rsidR="00143EE1">
          <w:rPr>
            <w:noProof/>
            <w:webHidden/>
          </w:rPr>
          <w:t>146</w:t>
        </w:r>
        <w:r w:rsidRPr="00BA7855">
          <w:rPr>
            <w:noProof/>
            <w:webHidden/>
          </w:rPr>
          <w:fldChar w:fldCharType="end"/>
        </w:r>
      </w:hyperlink>
    </w:p>
    <w:p w14:paraId="237860A9" w14:textId="72312EFD"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51" w:history="1">
        <w:r w:rsidRPr="00BA7855">
          <w:rPr>
            <w:rStyle w:val="Hyperlink"/>
            <w:rFonts w:ascii="Times New Roman" w:hAnsi="Times New Roman"/>
            <w:noProof/>
          </w:rPr>
          <w:t>2.3.3</w:t>
        </w:r>
        <w:r w:rsidRPr="00BA7855">
          <w:rPr>
            <w:rFonts w:eastAsiaTheme="minorEastAsia"/>
            <w:noProof/>
            <w:kern w:val="2"/>
            <w14:ligatures w14:val="standardContextual"/>
          </w:rPr>
          <w:tab/>
        </w:r>
        <w:r w:rsidRPr="00BA7855">
          <w:rPr>
            <w:rStyle w:val="Hyperlink"/>
            <w:rFonts w:ascii="Times New Roman" w:hAnsi="Times New Roman"/>
            <w:noProof/>
          </w:rPr>
          <w:t>LMO Cumulate Hybridization</w:t>
        </w:r>
        <w:r w:rsidRPr="00BA7855">
          <w:rPr>
            <w:noProof/>
            <w:webHidden/>
          </w:rPr>
          <w:tab/>
        </w:r>
        <w:r w:rsidRPr="00BA7855">
          <w:rPr>
            <w:noProof/>
            <w:webHidden/>
          </w:rPr>
          <w:fldChar w:fldCharType="begin"/>
        </w:r>
        <w:r w:rsidRPr="00BA7855">
          <w:rPr>
            <w:noProof/>
            <w:webHidden/>
          </w:rPr>
          <w:instrText xml:space="preserve"> PAGEREF _Toc185325651 \h </w:instrText>
        </w:r>
        <w:r w:rsidRPr="00BA7855">
          <w:rPr>
            <w:noProof/>
            <w:webHidden/>
          </w:rPr>
        </w:r>
        <w:r w:rsidRPr="00BA7855">
          <w:rPr>
            <w:noProof/>
            <w:webHidden/>
          </w:rPr>
          <w:fldChar w:fldCharType="separate"/>
        </w:r>
        <w:r w:rsidR="00143EE1">
          <w:rPr>
            <w:noProof/>
            <w:webHidden/>
          </w:rPr>
          <w:t>151</w:t>
        </w:r>
        <w:r w:rsidRPr="00BA7855">
          <w:rPr>
            <w:noProof/>
            <w:webHidden/>
          </w:rPr>
          <w:fldChar w:fldCharType="end"/>
        </w:r>
      </w:hyperlink>
    </w:p>
    <w:p w14:paraId="5C21054A" w14:textId="50E89802"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52" w:history="1">
        <w:r w:rsidRPr="00BA7855">
          <w:rPr>
            <w:rStyle w:val="Hyperlink"/>
            <w:rFonts w:ascii="Times New Roman" w:hAnsi="Times New Roman"/>
            <w:noProof/>
          </w:rPr>
          <w:t>2.3.4</w:t>
        </w:r>
        <w:r w:rsidRPr="00BA7855">
          <w:rPr>
            <w:rFonts w:eastAsiaTheme="minorEastAsia"/>
            <w:noProof/>
            <w:kern w:val="2"/>
            <w14:ligatures w14:val="standardContextual"/>
          </w:rPr>
          <w:tab/>
        </w:r>
        <w:r w:rsidRPr="00BA7855">
          <w:rPr>
            <w:rStyle w:val="Hyperlink"/>
            <w:rFonts w:ascii="Times New Roman" w:hAnsi="Times New Roman"/>
            <w:noProof/>
          </w:rPr>
          <w:t>Partial Melting of Hybridized Mantle Sources</w:t>
        </w:r>
        <w:r w:rsidRPr="00BA7855">
          <w:rPr>
            <w:noProof/>
            <w:webHidden/>
          </w:rPr>
          <w:tab/>
        </w:r>
        <w:r w:rsidRPr="00BA7855">
          <w:rPr>
            <w:noProof/>
            <w:webHidden/>
          </w:rPr>
          <w:fldChar w:fldCharType="begin"/>
        </w:r>
        <w:r w:rsidRPr="00BA7855">
          <w:rPr>
            <w:noProof/>
            <w:webHidden/>
          </w:rPr>
          <w:instrText xml:space="preserve"> PAGEREF _Toc185325652 \h </w:instrText>
        </w:r>
        <w:r w:rsidRPr="00BA7855">
          <w:rPr>
            <w:noProof/>
            <w:webHidden/>
          </w:rPr>
        </w:r>
        <w:r w:rsidRPr="00BA7855">
          <w:rPr>
            <w:noProof/>
            <w:webHidden/>
          </w:rPr>
          <w:fldChar w:fldCharType="separate"/>
        </w:r>
        <w:r w:rsidR="00143EE1">
          <w:rPr>
            <w:noProof/>
            <w:webHidden/>
          </w:rPr>
          <w:t>159</w:t>
        </w:r>
        <w:r w:rsidRPr="00BA7855">
          <w:rPr>
            <w:noProof/>
            <w:webHidden/>
          </w:rPr>
          <w:fldChar w:fldCharType="end"/>
        </w:r>
      </w:hyperlink>
    </w:p>
    <w:p w14:paraId="79D4D62D" w14:textId="0AF44060"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53" w:history="1">
        <w:r w:rsidRPr="00BA7855">
          <w:rPr>
            <w:rStyle w:val="Hyperlink"/>
            <w:rFonts w:ascii="Times New Roman" w:hAnsi="Times New Roman"/>
            <w:noProof/>
          </w:rPr>
          <w:t>2.3.5</w:t>
        </w:r>
        <w:r w:rsidRPr="00BA7855">
          <w:rPr>
            <w:rFonts w:eastAsiaTheme="minorEastAsia"/>
            <w:noProof/>
            <w:kern w:val="2"/>
            <w14:ligatures w14:val="standardContextual"/>
          </w:rPr>
          <w:tab/>
        </w:r>
        <w:r w:rsidRPr="00BA7855">
          <w:rPr>
            <w:rStyle w:val="Hyperlink"/>
            <w:rFonts w:ascii="Times New Roman" w:hAnsi="Times New Roman"/>
            <w:noProof/>
          </w:rPr>
          <w:t>Effect of Garnet on Hybridized Source Melt Chemistry</w:t>
        </w:r>
        <w:r w:rsidRPr="00BA7855">
          <w:rPr>
            <w:noProof/>
            <w:webHidden/>
          </w:rPr>
          <w:tab/>
        </w:r>
        <w:r w:rsidRPr="00BA7855">
          <w:rPr>
            <w:noProof/>
            <w:webHidden/>
          </w:rPr>
          <w:fldChar w:fldCharType="begin"/>
        </w:r>
        <w:r w:rsidRPr="00BA7855">
          <w:rPr>
            <w:noProof/>
            <w:webHidden/>
          </w:rPr>
          <w:instrText xml:space="preserve"> PAGEREF _Toc185325653 \h </w:instrText>
        </w:r>
        <w:r w:rsidRPr="00BA7855">
          <w:rPr>
            <w:noProof/>
            <w:webHidden/>
          </w:rPr>
        </w:r>
        <w:r w:rsidRPr="00BA7855">
          <w:rPr>
            <w:noProof/>
            <w:webHidden/>
          </w:rPr>
          <w:fldChar w:fldCharType="separate"/>
        </w:r>
        <w:r w:rsidR="00143EE1">
          <w:rPr>
            <w:noProof/>
            <w:webHidden/>
          </w:rPr>
          <w:t>159</w:t>
        </w:r>
        <w:r w:rsidRPr="00BA7855">
          <w:rPr>
            <w:noProof/>
            <w:webHidden/>
          </w:rPr>
          <w:fldChar w:fldCharType="end"/>
        </w:r>
      </w:hyperlink>
    </w:p>
    <w:p w14:paraId="75296492" w14:textId="268EE89E"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54" w:history="1">
        <w:r w:rsidRPr="00BA7855">
          <w:rPr>
            <w:rStyle w:val="Hyperlink"/>
            <w:rFonts w:ascii="Times New Roman" w:hAnsi="Times New Roman"/>
            <w:noProof/>
          </w:rPr>
          <w:t>2.3.5.1</w:t>
        </w:r>
        <w:r w:rsidRPr="00BA7855">
          <w:rPr>
            <w:rFonts w:eastAsiaTheme="minorEastAsia"/>
            <w:noProof/>
            <w:kern w:val="2"/>
            <w14:ligatures w14:val="standardContextual"/>
          </w:rPr>
          <w:tab/>
        </w:r>
        <w:r w:rsidRPr="00BA7855">
          <w:rPr>
            <w:rStyle w:val="Hyperlink"/>
            <w:rFonts w:ascii="Times New Roman" w:hAnsi="Times New Roman"/>
            <w:noProof/>
          </w:rPr>
          <w:t>Mechanical Mixing with Solid IBC Material</w:t>
        </w:r>
        <w:r w:rsidRPr="00BA7855">
          <w:rPr>
            <w:noProof/>
            <w:webHidden/>
          </w:rPr>
          <w:tab/>
        </w:r>
        <w:r w:rsidRPr="00BA7855">
          <w:rPr>
            <w:noProof/>
            <w:webHidden/>
          </w:rPr>
          <w:fldChar w:fldCharType="begin"/>
        </w:r>
        <w:r w:rsidRPr="00BA7855">
          <w:rPr>
            <w:noProof/>
            <w:webHidden/>
          </w:rPr>
          <w:instrText xml:space="preserve"> PAGEREF _Toc185325654 \h </w:instrText>
        </w:r>
        <w:r w:rsidRPr="00BA7855">
          <w:rPr>
            <w:noProof/>
            <w:webHidden/>
          </w:rPr>
        </w:r>
        <w:r w:rsidRPr="00BA7855">
          <w:rPr>
            <w:noProof/>
            <w:webHidden/>
          </w:rPr>
          <w:fldChar w:fldCharType="separate"/>
        </w:r>
        <w:r w:rsidR="00143EE1">
          <w:rPr>
            <w:noProof/>
            <w:webHidden/>
          </w:rPr>
          <w:t>159</w:t>
        </w:r>
        <w:r w:rsidRPr="00BA7855">
          <w:rPr>
            <w:noProof/>
            <w:webHidden/>
          </w:rPr>
          <w:fldChar w:fldCharType="end"/>
        </w:r>
      </w:hyperlink>
    </w:p>
    <w:p w14:paraId="5004285A" w14:textId="4226513D"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55" w:history="1">
        <w:r w:rsidRPr="00BA7855">
          <w:rPr>
            <w:rStyle w:val="Hyperlink"/>
            <w:rFonts w:ascii="Times New Roman" w:hAnsi="Times New Roman"/>
            <w:noProof/>
          </w:rPr>
          <w:t>2.3.5.2</w:t>
        </w:r>
        <w:r w:rsidRPr="00BA7855">
          <w:rPr>
            <w:rFonts w:eastAsiaTheme="minorEastAsia"/>
            <w:noProof/>
            <w:kern w:val="2"/>
            <w14:ligatures w14:val="standardContextual"/>
          </w:rPr>
          <w:tab/>
        </w:r>
        <w:r w:rsidRPr="00BA7855">
          <w:rPr>
            <w:rStyle w:val="Hyperlink"/>
            <w:rFonts w:ascii="Times New Roman" w:hAnsi="Times New Roman"/>
            <w:noProof/>
          </w:rPr>
          <w:t>Garnet-Free IBC</w:t>
        </w:r>
        <w:r w:rsidRPr="00BA7855">
          <w:rPr>
            <w:noProof/>
            <w:webHidden/>
          </w:rPr>
          <w:tab/>
        </w:r>
        <w:r w:rsidRPr="00BA7855">
          <w:rPr>
            <w:noProof/>
            <w:webHidden/>
          </w:rPr>
          <w:fldChar w:fldCharType="begin"/>
        </w:r>
        <w:r w:rsidRPr="00BA7855">
          <w:rPr>
            <w:noProof/>
            <w:webHidden/>
          </w:rPr>
          <w:instrText xml:space="preserve"> PAGEREF _Toc185325655 \h </w:instrText>
        </w:r>
        <w:r w:rsidRPr="00BA7855">
          <w:rPr>
            <w:noProof/>
            <w:webHidden/>
          </w:rPr>
        </w:r>
        <w:r w:rsidRPr="00BA7855">
          <w:rPr>
            <w:noProof/>
            <w:webHidden/>
          </w:rPr>
          <w:fldChar w:fldCharType="separate"/>
        </w:r>
        <w:r w:rsidR="00143EE1">
          <w:rPr>
            <w:noProof/>
            <w:webHidden/>
          </w:rPr>
          <w:t>163</w:t>
        </w:r>
        <w:r w:rsidRPr="00BA7855">
          <w:rPr>
            <w:noProof/>
            <w:webHidden/>
          </w:rPr>
          <w:fldChar w:fldCharType="end"/>
        </w:r>
      </w:hyperlink>
    </w:p>
    <w:p w14:paraId="4A8CF384" w14:textId="5E75929C"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56" w:history="1">
        <w:r w:rsidRPr="00BA7855">
          <w:rPr>
            <w:rStyle w:val="Hyperlink"/>
            <w:rFonts w:ascii="Times New Roman" w:hAnsi="Times New Roman"/>
            <w:noProof/>
          </w:rPr>
          <w:t>2.3.5.3</w:t>
        </w:r>
        <w:r w:rsidRPr="00BA7855">
          <w:rPr>
            <w:rFonts w:eastAsiaTheme="minorEastAsia"/>
            <w:noProof/>
            <w:kern w:val="2"/>
            <w14:ligatures w14:val="standardContextual"/>
          </w:rPr>
          <w:tab/>
        </w:r>
        <w:r w:rsidRPr="00BA7855">
          <w:rPr>
            <w:rStyle w:val="Hyperlink"/>
            <w:rFonts w:ascii="Times New Roman" w:hAnsi="Times New Roman"/>
            <w:noProof/>
          </w:rPr>
          <w:t>Garnet-Bearing IBC</w:t>
        </w:r>
        <w:r w:rsidRPr="00BA7855">
          <w:rPr>
            <w:noProof/>
            <w:webHidden/>
          </w:rPr>
          <w:tab/>
        </w:r>
        <w:r w:rsidRPr="00BA7855">
          <w:rPr>
            <w:noProof/>
            <w:webHidden/>
          </w:rPr>
          <w:fldChar w:fldCharType="begin"/>
        </w:r>
        <w:r w:rsidRPr="00BA7855">
          <w:rPr>
            <w:noProof/>
            <w:webHidden/>
          </w:rPr>
          <w:instrText xml:space="preserve"> PAGEREF _Toc185325656 \h </w:instrText>
        </w:r>
        <w:r w:rsidRPr="00BA7855">
          <w:rPr>
            <w:noProof/>
            <w:webHidden/>
          </w:rPr>
        </w:r>
        <w:r w:rsidRPr="00BA7855">
          <w:rPr>
            <w:noProof/>
            <w:webHidden/>
          </w:rPr>
          <w:fldChar w:fldCharType="separate"/>
        </w:r>
        <w:r w:rsidR="00143EE1">
          <w:rPr>
            <w:noProof/>
            <w:webHidden/>
          </w:rPr>
          <w:t>166</w:t>
        </w:r>
        <w:r w:rsidRPr="00BA7855">
          <w:rPr>
            <w:noProof/>
            <w:webHidden/>
          </w:rPr>
          <w:fldChar w:fldCharType="end"/>
        </w:r>
      </w:hyperlink>
    </w:p>
    <w:p w14:paraId="1C66DB3C" w14:textId="40719F8F"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57" w:history="1">
        <w:r w:rsidRPr="00BA7855">
          <w:rPr>
            <w:rStyle w:val="Hyperlink"/>
            <w:rFonts w:ascii="Times New Roman" w:hAnsi="Times New Roman"/>
            <w:noProof/>
          </w:rPr>
          <w:t>2.3.5.4</w:t>
        </w:r>
        <w:r w:rsidRPr="00BA7855">
          <w:rPr>
            <w:rFonts w:eastAsiaTheme="minorEastAsia"/>
            <w:noProof/>
            <w:kern w:val="2"/>
            <w14:ligatures w14:val="standardContextual"/>
          </w:rPr>
          <w:tab/>
        </w:r>
        <w:r w:rsidRPr="00BA7855">
          <w:rPr>
            <w:rStyle w:val="Hyperlink"/>
            <w:rFonts w:ascii="Times New Roman" w:hAnsi="Times New Roman"/>
            <w:noProof/>
          </w:rPr>
          <w:t>Summary of Partial Melting Models Assuming No Late Cumulate Mixing (Scenarios #1-#5)</w:t>
        </w:r>
        <w:r w:rsidRPr="00BA7855">
          <w:rPr>
            <w:noProof/>
            <w:webHidden/>
          </w:rPr>
          <w:tab/>
        </w:r>
        <w:r w:rsidRPr="00BA7855">
          <w:rPr>
            <w:noProof/>
            <w:webHidden/>
          </w:rPr>
          <w:fldChar w:fldCharType="begin"/>
        </w:r>
        <w:r w:rsidRPr="00BA7855">
          <w:rPr>
            <w:noProof/>
            <w:webHidden/>
          </w:rPr>
          <w:instrText xml:space="preserve"> PAGEREF _Toc185325657 \h </w:instrText>
        </w:r>
        <w:r w:rsidRPr="00BA7855">
          <w:rPr>
            <w:noProof/>
            <w:webHidden/>
          </w:rPr>
        </w:r>
        <w:r w:rsidRPr="00BA7855">
          <w:rPr>
            <w:noProof/>
            <w:webHidden/>
          </w:rPr>
          <w:fldChar w:fldCharType="separate"/>
        </w:r>
        <w:r w:rsidR="00143EE1">
          <w:rPr>
            <w:noProof/>
            <w:webHidden/>
          </w:rPr>
          <w:t>167</w:t>
        </w:r>
        <w:r w:rsidRPr="00BA7855">
          <w:rPr>
            <w:noProof/>
            <w:webHidden/>
          </w:rPr>
          <w:fldChar w:fldCharType="end"/>
        </w:r>
      </w:hyperlink>
    </w:p>
    <w:p w14:paraId="30F53CD4" w14:textId="29D01869"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58" w:history="1">
        <w:r w:rsidRPr="00BA7855">
          <w:rPr>
            <w:rStyle w:val="Hyperlink"/>
            <w:rFonts w:ascii="Times New Roman" w:hAnsi="Times New Roman"/>
            <w:noProof/>
          </w:rPr>
          <w:t>2.3.6</w:t>
        </w:r>
        <w:r w:rsidRPr="00BA7855">
          <w:rPr>
            <w:rFonts w:eastAsiaTheme="minorEastAsia"/>
            <w:noProof/>
            <w:kern w:val="2"/>
            <w14:ligatures w14:val="standardContextual"/>
          </w:rPr>
          <w:tab/>
        </w:r>
        <w:r w:rsidRPr="00BA7855">
          <w:rPr>
            <w:rStyle w:val="Hyperlink"/>
            <w:rFonts w:ascii="Times New Roman" w:eastAsiaTheme="majorEastAsia" w:hAnsi="Times New Roman"/>
            <w:noProof/>
          </w:rPr>
          <w:t>Early Mixing During LMO Solidification</w:t>
        </w:r>
        <w:r w:rsidRPr="00BA7855">
          <w:rPr>
            <w:noProof/>
            <w:webHidden/>
          </w:rPr>
          <w:tab/>
        </w:r>
        <w:r w:rsidRPr="00BA7855">
          <w:rPr>
            <w:noProof/>
            <w:webHidden/>
          </w:rPr>
          <w:fldChar w:fldCharType="begin"/>
        </w:r>
        <w:r w:rsidRPr="00BA7855">
          <w:rPr>
            <w:noProof/>
            <w:webHidden/>
          </w:rPr>
          <w:instrText xml:space="preserve"> PAGEREF _Toc185325658 \h </w:instrText>
        </w:r>
        <w:r w:rsidRPr="00BA7855">
          <w:rPr>
            <w:noProof/>
            <w:webHidden/>
          </w:rPr>
        </w:r>
        <w:r w:rsidRPr="00BA7855">
          <w:rPr>
            <w:noProof/>
            <w:webHidden/>
          </w:rPr>
          <w:fldChar w:fldCharType="separate"/>
        </w:r>
        <w:r w:rsidR="00143EE1">
          <w:rPr>
            <w:noProof/>
            <w:webHidden/>
          </w:rPr>
          <w:t>170</w:t>
        </w:r>
        <w:r w:rsidRPr="00BA7855">
          <w:rPr>
            <w:noProof/>
            <w:webHidden/>
          </w:rPr>
          <w:fldChar w:fldCharType="end"/>
        </w:r>
      </w:hyperlink>
    </w:p>
    <w:p w14:paraId="4B2B550D" w14:textId="0DA5D290"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59" w:history="1">
        <w:r w:rsidRPr="00BA7855">
          <w:rPr>
            <w:rStyle w:val="Hyperlink"/>
            <w:rFonts w:ascii="Times New Roman" w:eastAsiaTheme="majorEastAsia" w:hAnsi="Times New Roman"/>
            <w:noProof/>
          </w:rPr>
          <w:t>2.3.6.1</w:t>
        </w:r>
        <w:r w:rsidRPr="00BA7855">
          <w:rPr>
            <w:rFonts w:eastAsiaTheme="minorEastAsia"/>
            <w:noProof/>
            <w:kern w:val="2"/>
            <w14:ligatures w14:val="standardContextual"/>
          </w:rPr>
          <w:tab/>
        </w:r>
        <w:r w:rsidRPr="00BA7855">
          <w:rPr>
            <w:rStyle w:val="Hyperlink"/>
            <w:rFonts w:ascii="Times New Roman" w:eastAsiaTheme="majorEastAsia" w:hAnsi="Times New Roman"/>
            <w:noProof/>
          </w:rPr>
          <w:t>Partial Melting of a Thickened IBC</w:t>
        </w:r>
        <w:r w:rsidRPr="00BA7855">
          <w:rPr>
            <w:noProof/>
            <w:webHidden/>
          </w:rPr>
          <w:tab/>
        </w:r>
        <w:r w:rsidRPr="00BA7855">
          <w:rPr>
            <w:noProof/>
            <w:webHidden/>
          </w:rPr>
          <w:fldChar w:fldCharType="begin"/>
        </w:r>
        <w:r w:rsidRPr="00BA7855">
          <w:rPr>
            <w:noProof/>
            <w:webHidden/>
          </w:rPr>
          <w:instrText xml:space="preserve"> PAGEREF _Toc185325659 \h </w:instrText>
        </w:r>
        <w:r w:rsidRPr="00BA7855">
          <w:rPr>
            <w:noProof/>
            <w:webHidden/>
          </w:rPr>
        </w:r>
        <w:r w:rsidRPr="00BA7855">
          <w:rPr>
            <w:noProof/>
            <w:webHidden/>
          </w:rPr>
          <w:fldChar w:fldCharType="separate"/>
        </w:r>
        <w:r w:rsidR="00143EE1">
          <w:rPr>
            <w:noProof/>
            <w:webHidden/>
          </w:rPr>
          <w:t>173</w:t>
        </w:r>
        <w:r w:rsidRPr="00BA7855">
          <w:rPr>
            <w:noProof/>
            <w:webHidden/>
          </w:rPr>
          <w:fldChar w:fldCharType="end"/>
        </w:r>
      </w:hyperlink>
    </w:p>
    <w:p w14:paraId="586AAADD" w14:textId="5F64988B"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60" w:history="1">
        <w:r w:rsidRPr="00BA7855">
          <w:rPr>
            <w:rStyle w:val="Hyperlink"/>
            <w:rFonts w:ascii="Times New Roman" w:hAnsi="Times New Roman"/>
            <w:noProof/>
          </w:rPr>
          <w:t>2.3.6.2</w:t>
        </w:r>
        <w:r w:rsidRPr="00BA7855">
          <w:rPr>
            <w:rFonts w:eastAsiaTheme="minorEastAsia"/>
            <w:noProof/>
            <w:kern w:val="2"/>
            <w14:ligatures w14:val="standardContextual"/>
          </w:rPr>
          <w:tab/>
        </w:r>
        <w:r w:rsidRPr="00BA7855">
          <w:rPr>
            <w:rStyle w:val="Hyperlink"/>
            <w:rFonts w:ascii="Times New Roman" w:hAnsi="Times New Roman"/>
            <w:noProof/>
          </w:rPr>
          <w:t>Partial Melting Source Hybridized by a Thickened IBC</w:t>
        </w:r>
        <w:r w:rsidRPr="00BA7855">
          <w:rPr>
            <w:noProof/>
            <w:webHidden/>
          </w:rPr>
          <w:tab/>
        </w:r>
        <w:r w:rsidRPr="00BA7855">
          <w:rPr>
            <w:noProof/>
            <w:webHidden/>
          </w:rPr>
          <w:fldChar w:fldCharType="begin"/>
        </w:r>
        <w:r w:rsidRPr="00BA7855">
          <w:rPr>
            <w:noProof/>
            <w:webHidden/>
          </w:rPr>
          <w:instrText xml:space="preserve"> PAGEREF _Toc185325660 \h </w:instrText>
        </w:r>
        <w:r w:rsidRPr="00BA7855">
          <w:rPr>
            <w:noProof/>
            <w:webHidden/>
          </w:rPr>
        </w:r>
        <w:r w:rsidRPr="00BA7855">
          <w:rPr>
            <w:noProof/>
            <w:webHidden/>
          </w:rPr>
          <w:fldChar w:fldCharType="separate"/>
        </w:r>
        <w:r w:rsidR="00143EE1">
          <w:rPr>
            <w:noProof/>
            <w:webHidden/>
          </w:rPr>
          <w:t>173</w:t>
        </w:r>
        <w:r w:rsidRPr="00BA7855">
          <w:rPr>
            <w:noProof/>
            <w:webHidden/>
          </w:rPr>
          <w:fldChar w:fldCharType="end"/>
        </w:r>
      </w:hyperlink>
    </w:p>
    <w:p w14:paraId="0F29C3A5" w14:textId="0AD2C698" w:rsidR="00BA7855" w:rsidRPr="00BA7855" w:rsidRDefault="00BA7855" w:rsidP="00BA7855">
      <w:pPr>
        <w:pStyle w:val="TOC4"/>
        <w:tabs>
          <w:tab w:val="left" w:pos="1680"/>
          <w:tab w:val="right" w:leader="dot" w:pos="8630"/>
        </w:tabs>
        <w:spacing w:line="480" w:lineRule="auto"/>
        <w:rPr>
          <w:rFonts w:eastAsiaTheme="minorEastAsia"/>
          <w:noProof/>
          <w:kern w:val="2"/>
          <w14:ligatures w14:val="standardContextual"/>
        </w:rPr>
      </w:pPr>
      <w:hyperlink w:anchor="_Toc185325661" w:history="1">
        <w:r w:rsidRPr="00BA7855">
          <w:rPr>
            <w:rStyle w:val="Hyperlink"/>
            <w:rFonts w:ascii="Times New Roman" w:hAnsi="Times New Roman"/>
            <w:noProof/>
          </w:rPr>
          <w:t>2.3.6.3</w:t>
        </w:r>
        <w:r w:rsidRPr="00BA7855">
          <w:rPr>
            <w:rFonts w:eastAsiaTheme="minorEastAsia"/>
            <w:noProof/>
            <w:kern w:val="2"/>
            <w14:ligatures w14:val="standardContextual"/>
          </w:rPr>
          <w:tab/>
        </w:r>
        <w:r w:rsidRPr="00BA7855">
          <w:rPr>
            <w:rStyle w:val="Hyperlink"/>
            <w:rFonts w:ascii="Times New Roman" w:hAnsi="Times New Roman"/>
            <w:noProof/>
          </w:rPr>
          <w:t>Summary of Partial Melting Models Assuming Late Cumulate Mixing Occurred (Scenarios #6-#7)</w:t>
        </w:r>
        <w:r w:rsidRPr="00BA7855">
          <w:rPr>
            <w:noProof/>
            <w:webHidden/>
          </w:rPr>
          <w:tab/>
        </w:r>
        <w:r w:rsidRPr="00BA7855">
          <w:rPr>
            <w:noProof/>
            <w:webHidden/>
          </w:rPr>
          <w:fldChar w:fldCharType="begin"/>
        </w:r>
        <w:r w:rsidRPr="00BA7855">
          <w:rPr>
            <w:noProof/>
            <w:webHidden/>
          </w:rPr>
          <w:instrText xml:space="preserve"> PAGEREF _Toc185325661 \h </w:instrText>
        </w:r>
        <w:r w:rsidRPr="00BA7855">
          <w:rPr>
            <w:noProof/>
            <w:webHidden/>
          </w:rPr>
        </w:r>
        <w:r w:rsidRPr="00BA7855">
          <w:rPr>
            <w:noProof/>
            <w:webHidden/>
          </w:rPr>
          <w:fldChar w:fldCharType="separate"/>
        </w:r>
        <w:r w:rsidR="00143EE1">
          <w:rPr>
            <w:noProof/>
            <w:webHidden/>
          </w:rPr>
          <w:t>174</w:t>
        </w:r>
        <w:r w:rsidRPr="00BA7855">
          <w:rPr>
            <w:noProof/>
            <w:webHidden/>
          </w:rPr>
          <w:fldChar w:fldCharType="end"/>
        </w:r>
      </w:hyperlink>
    </w:p>
    <w:p w14:paraId="50433EDF" w14:textId="137B87B0"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62" w:history="1">
        <w:r w:rsidRPr="00BA7855">
          <w:rPr>
            <w:rStyle w:val="Hyperlink"/>
            <w:rFonts w:ascii="Times New Roman" w:hAnsi="Times New Roman"/>
            <w:noProof/>
          </w:rPr>
          <w:t>2.4</w:t>
        </w:r>
        <w:r w:rsidRPr="00BA7855">
          <w:rPr>
            <w:rFonts w:eastAsiaTheme="minorEastAsia"/>
            <w:noProof/>
            <w:kern w:val="2"/>
            <w14:ligatures w14:val="standardContextual"/>
          </w:rPr>
          <w:tab/>
        </w:r>
        <w:r w:rsidRPr="00BA7855">
          <w:rPr>
            <w:rStyle w:val="Hyperlink"/>
            <w:rFonts w:ascii="Times New Roman" w:hAnsi="Times New Roman"/>
            <w:noProof/>
          </w:rPr>
          <w:t xml:space="preserve">Parameters </w:t>
        </w:r>
        <w:r w:rsidRPr="00BA7855">
          <w:rPr>
            <w:rStyle w:val="Hyperlink"/>
            <w:rFonts w:ascii="Times New Roman" w:eastAsiaTheme="majorEastAsia" w:hAnsi="Times New Roman"/>
            <w:noProof/>
          </w:rPr>
          <w:t>T</w:t>
        </w:r>
        <w:r w:rsidRPr="00BA7855">
          <w:rPr>
            <w:rStyle w:val="Hyperlink"/>
            <w:rFonts w:ascii="Times New Roman" w:hAnsi="Times New Roman"/>
            <w:noProof/>
          </w:rPr>
          <w:t>hat C</w:t>
        </w:r>
        <w:r w:rsidRPr="00BA7855">
          <w:rPr>
            <w:rStyle w:val="Hyperlink"/>
            <w:rFonts w:ascii="Times New Roman" w:eastAsiaTheme="majorEastAsia" w:hAnsi="Times New Roman"/>
            <w:noProof/>
          </w:rPr>
          <w:t>ould</w:t>
        </w:r>
        <w:r w:rsidRPr="00BA7855">
          <w:rPr>
            <w:rStyle w:val="Hyperlink"/>
            <w:rFonts w:ascii="Times New Roman" w:hAnsi="Times New Roman"/>
            <w:noProof/>
          </w:rPr>
          <w:t xml:space="preserve"> Affect Model</w:t>
        </w:r>
        <w:r w:rsidRPr="00BA7855">
          <w:rPr>
            <w:rStyle w:val="Hyperlink"/>
            <w:rFonts w:ascii="Times New Roman" w:eastAsiaTheme="majorEastAsia" w:hAnsi="Times New Roman"/>
            <w:noProof/>
          </w:rPr>
          <w:t xml:space="preserve"> Results</w:t>
        </w:r>
        <w:r w:rsidRPr="00BA7855">
          <w:rPr>
            <w:noProof/>
            <w:webHidden/>
          </w:rPr>
          <w:tab/>
        </w:r>
        <w:r w:rsidRPr="00BA7855">
          <w:rPr>
            <w:noProof/>
            <w:webHidden/>
          </w:rPr>
          <w:fldChar w:fldCharType="begin"/>
        </w:r>
        <w:r w:rsidRPr="00BA7855">
          <w:rPr>
            <w:noProof/>
            <w:webHidden/>
          </w:rPr>
          <w:instrText xml:space="preserve"> PAGEREF _Toc185325662 \h </w:instrText>
        </w:r>
        <w:r w:rsidRPr="00BA7855">
          <w:rPr>
            <w:noProof/>
            <w:webHidden/>
          </w:rPr>
        </w:r>
        <w:r w:rsidRPr="00BA7855">
          <w:rPr>
            <w:noProof/>
            <w:webHidden/>
          </w:rPr>
          <w:fldChar w:fldCharType="separate"/>
        </w:r>
        <w:r w:rsidR="00143EE1">
          <w:rPr>
            <w:noProof/>
            <w:webHidden/>
          </w:rPr>
          <w:t>175</w:t>
        </w:r>
        <w:r w:rsidRPr="00BA7855">
          <w:rPr>
            <w:noProof/>
            <w:webHidden/>
          </w:rPr>
          <w:fldChar w:fldCharType="end"/>
        </w:r>
      </w:hyperlink>
    </w:p>
    <w:p w14:paraId="3ECFD81D" w14:textId="7FD39721"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63" w:history="1">
        <w:r w:rsidRPr="00BA7855">
          <w:rPr>
            <w:rStyle w:val="Hyperlink"/>
            <w:rFonts w:ascii="Times New Roman" w:eastAsiaTheme="majorEastAsia" w:hAnsi="Times New Roman"/>
            <w:noProof/>
          </w:rPr>
          <w:t>2.4.1</w:t>
        </w:r>
        <w:r w:rsidRPr="00BA7855">
          <w:rPr>
            <w:rFonts w:eastAsiaTheme="minorEastAsia"/>
            <w:noProof/>
            <w:kern w:val="2"/>
            <w14:ligatures w14:val="standardContextual"/>
          </w:rPr>
          <w:tab/>
        </w:r>
        <w:r w:rsidRPr="00BA7855">
          <w:rPr>
            <w:rStyle w:val="Hyperlink"/>
            <w:rFonts w:ascii="Times New Roman" w:eastAsiaTheme="majorEastAsia" w:hAnsi="Times New Roman"/>
            <w:noProof/>
          </w:rPr>
          <w:t>LMO Cumulate Mineralogy</w:t>
        </w:r>
        <w:r w:rsidRPr="00BA7855">
          <w:rPr>
            <w:noProof/>
            <w:webHidden/>
          </w:rPr>
          <w:tab/>
        </w:r>
        <w:r w:rsidRPr="00BA7855">
          <w:rPr>
            <w:noProof/>
            <w:webHidden/>
          </w:rPr>
          <w:fldChar w:fldCharType="begin"/>
        </w:r>
        <w:r w:rsidRPr="00BA7855">
          <w:rPr>
            <w:noProof/>
            <w:webHidden/>
          </w:rPr>
          <w:instrText xml:space="preserve"> PAGEREF _Toc185325663 \h </w:instrText>
        </w:r>
        <w:r w:rsidRPr="00BA7855">
          <w:rPr>
            <w:noProof/>
            <w:webHidden/>
          </w:rPr>
        </w:r>
        <w:r w:rsidRPr="00BA7855">
          <w:rPr>
            <w:noProof/>
            <w:webHidden/>
          </w:rPr>
          <w:fldChar w:fldCharType="separate"/>
        </w:r>
        <w:r w:rsidR="00143EE1">
          <w:rPr>
            <w:noProof/>
            <w:webHidden/>
          </w:rPr>
          <w:t>175</w:t>
        </w:r>
        <w:r w:rsidRPr="00BA7855">
          <w:rPr>
            <w:noProof/>
            <w:webHidden/>
          </w:rPr>
          <w:fldChar w:fldCharType="end"/>
        </w:r>
      </w:hyperlink>
    </w:p>
    <w:p w14:paraId="46A2A7FA" w14:textId="566C8A9E"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64" w:history="1">
        <w:r w:rsidRPr="00BA7855">
          <w:rPr>
            <w:rStyle w:val="Hyperlink"/>
            <w:rFonts w:ascii="Times New Roman" w:hAnsi="Times New Roman"/>
            <w:noProof/>
          </w:rPr>
          <w:t>2.5</w:t>
        </w:r>
        <w:r w:rsidRPr="00BA7855">
          <w:rPr>
            <w:rFonts w:eastAsiaTheme="minorEastAsia"/>
            <w:noProof/>
            <w:kern w:val="2"/>
            <w14:ligatures w14:val="standardContextual"/>
          </w:rPr>
          <w:tab/>
        </w:r>
        <w:r w:rsidRPr="00BA7855">
          <w:rPr>
            <w:rStyle w:val="Hyperlink"/>
            <w:rFonts w:ascii="Times New Roman" w:hAnsi="Times New Roman"/>
            <w:noProof/>
          </w:rPr>
          <w:t>Garnet in the Lunar Mantle</w:t>
        </w:r>
        <w:r w:rsidRPr="00BA7855">
          <w:rPr>
            <w:noProof/>
            <w:webHidden/>
          </w:rPr>
          <w:tab/>
        </w:r>
        <w:r w:rsidRPr="00BA7855">
          <w:rPr>
            <w:noProof/>
            <w:webHidden/>
          </w:rPr>
          <w:fldChar w:fldCharType="begin"/>
        </w:r>
        <w:r w:rsidRPr="00BA7855">
          <w:rPr>
            <w:noProof/>
            <w:webHidden/>
          </w:rPr>
          <w:instrText xml:space="preserve"> PAGEREF _Toc185325664 \h </w:instrText>
        </w:r>
        <w:r w:rsidRPr="00BA7855">
          <w:rPr>
            <w:noProof/>
            <w:webHidden/>
          </w:rPr>
        </w:r>
        <w:r w:rsidRPr="00BA7855">
          <w:rPr>
            <w:noProof/>
            <w:webHidden/>
          </w:rPr>
          <w:fldChar w:fldCharType="separate"/>
        </w:r>
        <w:r w:rsidR="00143EE1">
          <w:rPr>
            <w:noProof/>
            <w:webHidden/>
          </w:rPr>
          <w:t>178</w:t>
        </w:r>
        <w:r w:rsidRPr="00BA7855">
          <w:rPr>
            <w:noProof/>
            <w:webHidden/>
          </w:rPr>
          <w:fldChar w:fldCharType="end"/>
        </w:r>
      </w:hyperlink>
    </w:p>
    <w:p w14:paraId="6912FAAF" w14:textId="5ADAA8A7"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65" w:history="1">
        <w:r w:rsidRPr="00BA7855">
          <w:rPr>
            <w:rStyle w:val="Hyperlink"/>
            <w:rFonts w:ascii="Times New Roman" w:hAnsi="Times New Roman"/>
            <w:noProof/>
          </w:rPr>
          <w:t>2.5.1</w:t>
        </w:r>
        <w:r w:rsidRPr="00BA7855">
          <w:rPr>
            <w:rFonts w:eastAsiaTheme="minorEastAsia"/>
            <w:noProof/>
            <w:kern w:val="2"/>
            <w14:ligatures w14:val="standardContextual"/>
          </w:rPr>
          <w:tab/>
        </w:r>
        <w:r w:rsidRPr="00BA7855">
          <w:rPr>
            <w:rStyle w:val="Hyperlink"/>
            <w:rFonts w:ascii="Times New Roman" w:hAnsi="Times New Roman"/>
            <w:noProof/>
          </w:rPr>
          <w:t>Garnet in a primitive lunar mantle reservoir?</w:t>
        </w:r>
        <w:r w:rsidRPr="00BA7855">
          <w:rPr>
            <w:noProof/>
            <w:webHidden/>
          </w:rPr>
          <w:tab/>
        </w:r>
        <w:r w:rsidRPr="00BA7855">
          <w:rPr>
            <w:noProof/>
            <w:webHidden/>
          </w:rPr>
          <w:fldChar w:fldCharType="begin"/>
        </w:r>
        <w:r w:rsidRPr="00BA7855">
          <w:rPr>
            <w:noProof/>
            <w:webHidden/>
          </w:rPr>
          <w:instrText xml:space="preserve"> PAGEREF _Toc185325665 \h </w:instrText>
        </w:r>
        <w:r w:rsidRPr="00BA7855">
          <w:rPr>
            <w:noProof/>
            <w:webHidden/>
          </w:rPr>
        </w:r>
        <w:r w:rsidRPr="00BA7855">
          <w:rPr>
            <w:noProof/>
            <w:webHidden/>
          </w:rPr>
          <w:fldChar w:fldCharType="separate"/>
        </w:r>
        <w:r w:rsidR="00143EE1">
          <w:rPr>
            <w:noProof/>
            <w:webHidden/>
          </w:rPr>
          <w:t>178</w:t>
        </w:r>
        <w:r w:rsidRPr="00BA7855">
          <w:rPr>
            <w:noProof/>
            <w:webHidden/>
          </w:rPr>
          <w:fldChar w:fldCharType="end"/>
        </w:r>
      </w:hyperlink>
    </w:p>
    <w:p w14:paraId="1827F5C0" w14:textId="349EC077"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66" w:history="1">
        <w:r w:rsidRPr="00BA7855">
          <w:rPr>
            <w:rStyle w:val="Hyperlink"/>
            <w:rFonts w:ascii="Times New Roman" w:hAnsi="Times New Roman"/>
            <w:noProof/>
          </w:rPr>
          <w:t>2.5.2</w:t>
        </w:r>
        <w:r w:rsidRPr="00BA7855">
          <w:rPr>
            <w:rFonts w:eastAsiaTheme="minorEastAsia"/>
            <w:noProof/>
            <w:kern w:val="2"/>
            <w14:ligatures w14:val="standardContextual"/>
          </w:rPr>
          <w:tab/>
        </w:r>
        <w:r w:rsidRPr="00BA7855">
          <w:rPr>
            <w:rStyle w:val="Hyperlink"/>
            <w:rFonts w:ascii="Times New Roman" w:hAnsi="Times New Roman"/>
            <w:noProof/>
          </w:rPr>
          <w:t>Garnet’s Relationship with Cumulate Overturn</w:t>
        </w:r>
        <w:r w:rsidRPr="00BA7855">
          <w:rPr>
            <w:noProof/>
            <w:webHidden/>
          </w:rPr>
          <w:tab/>
        </w:r>
        <w:r w:rsidRPr="00BA7855">
          <w:rPr>
            <w:noProof/>
            <w:webHidden/>
          </w:rPr>
          <w:fldChar w:fldCharType="begin"/>
        </w:r>
        <w:r w:rsidRPr="00BA7855">
          <w:rPr>
            <w:noProof/>
            <w:webHidden/>
          </w:rPr>
          <w:instrText xml:space="preserve"> PAGEREF _Toc185325666 \h </w:instrText>
        </w:r>
        <w:r w:rsidRPr="00BA7855">
          <w:rPr>
            <w:noProof/>
            <w:webHidden/>
          </w:rPr>
        </w:r>
        <w:r w:rsidRPr="00BA7855">
          <w:rPr>
            <w:noProof/>
            <w:webHidden/>
          </w:rPr>
          <w:fldChar w:fldCharType="separate"/>
        </w:r>
        <w:r w:rsidR="00143EE1">
          <w:rPr>
            <w:noProof/>
            <w:webHidden/>
          </w:rPr>
          <w:t>180</w:t>
        </w:r>
        <w:r w:rsidRPr="00BA7855">
          <w:rPr>
            <w:noProof/>
            <w:webHidden/>
          </w:rPr>
          <w:fldChar w:fldCharType="end"/>
        </w:r>
      </w:hyperlink>
    </w:p>
    <w:p w14:paraId="500B88FC" w14:textId="47AAD62D"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67" w:history="1">
        <w:r w:rsidRPr="00BA7855">
          <w:rPr>
            <w:rStyle w:val="Hyperlink"/>
            <w:rFonts w:ascii="Times New Roman" w:hAnsi="Times New Roman"/>
            <w:noProof/>
          </w:rPr>
          <w:t>2.6</w:t>
        </w:r>
        <w:r w:rsidRPr="00BA7855">
          <w:rPr>
            <w:rFonts w:eastAsiaTheme="minorEastAsia"/>
            <w:noProof/>
            <w:kern w:val="2"/>
            <w14:ligatures w14:val="standardContextual"/>
          </w:rPr>
          <w:tab/>
        </w:r>
        <w:r w:rsidRPr="00BA7855">
          <w:rPr>
            <w:rStyle w:val="Hyperlink"/>
            <w:rFonts w:ascii="Times New Roman" w:hAnsi="Times New Roman"/>
            <w:noProof/>
          </w:rPr>
          <w:t>Effect of Cumulate Overturn Sm-Nd and Lu-Hf Isotopes</w:t>
        </w:r>
        <w:r w:rsidRPr="00BA7855">
          <w:rPr>
            <w:noProof/>
            <w:webHidden/>
          </w:rPr>
          <w:tab/>
        </w:r>
        <w:r w:rsidRPr="00BA7855">
          <w:rPr>
            <w:noProof/>
            <w:webHidden/>
          </w:rPr>
          <w:fldChar w:fldCharType="begin"/>
        </w:r>
        <w:r w:rsidRPr="00BA7855">
          <w:rPr>
            <w:noProof/>
            <w:webHidden/>
          </w:rPr>
          <w:instrText xml:space="preserve"> PAGEREF _Toc185325667 \h </w:instrText>
        </w:r>
        <w:r w:rsidRPr="00BA7855">
          <w:rPr>
            <w:noProof/>
            <w:webHidden/>
          </w:rPr>
        </w:r>
        <w:r w:rsidRPr="00BA7855">
          <w:rPr>
            <w:noProof/>
            <w:webHidden/>
          </w:rPr>
          <w:fldChar w:fldCharType="separate"/>
        </w:r>
        <w:r w:rsidR="00143EE1">
          <w:rPr>
            <w:noProof/>
            <w:webHidden/>
          </w:rPr>
          <w:t>181</w:t>
        </w:r>
        <w:r w:rsidRPr="00BA7855">
          <w:rPr>
            <w:noProof/>
            <w:webHidden/>
          </w:rPr>
          <w:fldChar w:fldCharType="end"/>
        </w:r>
      </w:hyperlink>
    </w:p>
    <w:p w14:paraId="65931B43" w14:textId="699FF892"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68" w:history="1">
        <w:r w:rsidRPr="00BA7855">
          <w:rPr>
            <w:rStyle w:val="Hyperlink"/>
            <w:rFonts w:ascii="Times New Roman" w:hAnsi="Times New Roman"/>
            <w:noProof/>
          </w:rPr>
          <w:t>2.7</w:t>
        </w:r>
        <w:r w:rsidRPr="00BA7855">
          <w:rPr>
            <w:rFonts w:eastAsiaTheme="minorEastAsia"/>
            <w:noProof/>
            <w:kern w:val="2"/>
            <w14:ligatures w14:val="standardContextual"/>
          </w:rPr>
          <w:tab/>
        </w:r>
        <w:r w:rsidRPr="00BA7855">
          <w:rPr>
            <w:rStyle w:val="Hyperlink"/>
            <w:rFonts w:ascii="Times New Roman" w:hAnsi="Times New Roman"/>
            <w:noProof/>
          </w:rPr>
          <w:t>Conclusions</w:t>
        </w:r>
        <w:r w:rsidRPr="00BA7855">
          <w:rPr>
            <w:noProof/>
            <w:webHidden/>
          </w:rPr>
          <w:tab/>
        </w:r>
        <w:r w:rsidRPr="00BA7855">
          <w:rPr>
            <w:noProof/>
            <w:webHidden/>
          </w:rPr>
          <w:fldChar w:fldCharType="begin"/>
        </w:r>
        <w:r w:rsidRPr="00BA7855">
          <w:rPr>
            <w:noProof/>
            <w:webHidden/>
          </w:rPr>
          <w:instrText xml:space="preserve"> PAGEREF _Toc185325668 \h </w:instrText>
        </w:r>
        <w:r w:rsidRPr="00BA7855">
          <w:rPr>
            <w:noProof/>
            <w:webHidden/>
          </w:rPr>
        </w:r>
        <w:r w:rsidRPr="00BA7855">
          <w:rPr>
            <w:noProof/>
            <w:webHidden/>
          </w:rPr>
          <w:fldChar w:fldCharType="separate"/>
        </w:r>
        <w:r w:rsidR="00143EE1">
          <w:rPr>
            <w:noProof/>
            <w:webHidden/>
          </w:rPr>
          <w:t>185</w:t>
        </w:r>
        <w:r w:rsidRPr="00BA7855">
          <w:rPr>
            <w:noProof/>
            <w:webHidden/>
          </w:rPr>
          <w:fldChar w:fldCharType="end"/>
        </w:r>
      </w:hyperlink>
    </w:p>
    <w:p w14:paraId="5789D2DF" w14:textId="344417EC"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69" w:history="1">
        <w:r w:rsidRPr="00BA7855">
          <w:rPr>
            <w:rStyle w:val="Hyperlink"/>
            <w:rFonts w:ascii="Times New Roman" w:hAnsi="Times New Roman"/>
            <w:noProof/>
          </w:rPr>
          <w:t>2.8</w:t>
        </w:r>
        <w:r w:rsidRPr="00BA7855">
          <w:rPr>
            <w:rFonts w:eastAsiaTheme="minorEastAsia"/>
            <w:noProof/>
            <w:kern w:val="2"/>
            <w14:ligatures w14:val="standardContextual"/>
          </w:rPr>
          <w:tab/>
        </w:r>
        <w:r w:rsidRPr="00BA7855">
          <w:rPr>
            <w:rStyle w:val="Hyperlink"/>
            <w:rFonts w:ascii="Times New Roman" w:hAnsi="Times New Roman"/>
            <w:noProof/>
          </w:rPr>
          <w:t>Acknowledgements</w:t>
        </w:r>
        <w:r w:rsidRPr="00BA7855">
          <w:rPr>
            <w:noProof/>
            <w:webHidden/>
          </w:rPr>
          <w:tab/>
        </w:r>
        <w:r w:rsidRPr="00BA7855">
          <w:rPr>
            <w:noProof/>
            <w:webHidden/>
          </w:rPr>
          <w:fldChar w:fldCharType="begin"/>
        </w:r>
        <w:r w:rsidRPr="00BA7855">
          <w:rPr>
            <w:noProof/>
            <w:webHidden/>
          </w:rPr>
          <w:instrText xml:space="preserve"> PAGEREF _Toc185325669 \h </w:instrText>
        </w:r>
        <w:r w:rsidRPr="00BA7855">
          <w:rPr>
            <w:noProof/>
            <w:webHidden/>
          </w:rPr>
        </w:r>
        <w:r w:rsidRPr="00BA7855">
          <w:rPr>
            <w:noProof/>
            <w:webHidden/>
          </w:rPr>
          <w:fldChar w:fldCharType="separate"/>
        </w:r>
        <w:r w:rsidR="00143EE1">
          <w:rPr>
            <w:noProof/>
            <w:webHidden/>
          </w:rPr>
          <w:t>187</w:t>
        </w:r>
        <w:r w:rsidRPr="00BA7855">
          <w:rPr>
            <w:noProof/>
            <w:webHidden/>
          </w:rPr>
          <w:fldChar w:fldCharType="end"/>
        </w:r>
      </w:hyperlink>
    </w:p>
    <w:p w14:paraId="5D6BA6AD" w14:textId="18CF3F45"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70" w:history="1">
        <w:r w:rsidRPr="00BA7855">
          <w:rPr>
            <w:rStyle w:val="Hyperlink"/>
            <w:rFonts w:ascii="Times New Roman" w:hAnsi="Times New Roman"/>
            <w:noProof/>
          </w:rPr>
          <w:t>2.9</w:t>
        </w:r>
        <w:r w:rsidRPr="00BA7855">
          <w:rPr>
            <w:rFonts w:eastAsiaTheme="minorEastAsia"/>
            <w:noProof/>
            <w:kern w:val="2"/>
            <w14:ligatures w14:val="standardContextual"/>
          </w:rPr>
          <w:tab/>
        </w:r>
        <w:r w:rsidRPr="00BA7855">
          <w:rPr>
            <w:rStyle w:val="Hyperlink"/>
            <w:rFonts w:ascii="Times New Roman" w:hAnsi="Times New Roman"/>
            <w:noProof/>
          </w:rPr>
          <w:t>Open Research Statement</w:t>
        </w:r>
        <w:r w:rsidRPr="00BA7855">
          <w:rPr>
            <w:noProof/>
            <w:webHidden/>
          </w:rPr>
          <w:tab/>
        </w:r>
        <w:r w:rsidRPr="00BA7855">
          <w:rPr>
            <w:noProof/>
            <w:webHidden/>
          </w:rPr>
          <w:fldChar w:fldCharType="begin"/>
        </w:r>
        <w:r w:rsidRPr="00BA7855">
          <w:rPr>
            <w:noProof/>
            <w:webHidden/>
          </w:rPr>
          <w:instrText xml:space="preserve"> PAGEREF _Toc185325670 \h </w:instrText>
        </w:r>
        <w:r w:rsidRPr="00BA7855">
          <w:rPr>
            <w:noProof/>
            <w:webHidden/>
          </w:rPr>
        </w:r>
        <w:r w:rsidRPr="00BA7855">
          <w:rPr>
            <w:noProof/>
            <w:webHidden/>
          </w:rPr>
          <w:fldChar w:fldCharType="separate"/>
        </w:r>
        <w:r w:rsidR="00143EE1">
          <w:rPr>
            <w:noProof/>
            <w:webHidden/>
          </w:rPr>
          <w:t>187</w:t>
        </w:r>
        <w:r w:rsidRPr="00BA7855">
          <w:rPr>
            <w:noProof/>
            <w:webHidden/>
          </w:rPr>
          <w:fldChar w:fldCharType="end"/>
        </w:r>
      </w:hyperlink>
    </w:p>
    <w:p w14:paraId="05E629BF" w14:textId="5D8DA444"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671" w:history="1">
        <w:r w:rsidRPr="00BA7855">
          <w:rPr>
            <w:rStyle w:val="Hyperlink"/>
            <w:rFonts w:ascii="Times New Roman" w:hAnsi="Times New Roman"/>
            <w:noProof/>
          </w:rPr>
          <w:t>References</w:t>
        </w:r>
        <w:r w:rsidRPr="00BA7855">
          <w:rPr>
            <w:noProof/>
            <w:webHidden/>
          </w:rPr>
          <w:tab/>
        </w:r>
        <w:r w:rsidRPr="00BA7855">
          <w:rPr>
            <w:noProof/>
            <w:webHidden/>
          </w:rPr>
          <w:fldChar w:fldCharType="begin"/>
        </w:r>
        <w:r w:rsidRPr="00BA7855">
          <w:rPr>
            <w:noProof/>
            <w:webHidden/>
          </w:rPr>
          <w:instrText xml:space="preserve"> PAGEREF _Toc185325671 \h </w:instrText>
        </w:r>
        <w:r w:rsidRPr="00BA7855">
          <w:rPr>
            <w:noProof/>
            <w:webHidden/>
          </w:rPr>
        </w:r>
        <w:r w:rsidRPr="00BA7855">
          <w:rPr>
            <w:noProof/>
            <w:webHidden/>
          </w:rPr>
          <w:fldChar w:fldCharType="separate"/>
        </w:r>
        <w:r w:rsidR="00143EE1">
          <w:rPr>
            <w:noProof/>
            <w:webHidden/>
          </w:rPr>
          <w:t>188</w:t>
        </w:r>
        <w:r w:rsidRPr="00BA7855">
          <w:rPr>
            <w:noProof/>
            <w:webHidden/>
          </w:rPr>
          <w:fldChar w:fldCharType="end"/>
        </w:r>
      </w:hyperlink>
    </w:p>
    <w:p w14:paraId="69DC3144" w14:textId="43FAA17E"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672" w:history="1">
        <w:r w:rsidRPr="00BA7855">
          <w:rPr>
            <w:rStyle w:val="Hyperlink"/>
            <w:rFonts w:ascii="Times New Roman" w:hAnsi="Times New Roman"/>
            <w:noProof/>
          </w:rPr>
          <w:t>Appendix B</w:t>
        </w:r>
        <w:r w:rsidRPr="00BA7855">
          <w:rPr>
            <w:noProof/>
            <w:webHidden/>
          </w:rPr>
          <w:tab/>
        </w:r>
        <w:r w:rsidRPr="00BA7855">
          <w:rPr>
            <w:noProof/>
            <w:webHidden/>
          </w:rPr>
          <w:fldChar w:fldCharType="begin"/>
        </w:r>
        <w:r w:rsidRPr="00BA7855">
          <w:rPr>
            <w:noProof/>
            <w:webHidden/>
          </w:rPr>
          <w:instrText xml:space="preserve"> PAGEREF _Toc185325672 \h </w:instrText>
        </w:r>
        <w:r w:rsidRPr="00BA7855">
          <w:rPr>
            <w:noProof/>
            <w:webHidden/>
          </w:rPr>
        </w:r>
        <w:r w:rsidRPr="00BA7855">
          <w:rPr>
            <w:noProof/>
            <w:webHidden/>
          </w:rPr>
          <w:fldChar w:fldCharType="separate"/>
        </w:r>
        <w:r w:rsidR="00143EE1">
          <w:rPr>
            <w:noProof/>
            <w:webHidden/>
          </w:rPr>
          <w:t>207</w:t>
        </w:r>
        <w:r w:rsidRPr="00BA7855">
          <w:rPr>
            <w:noProof/>
            <w:webHidden/>
          </w:rPr>
          <w:fldChar w:fldCharType="end"/>
        </w:r>
      </w:hyperlink>
    </w:p>
    <w:p w14:paraId="3F5AF657" w14:textId="306C4F3B" w:rsidR="00BA7855" w:rsidRPr="00BA7855" w:rsidRDefault="00BA7855" w:rsidP="00BA7855">
      <w:pPr>
        <w:pStyle w:val="TOC1"/>
        <w:tabs>
          <w:tab w:val="left" w:pos="1680"/>
        </w:tabs>
        <w:rPr>
          <w:rFonts w:eastAsiaTheme="minorEastAsia"/>
          <w:noProof/>
          <w:kern w:val="2"/>
          <w14:ligatures w14:val="standardContextual"/>
        </w:rPr>
      </w:pPr>
      <w:hyperlink w:anchor="_Toc185325673" w:history="1">
        <w:r w:rsidRPr="00BA7855">
          <w:rPr>
            <w:rStyle w:val="Hyperlink"/>
            <w:rFonts w:ascii="Times New Roman" w:hAnsi="Times New Roman"/>
            <w:noProof/>
          </w:rPr>
          <w:t>CHAPTER 3</w:t>
        </w:r>
        <w:r w:rsidR="00C325C1">
          <w:rPr>
            <w:rFonts w:eastAsiaTheme="minorEastAsia"/>
            <w:noProof/>
            <w:kern w:val="2"/>
            <w14:ligatures w14:val="standardContextual"/>
          </w:rPr>
          <w:t xml:space="preserve"> </w:t>
        </w:r>
        <w:r w:rsidRPr="00BA7855">
          <w:rPr>
            <w:rStyle w:val="Hyperlink"/>
            <w:rFonts w:ascii="Times New Roman" w:hAnsi="Times New Roman"/>
            <w:noProof/>
          </w:rPr>
          <w:t>An Evaluation of the Lunar K/Th Ratio Using Geochemical Modeling: Implications for the Moon’s Thermal Evolution</w:t>
        </w:r>
        <w:r w:rsidRPr="00BA7855">
          <w:rPr>
            <w:noProof/>
            <w:webHidden/>
          </w:rPr>
          <w:tab/>
        </w:r>
        <w:r w:rsidRPr="00BA7855">
          <w:rPr>
            <w:noProof/>
            <w:webHidden/>
          </w:rPr>
          <w:fldChar w:fldCharType="begin"/>
        </w:r>
        <w:r w:rsidRPr="00BA7855">
          <w:rPr>
            <w:noProof/>
            <w:webHidden/>
          </w:rPr>
          <w:instrText xml:space="preserve"> PAGEREF _Toc185325673 \h </w:instrText>
        </w:r>
        <w:r w:rsidRPr="00BA7855">
          <w:rPr>
            <w:noProof/>
            <w:webHidden/>
          </w:rPr>
        </w:r>
        <w:r w:rsidRPr="00BA7855">
          <w:rPr>
            <w:noProof/>
            <w:webHidden/>
          </w:rPr>
          <w:fldChar w:fldCharType="separate"/>
        </w:r>
        <w:r w:rsidR="00143EE1">
          <w:rPr>
            <w:noProof/>
            <w:webHidden/>
          </w:rPr>
          <w:t>237</w:t>
        </w:r>
        <w:r w:rsidRPr="00BA7855">
          <w:rPr>
            <w:noProof/>
            <w:webHidden/>
          </w:rPr>
          <w:fldChar w:fldCharType="end"/>
        </w:r>
      </w:hyperlink>
    </w:p>
    <w:p w14:paraId="1FA92C04" w14:textId="12D01A51"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674" w:history="1">
        <w:r w:rsidRPr="00BA7855">
          <w:rPr>
            <w:rStyle w:val="Hyperlink"/>
            <w:rFonts w:ascii="Times New Roman" w:hAnsi="Times New Roman"/>
            <w:noProof/>
          </w:rPr>
          <w:t>Abstract</w:t>
        </w:r>
        <w:r w:rsidRPr="00BA7855">
          <w:rPr>
            <w:noProof/>
            <w:webHidden/>
          </w:rPr>
          <w:tab/>
        </w:r>
        <w:r w:rsidRPr="00BA7855">
          <w:rPr>
            <w:noProof/>
            <w:webHidden/>
          </w:rPr>
          <w:fldChar w:fldCharType="begin"/>
        </w:r>
        <w:r w:rsidRPr="00BA7855">
          <w:rPr>
            <w:noProof/>
            <w:webHidden/>
          </w:rPr>
          <w:instrText xml:space="preserve"> PAGEREF _Toc185325674 \h </w:instrText>
        </w:r>
        <w:r w:rsidRPr="00BA7855">
          <w:rPr>
            <w:noProof/>
            <w:webHidden/>
          </w:rPr>
        </w:r>
        <w:r w:rsidRPr="00BA7855">
          <w:rPr>
            <w:noProof/>
            <w:webHidden/>
          </w:rPr>
          <w:fldChar w:fldCharType="separate"/>
        </w:r>
        <w:r w:rsidR="00143EE1">
          <w:rPr>
            <w:noProof/>
            <w:webHidden/>
          </w:rPr>
          <w:t>238</w:t>
        </w:r>
        <w:r w:rsidRPr="00BA7855">
          <w:rPr>
            <w:noProof/>
            <w:webHidden/>
          </w:rPr>
          <w:fldChar w:fldCharType="end"/>
        </w:r>
      </w:hyperlink>
    </w:p>
    <w:p w14:paraId="380A6913" w14:textId="75750AB6"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75" w:history="1">
        <w:r w:rsidRPr="00BA7855">
          <w:rPr>
            <w:rStyle w:val="Hyperlink"/>
            <w:rFonts w:ascii="Times New Roman" w:hAnsi="Times New Roman"/>
            <w:noProof/>
          </w:rPr>
          <w:t>3.1</w:t>
        </w:r>
        <w:r w:rsidRPr="00BA7855">
          <w:rPr>
            <w:rFonts w:eastAsiaTheme="minorEastAsia"/>
            <w:noProof/>
            <w:kern w:val="2"/>
            <w14:ligatures w14:val="standardContextual"/>
          </w:rPr>
          <w:tab/>
        </w:r>
        <w:r w:rsidRPr="00BA7855">
          <w:rPr>
            <w:rStyle w:val="Hyperlink"/>
            <w:rFonts w:ascii="Times New Roman" w:hAnsi="Times New Roman"/>
            <w:noProof/>
          </w:rPr>
          <w:t>Introduction</w:t>
        </w:r>
        <w:r w:rsidRPr="00BA7855">
          <w:rPr>
            <w:noProof/>
            <w:webHidden/>
          </w:rPr>
          <w:tab/>
        </w:r>
        <w:r w:rsidRPr="00BA7855">
          <w:rPr>
            <w:noProof/>
            <w:webHidden/>
          </w:rPr>
          <w:fldChar w:fldCharType="begin"/>
        </w:r>
        <w:r w:rsidRPr="00BA7855">
          <w:rPr>
            <w:noProof/>
            <w:webHidden/>
          </w:rPr>
          <w:instrText xml:space="preserve"> PAGEREF _Toc185325675 \h </w:instrText>
        </w:r>
        <w:r w:rsidRPr="00BA7855">
          <w:rPr>
            <w:noProof/>
            <w:webHidden/>
          </w:rPr>
        </w:r>
        <w:r w:rsidRPr="00BA7855">
          <w:rPr>
            <w:noProof/>
            <w:webHidden/>
          </w:rPr>
          <w:fldChar w:fldCharType="separate"/>
        </w:r>
        <w:r w:rsidR="00143EE1">
          <w:rPr>
            <w:noProof/>
            <w:webHidden/>
          </w:rPr>
          <w:t>238</w:t>
        </w:r>
        <w:r w:rsidRPr="00BA7855">
          <w:rPr>
            <w:noProof/>
            <w:webHidden/>
          </w:rPr>
          <w:fldChar w:fldCharType="end"/>
        </w:r>
      </w:hyperlink>
    </w:p>
    <w:p w14:paraId="026DCCA8" w14:textId="08BED67A"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76" w:history="1">
        <w:r w:rsidRPr="00BA7855">
          <w:rPr>
            <w:rStyle w:val="Hyperlink"/>
            <w:rFonts w:ascii="Times New Roman" w:hAnsi="Times New Roman"/>
            <w:noProof/>
          </w:rPr>
          <w:t>3.2</w:t>
        </w:r>
        <w:r w:rsidRPr="00BA7855">
          <w:rPr>
            <w:rFonts w:eastAsiaTheme="minorEastAsia"/>
            <w:noProof/>
            <w:kern w:val="2"/>
            <w14:ligatures w14:val="standardContextual"/>
          </w:rPr>
          <w:tab/>
        </w:r>
        <w:r w:rsidRPr="00BA7855">
          <w:rPr>
            <w:rStyle w:val="Hyperlink"/>
            <w:rFonts w:ascii="Times New Roman" w:hAnsi="Times New Roman"/>
            <w:noProof/>
          </w:rPr>
          <w:t>Geochemical Modeling</w:t>
        </w:r>
        <w:r w:rsidRPr="00BA7855">
          <w:rPr>
            <w:noProof/>
            <w:webHidden/>
          </w:rPr>
          <w:tab/>
        </w:r>
        <w:r w:rsidRPr="00BA7855">
          <w:rPr>
            <w:noProof/>
            <w:webHidden/>
          </w:rPr>
          <w:fldChar w:fldCharType="begin"/>
        </w:r>
        <w:r w:rsidRPr="00BA7855">
          <w:rPr>
            <w:noProof/>
            <w:webHidden/>
          </w:rPr>
          <w:instrText xml:space="preserve"> PAGEREF _Toc185325676 \h </w:instrText>
        </w:r>
        <w:r w:rsidRPr="00BA7855">
          <w:rPr>
            <w:noProof/>
            <w:webHidden/>
          </w:rPr>
        </w:r>
        <w:r w:rsidRPr="00BA7855">
          <w:rPr>
            <w:noProof/>
            <w:webHidden/>
          </w:rPr>
          <w:fldChar w:fldCharType="separate"/>
        </w:r>
        <w:r w:rsidR="00143EE1">
          <w:rPr>
            <w:noProof/>
            <w:webHidden/>
          </w:rPr>
          <w:t>242</w:t>
        </w:r>
        <w:r w:rsidRPr="00BA7855">
          <w:rPr>
            <w:noProof/>
            <w:webHidden/>
          </w:rPr>
          <w:fldChar w:fldCharType="end"/>
        </w:r>
      </w:hyperlink>
    </w:p>
    <w:p w14:paraId="4950F8D6" w14:textId="793DC764"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77" w:history="1">
        <w:r w:rsidRPr="00BA7855">
          <w:rPr>
            <w:rStyle w:val="Hyperlink"/>
            <w:rFonts w:ascii="Times New Roman" w:hAnsi="Times New Roman"/>
            <w:noProof/>
          </w:rPr>
          <w:t>3.2.1</w:t>
        </w:r>
        <w:r w:rsidRPr="00BA7855">
          <w:rPr>
            <w:rFonts w:eastAsiaTheme="minorEastAsia"/>
            <w:noProof/>
            <w:kern w:val="2"/>
            <w14:ligatures w14:val="standardContextual"/>
          </w:rPr>
          <w:tab/>
        </w:r>
        <w:r w:rsidRPr="00BA7855">
          <w:rPr>
            <w:rStyle w:val="Hyperlink"/>
            <w:rFonts w:ascii="Times New Roman" w:hAnsi="Times New Roman"/>
            <w:noProof/>
          </w:rPr>
          <w:t>Modeling Parameters for LMO Solidification</w:t>
        </w:r>
        <w:r w:rsidRPr="00BA7855">
          <w:rPr>
            <w:noProof/>
            <w:webHidden/>
          </w:rPr>
          <w:tab/>
        </w:r>
        <w:r w:rsidRPr="00BA7855">
          <w:rPr>
            <w:noProof/>
            <w:webHidden/>
          </w:rPr>
          <w:fldChar w:fldCharType="begin"/>
        </w:r>
        <w:r w:rsidRPr="00BA7855">
          <w:rPr>
            <w:noProof/>
            <w:webHidden/>
          </w:rPr>
          <w:instrText xml:space="preserve"> PAGEREF _Toc185325677 \h </w:instrText>
        </w:r>
        <w:r w:rsidRPr="00BA7855">
          <w:rPr>
            <w:noProof/>
            <w:webHidden/>
          </w:rPr>
        </w:r>
        <w:r w:rsidRPr="00BA7855">
          <w:rPr>
            <w:noProof/>
            <w:webHidden/>
          </w:rPr>
          <w:fldChar w:fldCharType="separate"/>
        </w:r>
        <w:r w:rsidR="00143EE1">
          <w:rPr>
            <w:noProof/>
            <w:webHidden/>
          </w:rPr>
          <w:t>242</w:t>
        </w:r>
        <w:r w:rsidRPr="00BA7855">
          <w:rPr>
            <w:noProof/>
            <w:webHidden/>
          </w:rPr>
          <w:fldChar w:fldCharType="end"/>
        </w:r>
      </w:hyperlink>
    </w:p>
    <w:p w14:paraId="4266FF3D" w14:textId="62DAD5AC"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78" w:history="1">
        <w:r w:rsidRPr="00BA7855">
          <w:rPr>
            <w:rStyle w:val="Hyperlink"/>
            <w:rFonts w:ascii="Times New Roman" w:hAnsi="Times New Roman"/>
            <w:noProof/>
          </w:rPr>
          <w:t>3.2.2</w:t>
        </w:r>
        <w:r w:rsidRPr="00BA7855">
          <w:rPr>
            <w:rFonts w:eastAsiaTheme="minorEastAsia"/>
            <w:noProof/>
            <w:kern w:val="2"/>
            <w14:ligatures w14:val="standardContextual"/>
          </w:rPr>
          <w:tab/>
        </w:r>
        <w:r w:rsidRPr="00BA7855">
          <w:rPr>
            <w:rStyle w:val="Hyperlink"/>
            <w:rFonts w:ascii="Times New Roman" w:hAnsi="Times New Roman"/>
            <w:noProof/>
          </w:rPr>
          <w:t>Radiogenic Element Partitioning</w:t>
        </w:r>
        <w:r w:rsidRPr="00BA7855">
          <w:rPr>
            <w:noProof/>
            <w:webHidden/>
          </w:rPr>
          <w:tab/>
        </w:r>
        <w:r w:rsidRPr="00BA7855">
          <w:rPr>
            <w:noProof/>
            <w:webHidden/>
          </w:rPr>
          <w:fldChar w:fldCharType="begin"/>
        </w:r>
        <w:r w:rsidRPr="00BA7855">
          <w:rPr>
            <w:noProof/>
            <w:webHidden/>
          </w:rPr>
          <w:instrText xml:space="preserve"> PAGEREF _Toc185325678 \h </w:instrText>
        </w:r>
        <w:r w:rsidRPr="00BA7855">
          <w:rPr>
            <w:noProof/>
            <w:webHidden/>
          </w:rPr>
        </w:r>
        <w:r w:rsidRPr="00BA7855">
          <w:rPr>
            <w:noProof/>
            <w:webHidden/>
          </w:rPr>
          <w:fldChar w:fldCharType="separate"/>
        </w:r>
        <w:r w:rsidR="00143EE1">
          <w:rPr>
            <w:noProof/>
            <w:webHidden/>
          </w:rPr>
          <w:t>244</w:t>
        </w:r>
        <w:r w:rsidRPr="00BA7855">
          <w:rPr>
            <w:noProof/>
            <w:webHidden/>
          </w:rPr>
          <w:fldChar w:fldCharType="end"/>
        </w:r>
      </w:hyperlink>
    </w:p>
    <w:p w14:paraId="045A9B4F" w14:textId="4BFC3E70"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79" w:history="1">
        <w:r w:rsidRPr="00BA7855">
          <w:rPr>
            <w:rStyle w:val="Hyperlink"/>
            <w:rFonts w:ascii="Times New Roman" w:hAnsi="Times New Roman"/>
            <w:noProof/>
          </w:rPr>
          <w:t>3.3</w:t>
        </w:r>
        <w:r w:rsidRPr="00BA7855">
          <w:rPr>
            <w:rFonts w:eastAsiaTheme="minorEastAsia"/>
            <w:noProof/>
            <w:kern w:val="2"/>
            <w14:ligatures w14:val="standardContextual"/>
          </w:rPr>
          <w:tab/>
        </w:r>
        <w:r w:rsidRPr="00BA7855">
          <w:rPr>
            <w:rStyle w:val="Hyperlink"/>
            <w:rFonts w:ascii="Times New Roman" w:hAnsi="Times New Roman"/>
            <w:noProof/>
          </w:rPr>
          <w:t>Modeled HPE Distributions and Ratios</w:t>
        </w:r>
        <w:r w:rsidRPr="00BA7855">
          <w:rPr>
            <w:noProof/>
            <w:webHidden/>
          </w:rPr>
          <w:tab/>
        </w:r>
        <w:r w:rsidRPr="00BA7855">
          <w:rPr>
            <w:noProof/>
            <w:webHidden/>
          </w:rPr>
          <w:fldChar w:fldCharType="begin"/>
        </w:r>
        <w:r w:rsidRPr="00BA7855">
          <w:rPr>
            <w:noProof/>
            <w:webHidden/>
          </w:rPr>
          <w:instrText xml:space="preserve"> PAGEREF _Toc185325679 \h </w:instrText>
        </w:r>
        <w:r w:rsidRPr="00BA7855">
          <w:rPr>
            <w:noProof/>
            <w:webHidden/>
          </w:rPr>
        </w:r>
        <w:r w:rsidRPr="00BA7855">
          <w:rPr>
            <w:noProof/>
            <w:webHidden/>
          </w:rPr>
          <w:fldChar w:fldCharType="separate"/>
        </w:r>
        <w:r w:rsidR="00143EE1">
          <w:rPr>
            <w:noProof/>
            <w:webHidden/>
          </w:rPr>
          <w:t>244</w:t>
        </w:r>
        <w:r w:rsidRPr="00BA7855">
          <w:rPr>
            <w:noProof/>
            <w:webHidden/>
          </w:rPr>
          <w:fldChar w:fldCharType="end"/>
        </w:r>
      </w:hyperlink>
    </w:p>
    <w:p w14:paraId="2304D881" w14:textId="7DD81936"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80" w:history="1">
        <w:r w:rsidRPr="00BA7855">
          <w:rPr>
            <w:rStyle w:val="Hyperlink"/>
            <w:rFonts w:ascii="Times New Roman" w:hAnsi="Times New Roman"/>
            <w:noProof/>
          </w:rPr>
          <w:t>3.3.1</w:t>
        </w:r>
        <w:r w:rsidRPr="00BA7855">
          <w:rPr>
            <w:rFonts w:eastAsiaTheme="minorEastAsia"/>
            <w:noProof/>
            <w:kern w:val="2"/>
            <w14:ligatures w14:val="standardContextual"/>
          </w:rPr>
          <w:tab/>
        </w:r>
        <w:r w:rsidRPr="00BA7855">
          <w:rPr>
            <w:rStyle w:val="Hyperlink"/>
            <w:rFonts w:ascii="Times New Roman" w:hAnsi="Times New Roman"/>
            <w:noProof/>
          </w:rPr>
          <w:t>Lunar HPE Distribution</w:t>
        </w:r>
        <w:r w:rsidRPr="00BA7855">
          <w:rPr>
            <w:noProof/>
            <w:webHidden/>
          </w:rPr>
          <w:tab/>
        </w:r>
        <w:r w:rsidRPr="00BA7855">
          <w:rPr>
            <w:noProof/>
            <w:webHidden/>
          </w:rPr>
          <w:fldChar w:fldCharType="begin"/>
        </w:r>
        <w:r w:rsidRPr="00BA7855">
          <w:rPr>
            <w:noProof/>
            <w:webHidden/>
          </w:rPr>
          <w:instrText xml:space="preserve"> PAGEREF _Toc185325680 \h </w:instrText>
        </w:r>
        <w:r w:rsidRPr="00BA7855">
          <w:rPr>
            <w:noProof/>
            <w:webHidden/>
          </w:rPr>
        </w:r>
        <w:r w:rsidRPr="00BA7855">
          <w:rPr>
            <w:noProof/>
            <w:webHidden/>
          </w:rPr>
          <w:fldChar w:fldCharType="separate"/>
        </w:r>
        <w:r w:rsidR="00143EE1">
          <w:rPr>
            <w:noProof/>
            <w:webHidden/>
          </w:rPr>
          <w:t>244</w:t>
        </w:r>
        <w:r w:rsidRPr="00BA7855">
          <w:rPr>
            <w:noProof/>
            <w:webHidden/>
          </w:rPr>
          <w:fldChar w:fldCharType="end"/>
        </w:r>
      </w:hyperlink>
    </w:p>
    <w:p w14:paraId="0BF28630" w14:textId="14B656B9"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81" w:history="1">
        <w:r w:rsidRPr="00BA7855">
          <w:rPr>
            <w:rStyle w:val="Hyperlink"/>
            <w:rFonts w:ascii="Times New Roman" w:hAnsi="Times New Roman"/>
            <w:noProof/>
          </w:rPr>
          <w:t>3.3.2</w:t>
        </w:r>
        <w:r w:rsidRPr="00BA7855">
          <w:rPr>
            <w:rFonts w:eastAsiaTheme="minorEastAsia"/>
            <w:noProof/>
            <w:kern w:val="2"/>
            <w14:ligatures w14:val="standardContextual"/>
          </w:rPr>
          <w:tab/>
        </w:r>
        <w:r w:rsidRPr="00BA7855">
          <w:rPr>
            <w:rStyle w:val="Hyperlink"/>
            <w:rFonts w:ascii="Times New Roman" w:hAnsi="Times New Roman"/>
            <w:noProof/>
          </w:rPr>
          <w:t>Constraining The Lunar K/Th Ratio</w:t>
        </w:r>
        <w:r w:rsidRPr="00BA7855">
          <w:rPr>
            <w:noProof/>
            <w:webHidden/>
          </w:rPr>
          <w:tab/>
        </w:r>
        <w:r w:rsidRPr="00BA7855">
          <w:rPr>
            <w:noProof/>
            <w:webHidden/>
          </w:rPr>
          <w:fldChar w:fldCharType="begin"/>
        </w:r>
        <w:r w:rsidRPr="00BA7855">
          <w:rPr>
            <w:noProof/>
            <w:webHidden/>
          </w:rPr>
          <w:instrText xml:space="preserve"> PAGEREF _Toc185325681 \h </w:instrText>
        </w:r>
        <w:r w:rsidRPr="00BA7855">
          <w:rPr>
            <w:noProof/>
            <w:webHidden/>
          </w:rPr>
        </w:r>
        <w:r w:rsidRPr="00BA7855">
          <w:rPr>
            <w:noProof/>
            <w:webHidden/>
          </w:rPr>
          <w:fldChar w:fldCharType="separate"/>
        </w:r>
        <w:r w:rsidR="00143EE1">
          <w:rPr>
            <w:noProof/>
            <w:webHidden/>
          </w:rPr>
          <w:t>249</w:t>
        </w:r>
        <w:r w:rsidRPr="00BA7855">
          <w:rPr>
            <w:noProof/>
            <w:webHidden/>
          </w:rPr>
          <w:fldChar w:fldCharType="end"/>
        </w:r>
      </w:hyperlink>
    </w:p>
    <w:p w14:paraId="72129130" w14:textId="06CA479E"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82" w:history="1">
        <w:r w:rsidRPr="00BA7855">
          <w:rPr>
            <w:rStyle w:val="Hyperlink"/>
            <w:rFonts w:ascii="Times New Roman" w:hAnsi="Times New Roman"/>
            <w:noProof/>
          </w:rPr>
          <w:t>3.4</w:t>
        </w:r>
        <w:r w:rsidRPr="00BA7855">
          <w:rPr>
            <w:rFonts w:eastAsiaTheme="minorEastAsia"/>
            <w:noProof/>
            <w:kern w:val="2"/>
            <w14:ligatures w14:val="standardContextual"/>
          </w:rPr>
          <w:tab/>
        </w:r>
        <w:r w:rsidRPr="00BA7855">
          <w:rPr>
            <w:rStyle w:val="Hyperlink"/>
            <w:rFonts w:ascii="Times New Roman" w:hAnsi="Times New Roman"/>
            <w:noProof/>
          </w:rPr>
          <w:t>Thermal Evolution Models</w:t>
        </w:r>
        <w:r w:rsidRPr="00BA7855">
          <w:rPr>
            <w:noProof/>
            <w:webHidden/>
          </w:rPr>
          <w:tab/>
        </w:r>
        <w:r w:rsidRPr="00BA7855">
          <w:rPr>
            <w:noProof/>
            <w:webHidden/>
          </w:rPr>
          <w:fldChar w:fldCharType="begin"/>
        </w:r>
        <w:r w:rsidRPr="00BA7855">
          <w:rPr>
            <w:noProof/>
            <w:webHidden/>
          </w:rPr>
          <w:instrText xml:space="preserve"> PAGEREF _Toc185325682 \h </w:instrText>
        </w:r>
        <w:r w:rsidRPr="00BA7855">
          <w:rPr>
            <w:noProof/>
            <w:webHidden/>
          </w:rPr>
        </w:r>
        <w:r w:rsidRPr="00BA7855">
          <w:rPr>
            <w:noProof/>
            <w:webHidden/>
          </w:rPr>
          <w:fldChar w:fldCharType="separate"/>
        </w:r>
        <w:r w:rsidR="00143EE1">
          <w:rPr>
            <w:noProof/>
            <w:webHidden/>
          </w:rPr>
          <w:t>254</w:t>
        </w:r>
        <w:r w:rsidRPr="00BA7855">
          <w:rPr>
            <w:noProof/>
            <w:webHidden/>
          </w:rPr>
          <w:fldChar w:fldCharType="end"/>
        </w:r>
      </w:hyperlink>
    </w:p>
    <w:p w14:paraId="4D58CFA7" w14:textId="00527407"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83" w:history="1">
        <w:r w:rsidRPr="00BA7855">
          <w:rPr>
            <w:rStyle w:val="Hyperlink"/>
            <w:rFonts w:ascii="Times New Roman" w:hAnsi="Times New Roman"/>
            <w:noProof/>
          </w:rPr>
          <w:t>3.4.1</w:t>
        </w:r>
        <w:r w:rsidRPr="00BA7855">
          <w:rPr>
            <w:rFonts w:eastAsiaTheme="minorEastAsia"/>
            <w:noProof/>
            <w:kern w:val="2"/>
            <w14:ligatures w14:val="standardContextual"/>
          </w:rPr>
          <w:tab/>
        </w:r>
        <w:r w:rsidRPr="00BA7855">
          <w:rPr>
            <w:rStyle w:val="Hyperlink"/>
            <w:rFonts w:ascii="Times New Roman" w:hAnsi="Times New Roman"/>
            <w:noProof/>
          </w:rPr>
          <w:t>Thermal Diffusion and Heat Production Model</w:t>
        </w:r>
        <w:r w:rsidRPr="00BA7855">
          <w:rPr>
            <w:noProof/>
            <w:webHidden/>
          </w:rPr>
          <w:tab/>
        </w:r>
        <w:r w:rsidRPr="00BA7855">
          <w:rPr>
            <w:noProof/>
            <w:webHidden/>
          </w:rPr>
          <w:fldChar w:fldCharType="begin"/>
        </w:r>
        <w:r w:rsidRPr="00BA7855">
          <w:rPr>
            <w:noProof/>
            <w:webHidden/>
          </w:rPr>
          <w:instrText xml:space="preserve"> PAGEREF _Toc185325683 \h </w:instrText>
        </w:r>
        <w:r w:rsidRPr="00BA7855">
          <w:rPr>
            <w:noProof/>
            <w:webHidden/>
          </w:rPr>
        </w:r>
        <w:r w:rsidRPr="00BA7855">
          <w:rPr>
            <w:noProof/>
            <w:webHidden/>
          </w:rPr>
          <w:fldChar w:fldCharType="separate"/>
        </w:r>
        <w:r w:rsidR="00143EE1">
          <w:rPr>
            <w:noProof/>
            <w:webHidden/>
          </w:rPr>
          <w:t>254</w:t>
        </w:r>
        <w:r w:rsidRPr="00BA7855">
          <w:rPr>
            <w:noProof/>
            <w:webHidden/>
          </w:rPr>
          <w:fldChar w:fldCharType="end"/>
        </w:r>
      </w:hyperlink>
    </w:p>
    <w:p w14:paraId="63232530" w14:textId="25778ACB"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84" w:history="1">
        <w:r w:rsidRPr="00BA7855">
          <w:rPr>
            <w:rStyle w:val="Hyperlink"/>
            <w:rFonts w:ascii="Times New Roman" w:hAnsi="Times New Roman"/>
            <w:noProof/>
          </w:rPr>
          <w:t>3.4.2</w:t>
        </w:r>
        <w:r w:rsidRPr="00BA7855">
          <w:rPr>
            <w:rFonts w:eastAsiaTheme="minorEastAsia"/>
            <w:noProof/>
            <w:kern w:val="2"/>
            <w14:ligatures w14:val="standardContextual"/>
          </w:rPr>
          <w:tab/>
        </w:r>
        <w:r w:rsidRPr="00BA7855">
          <w:rPr>
            <w:rStyle w:val="Hyperlink"/>
            <w:rFonts w:ascii="Times New Roman" w:hAnsi="Times New Roman"/>
            <w:noProof/>
          </w:rPr>
          <w:t>Density, Conductivity, and Heat Capacity Assumptions</w:t>
        </w:r>
        <w:r w:rsidRPr="00BA7855">
          <w:rPr>
            <w:noProof/>
            <w:webHidden/>
          </w:rPr>
          <w:tab/>
        </w:r>
        <w:r w:rsidRPr="00BA7855">
          <w:rPr>
            <w:noProof/>
            <w:webHidden/>
          </w:rPr>
          <w:fldChar w:fldCharType="begin"/>
        </w:r>
        <w:r w:rsidRPr="00BA7855">
          <w:rPr>
            <w:noProof/>
            <w:webHidden/>
          </w:rPr>
          <w:instrText xml:space="preserve"> PAGEREF _Toc185325684 \h </w:instrText>
        </w:r>
        <w:r w:rsidRPr="00BA7855">
          <w:rPr>
            <w:noProof/>
            <w:webHidden/>
          </w:rPr>
        </w:r>
        <w:r w:rsidRPr="00BA7855">
          <w:rPr>
            <w:noProof/>
            <w:webHidden/>
          </w:rPr>
          <w:fldChar w:fldCharType="separate"/>
        </w:r>
        <w:r w:rsidR="00143EE1">
          <w:rPr>
            <w:noProof/>
            <w:webHidden/>
          </w:rPr>
          <w:t>258</w:t>
        </w:r>
        <w:r w:rsidRPr="00BA7855">
          <w:rPr>
            <w:noProof/>
            <w:webHidden/>
          </w:rPr>
          <w:fldChar w:fldCharType="end"/>
        </w:r>
      </w:hyperlink>
    </w:p>
    <w:p w14:paraId="56569560" w14:textId="0683866E"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85" w:history="1">
        <w:r w:rsidRPr="00BA7855">
          <w:rPr>
            <w:rStyle w:val="Hyperlink"/>
            <w:rFonts w:ascii="Times New Roman" w:hAnsi="Times New Roman"/>
            <w:noProof/>
          </w:rPr>
          <w:t>3.4.3</w:t>
        </w:r>
        <w:r w:rsidRPr="00BA7855">
          <w:rPr>
            <w:rFonts w:eastAsiaTheme="minorEastAsia"/>
            <w:noProof/>
            <w:kern w:val="2"/>
            <w14:ligatures w14:val="standardContextual"/>
          </w:rPr>
          <w:tab/>
        </w:r>
        <w:r w:rsidRPr="00BA7855">
          <w:rPr>
            <w:rStyle w:val="Hyperlink"/>
            <w:rFonts w:ascii="Times New Roman" w:hAnsi="Times New Roman"/>
            <w:noProof/>
          </w:rPr>
          <w:t>P-T Conditions of the Lunar Mantle</w:t>
        </w:r>
        <w:r w:rsidRPr="00BA7855">
          <w:rPr>
            <w:noProof/>
            <w:webHidden/>
          </w:rPr>
          <w:tab/>
        </w:r>
        <w:r w:rsidRPr="00BA7855">
          <w:rPr>
            <w:noProof/>
            <w:webHidden/>
          </w:rPr>
          <w:fldChar w:fldCharType="begin"/>
        </w:r>
        <w:r w:rsidRPr="00BA7855">
          <w:rPr>
            <w:noProof/>
            <w:webHidden/>
          </w:rPr>
          <w:instrText xml:space="preserve"> PAGEREF _Toc185325685 \h </w:instrText>
        </w:r>
        <w:r w:rsidRPr="00BA7855">
          <w:rPr>
            <w:noProof/>
            <w:webHidden/>
          </w:rPr>
        </w:r>
        <w:r w:rsidRPr="00BA7855">
          <w:rPr>
            <w:noProof/>
            <w:webHidden/>
          </w:rPr>
          <w:fldChar w:fldCharType="separate"/>
        </w:r>
        <w:r w:rsidR="00143EE1">
          <w:rPr>
            <w:noProof/>
            <w:webHidden/>
          </w:rPr>
          <w:t>261</w:t>
        </w:r>
        <w:r w:rsidRPr="00BA7855">
          <w:rPr>
            <w:noProof/>
            <w:webHidden/>
          </w:rPr>
          <w:fldChar w:fldCharType="end"/>
        </w:r>
      </w:hyperlink>
    </w:p>
    <w:p w14:paraId="52AD7624" w14:textId="78F5799A" w:rsidR="00BA7855" w:rsidRPr="00BA7855" w:rsidRDefault="00BA7855" w:rsidP="00BA7855">
      <w:pPr>
        <w:pStyle w:val="TOC3"/>
        <w:tabs>
          <w:tab w:val="left" w:pos="1440"/>
          <w:tab w:val="right" w:leader="dot" w:pos="8630"/>
        </w:tabs>
        <w:spacing w:line="480" w:lineRule="auto"/>
        <w:rPr>
          <w:rFonts w:eastAsiaTheme="minorEastAsia"/>
          <w:noProof/>
          <w:kern w:val="2"/>
          <w14:ligatures w14:val="standardContextual"/>
        </w:rPr>
      </w:pPr>
      <w:hyperlink w:anchor="_Toc185325686" w:history="1">
        <w:r w:rsidRPr="00BA7855">
          <w:rPr>
            <w:rStyle w:val="Hyperlink"/>
            <w:rFonts w:ascii="Times New Roman" w:hAnsi="Times New Roman"/>
            <w:noProof/>
          </w:rPr>
          <w:t>3.4.4</w:t>
        </w:r>
        <w:r w:rsidRPr="00BA7855">
          <w:rPr>
            <w:rFonts w:eastAsiaTheme="minorEastAsia"/>
            <w:noProof/>
            <w:kern w:val="2"/>
            <w14:ligatures w14:val="standardContextual"/>
          </w:rPr>
          <w:tab/>
        </w:r>
        <w:r w:rsidRPr="00BA7855">
          <w:rPr>
            <w:rStyle w:val="Hyperlink"/>
            <w:rFonts w:ascii="Times New Roman" w:hAnsi="Times New Roman"/>
            <w:noProof/>
          </w:rPr>
          <w:t>HPE and Thermal Distributions Before and After Overturn</w:t>
        </w:r>
        <w:r w:rsidRPr="00BA7855">
          <w:rPr>
            <w:noProof/>
            <w:webHidden/>
          </w:rPr>
          <w:tab/>
        </w:r>
        <w:r w:rsidRPr="00BA7855">
          <w:rPr>
            <w:noProof/>
            <w:webHidden/>
          </w:rPr>
          <w:fldChar w:fldCharType="begin"/>
        </w:r>
        <w:r w:rsidRPr="00BA7855">
          <w:rPr>
            <w:noProof/>
            <w:webHidden/>
          </w:rPr>
          <w:instrText xml:space="preserve"> PAGEREF _Toc185325686 \h </w:instrText>
        </w:r>
        <w:r w:rsidRPr="00BA7855">
          <w:rPr>
            <w:noProof/>
            <w:webHidden/>
          </w:rPr>
        </w:r>
        <w:r w:rsidRPr="00BA7855">
          <w:rPr>
            <w:noProof/>
            <w:webHidden/>
          </w:rPr>
          <w:fldChar w:fldCharType="separate"/>
        </w:r>
        <w:r w:rsidR="00143EE1">
          <w:rPr>
            <w:noProof/>
            <w:webHidden/>
          </w:rPr>
          <w:t>261</w:t>
        </w:r>
        <w:r w:rsidRPr="00BA7855">
          <w:rPr>
            <w:noProof/>
            <w:webHidden/>
          </w:rPr>
          <w:fldChar w:fldCharType="end"/>
        </w:r>
      </w:hyperlink>
    </w:p>
    <w:p w14:paraId="639A1CFD" w14:textId="4928EBBA"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87" w:history="1">
        <w:r w:rsidRPr="00BA7855">
          <w:rPr>
            <w:rStyle w:val="Hyperlink"/>
            <w:rFonts w:ascii="Times New Roman" w:hAnsi="Times New Roman"/>
            <w:noProof/>
          </w:rPr>
          <w:t>3.5</w:t>
        </w:r>
        <w:r w:rsidRPr="00BA7855">
          <w:rPr>
            <w:rFonts w:eastAsiaTheme="minorEastAsia"/>
            <w:noProof/>
            <w:kern w:val="2"/>
            <w14:ligatures w14:val="standardContextual"/>
          </w:rPr>
          <w:tab/>
        </w:r>
        <w:r w:rsidRPr="00BA7855">
          <w:rPr>
            <w:rStyle w:val="Hyperlink"/>
            <w:rFonts w:ascii="Times New Roman" w:hAnsi="Times New Roman"/>
            <w:noProof/>
          </w:rPr>
          <w:t>Thermal Modeling Results</w:t>
        </w:r>
        <w:r w:rsidRPr="00BA7855">
          <w:rPr>
            <w:noProof/>
            <w:webHidden/>
          </w:rPr>
          <w:tab/>
        </w:r>
        <w:r w:rsidRPr="00BA7855">
          <w:rPr>
            <w:noProof/>
            <w:webHidden/>
          </w:rPr>
          <w:fldChar w:fldCharType="begin"/>
        </w:r>
        <w:r w:rsidRPr="00BA7855">
          <w:rPr>
            <w:noProof/>
            <w:webHidden/>
          </w:rPr>
          <w:instrText xml:space="preserve"> PAGEREF _Toc185325687 \h </w:instrText>
        </w:r>
        <w:r w:rsidRPr="00BA7855">
          <w:rPr>
            <w:noProof/>
            <w:webHidden/>
          </w:rPr>
        </w:r>
        <w:r w:rsidRPr="00BA7855">
          <w:rPr>
            <w:noProof/>
            <w:webHidden/>
          </w:rPr>
          <w:fldChar w:fldCharType="separate"/>
        </w:r>
        <w:r w:rsidR="00143EE1">
          <w:rPr>
            <w:noProof/>
            <w:webHidden/>
          </w:rPr>
          <w:t>263</w:t>
        </w:r>
        <w:r w:rsidRPr="00BA7855">
          <w:rPr>
            <w:noProof/>
            <w:webHidden/>
          </w:rPr>
          <w:fldChar w:fldCharType="end"/>
        </w:r>
      </w:hyperlink>
    </w:p>
    <w:p w14:paraId="2A5714EA" w14:textId="023C2BF5"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88" w:history="1">
        <w:r w:rsidRPr="00BA7855">
          <w:rPr>
            <w:rStyle w:val="Hyperlink"/>
            <w:rFonts w:ascii="Times New Roman" w:hAnsi="Times New Roman"/>
            <w:noProof/>
          </w:rPr>
          <w:t>3.6</w:t>
        </w:r>
        <w:r w:rsidRPr="00BA7855">
          <w:rPr>
            <w:rFonts w:eastAsiaTheme="minorEastAsia"/>
            <w:noProof/>
            <w:kern w:val="2"/>
            <w14:ligatures w14:val="standardContextual"/>
          </w:rPr>
          <w:tab/>
        </w:r>
        <w:r w:rsidRPr="00BA7855">
          <w:rPr>
            <w:rStyle w:val="Hyperlink"/>
            <w:rFonts w:ascii="Times New Roman" w:hAnsi="Times New Roman"/>
            <w:noProof/>
          </w:rPr>
          <w:t>Mechanisms That Could Prolong Lunar Thermal Evolution</w:t>
        </w:r>
        <w:r w:rsidRPr="00BA7855">
          <w:rPr>
            <w:noProof/>
            <w:webHidden/>
          </w:rPr>
          <w:tab/>
        </w:r>
        <w:r w:rsidRPr="00BA7855">
          <w:rPr>
            <w:noProof/>
            <w:webHidden/>
          </w:rPr>
          <w:fldChar w:fldCharType="begin"/>
        </w:r>
        <w:r w:rsidRPr="00BA7855">
          <w:rPr>
            <w:noProof/>
            <w:webHidden/>
          </w:rPr>
          <w:instrText xml:space="preserve"> PAGEREF _Toc185325688 \h </w:instrText>
        </w:r>
        <w:r w:rsidRPr="00BA7855">
          <w:rPr>
            <w:noProof/>
            <w:webHidden/>
          </w:rPr>
        </w:r>
        <w:r w:rsidRPr="00BA7855">
          <w:rPr>
            <w:noProof/>
            <w:webHidden/>
          </w:rPr>
          <w:fldChar w:fldCharType="separate"/>
        </w:r>
        <w:r w:rsidR="00143EE1">
          <w:rPr>
            <w:noProof/>
            <w:webHidden/>
          </w:rPr>
          <w:t>269</w:t>
        </w:r>
        <w:r w:rsidRPr="00BA7855">
          <w:rPr>
            <w:noProof/>
            <w:webHidden/>
          </w:rPr>
          <w:fldChar w:fldCharType="end"/>
        </w:r>
      </w:hyperlink>
    </w:p>
    <w:p w14:paraId="69CA2A46" w14:textId="10F16636" w:rsidR="00BA7855" w:rsidRPr="00BA7855" w:rsidRDefault="00BA7855" w:rsidP="00BA7855">
      <w:pPr>
        <w:pStyle w:val="TOC2"/>
        <w:tabs>
          <w:tab w:val="left" w:pos="960"/>
          <w:tab w:val="right" w:leader="dot" w:pos="8630"/>
        </w:tabs>
        <w:spacing w:line="480" w:lineRule="auto"/>
        <w:rPr>
          <w:rFonts w:eastAsiaTheme="minorEastAsia"/>
          <w:noProof/>
          <w:kern w:val="2"/>
          <w14:ligatures w14:val="standardContextual"/>
        </w:rPr>
      </w:pPr>
      <w:hyperlink w:anchor="_Toc185325689" w:history="1">
        <w:r w:rsidRPr="00BA7855">
          <w:rPr>
            <w:rStyle w:val="Hyperlink"/>
            <w:rFonts w:ascii="Times New Roman" w:hAnsi="Times New Roman"/>
            <w:noProof/>
          </w:rPr>
          <w:t>3.7</w:t>
        </w:r>
        <w:r w:rsidRPr="00BA7855">
          <w:rPr>
            <w:rFonts w:eastAsiaTheme="minorEastAsia"/>
            <w:noProof/>
            <w:kern w:val="2"/>
            <w14:ligatures w14:val="standardContextual"/>
          </w:rPr>
          <w:tab/>
        </w:r>
        <w:r w:rsidRPr="00BA7855">
          <w:rPr>
            <w:rStyle w:val="Hyperlink"/>
            <w:rFonts w:ascii="Times New Roman" w:hAnsi="Times New Roman"/>
            <w:noProof/>
          </w:rPr>
          <w:t>Conclusions</w:t>
        </w:r>
        <w:r w:rsidRPr="00BA7855">
          <w:rPr>
            <w:noProof/>
            <w:webHidden/>
          </w:rPr>
          <w:tab/>
        </w:r>
        <w:r w:rsidRPr="00BA7855">
          <w:rPr>
            <w:noProof/>
            <w:webHidden/>
          </w:rPr>
          <w:fldChar w:fldCharType="begin"/>
        </w:r>
        <w:r w:rsidRPr="00BA7855">
          <w:rPr>
            <w:noProof/>
            <w:webHidden/>
          </w:rPr>
          <w:instrText xml:space="preserve"> PAGEREF _Toc185325689 \h </w:instrText>
        </w:r>
        <w:r w:rsidRPr="00BA7855">
          <w:rPr>
            <w:noProof/>
            <w:webHidden/>
          </w:rPr>
        </w:r>
        <w:r w:rsidRPr="00BA7855">
          <w:rPr>
            <w:noProof/>
            <w:webHidden/>
          </w:rPr>
          <w:fldChar w:fldCharType="separate"/>
        </w:r>
        <w:r w:rsidR="00143EE1">
          <w:rPr>
            <w:noProof/>
            <w:webHidden/>
          </w:rPr>
          <w:t>271</w:t>
        </w:r>
        <w:r w:rsidRPr="00BA7855">
          <w:rPr>
            <w:noProof/>
            <w:webHidden/>
          </w:rPr>
          <w:fldChar w:fldCharType="end"/>
        </w:r>
      </w:hyperlink>
    </w:p>
    <w:p w14:paraId="0BC4B465" w14:textId="26DC67CC"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690" w:history="1">
        <w:r w:rsidRPr="00BA7855">
          <w:rPr>
            <w:rStyle w:val="Hyperlink"/>
            <w:rFonts w:ascii="Times New Roman" w:hAnsi="Times New Roman"/>
            <w:noProof/>
          </w:rPr>
          <w:t>References</w:t>
        </w:r>
        <w:r w:rsidRPr="00BA7855">
          <w:rPr>
            <w:noProof/>
            <w:webHidden/>
          </w:rPr>
          <w:tab/>
        </w:r>
        <w:r w:rsidRPr="00BA7855">
          <w:rPr>
            <w:noProof/>
            <w:webHidden/>
          </w:rPr>
          <w:fldChar w:fldCharType="begin"/>
        </w:r>
        <w:r w:rsidRPr="00BA7855">
          <w:rPr>
            <w:noProof/>
            <w:webHidden/>
          </w:rPr>
          <w:instrText xml:space="preserve"> PAGEREF _Toc185325690 \h </w:instrText>
        </w:r>
        <w:r w:rsidRPr="00BA7855">
          <w:rPr>
            <w:noProof/>
            <w:webHidden/>
          </w:rPr>
        </w:r>
        <w:r w:rsidRPr="00BA7855">
          <w:rPr>
            <w:noProof/>
            <w:webHidden/>
          </w:rPr>
          <w:fldChar w:fldCharType="separate"/>
        </w:r>
        <w:r w:rsidR="00143EE1">
          <w:rPr>
            <w:noProof/>
            <w:webHidden/>
          </w:rPr>
          <w:t>273</w:t>
        </w:r>
        <w:r w:rsidRPr="00BA7855">
          <w:rPr>
            <w:noProof/>
            <w:webHidden/>
          </w:rPr>
          <w:fldChar w:fldCharType="end"/>
        </w:r>
      </w:hyperlink>
    </w:p>
    <w:p w14:paraId="14494EED" w14:textId="7FC5DBE3"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691" w:history="1">
        <w:r w:rsidRPr="00BA7855">
          <w:rPr>
            <w:rStyle w:val="Hyperlink"/>
            <w:rFonts w:ascii="Times New Roman" w:hAnsi="Times New Roman"/>
            <w:noProof/>
          </w:rPr>
          <w:t>Appendix C</w:t>
        </w:r>
        <w:r w:rsidRPr="00BA7855">
          <w:rPr>
            <w:noProof/>
            <w:webHidden/>
          </w:rPr>
          <w:tab/>
        </w:r>
        <w:r w:rsidRPr="00BA7855">
          <w:rPr>
            <w:noProof/>
            <w:webHidden/>
          </w:rPr>
          <w:fldChar w:fldCharType="begin"/>
        </w:r>
        <w:r w:rsidRPr="00BA7855">
          <w:rPr>
            <w:noProof/>
            <w:webHidden/>
          </w:rPr>
          <w:instrText xml:space="preserve"> PAGEREF _Toc185325691 \h </w:instrText>
        </w:r>
        <w:r w:rsidRPr="00BA7855">
          <w:rPr>
            <w:noProof/>
            <w:webHidden/>
          </w:rPr>
        </w:r>
        <w:r w:rsidRPr="00BA7855">
          <w:rPr>
            <w:noProof/>
            <w:webHidden/>
          </w:rPr>
          <w:fldChar w:fldCharType="separate"/>
        </w:r>
        <w:r w:rsidR="00143EE1">
          <w:rPr>
            <w:noProof/>
            <w:webHidden/>
          </w:rPr>
          <w:t>291</w:t>
        </w:r>
        <w:r w:rsidRPr="00BA7855">
          <w:rPr>
            <w:noProof/>
            <w:webHidden/>
          </w:rPr>
          <w:fldChar w:fldCharType="end"/>
        </w:r>
      </w:hyperlink>
    </w:p>
    <w:p w14:paraId="5B659178" w14:textId="3D907340" w:rsidR="00BA7855" w:rsidRPr="00BA7855" w:rsidRDefault="00BA7855" w:rsidP="00BA7855">
      <w:pPr>
        <w:pStyle w:val="TOC1"/>
        <w:rPr>
          <w:rFonts w:eastAsiaTheme="minorEastAsia"/>
          <w:noProof/>
          <w:kern w:val="2"/>
          <w14:ligatures w14:val="standardContextual"/>
        </w:rPr>
      </w:pPr>
      <w:hyperlink w:anchor="_Toc185325692" w:history="1">
        <w:r w:rsidRPr="00BA7855">
          <w:rPr>
            <w:rStyle w:val="Hyperlink"/>
            <w:rFonts w:ascii="Times New Roman" w:hAnsi="Times New Roman"/>
            <w:noProof/>
          </w:rPr>
          <w:t>CONCLUSIONS</w:t>
        </w:r>
        <w:r w:rsidRPr="00BA7855">
          <w:rPr>
            <w:noProof/>
            <w:webHidden/>
          </w:rPr>
          <w:tab/>
        </w:r>
        <w:r w:rsidRPr="00BA7855">
          <w:rPr>
            <w:noProof/>
            <w:webHidden/>
          </w:rPr>
          <w:fldChar w:fldCharType="begin"/>
        </w:r>
        <w:r w:rsidRPr="00BA7855">
          <w:rPr>
            <w:noProof/>
            <w:webHidden/>
          </w:rPr>
          <w:instrText xml:space="preserve"> PAGEREF _Toc185325692 \h </w:instrText>
        </w:r>
        <w:r w:rsidRPr="00BA7855">
          <w:rPr>
            <w:noProof/>
            <w:webHidden/>
          </w:rPr>
        </w:r>
        <w:r w:rsidRPr="00BA7855">
          <w:rPr>
            <w:noProof/>
            <w:webHidden/>
          </w:rPr>
          <w:fldChar w:fldCharType="separate"/>
        </w:r>
        <w:r w:rsidR="00143EE1">
          <w:rPr>
            <w:noProof/>
            <w:webHidden/>
          </w:rPr>
          <w:t>314</w:t>
        </w:r>
        <w:r w:rsidRPr="00BA7855">
          <w:rPr>
            <w:noProof/>
            <w:webHidden/>
          </w:rPr>
          <w:fldChar w:fldCharType="end"/>
        </w:r>
      </w:hyperlink>
    </w:p>
    <w:p w14:paraId="628A8B59" w14:textId="0FCA3678"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693" w:history="1">
        <w:r w:rsidRPr="00BA7855">
          <w:rPr>
            <w:rStyle w:val="Hyperlink"/>
            <w:rFonts w:ascii="Times New Roman" w:hAnsi="Times New Roman"/>
            <w:noProof/>
          </w:rPr>
          <w:t>Lunar Mantle Hybridization During Cumulate Overturn</w:t>
        </w:r>
        <w:r w:rsidRPr="00BA7855">
          <w:rPr>
            <w:noProof/>
            <w:webHidden/>
          </w:rPr>
          <w:tab/>
        </w:r>
        <w:r w:rsidRPr="00BA7855">
          <w:rPr>
            <w:noProof/>
            <w:webHidden/>
          </w:rPr>
          <w:fldChar w:fldCharType="begin"/>
        </w:r>
        <w:r w:rsidRPr="00BA7855">
          <w:rPr>
            <w:noProof/>
            <w:webHidden/>
          </w:rPr>
          <w:instrText xml:space="preserve"> PAGEREF _Toc185325693 \h </w:instrText>
        </w:r>
        <w:r w:rsidRPr="00BA7855">
          <w:rPr>
            <w:noProof/>
            <w:webHidden/>
          </w:rPr>
        </w:r>
        <w:r w:rsidRPr="00BA7855">
          <w:rPr>
            <w:noProof/>
            <w:webHidden/>
          </w:rPr>
          <w:fldChar w:fldCharType="separate"/>
        </w:r>
        <w:r w:rsidR="00143EE1">
          <w:rPr>
            <w:noProof/>
            <w:webHidden/>
          </w:rPr>
          <w:t>314</w:t>
        </w:r>
        <w:r w:rsidRPr="00BA7855">
          <w:rPr>
            <w:noProof/>
            <w:webHidden/>
          </w:rPr>
          <w:fldChar w:fldCharType="end"/>
        </w:r>
      </w:hyperlink>
    </w:p>
    <w:p w14:paraId="7810BE9A" w14:textId="7EF0C4C4" w:rsidR="00BA7855" w:rsidRPr="00BA7855" w:rsidRDefault="00BA7855" w:rsidP="00BA7855">
      <w:pPr>
        <w:pStyle w:val="TOC2"/>
        <w:tabs>
          <w:tab w:val="right" w:leader="dot" w:pos="8630"/>
        </w:tabs>
        <w:spacing w:line="480" w:lineRule="auto"/>
        <w:rPr>
          <w:rFonts w:eastAsiaTheme="minorEastAsia"/>
          <w:noProof/>
          <w:kern w:val="2"/>
          <w14:ligatures w14:val="standardContextual"/>
        </w:rPr>
      </w:pPr>
      <w:hyperlink w:anchor="_Toc185325694" w:history="1">
        <w:r w:rsidRPr="00BA7855">
          <w:rPr>
            <w:rStyle w:val="Hyperlink"/>
            <w:rFonts w:ascii="Times New Roman" w:hAnsi="Times New Roman"/>
            <w:noProof/>
          </w:rPr>
          <w:t>Magma Ocean Solidification And The Formation Of Lunar Basalt Sources</w:t>
        </w:r>
        <w:r w:rsidRPr="00BA7855">
          <w:rPr>
            <w:noProof/>
            <w:webHidden/>
          </w:rPr>
          <w:tab/>
        </w:r>
        <w:r w:rsidRPr="00BA7855">
          <w:rPr>
            <w:noProof/>
            <w:webHidden/>
          </w:rPr>
          <w:fldChar w:fldCharType="begin"/>
        </w:r>
        <w:r w:rsidRPr="00BA7855">
          <w:rPr>
            <w:noProof/>
            <w:webHidden/>
          </w:rPr>
          <w:instrText xml:space="preserve"> PAGEREF _Toc185325694 \h </w:instrText>
        </w:r>
        <w:r w:rsidRPr="00BA7855">
          <w:rPr>
            <w:noProof/>
            <w:webHidden/>
          </w:rPr>
        </w:r>
        <w:r w:rsidRPr="00BA7855">
          <w:rPr>
            <w:noProof/>
            <w:webHidden/>
          </w:rPr>
          <w:fldChar w:fldCharType="separate"/>
        </w:r>
        <w:r w:rsidR="00143EE1">
          <w:rPr>
            <w:noProof/>
            <w:webHidden/>
          </w:rPr>
          <w:t>315</w:t>
        </w:r>
        <w:r w:rsidRPr="00BA7855">
          <w:rPr>
            <w:noProof/>
            <w:webHidden/>
          </w:rPr>
          <w:fldChar w:fldCharType="end"/>
        </w:r>
      </w:hyperlink>
    </w:p>
    <w:p w14:paraId="356D2204" w14:textId="698A036C" w:rsidR="00BA7855" w:rsidRPr="00BA7855" w:rsidRDefault="00BA7855" w:rsidP="00C325C1">
      <w:pPr>
        <w:pStyle w:val="TOC2"/>
        <w:tabs>
          <w:tab w:val="right" w:leader="dot" w:pos="8630"/>
        </w:tabs>
        <w:spacing w:line="480" w:lineRule="auto"/>
        <w:outlineLvl w:val="0"/>
        <w:rPr>
          <w:rFonts w:eastAsiaTheme="minorEastAsia"/>
          <w:noProof/>
          <w:kern w:val="2"/>
          <w14:ligatures w14:val="standardContextual"/>
        </w:rPr>
      </w:pPr>
      <w:hyperlink w:anchor="_Toc185325695" w:history="1">
        <w:r w:rsidRPr="00BA7855">
          <w:rPr>
            <w:rStyle w:val="Hyperlink"/>
            <w:rFonts w:ascii="Times New Roman" w:hAnsi="Times New Roman"/>
            <w:noProof/>
          </w:rPr>
          <w:t>Concentration And Distribution Of Lunar Heat Producing Elements</w:t>
        </w:r>
        <w:r w:rsidRPr="00BA7855">
          <w:rPr>
            <w:noProof/>
            <w:webHidden/>
          </w:rPr>
          <w:tab/>
        </w:r>
        <w:r w:rsidRPr="00BA7855">
          <w:rPr>
            <w:noProof/>
            <w:webHidden/>
          </w:rPr>
          <w:fldChar w:fldCharType="begin"/>
        </w:r>
        <w:r w:rsidRPr="00BA7855">
          <w:rPr>
            <w:noProof/>
            <w:webHidden/>
          </w:rPr>
          <w:instrText xml:space="preserve"> PAGEREF _Toc185325695 \h </w:instrText>
        </w:r>
        <w:r w:rsidRPr="00BA7855">
          <w:rPr>
            <w:noProof/>
            <w:webHidden/>
          </w:rPr>
        </w:r>
        <w:r w:rsidRPr="00BA7855">
          <w:rPr>
            <w:noProof/>
            <w:webHidden/>
          </w:rPr>
          <w:fldChar w:fldCharType="separate"/>
        </w:r>
        <w:r w:rsidR="00143EE1">
          <w:rPr>
            <w:noProof/>
            <w:webHidden/>
          </w:rPr>
          <w:t>316</w:t>
        </w:r>
        <w:r w:rsidRPr="00BA7855">
          <w:rPr>
            <w:noProof/>
            <w:webHidden/>
          </w:rPr>
          <w:fldChar w:fldCharType="end"/>
        </w:r>
      </w:hyperlink>
    </w:p>
    <w:p w14:paraId="36BEC7E6" w14:textId="463F9FA3" w:rsidR="00BA7855" w:rsidRPr="00BA7855" w:rsidRDefault="00BA7855" w:rsidP="00C325C1">
      <w:pPr>
        <w:pStyle w:val="TOC1"/>
        <w:outlineLvl w:val="0"/>
        <w:rPr>
          <w:rFonts w:eastAsiaTheme="minorEastAsia"/>
          <w:noProof/>
          <w:kern w:val="2"/>
          <w14:ligatures w14:val="standardContextual"/>
        </w:rPr>
      </w:pPr>
      <w:hyperlink w:anchor="_Toc185325696" w:history="1">
        <w:r w:rsidRPr="00BA7855">
          <w:rPr>
            <w:rStyle w:val="Hyperlink"/>
            <w:rFonts w:ascii="Times New Roman" w:hAnsi="Times New Roman"/>
            <w:noProof/>
          </w:rPr>
          <w:t>VITA</w:t>
        </w:r>
        <w:r w:rsidRPr="00BA7855">
          <w:rPr>
            <w:noProof/>
            <w:webHidden/>
          </w:rPr>
          <w:tab/>
        </w:r>
        <w:r w:rsidRPr="00BA7855">
          <w:rPr>
            <w:noProof/>
            <w:webHidden/>
          </w:rPr>
          <w:fldChar w:fldCharType="begin"/>
        </w:r>
        <w:r w:rsidRPr="00BA7855">
          <w:rPr>
            <w:noProof/>
            <w:webHidden/>
          </w:rPr>
          <w:instrText xml:space="preserve"> PAGEREF _Toc185325696 \h </w:instrText>
        </w:r>
        <w:r w:rsidRPr="00BA7855">
          <w:rPr>
            <w:noProof/>
            <w:webHidden/>
          </w:rPr>
        </w:r>
        <w:r w:rsidRPr="00BA7855">
          <w:rPr>
            <w:noProof/>
            <w:webHidden/>
          </w:rPr>
          <w:fldChar w:fldCharType="separate"/>
        </w:r>
        <w:r w:rsidR="00143EE1">
          <w:rPr>
            <w:noProof/>
            <w:webHidden/>
          </w:rPr>
          <w:t>318</w:t>
        </w:r>
        <w:r w:rsidRPr="00BA7855">
          <w:rPr>
            <w:noProof/>
            <w:webHidden/>
          </w:rPr>
          <w:fldChar w:fldCharType="end"/>
        </w:r>
      </w:hyperlink>
    </w:p>
    <w:p w14:paraId="3203220D" w14:textId="4A64C4BF" w:rsidR="002F13EF" w:rsidRDefault="00E26011" w:rsidP="00BA7855">
      <w:pPr>
        <w:spacing w:line="480" w:lineRule="auto"/>
        <w:outlineLvl w:val="0"/>
      </w:pPr>
      <w:r w:rsidRPr="00BA7855">
        <w:fldChar w:fldCharType="end"/>
      </w:r>
    </w:p>
    <w:p w14:paraId="6CF194A3" w14:textId="77777777" w:rsidR="00A329B1" w:rsidRDefault="00A329B1" w:rsidP="00BA7855">
      <w:pPr>
        <w:pStyle w:val="AltHeading1"/>
        <w:jc w:val="left"/>
        <w:sectPr w:rsidR="00A329B1" w:rsidSect="000B7795">
          <w:pgSz w:w="12240" w:h="15840" w:code="1"/>
          <w:pgMar w:top="1440" w:right="1800" w:bottom="1872" w:left="1800" w:header="720" w:footer="1440" w:gutter="0"/>
          <w:pgNumType w:fmt="lowerRoman"/>
          <w:cols w:space="720"/>
          <w:noEndnote/>
          <w:titlePg/>
        </w:sectPr>
      </w:pPr>
    </w:p>
    <w:p w14:paraId="4A718B49" w14:textId="4566CA41" w:rsidR="00236E6D" w:rsidRPr="007F7A99" w:rsidRDefault="00236E6D" w:rsidP="00BD186E">
      <w:pPr>
        <w:pStyle w:val="AltHeading1"/>
      </w:pPr>
      <w:r w:rsidRPr="009D2AA9">
        <w:lastRenderedPageBreak/>
        <w:t>LIST OF TABLES</w:t>
      </w:r>
    </w:p>
    <w:p w14:paraId="429B60FE" w14:textId="435D7708" w:rsidR="009C13E0" w:rsidRPr="009C13E0" w:rsidRDefault="00BA557D">
      <w:pPr>
        <w:pStyle w:val="TOC1"/>
        <w:rPr>
          <w:rFonts w:eastAsiaTheme="minorEastAsia"/>
          <w:noProof/>
          <w:kern w:val="2"/>
          <w14:ligatures w14:val="standardContextual"/>
        </w:rPr>
      </w:pPr>
      <w:r w:rsidRPr="009C13E0">
        <w:fldChar w:fldCharType="begin"/>
      </w:r>
      <w:r w:rsidRPr="009C13E0">
        <w:instrText xml:space="preserve"> TOC \h \z \t "Tables,1" </w:instrText>
      </w:r>
      <w:r w:rsidRPr="009C13E0">
        <w:fldChar w:fldCharType="separate"/>
      </w:r>
      <w:hyperlink w:anchor="_Toc185263586" w:history="1">
        <w:r w:rsidR="009C13E0" w:rsidRPr="009C13E0">
          <w:rPr>
            <w:rStyle w:val="Hyperlink"/>
            <w:rFonts w:ascii="Times New Roman" w:hAnsi="Times New Roman"/>
            <w:b/>
            <w:bCs/>
            <w:noProof/>
          </w:rPr>
          <w:t>Table 1.1.</w:t>
        </w:r>
        <w:r w:rsidR="009C13E0" w:rsidRPr="009C13E0">
          <w:rPr>
            <w:rStyle w:val="Hyperlink"/>
            <w:rFonts w:ascii="Times New Roman" w:hAnsi="Times New Roman"/>
            <w:noProof/>
          </w:rPr>
          <w:t xml:space="preserve"> Starting material compositions (wt%) measured by electron microprobe from this study compared with ilmenite-bearing cumulate compositions from previous studies.</w:t>
        </w:r>
        <w:r w:rsidR="009C13E0" w:rsidRPr="009C13E0">
          <w:rPr>
            <w:noProof/>
            <w:webHidden/>
          </w:rPr>
          <w:tab/>
        </w:r>
        <w:r w:rsidR="009C13E0" w:rsidRPr="009C13E0">
          <w:rPr>
            <w:noProof/>
            <w:webHidden/>
          </w:rPr>
          <w:fldChar w:fldCharType="begin"/>
        </w:r>
        <w:r w:rsidR="009C13E0" w:rsidRPr="009C13E0">
          <w:rPr>
            <w:noProof/>
            <w:webHidden/>
          </w:rPr>
          <w:instrText xml:space="preserve"> PAGEREF _Toc185263586 \h </w:instrText>
        </w:r>
        <w:r w:rsidR="009C13E0" w:rsidRPr="009C13E0">
          <w:rPr>
            <w:noProof/>
            <w:webHidden/>
          </w:rPr>
        </w:r>
        <w:r w:rsidR="009C13E0" w:rsidRPr="009C13E0">
          <w:rPr>
            <w:noProof/>
            <w:webHidden/>
          </w:rPr>
          <w:fldChar w:fldCharType="separate"/>
        </w:r>
        <w:r w:rsidR="00143EE1">
          <w:rPr>
            <w:noProof/>
            <w:webHidden/>
          </w:rPr>
          <w:t>20</w:t>
        </w:r>
        <w:r w:rsidR="009C13E0" w:rsidRPr="009C13E0">
          <w:rPr>
            <w:noProof/>
            <w:webHidden/>
          </w:rPr>
          <w:fldChar w:fldCharType="end"/>
        </w:r>
      </w:hyperlink>
    </w:p>
    <w:p w14:paraId="5DE4C11F" w14:textId="32F2FFF1" w:rsidR="009C13E0" w:rsidRPr="009C13E0" w:rsidRDefault="009C13E0">
      <w:pPr>
        <w:pStyle w:val="TOC1"/>
        <w:rPr>
          <w:rFonts w:eastAsiaTheme="minorEastAsia"/>
          <w:noProof/>
          <w:kern w:val="2"/>
          <w14:ligatures w14:val="standardContextual"/>
        </w:rPr>
      </w:pPr>
      <w:hyperlink w:anchor="_Toc185263587" w:history="1">
        <w:r w:rsidRPr="009C13E0">
          <w:rPr>
            <w:rStyle w:val="Hyperlink"/>
            <w:rFonts w:ascii="Times New Roman" w:hAnsi="Times New Roman"/>
            <w:b/>
            <w:bCs/>
            <w:noProof/>
          </w:rPr>
          <w:t>Table 1.2.</w:t>
        </w:r>
        <w:r w:rsidRPr="009C13E0">
          <w:rPr>
            <w:rStyle w:val="Hyperlink"/>
            <w:rFonts w:ascii="Times New Roman" w:hAnsi="Times New Roman"/>
            <w:noProof/>
          </w:rPr>
          <w:t xml:space="preserve"> Starting materials and run conditions.</w:t>
        </w:r>
        <w:r w:rsidRPr="009C13E0">
          <w:rPr>
            <w:noProof/>
            <w:webHidden/>
          </w:rPr>
          <w:tab/>
        </w:r>
        <w:r w:rsidRPr="009C13E0">
          <w:rPr>
            <w:noProof/>
            <w:webHidden/>
          </w:rPr>
          <w:fldChar w:fldCharType="begin"/>
        </w:r>
        <w:r w:rsidRPr="009C13E0">
          <w:rPr>
            <w:noProof/>
            <w:webHidden/>
          </w:rPr>
          <w:instrText xml:space="preserve"> PAGEREF _Toc185263587 \h </w:instrText>
        </w:r>
        <w:r w:rsidRPr="009C13E0">
          <w:rPr>
            <w:noProof/>
            <w:webHidden/>
          </w:rPr>
        </w:r>
        <w:r w:rsidRPr="009C13E0">
          <w:rPr>
            <w:noProof/>
            <w:webHidden/>
          </w:rPr>
          <w:fldChar w:fldCharType="separate"/>
        </w:r>
        <w:r w:rsidR="00143EE1">
          <w:rPr>
            <w:noProof/>
            <w:webHidden/>
          </w:rPr>
          <w:t>22</w:t>
        </w:r>
        <w:r w:rsidRPr="009C13E0">
          <w:rPr>
            <w:noProof/>
            <w:webHidden/>
          </w:rPr>
          <w:fldChar w:fldCharType="end"/>
        </w:r>
      </w:hyperlink>
    </w:p>
    <w:p w14:paraId="2BD19BBA" w14:textId="6413743F" w:rsidR="009C13E0" w:rsidRPr="009C13E0" w:rsidRDefault="009C13E0">
      <w:pPr>
        <w:pStyle w:val="TOC1"/>
        <w:rPr>
          <w:rFonts w:eastAsiaTheme="minorEastAsia"/>
          <w:noProof/>
          <w:kern w:val="2"/>
          <w14:ligatures w14:val="standardContextual"/>
        </w:rPr>
      </w:pPr>
      <w:hyperlink w:anchor="_Toc185263588" w:history="1">
        <w:r w:rsidRPr="009C13E0">
          <w:rPr>
            <w:rStyle w:val="Hyperlink"/>
            <w:rFonts w:ascii="Times New Roman" w:hAnsi="Times New Roman"/>
            <w:b/>
            <w:bCs/>
            <w:noProof/>
          </w:rPr>
          <w:t>Table 1.3.</w:t>
        </w:r>
        <w:r w:rsidRPr="009C13E0">
          <w:rPr>
            <w:rStyle w:val="Hyperlink"/>
            <w:rFonts w:ascii="Times New Roman" w:hAnsi="Times New Roman"/>
            <w:noProof/>
          </w:rPr>
          <w:t xml:space="preserve"> Interface dissolution and exchange measurements from melt-rock reaction experiments.</w:t>
        </w:r>
        <w:r w:rsidRPr="009C13E0">
          <w:rPr>
            <w:noProof/>
            <w:webHidden/>
          </w:rPr>
          <w:tab/>
        </w:r>
        <w:r w:rsidRPr="009C13E0">
          <w:rPr>
            <w:noProof/>
            <w:webHidden/>
          </w:rPr>
          <w:fldChar w:fldCharType="begin"/>
        </w:r>
        <w:r w:rsidRPr="009C13E0">
          <w:rPr>
            <w:noProof/>
            <w:webHidden/>
          </w:rPr>
          <w:instrText xml:space="preserve"> PAGEREF _Toc185263588 \h </w:instrText>
        </w:r>
        <w:r w:rsidRPr="009C13E0">
          <w:rPr>
            <w:noProof/>
            <w:webHidden/>
          </w:rPr>
        </w:r>
        <w:r w:rsidRPr="009C13E0">
          <w:rPr>
            <w:noProof/>
            <w:webHidden/>
          </w:rPr>
          <w:fldChar w:fldCharType="separate"/>
        </w:r>
        <w:r w:rsidR="00143EE1">
          <w:rPr>
            <w:noProof/>
            <w:webHidden/>
          </w:rPr>
          <w:t>29</w:t>
        </w:r>
        <w:r w:rsidRPr="009C13E0">
          <w:rPr>
            <w:noProof/>
            <w:webHidden/>
          </w:rPr>
          <w:fldChar w:fldCharType="end"/>
        </w:r>
      </w:hyperlink>
    </w:p>
    <w:p w14:paraId="235003C4" w14:textId="3F60CDA3" w:rsidR="009C13E0" w:rsidRPr="009C13E0" w:rsidRDefault="009C13E0">
      <w:pPr>
        <w:pStyle w:val="TOC1"/>
        <w:rPr>
          <w:rFonts w:eastAsiaTheme="minorEastAsia"/>
          <w:noProof/>
          <w:kern w:val="2"/>
          <w14:ligatures w14:val="standardContextual"/>
        </w:rPr>
      </w:pPr>
      <w:hyperlink w:anchor="_Toc185263589" w:history="1">
        <w:r w:rsidRPr="009C13E0">
          <w:rPr>
            <w:rStyle w:val="Hyperlink"/>
            <w:rFonts w:ascii="Times New Roman" w:hAnsi="Times New Roman"/>
            <w:b/>
            <w:bCs/>
            <w:noProof/>
          </w:rPr>
          <w:t>Table 1.4.</w:t>
        </w:r>
        <w:r w:rsidRPr="009C13E0">
          <w:rPr>
            <w:rStyle w:val="Hyperlink"/>
            <w:rFonts w:ascii="Times New Roman" w:hAnsi="Times New Roman"/>
            <w:noProof/>
          </w:rPr>
          <w:t xml:space="preserve"> Pre-reaction IBC composition compared with post-reaction melt compositions averaged from data collected across the entire IBC half of the diffusion couple.</w:t>
        </w:r>
        <w:r w:rsidRPr="009C13E0">
          <w:rPr>
            <w:noProof/>
            <w:webHidden/>
          </w:rPr>
          <w:tab/>
        </w:r>
        <w:r w:rsidRPr="009C13E0">
          <w:rPr>
            <w:noProof/>
            <w:webHidden/>
          </w:rPr>
          <w:fldChar w:fldCharType="begin"/>
        </w:r>
        <w:r w:rsidRPr="009C13E0">
          <w:rPr>
            <w:noProof/>
            <w:webHidden/>
          </w:rPr>
          <w:instrText xml:space="preserve"> PAGEREF _Toc185263589 \h </w:instrText>
        </w:r>
        <w:r w:rsidRPr="009C13E0">
          <w:rPr>
            <w:noProof/>
            <w:webHidden/>
          </w:rPr>
        </w:r>
        <w:r w:rsidRPr="009C13E0">
          <w:rPr>
            <w:noProof/>
            <w:webHidden/>
          </w:rPr>
          <w:fldChar w:fldCharType="separate"/>
        </w:r>
        <w:r w:rsidR="00143EE1">
          <w:rPr>
            <w:noProof/>
            <w:webHidden/>
          </w:rPr>
          <w:t>30</w:t>
        </w:r>
        <w:r w:rsidRPr="009C13E0">
          <w:rPr>
            <w:noProof/>
            <w:webHidden/>
          </w:rPr>
          <w:fldChar w:fldCharType="end"/>
        </w:r>
      </w:hyperlink>
    </w:p>
    <w:p w14:paraId="4FAD3DD5" w14:textId="2BDFBD62" w:rsidR="009C13E0" w:rsidRPr="009C13E0" w:rsidRDefault="009C13E0">
      <w:pPr>
        <w:pStyle w:val="TOC1"/>
        <w:rPr>
          <w:rFonts w:eastAsiaTheme="minorEastAsia"/>
          <w:noProof/>
          <w:kern w:val="2"/>
          <w14:ligatures w14:val="standardContextual"/>
        </w:rPr>
      </w:pPr>
      <w:hyperlink w:anchor="_Toc185263590" w:history="1">
        <w:r w:rsidRPr="009C13E0">
          <w:rPr>
            <w:rStyle w:val="Hyperlink"/>
            <w:rFonts w:ascii="Times New Roman" w:hAnsi="Times New Roman"/>
            <w:b/>
            <w:bCs/>
            <w:noProof/>
          </w:rPr>
          <w:t>Table 1.5.</w:t>
        </w:r>
        <w:r w:rsidRPr="009C13E0">
          <w:rPr>
            <w:rStyle w:val="Hyperlink"/>
            <w:rFonts w:ascii="Times New Roman" w:hAnsi="Times New Roman"/>
            <w:noProof/>
          </w:rPr>
          <w:t xml:space="preserve"> Effective binary diffusion coefficients (EBDC) of MgO, FeO, MnO, Al</w:t>
        </w:r>
        <w:r w:rsidRPr="009C13E0">
          <w:rPr>
            <w:rStyle w:val="Hyperlink"/>
            <w:rFonts w:ascii="Times New Roman" w:hAnsi="Times New Roman"/>
            <w:noProof/>
            <w:vertAlign w:val="subscript"/>
          </w:rPr>
          <w:t>2</w:t>
        </w:r>
        <w:r w:rsidRPr="009C13E0">
          <w:rPr>
            <w:rStyle w:val="Hyperlink"/>
            <w:rFonts w:ascii="Times New Roman" w:hAnsi="Times New Roman"/>
            <w:noProof/>
          </w:rPr>
          <w:t>O</w:t>
        </w:r>
        <w:r w:rsidRPr="009C13E0">
          <w:rPr>
            <w:rStyle w:val="Hyperlink"/>
            <w:rFonts w:ascii="Times New Roman" w:hAnsi="Times New Roman"/>
            <w:noProof/>
            <w:vertAlign w:val="subscript"/>
          </w:rPr>
          <w:t>3</w:t>
        </w:r>
        <w:r w:rsidRPr="009C13E0">
          <w:rPr>
            <w:rStyle w:val="Hyperlink"/>
            <w:rFonts w:ascii="Times New Roman" w:hAnsi="Times New Roman"/>
            <w:noProof/>
          </w:rPr>
          <w:t>, TiO</w:t>
        </w:r>
        <w:r w:rsidRPr="009C13E0">
          <w:rPr>
            <w:rStyle w:val="Hyperlink"/>
            <w:rFonts w:ascii="Times New Roman" w:hAnsi="Times New Roman"/>
            <w:noProof/>
            <w:vertAlign w:val="subscript"/>
          </w:rPr>
          <w:t>2</w:t>
        </w:r>
        <w:r w:rsidRPr="009C13E0">
          <w:rPr>
            <w:rStyle w:val="Hyperlink"/>
            <w:rFonts w:ascii="Times New Roman" w:hAnsi="Times New Roman"/>
            <w:noProof/>
          </w:rPr>
          <w:t>, and CaO for dunite dissolution in IBC melt at 1200ºC, 0.55 GPa.</w:t>
        </w:r>
        <w:r w:rsidRPr="009C13E0">
          <w:rPr>
            <w:noProof/>
            <w:webHidden/>
          </w:rPr>
          <w:tab/>
        </w:r>
        <w:r w:rsidRPr="009C13E0">
          <w:rPr>
            <w:noProof/>
            <w:webHidden/>
          </w:rPr>
          <w:fldChar w:fldCharType="begin"/>
        </w:r>
        <w:r w:rsidRPr="009C13E0">
          <w:rPr>
            <w:noProof/>
            <w:webHidden/>
          </w:rPr>
          <w:instrText xml:space="preserve"> PAGEREF _Toc185263590 \h </w:instrText>
        </w:r>
        <w:r w:rsidRPr="009C13E0">
          <w:rPr>
            <w:noProof/>
            <w:webHidden/>
          </w:rPr>
        </w:r>
        <w:r w:rsidRPr="009C13E0">
          <w:rPr>
            <w:noProof/>
            <w:webHidden/>
          </w:rPr>
          <w:fldChar w:fldCharType="separate"/>
        </w:r>
        <w:r w:rsidR="00143EE1">
          <w:rPr>
            <w:noProof/>
            <w:webHidden/>
          </w:rPr>
          <w:t>51</w:t>
        </w:r>
        <w:r w:rsidRPr="009C13E0">
          <w:rPr>
            <w:noProof/>
            <w:webHidden/>
          </w:rPr>
          <w:fldChar w:fldCharType="end"/>
        </w:r>
      </w:hyperlink>
    </w:p>
    <w:p w14:paraId="442A0718" w14:textId="2B8F8E6B" w:rsidR="009C13E0" w:rsidRPr="009C13E0" w:rsidRDefault="009C13E0">
      <w:pPr>
        <w:pStyle w:val="TOC1"/>
        <w:rPr>
          <w:rFonts w:eastAsiaTheme="minorEastAsia"/>
          <w:noProof/>
          <w:kern w:val="2"/>
          <w14:ligatures w14:val="standardContextual"/>
        </w:rPr>
      </w:pPr>
      <w:hyperlink w:anchor="_Toc185263591" w:history="1">
        <w:r w:rsidRPr="009C13E0">
          <w:rPr>
            <w:rStyle w:val="Hyperlink"/>
            <w:rFonts w:ascii="Times New Roman" w:hAnsi="Times New Roman"/>
            <w:b/>
            <w:bCs/>
            <w:noProof/>
          </w:rPr>
          <w:t>Table 2.1.</w:t>
        </w:r>
        <w:r w:rsidRPr="009C13E0">
          <w:rPr>
            <w:rStyle w:val="Hyperlink"/>
            <w:rFonts w:ascii="Times New Roman" w:hAnsi="Times New Roman"/>
            <w:noProof/>
          </w:rPr>
          <w:t xml:space="preserve"> Phase proportions in LMO cumulates based on findings from Charlier et al. (2018), assuming no plagioclase or quartz floatation.</w:t>
        </w:r>
        <w:r w:rsidRPr="009C13E0">
          <w:rPr>
            <w:noProof/>
            <w:webHidden/>
          </w:rPr>
          <w:tab/>
        </w:r>
        <w:r w:rsidRPr="009C13E0">
          <w:rPr>
            <w:noProof/>
            <w:webHidden/>
          </w:rPr>
          <w:fldChar w:fldCharType="begin"/>
        </w:r>
        <w:r w:rsidRPr="009C13E0">
          <w:rPr>
            <w:noProof/>
            <w:webHidden/>
          </w:rPr>
          <w:instrText xml:space="preserve"> PAGEREF _Toc185263591 \h </w:instrText>
        </w:r>
        <w:r w:rsidRPr="009C13E0">
          <w:rPr>
            <w:noProof/>
            <w:webHidden/>
          </w:rPr>
        </w:r>
        <w:r w:rsidRPr="009C13E0">
          <w:rPr>
            <w:noProof/>
            <w:webHidden/>
          </w:rPr>
          <w:fldChar w:fldCharType="separate"/>
        </w:r>
        <w:r w:rsidR="00143EE1">
          <w:rPr>
            <w:noProof/>
            <w:webHidden/>
          </w:rPr>
          <w:t>117</w:t>
        </w:r>
        <w:r w:rsidRPr="009C13E0">
          <w:rPr>
            <w:noProof/>
            <w:webHidden/>
          </w:rPr>
          <w:fldChar w:fldCharType="end"/>
        </w:r>
      </w:hyperlink>
    </w:p>
    <w:p w14:paraId="1B5F0115" w14:textId="5DA807D8" w:rsidR="009C13E0" w:rsidRPr="009C13E0" w:rsidRDefault="009C13E0">
      <w:pPr>
        <w:pStyle w:val="TOC1"/>
        <w:rPr>
          <w:rFonts w:eastAsiaTheme="minorEastAsia"/>
          <w:noProof/>
          <w:kern w:val="2"/>
          <w14:ligatures w14:val="standardContextual"/>
        </w:rPr>
      </w:pPr>
      <w:hyperlink w:anchor="_Toc185263592" w:history="1">
        <w:r w:rsidRPr="009C13E0">
          <w:rPr>
            <w:rStyle w:val="Hyperlink"/>
            <w:rFonts w:ascii="Times New Roman" w:hAnsi="Times New Roman"/>
            <w:b/>
            <w:bCs/>
            <w:noProof/>
          </w:rPr>
          <w:t>Table 2.2.</w:t>
        </w:r>
        <w:r w:rsidRPr="009C13E0">
          <w:rPr>
            <w:rStyle w:val="Hyperlink"/>
            <w:rFonts w:ascii="Times New Roman" w:hAnsi="Times New Roman"/>
            <w:noProof/>
          </w:rPr>
          <w:t xml:space="preserve"> Assumed LMO starting composition and mineral-melt partition coefficients for magma ocean solidification models.</w:t>
        </w:r>
        <w:r w:rsidRPr="009C13E0">
          <w:rPr>
            <w:noProof/>
            <w:webHidden/>
          </w:rPr>
          <w:tab/>
        </w:r>
        <w:r w:rsidRPr="009C13E0">
          <w:rPr>
            <w:noProof/>
            <w:webHidden/>
          </w:rPr>
          <w:fldChar w:fldCharType="begin"/>
        </w:r>
        <w:r w:rsidRPr="009C13E0">
          <w:rPr>
            <w:noProof/>
            <w:webHidden/>
          </w:rPr>
          <w:instrText xml:space="preserve"> PAGEREF _Toc185263592 \h </w:instrText>
        </w:r>
        <w:r w:rsidRPr="009C13E0">
          <w:rPr>
            <w:noProof/>
            <w:webHidden/>
          </w:rPr>
        </w:r>
        <w:r w:rsidRPr="009C13E0">
          <w:rPr>
            <w:noProof/>
            <w:webHidden/>
          </w:rPr>
          <w:fldChar w:fldCharType="separate"/>
        </w:r>
        <w:r w:rsidR="00143EE1">
          <w:rPr>
            <w:noProof/>
            <w:webHidden/>
          </w:rPr>
          <w:t>119</w:t>
        </w:r>
        <w:r w:rsidRPr="009C13E0">
          <w:rPr>
            <w:noProof/>
            <w:webHidden/>
          </w:rPr>
          <w:fldChar w:fldCharType="end"/>
        </w:r>
      </w:hyperlink>
    </w:p>
    <w:p w14:paraId="26B9428B" w14:textId="7FC08170" w:rsidR="009C13E0" w:rsidRPr="009C13E0" w:rsidRDefault="009C13E0">
      <w:pPr>
        <w:pStyle w:val="TOC1"/>
        <w:rPr>
          <w:rFonts w:eastAsiaTheme="minorEastAsia"/>
          <w:noProof/>
          <w:kern w:val="2"/>
          <w14:ligatures w14:val="standardContextual"/>
        </w:rPr>
      </w:pPr>
      <w:hyperlink w:anchor="_Toc185263593" w:history="1">
        <w:r w:rsidRPr="009C13E0">
          <w:rPr>
            <w:rStyle w:val="Hyperlink"/>
            <w:rFonts w:ascii="Times New Roman" w:hAnsi="Times New Roman"/>
            <w:b/>
            <w:bCs/>
            <w:noProof/>
          </w:rPr>
          <w:t>Table 2.3.</w:t>
        </w:r>
        <w:r w:rsidRPr="009C13E0">
          <w:rPr>
            <w:rStyle w:val="Hyperlink"/>
            <w:rFonts w:ascii="Times New Roman" w:hAnsi="Times New Roman"/>
            <w:noProof/>
          </w:rPr>
          <w:t xml:space="preserve"> Average REE+Hf abundances and ratios for modeled LMO cumulate layers and IBC material assuming 90% plagioclase floatation efficiency.</w:t>
        </w:r>
        <w:r w:rsidRPr="009C13E0">
          <w:rPr>
            <w:noProof/>
            <w:webHidden/>
          </w:rPr>
          <w:tab/>
        </w:r>
        <w:r w:rsidRPr="009C13E0">
          <w:rPr>
            <w:noProof/>
            <w:webHidden/>
          </w:rPr>
          <w:fldChar w:fldCharType="begin"/>
        </w:r>
        <w:r w:rsidRPr="009C13E0">
          <w:rPr>
            <w:noProof/>
            <w:webHidden/>
          </w:rPr>
          <w:instrText xml:space="preserve"> PAGEREF _Toc185263593 \h </w:instrText>
        </w:r>
        <w:r w:rsidRPr="009C13E0">
          <w:rPr>
            <w:noProof/>
            <w:webHidden/>
          </w:rPr>
        </w:r>
        <w:r w:rsidRPr="009C13E0">
          <w:rPr>
            <w:noProof/>
            <w:webHidden/>
          </w:rPr>
          <w:fldChar w:fldCharType="separate"/>
        </w:r>
        <w:r w:rsidR="00143EE1">
          <w:rPr>
            <w:noProof/>
            <w:webHidden/>
          </w:rPr>
          <w:t>127</w:t>
        </w:r>
        <w:r w:rsidRPr="009C13E0">
          <w:rPr>
            <w:noProof/>
            <w:webHidden/>
          </w:rPr>
          <w:fldChar w:fldCharType="end"/>
        </w:r>
      </w:hyperlink>
    </w:p>
    <w:p w14:paraId="2C3AA604" w14:textId="0B63C0FA" w:rsidR="009C13E0" w:rsidRPr="009C13E0" w:rsidRDefault="009C13E0">
      <w:pPr>
        <w:pStyle w:val="TOC1"/>
        <w:rPr>
          <w:rFonts w:eastAsiaTheme="minorEastAsia"/>
          <w:noProof/>
          <w:kern w:val="2"/>
          <w14:ligatures w14:val="standardContextual"/>
        </w:rPr>
      </w:pPr>
      <w:hyperlink w:anchor="_Toc185263594" w:history="1">
        <w:r w:rsidRPr="009C13E0">
          <w:rPr>
            <w:rStyle w:val="Hyperlink"/>
            <w:rFonts w:ascii="Times New Roman" w:hAnsi="Times New Roman"/>
            <w:b/>
            <w:bCs/>
            <w:noProof/>
          </w:rPr>
          <w:t>Table 2.4.</w:t>
        </w:r>
        <w:r w:rsidRPr="009C13E0">
          <w:rPr>
            <w:rStyle w:val="Hyperlink"/>
            <w:rFonts w:ascii="Times New Roman" w:hAnsi="Times New Roman"/>
            <w:noProof/>
          </w:rPr>
          <w:t xml:space="preserve"> Model assumptions for mantle hybridization and partial melting scenarios and associated figures.</w:t>
        </w:r>
        <w:r w:rsidRPr="009C13E0">
          <w:rPr>
            <w:noProof/>
            <w:webHidden/>
          </w:rPr>
          <w:tab/>
        </w:r>
        <w:r w:rsidRPr="009C13E0">
          <w:rPr>
            <w:noProof/>
            <w:webHidden/>
          </w:rPr>
          <w:fldChar w:fldCharType="begin"/>
        </w:r>
        <w:r w:rsidRPr="009C13E0">
          <w:rPr>
            <w:noProof/>
            <w:webHidden/>
          </w:rPr>
          <w:instrText xml:space="preserve"> PAGEREF _Toc185263594 \h </w:instrText>
        </w:r>
        <w:r w:rsidRPr="009C13E0">
          <w:rPr>
            <w:noProof/>
            <w:webHidden/>
          </w:rPr>
        </w:r>
        <w:r w:rsidRPr="009C13E0">
          <w:rPr>
            <w:noProof/>
            <w:webHidden/>
          </w:rPr>
          <w:fldChar w:fldCharType="separate"/>
        </w:r>
        <w:r w:rsidR="00143EE1">
          <w:rPr>
            <w:noProof/>
            <w:webHidden/>
          </w:rPr>
          <w:t>137</w:t>
        </w:r>
        <w:r w:rsidRPr="009C13E0">
          <w:rPr>
            <w:noProof/>
            <w:webHidden/>
          </w:rPr>
          <w:fldChar w:fldCharType="end"/>
        </w:r>
      </w:hyperlink>
    </w:p>
    <w:p w14:paraId="60FFA0EC" w14:textId="46400487" w:rsidR="009C13E0" w:rsidRPr="009C13E0" w:rsidRDefault="009C13E0">
      <w:pPr>
        <w:pStyle w:val="TOC1"/>
        <w:rPr>
          <w:rFonts w:eastAsiaTheme="minorEastAsia"/>
          <w:noProof/>
          <w:kern w:val="2"/>
          <w14:ligatures w14:val="standardContextual"/>
        </w:rPr>
      </w:pPr>
      <w:hyperlink w:anchor="_Toc185263595" w:history="1">
        <w:r w:rsidRPr="009C13E0">
          <w:rPr>
            <w:rStyle w:val="Hyperlink"/>
            <w:rFonts w:ascii="Times New Roman" w:hAnsi="Times New Roman"/>
            <w:b/>
            <w:bCs/>
            <w:noProof/>
          </w:rPr>
          <w:t>Table 2.5.</w:t>
        </w:r>
        <w:r w:rsidRPr="009C13E0">
          <w:rPr>
            <w:rStyle w:val="Hyperlink"/>
            <w:rFonts w:ascii="Times New Roman" w:hAnsi="Times New Roman"/>
            <w:noProof/>
          </w:rPr>
          <w:t xml:space="preserve"> Estimated major element compositions of IBC material for plagioclase floatation efficiencies of 80%, 90%, and 98%.</w:t>
        </w:r>
        <w:r w:rsidRPr="009C13E0">
          <w:rPr>
            <w:noProof/>
            <w:webHidden/>
          </w:rPr>
          <w:tab/>
        </w:r>
        <w:r w:rsidRPr="009C13E0">
          <w:rPr>
            <w:noProof/>
            <w:webHidden/>
          </w:rPr>
          <w:fldChar w:fldCharType="begin"/>
        </w:r>
        <w:r w:rsidRPr="009C13E0">
          <w:rPr>
            <w:noProof/>
            <w:webHidden/>
          </w:rPr>
          <w:instrText xml:space="preserve"> PAGEREF _Toc185263595 \h </w:instrText>
        </w:r>
        <w:r w:rsidRPr="009C13E0">
          <w:rPr>
            <w:noProof/>
            <w:webHidden/>
          </w:rPr>
        </w:r>
        <w:r w:rsidRPr="009C13E0">
          <w:rPr>
            <w:noProof/>
            <w:webHidden/>
          </w:rPr>
          <w:fldChar w:fldCharType="separate"/>
        </w:r>
        <w:r w:rsidR="00143EE1">
          <w:rPr>
            <w:noProof/>
            <w:webHidden/>
          </w:rPr>
          <w:t>145</w:t>
        </w:r>
        <w:r w:rsidRPr="009C13E0">
          <w:rPr>
            <w:noProof/>
            <w:webHidden/>
          </w:rPr>
          <w:fldChar w:fldCharType="end"/>
        </w:r>
      </w:hyperlink>
    </w:p>
    <w:p w14:paraId="49CD63C9" w14:textId="48C09C7C" w:rsidR="009C13E0" w:rsidRPr="009C13E0" w:rsidRDefault="009C13E0">
      <w:pPr>
        <w:pStyle w:val="TOC1"/>
        <w:rPr>
          <w:rFonts w:eastAsiaTheme="minorEastAsia"/>
          <w:noProof/>
          <w:kern w:val="2"/>
          <w14:ligatures w14:val="standardContextual"/>
        </w:rPr>
      </w:pPr>
      <w:hyperlink w:anchor="_Toc185263596" w:history="1">
        <w:r w:rsidRPr="009C13E0">
          <w:rPr>
            <w:rStyle w:val="Hyperlink"/>
            <w:rFonts w:ascii="Times New Roman" w:hAnsi="Times New Roman"/>
            <w:b/>
            <w:bCs/>
            <w:noProof/>
          </w:rPr>
          <w:t>Table 2.6.</w:t>
        </w:r>
        <w:r w:rsidRPr="009C13E0">
          <w:rPr>
            <w:rStyle w:val="Hyperlink"/>
            <w:rFonts w:ascii="Times New Roman" w:hAnsi="Times New Roman"/>
            <w:noProof/>
          </w:rPr>
          <w:t xml:space="preserve"> Mineral-melt partition coefficients for partial melting calculations.</w:t>
        </w:r>
        <w:r w:rsidRPr="009C13E0">
          <w:rPr>
            <w:noProof/>
            <w:webHidden/>
          </w:rPr>
          <w:tab/>
        </w:r>
        <w:r w:rsidRPr="009C13E0">
          <w:rPr>
            <w:noProof/>
            <w:webHidden/>
          </w:rPr>
          <w:fldChar w:fldCharType="begin"/>
        </w:r>
        <w:r w:rsidRPr="009C13E0">
          <w:rPr>
            <w:noProof/>
            <w:webHidden/>
          </w:rPr>
          <w:instrText xml:space="preserve"> PAGEREF _Toc185263596 \h </w:instrText>
        </w:r>
        <w:r w:rsidRPr="009C13E0">
          <w:rPr>
            <w:noProof/>
            <w:webHidden/>
          </w:rPr>
        </w:r>
        <w:r w:rsidRPr="009C13E0">
          <w:rPr>
            <w:noProof/>
            <w:webHidden/>
          </w:rPr>
          <w:fldChar w:fldCharType="separate"/>
        </w:r>
        <w:r w:rsidR="00143EE1">
          <w:rPr>
            <w:noProof/>
            <w:webHidden/>
          </w:rPr>
          <w:t>152</w:t>
        </w:r>
        <w:r w:rsidRPr="009C13E0">
          <w:rPr>
            <w:noProof/>
            <w:webHidden/>
          </w:rPr>
          <w:fldChar w:fldCharType="end"/>
        </w:r>
      </w:hyperlink>
    </w:p>
    <w:p w14:paraId="6779FEFE" w14:textId="582E92CC" w:rsidR="009C13E0" w:rsidRPr="009C13E0" w:rsidRDefault="009C13E0">
      <w:pPr>
        <w:pStyle w:val="TOC1"/>
        <w:rPr>
          <w:rFonts w:eastAsiaTheme="minorEastAsia"/>
          <w:noProof/>
          <w:kern w:val="2"/>
          <w14:ligatures w14:val="standardContextual"/>
        </w:rPr>
      </w:pPr>
      <w:hyperlink w:anchor="_Toc185263597" w:history="1">
        <w:r w:rsidRPr="009C13E0">
          <w:rPr>
            <w:rStyle w:val="Hyperlink"/>
            <w:rFonts w:ascii="Times New Roman" w:hAnsi="Times New Roman"/>
            <w:b/>
            <w:bCs/>
            <w:noProof/>
          </w:rPr>
          <w:t>Table 2.7.</w:t>
        </w:r>
        <w:r w:rsidRPr="009C13E0">
          <w:rPr>
            <w:rStyle w:val="Hyperlink"/>
            <w:rFonts w:ascii="Times New Roman" w:hAnsi="Times New Roman"/>
            <w:noProof/>
          </w:rPr>
          <w:t xml:space="preserve"> Phase proportions of hybridized mantle sources in melting models.</w:t>
        </w:r>
        <w:r w:rsidRPr="009C13E0">
          <w:rPr>
            <w:noProof/>
            <w:webHidden/>
          </w:rPr>
          <w:tab/>
        </w:r>
        <w:r w:rsidRPr="009C13E0">
          <w:rPr>
            <w:noProof/>
            <w:webHidden/>
          </w:rPr>
          <w:fldChar w:fldCharType="begin"/>
        </w:r>
        <w:r w:rsidRPr="009C13E0">
          <w:rPr>
            <w:noProof/>
            <w:webHidden/>
          </w:rPr>
          <w:instrText xml:space="preserve"> PAGEREF _Toc185263597 \h </w:instrText>
        </w:r>
        <w:r w:rsidRPr="009C13E0">
          <w:rPr>
            <w:noProof/>
            <w:webHidden/>
          </w:rPr>
        </w:r>
        <w:r w:rsidRPr="009C13E0">
          <w:rPr>
            <w:noProof/>
            <w:webHidden/>
          </w:rPr>
          <w:fldChar w:fldCharType="separate"/>
        </w:r>
        <w:r w:rsidR="00143EE1">
          <w:rPr>
            <w:noProof/>
            <w:webHidden/>
          </w:rPr>
          <w:t>160</w:t>
        </w:r>
        <w:r w:rsidRPr="009C13E0">
          <w:rPr>
            <w:noProof/>
            <w:webHidden/>
          </w:rPr>
          <w:fldChar w:fldCharType="end"/>
        </w:r>
      </w:hyperlink>
    </w:p>
    <w:p w14:paraId="4E384278" w14:textId="79B7CB7D" w:rsidR="009C13E0" w:rsidRPr="009C13E0" w:rsidRDefault="009C13E0">
      <w:pPr>
        <w:pStyle w:val="TOC1"/>
        <w:rPr>
          <w:rFonts w:eastAsiaTheme="minorEastAsia"/>
          <w:noProof/>
          <w:kern w:val="2"/>
          <w14:ligatures w14:val="standardContextual"/>
        </w:rPr>
      </w:pPr>
      <w:hyperlink w:anchor="_Toc185263598" w:history="1">
        <w:r w:rsidRPr="009C13E0">
          <w:rPr>
            <w:rStyle w:val="Hyperlink"/>
            <w:rFonts w:ascii="Times New Roman" w:hAnsi="Times New Roman"/>
            <w:b/>
            <w:bCs/>
            <w:noProof/>
          </w:rPr>
          <w:t>Table 3.1.</w:t>
        </w:r>
        <w:r w:rsidRPr="009C13E0">
          <w:rPr>
            <w:rStyle w:val="Hyperlink"/>
            <w:rFonts w:ascii="Times New Roman" w:hAnsi="Times New Roman"/>
            <w:noProof/>
          </w:rPr>
          <w:t xml:space="preserve"> Comparison of assumed present day bulk moon HPE concentrations from previous studies.</w:t>
        </w:r>
        <w:r w:rsidRPr="009C13E0">
          <w:rPr>
            <w:noProof/>
            <w:webHidden/>
          </w:rPr>
          <w:tab/>
        </w:r>
        <w:r w:rsidRPr="009C13E0">
          <w:rPr>
            <w:noProof/>
            <w:webHidden/>
          </w:rPr>
          <w:fldChar w:fldCharType="begin"/>
        </w:r>
        <w:r w:rsidRPr="009C13E0">
          <w:rPr>
            <w:noProof/>
            <w:webHidden/>
          </w:rPr>
          <w:instrText xml:space="preserve"> PAGEREF _Toc185263598 \h </w:instrText>
        </w:r>
        <w:r w:rsidRPr="009C13E0">
          <w:rPr>
            <w:noProof/>
            <w:webHidden/>
          </w:rPr>
        </w:r>
        <w:r w:rsidRPr="009C13E0">
          <w:rPr>
            <w:noProof/>
            <w:webHidden/>
          </w:rPr>
          <w:fldChar w:fldCharType="separate"/>
        </w:r>
        <w:r w:rsidR="00143EE1">
          <w:rPr>
            <w:noProof/>
            <w:webHidden/>
          </w:rPr>
          <w:t>240</w:t>
        </w:r>
        <w:r w:rsidRPr="009C13E0">
          <w:rPr>
            <w:noProof/>
            <w:webHidden/>
          </w:rPr>
          <w:fldChar w:fldCharType="end"/>
        </w:r>
      </w:hyperlink>
    </w:p>
    <w:p w14:paraId="5F5ADA85" w14:textId="5FA6ACB8" w:rsidR="009C13E0" w:rsidRPr="009C13E0" w:rsidRDefault="009C13E0">
      <w:pPr>
        <w:pStyle w:val="TOC1"/>
        <w:rPr>
          <w:rFonts w:eastAsiaTheme="minorEastAsia"/>
          <w:noProof/>
          <w:kern w:val="2"/>
          <w14:ligatures w14:val="standardContextual"/>
        </w:rPr>
      </w:pPr>
      <w:hyperlink w:anchor="_Toc185263599" w:history="1">
        <w:r w:rsidRPr="009C13E0">
          <w:rPr>
            <w:rStyle w:val="Hyperlink"/>
            <w:rFonts w:ascii="Times New Roman" w:hAnsi="Times New Roman"/>
            <w:b/>
            <w:bCs/>
            <w:noProof/>
          </w:rPr>
          <w:t>Table 3.2.</w:t>
        </w:r>
        <w:r w:rsidRPr="009C13E0">
          <w:rPr>
            <w:rStyle w:val="Hyperlink"/>
            <w:rFonts w:ascii="Times New Roman" w:hAnsi="Times New Roman"/>
            <w:noProof/>
          </w:rPr>
          <w:t xml:space="preserve"> Phase proportions in LMO cumulates based on results from Charlier et al. (2018), assuming 95% plagioclase and 100% quartz floatation efficiency.</w:t>
        </w:r>
        <w:r w:rsidRPr="009C13E0">
          <w:rPr>
            <w:noProof/>
            <w:webHidden/>
          </w:rPr>
          <w:tab/>
        </w:r>
        <w:r w:rsidRPr="009C13E0">
          <w:rPr>
            <w:noProof/>
            <w:webHidden/>
          </w:rPr>
          <w:fldChar w:fldCharType="begin"/>
        </w:r>
        <w:r w:rsidRPr="009C13E0">
          <w:rPr>
            <w:noProof/>
            <w:webHidden/>
          </w:rPr>
          <w:instrText xml:space="preserve"> PAGEREF _Toc185263599 \h </w:instrText>
        </w:r>
        <w:r w:rsidRPr="009C13E0">
          <w:rPr>
            <w:noProof/>
            <w:webHidden/>
          </w:rPr>
        </w:r>
        <w:r w:rsidRPr="009C13E0">
          <w:rPr>
            <w:noProof/>
            <w:webHidden/>
          </w:rPr>
          <w:fldChar w:fldCharType="separate"/>
        </w:r>
        <w:r w:rsidR="00143EE1">
          <w:rPr>
            <w:noProof/>
            <w:webHidden/>
          </w:rPr>
          <w:t>243</w:t>
        </w:r>
        <w:r w:rsidRPr="009C13E0">
          <w:rPr>
            <w:noProof/>
            <w:webHidden/>
          </w:rPr>
          <w:fldChar w:fldCharType="end"/>
        </w:r>
      </w:hyperlink>
    </w:p>
    <w:p w14:paraId="3B7E13DB" w14:textId="7518E356" w:rsidR="009C13E0" w:rsidRPr="009C13E0" w:rsidRDefault="009C13E0">
      <w:pPr>
        <w:pStyle w:val="TOC1"/>
        <w:rPr>
          <w:rFonts w:eastAsiaTheme="minorEastAsia"/>
          <w:noProof/>
          <w:kern w:val="2"/>
          <w14:ligatures w14:val="standardContextual"/>
        </w:rPr>
      </w:pPr>
      <w:hyperlink w:anchor="_Toc185263600" w:history="1">
        <w:r w:rsidRPr="009C13E0">
          <w:rPr>
            <w:rStyle w:val="Hyperlink"/>
            <w:rFonts w:ascii="Times New Roman" w:hAnsi="Times New Roman"/>
            <w:b/>
            <w:bCs/>
            <w:noProof/>
          </w:rPr>
          <w:t>Table 3.3.</w:t>
        </w:r>
        <w:r w:rsidRPr="009C13E0">
          <w:rPr>
            <w:rStyle w:val="Hyperlink"/>
            <w:rFonts w:ascii="Times New Roman" w:hAnsi="Times New Roman"/>
            <w:noProof/>
          </w:rPr>
          <w:t xml:space="preserve"> Mineral-melt partition coefficients for Th, U, and K used in magma ocean solidification models.</w:t>
        </w:r>
        <w:r w:rsidRPr="009C13E0">
          <w:rPr>
            <w:noProof/>
            <w:webHidden/>
          </w:rPr>
          <w:tab/>
        </w:r>
        <w:r w:rsidRPr="009C13E0">
          <w:rPr>
            <w:noProof/>
            <w:webHidden/>
          </w:rPr>
          <w:fldChar w:fldCharType="begin"/>
        </w:r>
        <w:r w:rsidRPr="009C13E0">
          <w:rPr>
            <w:noProof/>
            <w:webHidden/>
          </w:rPr>
          <w:instrText xml:space="preserve"> PAGEREF _Toc185263600 \h </w:instrText>
        </w:r>
        <w:r w:rsidRPr="009C13E0">
          <w:rPr>
            <w:noProof/>
            <w:webHidden/>
          </w:rPr>
        </w:r>
        <w:r w:rsidRPr="009C13E0">
          <w:rPr>
            <w:noProof/>
            <w:webHidden/>
          </w:rPr>
          <w:fldChar w:fldCharType="separate"/>
        </w:r>
        <w:r w:rsidR="00143EE1">
          <w:rPr>
            <w:noProof/>
            <w:webHidden/>
          </w:rPr>
          <w:t>245</w:t>
        </w:r>
        <w:r w:rsidRPr="009C13E0">
          <w:rPr>
            <w:noProof/>
            <w:webHidden/>
          </w:rPr>
          <w:fldChar w:fldCharType="end"/>
        </w:r>
      </w:hyperlink>
    </w:p>
    <w:p w14:paraId="6ECC95D7" w14:textId="770E07F5" w:rsidR="009C13E0" w:rsidRPr="009C13E0" w:rsidRDefault="009C13E0">
      <w:pPr>
        <w:pStyle w:val="TOC1"/>
        <w:rPr>
          <w:rFonts w:eastAsiaTheme="minorEastAsia"/>
          <w:noProof/>
          <w:kern w:val="2"/>
          <w14:ligatures w14:val="standardContextual"/>
        </w:rPr>
      </w:pPr>
      <w:hyperlink w:anchor="_Toc185263601" w:history="1">
        <w:r w:rsidRPr="009C13E0">
          <w:rPr>
            <w:rStyle w:val="Hyperlink"/>
            <w:rFonts w:ascii="Times New Roman" w:hAnsi="Times New Roman"/>
            <w:b/>
            <w:bCs/>
            <w:iCs/>
            <w:noProof/>
          </w:rPr>
          <w:t>Table 3.4.</w:t>
        </w:r>
        <w:r w:rsidRPr="009C13E0">
          <w:rPr>
            <w:rStyle w:val="Hyperlink"/>
            <w:rFonts w:ascii="Times New Roman" w:hAnsi="Times New Roman"/>
            <w:iCs/>
            <w:noProof/>
          </w:rPr>
          <w:t xml:space="preserve"> </w:t>
        </w:r>
        <w:r w:rsidRPr="009C13E0">
          <w:rPr>
            <w:rStyle w:val="Hyperlink"/>
            <w:rFonts w:ascii="Times New Roman" w:hAnsi="Times New Roman"/>
            <w:noProof/>
          </w:rPr>
          <w:t>Atomic Mass (</w:t>
        </w:r>
        <w:r w:rsidRPr="009C13E0">
          <w:rPr>
            <w:rStyle w:val="Hyperlink"/>
            <w:rFonts w:ascii="Times New Roman" w:hAnsi="Times New Roman"/>
            <w:i/>
            <w:iCs/>
            <w:noProof/>
          </w:rPr>
          <w:t>u</w:t>
        </w:r>
        <w:r w:rsidRPr="009C13E0">
          <w:rPr>
            <w:rStyle w:val="Hyperlink"/>
            <w:rFonts w:ascii="Times New Roman" w:hAnsi="Times New Roman"/>
            <w:noProof/>
          </w:rPr>
          <w:t>), Half-life (</w:t>
        </w:r>
        <w:r w:rsidRPr="009C13E0">
          <w:rPr>
            <w:rStyle w:val="Hyperlink"/>
            <w:rFonts w:ascii="Times New Roman" w:hAnsi="Times New Roman"/>
            <w:i/>
            <w:iCs/>
            <w:noProof/>
          </w:rPr>
          <w:t>T</w:t>
        </w:r>
        <w:r w:rsidRPr="009C13E0">
          <w:rPr>
            <w:rStyle w:val="Hyperlink"/>
            <w:rFonts w:ascii="Times New Roman" w:hAnsi="Times New Roman"/>
            <w:noProof/>
            <w:vertAlign w:val="subscript"/>
          </w:rPr>
          <w:t>1/2</w:t>
        </w:r>
        <w:r w:rsidRPr="009C13E0">
          <w:rPr>
            <w:rStyle w:val="Hyperlink"/>
            <w:rFonts w:ascii="Times New Roman" w:hAnsi="Times New Roman"/>
            <w:noProof/>
          </w:rPr>
          <w:t>), Present-Day Fractional Abundance (X</w:t>
        </w:r>
        <w:r w:rsidRPr="009C13E0">
          <w:rPr>
            <w:rStyle w:val="Hyperlink"/>
            <w:rFonts w:ascii="Times New Roman" w:hAnsi="Times New Roman"/>
            <w:noProof/>
            <w:vertAlign w:val="subscript"/>
          </w:rPr>
          <w:t>iso</w:t>
        </w:r>
        <w:r w:rsidRPr="009C13E0">
          <w:rPr>
            <w:rStyle w:val="Hyperlink"/>
            <w:rFonts w:ascii="Times New Roman" w:hAnsi="Times New Roman"/>
            <w:noProof/>
          </w:rPr>
          <w:t>), Heat-Effective Decay Energy per Atom (</w:t>
        </w:r>
        <w:r w:rsidRPr="009C13E0">
          <w:rPr>
            <w:rStyle w:val="Hyperlink"/>
            <w:rFonts w:ascii="Times New Roman" w:hAnsi="Times New Roman"/>
            <w:i/>
            <w:iCs/>
            <w:noProof/>
          </w:rPr>
          <w:t>E</w:t>
        </w:r>
        <w:r w:rsidRPr="009C13E0">
          <w:rPr>
            <w:rStyle w:val="Hyperlink"/>
            <w:rFonts w:ascii="Times New Roman" w:hAnsi="Times New Roman"/>
            <w:noProof/>
            <w:vertAlign w:val="subscript"/>
          </w:rPr>
          <w:t>H</w:t>
        </w:r>
        <w:r w:rsidRPr="009C13E0">
          <w:rPr>
            <w:rStyle w:val="Hyperlink"/>
            <w:rFonts w:ascii="Times New Roman" w:hAnsi="Times New Roman"/>
            <w:noProof/>
          </w:rPr>
          <w:t>), and Specific Heat Production (</w:t>
        </w:r>
        <w:r w:rsidRPr="009C13E0">
          <w:rPr>
            <w:rStyle w:val="Hyperlink"/>
            <w:rFonts w:ascii="Times New Roman" w:hAnsi="Times New Roman"/>
            <w:i/>
            <w:iCs/>
            <w:noProof/>
          </w:rPr>
          <w:t>H</w:t>
        </w:r>
        <w:r w:rsidRPr="009C13E0">
          <w:rPr>
            <w:rStyle w:val="Hyperlink"/>
            <w:rFonts w:ascii="Times New Roman" w:hAnsi="Times New Roman"/>
            <w:noProof/>
          </w:rPr>
          <w:t xml:space="preserve">) of </w:t>
        </w:r>
        <w:r w:rsidRPr="009C13E0">
          <w:rPr>
            <w:rStyle w:val="Hyperlink"/>
            <w:rFonts w:ascii="Times New Roman" w:hAnsi="Times New Roman"/>
            <w:noProof/>
            <w:vertAlign w:val="superscript"/>
          </w:rPr>
          <w:t>40</w:t>
        </w:r>
        <w:r w:rsidRPr="009C13E0">
          <w:rPr>
            <w:rStyle w:val="Hyperlink"/>
            <w:rFonts w:ascii="Times New Roman" w:hAnsi="Times New Roman"/>
            <w:noProof/>
          </w:rPr>
          <w:t xml:space="preserve">K, </w:t>
        </w:r>
        <w:r w:rsidRPr="009C13E0">
          <w:rPr>
            <w:rStyle w:val="Hyperlink"/>
            <w:rFonts w:ascii="Times New Roman" w:hAnsi="Times New Roman"/>
            <w:noProof/>
            <w:vertAlign w:val="superscript"/>
          </w:rPr>
          <w:t>232</w:t>
        </w:r>
        <w:r w:rsidRPr="009C13E0">
          <w:rPr>
            <w:rStyle w:val="Hyperlink"/>
            <w:rFonts w:ascii="Times New Roman" w:hAnsi="Times New Roman"/>
            <w:noProof/>
          </w:rPr>
          <w:t xml:space="preserve">Th, </w:t>
        </w:r>
        <w:r w:rsidRPr="009C13E0">
          <w:rPr>
            <w:rStyle w:val="Hyperlink"/>
            <w:rFonts w:ascii="Times New Roman" w:hAnsi="Times New Roman"/>
            <w:noProof/>
            <w:vertAlign w:val="superscript"/>
          </w:rPr>
          <w:t>235</w:t>
        </w:r>
        <w:r w:rsidRPr="009C13E0">
          <w:rPr>
            <w:rStyle w:val="Hyperlink"/>
            <w:rFonts w:ascii="Times New Roman" w:hAnsi="Times New Roman"/>
            <w:noProof/>
          </w:rPr>
          <w:t xml:space="preserve">U, and </w:t>
        </w:r>
        <w:r w:rsidRPr="009C13E0">
          <w:rPr>
            <w:rStyle w:val="Hyperlink"/>
            <w:rFonts w:ascii="Times New Roman" w:hAnsi="Times New Roman"/>
            <w:noProof/>
            <w:vertAlign w:val="superscript"/>
          </w:rPr>
          <w:t>238</w:t>
        </w:r>
        <w:r w:rsidRPr="009C13E0">
          <w:rPr>
            <w:rStyle w:val="Hyperlink"/>
            <w:rFonts w:ascii="Times New Roman" w:hAnsi="Times New Roman"/>
            <w:noProof/>
          </w:rPr>
          <w:t>U from Ruedas (2017).</w:t>
        </w:r>
        <w:r w:rsidRPr="009C13E0">
          <w:rPr>
            <w:noProof/>
            <w:webHidden/>
          </w:rPr>
          <w:tab/>
        </w:r>
        <w:r w:rsidRPr="009C13E0">
          <w:rPr>
            <w:noProof/>
            <w:webHidden/>
          </w:rPr>
          <w:fldChar w:fldCharType="begin"/>
        </w:r>
        <w:r w:rsidRPr="009C13E0">
          <w:rPr>
            <w:noProof/>
            <w:webHidden/>
          </w:rPr>
          <w:instrText xml:space="preserve"> PAGEREF _Toc185263601 \h </w:instrText>
        </w:r>
        <w:r w:rsidRPr="009C13E0">
          <w:rPr>
            <w:noProof/>
            <w:webHidden/>
          </w:rPr>
        </w:r>
        <w:r w:rsidRPr="009C13E0">
          <w:rPr>
            <w:noProof/>
            <w:webHidden/>
          </w:rPr>
          <w:fldChar w:fldCharType="separate"/>
        </w:r>
        <w:r w:rsidR="00143EE1">
          <w:rPr>
            <w:noProof/>
            <w:webHidden/>
          </w:rPr>
          <w:t>259</w:t>
        </w:r>
        <w:r w:rsidRPr="009C13E0">
          <w:rPr>
            <w:noProof/>
            <w:webHidden/>
          </w:rPr>
          <w:fldChar w:fldCharType="end"/>
        </w:r>
      </w:hyperlink>
    </w:p>
    <w:p w14:paraId="399D5EC7" w14:textId="67B408A8" w:rsidR="009C13E0" w:rsidRPr="009C13E0" w:rsidRDefault="009C13E0">
      <w:pPr>
        <w:pStyle w:val="TOC1"/>
        <w:rPr>
          <w:rFonts w:eastAsiaTheme="minorEastAsia"/>
          <w:noProof/>
          <w:kern w:val="2"/>
          <w14:ligatures w14:val="standardContextual"/>
        </w:rPr>
      </w:pPr>
      <w:hyperlink w:anchor="_Toc185263602" w:history="1">
        <w:r w:rsidRPr="009C13E0">
          <w:rPr>
            <w:rStyle w:val="Hyperlink"/>
            <w:rFonts w:ascii="Times New Roman" w:hAnsi="Times New Roman"/>
            <w:b/>
            <w:bCs/>
            <w:noProof/>
          </w:rPr>
          <w:t>Table 3.5.</w:t>
        </w:r>
        <w:r w:rsidRPr="009C13E0">
          <w:rPr>
            <w:rStyle w:val="Hyperlink"/>
            <w:rFonts w:ascii="Times New Roman" w:hAnsi="Times New Roman"/>
            <w:noProof/>
          </w:rPr>
          <w:t xml:space="preserve"> Parameter assumptions used in thermal evolution calculations in this study.</w:t>
        </w:r>
        <w:r w:rsidRPr="009C13E0">
          <w:rPr>
            <w:noProof/>
            <w:webHidden/>
          </w:rPr>
          <w:tab/>
        </w:r>
        <w:r w:rsidRPr="009C13E0">
          <w:rPr>
            <w:noProof/>
            <w:webHidden/>
          </w:rPr>
          <w:fldChar w:fldCharType="begin"/>
        </w:r>
        <w:r w:rsidRPr="009C13E0">
          <w:rPr>
            <w:noProof/>
            <w:webHidden/>
          </w:rPr>
          <w:instrText xml:space="preserve"> PAGEREF _Toc185263602 \h </w:instrText>
        </w:r>
        <w:r w:rsidRPr="009C13E0">
          <w:rPr>
            <w:noProof/>
            <w:webHidden/>
          </w:rPr>
        </w:r>
        <w:r w:rsidRPr="009C13E0">
          <w:rPr>
            <w:noProof/>
            <w:webHidden/>
          </w:rPr>
          <w:fldChar w:fldCharType="separate"/>
        </w:r>
        <w:r w:rsidR="00143EE1">
          <w:rPr>
            <w:noProof/>
            <w:webHidden/>
          </w:rPr>
          <w:t>260</w:t>
        </w:r>
        <w:r w:rsidRPr="009C13E0">
          <w:rPr>
            <w:noProof/>
            <w:webHidden/>
          </w:rPr>
          <w:fldChar w:fldCharType="end"/>
        </w:r>
      </w:hyperlink>
    </w:p>
    <w:p w14:paraId="00F93AE7" w14:textId="6549D3EE" w:rsidR="00236E6D" w:rsidRPr="00D8732A" w:rsidRDefault="00BA557D" w:rsidP="00FB05F8">
      <w:pPr>
        <w:spacing w:line="480" w:lineRule="auto"/>
        <w:ind w:left="450" w:hanging="450"/>
      </w:pPr>
      <w:r w:rsidRPr="009C13E0">
        <w:fldChar w:fldCharType="end"/>
      </w:r>
    </w:p>
    <w:p w14:paraId="4FCFB165" w14:textId="77777777" w:rsidR="00236E6D" w:rsidRPr="009D2AA9" w:rsidRDefault="00236E6D" w:rsidP="002F3782"/>
    <w:p w14:paraId="6DD553A5" w14:textId="77777777" w:rsidR="00236E6D" w:rsidRPr="009D2AA9" w:rsidRDefault="00236E6D" w:rsidP="002F3782"/>
    <w:p w14:paraId="0C473F82" w14:textId="77777777" w:rsidR="00B91082" w:rsidRDefault="00B91082" w:rsidP="00BD186E">
      <w:pPr>
        <w:pStyle w:val="AltHeading1"/>
        <w:sectPr w:rsidR="00B91082" w:rsidSect="002C25FD">
          <w:pgSz w:w="12240" w:h="15840" w:code="1"/>
          <w:pgMar w:top="1440" w:right="1800" w:bottom="1872" w:left="1800" w:header="720" w:footer="1440" w:gutter="0"/>
          <w:pgNumType w:fmt="lowerRoman"/>
          <w:cols w:space="720"/>
          <w:noEndnote/>
          <w:titlePg/>
        </w:sectPr>
      </w:pPr>
    </w:p>
    <w:p w14:paraId="352E87F8" w14:textId="245C0D95" w:rsidR="00236E6D" w:rsidRPr="009D2AA9" w:rsidRDefault="00236E6D" w:rsidP="00BD186E">
      <w:pPr>
        <w:pStyle w:val="AltHeading1"/>
      </w:pPr>
      <w:r w:rsidRPr="009D2AA9">
        <w:lastRenderedPageBreak/>
        <w:t>LIST OF FIGURES</w:t>
      </w:r>
    </w:p>
    <w:p w14:paraId="41127796" w14:textId="6E550DF4" w:rsidR="004923CF" w:rsidRPr="0099010D" w:rsidRDefault="00D54CE6" w:rsidP="003E2E58">
      <w:pPr>
        <w:pStyle w:val="TOC1"/>
        <w:outlineLvl w:val="0"/>
        <w:rPr>
          <w:rFonts w:eastAsiaTheme="minorEastAsia"/>
          <w:noProof/>
          <w:kern w:val="2"/>
          <w14:ligatures w14:val="standardContextual"/>
        </w:rPr>
      </w:pPr>
      <w:r w:rsidRPr="0099010D">
        <w:fldChar w:fldCharType="begin"/>
      </w:r>
      <w:r w:rsidRPr="0099010D">
        <w:instrText xml:space="preserve"> TOC \h \z \t "Figure Caption,1" </w:instrText>
      </w:r>
      <w:r w:rsidRPr="0099010D">
        <w:fldChar w:fldCharType="separate"/>
      </w:r>
      <w:hyperlink w:anchor="_Toc185263406" w:history="1">
        <w:r w:rsidR="004923CF" w:rsidRPr="0099010D">
          <w:rPr>
            <w:rStyle w:val="Hyperlink"/>
            <w:rFonts w:ascii="Times New Roman" w:hAnsi="Times New Roman"/>
            <w:b/>
            <w:bCs/>
            <w:noProof/>
          </w:rPr>
          <w:t>Figure 1.1.</w:t>
        </w:r>
        <w:r w:rsidR="004923CF" w:rsidRPr="0099010D">
          <w:rPr>
            <w:rStyle w:val="Hyperlink"/>
            <w:rFonts w:ascii="Times New Roman" w:hAnsi="Times New Roman"/>
            <w:noProof/>
          </w:rPr>
          <w:t xml:space="preserve"> Schematic illustrating assemblies used in near solidus and melt-rock reaction experiments utilized in this work. IBC refers to half of the reaction couple with the ilmenite bearing cumulate composition.</w:t>
        </w:r>
        <w:r w:rsidR="004923CF" w:rsidRPr="0099010D">
          <w:rPr>
            <w:noProof/>
            <w:webHidden/>
          </w:rPr>
          <w:tab/>
        </w:r>
        <w:r w:rsidR="004923CF" w:rsidRPr="0099010D">
          <w:rPr>
            <w:noProof/>
            <w:webHidden/>
          </w:rPr>
          <w:fldChar w:fldCharType="begin"/>
        </w:r>
        <w:r w:rsidR="004923CF" w:rsidRPr="0099010D">
          <w:rPr>
            <w:noProof/>
            <w:webHidden/>
          </w:rPr>
          <w:instrText xml:space="preserve"> PAGEREF _Toc185263406 \h </w:instrText>
        </w:r>
        <w:r w:rsidR="004923CF" w:rsidRPr="0099010D">
          <w:rPr>
            <w:noProof/>
            <w:webHidden/>
          </w:rPr>
        </w:r>
        <w:r w:rsidR="004923CF" w:rsidRPr="0099010D">
          <w:rPr>
            <w:noProof/>
            <w:webHidden/>
          </w:rPr>
          <w:fldChar w:fldCharType="separate"/>
        </w:r>
        <w:r w:rsidR="00143EE1">
          <w:rPr>
            <w:noProof/>
            <w:webHidden/>
          </w:rPr>
          <w:t>24</w:t>
        </w:r>
        <w:r w:rsidR="004923CF" w:rsidRPr="0099010D">
          <w:rPr>
            <w:noProof/>
            <w:webHidden/>
          </w:rPr>
          <w:fldChar w:fldCharType="end"/>
        </w:r>
      </w:hyperlink>
    </w:p>
    <w:p w14:paraId="7C827DF2" w14:textId="72F22327" w:rsidR="004923CF" w:rsidRPr="0099010D" w:rsidRDefault="004923CF" w:rsidP="003E2E58">
      <w:pPr>
        <w:pStyle w:val="TOC1"/>
        <w:outlineLvl w:val="0"/>
        <w:rPr>
          <w:rFonts w:eastAsiaTheme="minorEastAsia"/>
          <w:noProof/>
          <w:kern w:val="2"/>
          <w14:ligatures w14:val="standardContextual"/>
        </w:rPr>
      </w:pPr>
      <w:hyperlink w:anchor="_Toc185263407" w:history="1">
        <w:r w:rsidRPr="0099010D">
          <w:rPr>
            <w:rStyle w:val="Hyperlink"/>
            <w:rFonts w:ascii="Times New Roman" w:hAnsi="Times New Roman"/>
            <w:b/>
            <w:bCs/>
            <w:noProof/>
          </w:rPr>
          <w:t>Figure 1.2.</w:t>
        </w:r>
        <w:r w:rsidRPr="0099010D">
          <w:rPr>
            <w:rStyle w:val="Hyperlink"/>
            <w:rFonts w:ascii="Times New Roman" w:hAnsi="Times New Roman"/>
            <w:noProof/>
          </w:rPr>
          <w:t xml:space="preserve"> Representative BSE images and elemental maps highlighting minerals and reactions produced in near solidus experiments</w:t>
        </w:r>
        <w:r w:rsidR="00F0667D">
          <w:rPr>
            <w:rStyle w:val="Hyperlink"/>
            <w:rFonts w:ascii="Times New Roman" w:hAnsi="Times New Roman"/>
            <w:noProof/>
          </w:rPr>
          <w:t xml:space="preserve"> MRx#1, MRx#3, and MRx#8</w:t>
        </w:r>
        <w:r w:rsidRPr="0099010D">
          <w:rPr>
            <w:rStyle w:val="Hyperlink"/>
            <w:rFonts w:ascii="Times New Roman" w:hAnsi="Times New Roman"/>
            <w:noProof/>
          </w:rPr>
          <w:t>.</w:t>
        </w:r>
        <w:r w:rsidRPr="0099010D">
          <w:rPr>
            <w:noProof/>
            <w:webHidden/>
          </w:rPr>
          <w:tab/>
        </w:r>
        <w:r w:rsidRPr="0099010D">
          <w:rPr>
            <w:noProof/>
            <w:webHidden/>
          </w:rPr>
          <w:fldChar w:fldCharType="begin"/>
        </w:r>
        <w:r w:rsidRPr="0099010D">
          <w:rPr>
            <w:noProof/>
            <w:webHidden/>
          </w:rPr>
          <w:instrText xml:space="preserve"> PAGEREF _Toc185263407 \h </w:instrText>
        </w:r>
        <w:r w:rsidRPr="0099010D">
          <w:rPr>
            <w:noProof/>
            <w:webHidden/>
          </w:rPr>
        </w:r>
        <w:r w:rsidRPr="0099010D">
          <w:rPr>
            <w:noProof/>
            <w:webHidden/>
          </w:rPr>
          <w:fldChar w:fldCharType="separate"/>
        </w:r>
        <w:r w:rsidR="00143EE1">
          <w:rPr>
            <w:noProof/>
            <w:webHidden/>
          </w:rPr>
          <w:t>27</w:t>
        </w:r>
        <w:r w:rsidRPr="0099010D">
          <w:rPr>
            <w:noProof/>
            <w:webHidden/>
          </w:rPr>
          <w:fldChar w:fldCharType="end"/>
        </w:r>
      </w:hyperlink>
    </w:p>
    <w:p w14:paraId="35269F8E" w14:textId="5C573416" w:rsidR="004923CF" w:rsidRPr="0099010D" w:rsidRDefault="004923CF" w:rsidP="003E2E58">
      <w:pPr>
        <w:pStyle w:val="TOC1"/>
        <w:outlineLvl w:val="0"/>
        <w:rPr>
          <w:rFonts w:eastAsiaTheme="minorEastAsia"/>
          <w:noProof/>
          <w:kern w:val="2"/>
          <w14:ligatures w14:val="standardContextual"/>
        </w:rPr>
      </w:pPr>
      <w:hyperlink w:anchor="_Toc185263408" w:history="1">
        <w:r w:rsidRPr="0099010D">
          <w:rPr>
            <w:rStyle w:val="Hyperlink"/>
            <w:rFonts w:ascii="Times New Roman" w:hAnsi="Times New Roman"/>
            <w:b/>
            <w:bCs/>
            <w:noProof/>
          </w:rPr>
          <w:t>Figure 1.3.</w:t>
        </w:r>
        <w:r w:rsidRPr="0099010D">
          <w:rPr>
            <w:rStyle w:val="Hyperlink"/>
            <w:rFonts w:ascii="Times New Roman" w:hAnsi="Times New Roman"/>
            <w:noProof/>
          </w:rPr>
          <w:t xml:space="preserve"> Pyroxene compositions from</w:t>
        </w:r>
        <w:r w:rsidR="00F0667D">
          <w:rPr>
            <w:rStyle w:val="Hyperlink"/>
            <w:rFonts w:ascii="Times New Roman" w:hAnsi="Times New Roman"/>
            <w:noProof/>
          </w:rPr>
          <w:t xml:space="preserve"> </w:t>
        </w:r>
        <w:r w:rsidRPr="0099010D">
          <w:rPr>
            <w:rStyle w:val="Hyperlink"/>
            <w:rFonts w:ascii="Times New Roman" w:hAnsi="Times New Roman"/>
            <w:noProof/>
          </w:rPr>
          <w:t>melt-rock reaction experiments projected as components.</w:t>
        </w:r>
        <w:r w:rsidRPr="0099010D">
          <w:rPr>
            <w:noProof/>
            <w:webHidden/>
          </w:rPr>
          <w:tab/>
        </w:r>
        <w:r w:rsidRPr="0099010D">
          <w:rPr>
            <w:noProof/>
            <w:webHidden/>
          </w:rPr>
          <w:fldChar w:fldCharType="begin"/>
        </w:r>
        <w:r w:rsidRPr="0099010D">
          <w:rPr>
            <w:noProof/>
            <w:webHidden/>
          </w:rPr>
          <w:instrText xml:space="preserve"> PAGEREF _Toc185263408 \h </w:instrText>
        </w:r>
        <w:r w:rsidRPr="0099010D">
          <w:rPr>
            <w:noProof/>
            <w:webHidden/>
          </w:rPr>
        </w:r>
        <w:r w:rsidRPr="0099010D">
          <w:rPr>
            <w:noProof/>
            <w:webHidden/>
          </w:rPr>
          <w:fldChar w:fldCharType="separate"/>
        </w:r>
        <w:r w:rsidR="00143EE1">
          <w:rPr>
            <w:noProof/>
            <w:webHidden/>
          </w:rPr>
          <w:t>32</w:t>
        </w:r>
        <w:r w:rsidRPr="0099010D">
          <w:rPr>
            <w:noProof/>
            <w:webHidden/>
          </w:rPr>
          <w:fldChar w:fldCharType="end"/>
        </w:r>
      </w:hyperlink>
    </w:p>
    <w:p w14:paraId="25C3E121" w14:textId="02F9A6D7" w:rsidR="004923CF" w:rsidRPr="0099010D" w:rsidRDefault="004923CF" w:rsidP="003E2E58">
      <w:pPr>
        <w:pStyle w:val="TOC1"/>
        <w:outlineLvl w:val="0"/>
        <w:rPr>
          <w:rFonts w:eastAsiaTheme="minorEastAsia"/>
          <w:noProof/>
          <w:kern w:val="2"/>
          <w14:ligatures w14:val="standardContextual"/>
        </w:rPr>
      </w:pPr>
      <w:hyperlink w:anchor="_Toc185263409" w:history="1">
        <w:r w:rsidRPr="0099010D">
          <w:rPr>
            <w:rStyle w:val="Hyperlink"/>
            <w:rFonts w:ascii="Times New Roman" w:hAnsi="Times New Roman"/>
            <w:b/>
            <w:bCs/>
            <w:noProof/>
          </w:rPr>
          <w:t>Figure 1.4.</w:t>
        </w:r>
        <w:r w:rsidRPr="0099010D">
          <w:rPr>
            <w:rStyle w:val="Hyperlink"/>
            <w:rFonts w:ascii="Times New Roman" w:hAnsi="Times New Roman"/>
            <w:noProof/>
          </w:rPr>
          <w:t xml:space="preserve"> Garnet compositions from near solidus experiments conducted in this study compared to terrestrial and lunar relevant compositions.</w:t>
        </w:r>
        <w:r w:rsidRPr="0099010D">
          <w:rPr>
            <w:noProof/>
            <w:webHidden/>
          </w:rPr>
          <w:tab/>
        </w:r>
        <w:r w:rsidRPr="0099010D">
          <w:rPr>
            <w:noProof/>
            <w:webHidden/>
          </w:rPr>
          <w:fldChar w:fldCharType="begin"/>
        </w:r>
        <w:r w:rsidRPr="0099010D">
          <w:rPr>
            <w:noProof/>
            <w:webHidden/>
          </w:rPr>
          <w:instrText xml:space="preserve"> PAGEREF _Toc185263409 \h </w:instrText>
        </w:r>
        <w:r w:rsidRPr="0099010D">
          <w:rPr>
            <w:noProof/>
            <w:webHidden/>
          </w:rPr>
        </w:r>
        <w:r w:rsidRPr="0099010D">
          <w:rPr>
            <w:noProof/>
            <w:webHidden/>
          </w:rPr>
          <w:fldChar w:fldCharType="separate"/>
        </w:r>
        <w:r w:rsidR="00143EE1">
          <w:rPr>
            <w:noProof/>
            <w:webHidden/>
          </w:rPr>
          <w:t>33</w:t>
        </w:r>
        <w:r w:rsidRPr="0099010D">
          <w:rPr>
            <w:noProof/>
            <w:webHidden/>
          </w:rPr>
          <w:fldChar w:fldCharType="end"/>
        </w:r>
      </w:hyperlink>
    </w:p>
    <w:p w14:paraId="66A080F5" w14:textId="24B13D43" w:rsidR="004923CF" w:rsidRPr="0099010D" w:rsidRDefault="004923CF" w:rsidP="003E2E58">
      <w:pPr>
        <w:pStyle w:val="TOC1"/>
        <w:outlineLvl w:val="0"/>
        <w:rPr>
          <w:rFonts w:eastAsiaTheme="minorEastAsia"/>
          <w:noProof/>
          <w:kern w:val="2"/>
          <w14:ligatures w14:val="standardContextual"/>
        </w:rPr>
      </w:pPr>
      <w:hyperlink w:anchor="_Toc185263410" w:history="1">
        <w:r w:rsidRPr="0099010D">
          <w:rPr>
            <w:rStyle w:val="Hyperlink"/>
            <w:rFonts w:ascii="Times New Roman" w:hAnsi="Times New Roman"/>
            <w:b/>
            <w:bCs/>
            <w:noProof/>
          </w:rPr>
          <w:t>Figure 1.5.</w:t>
        </w:r>
        <w:r w:rsidRPr="0099010D">
          <w:rPr>
            <w:rStyle w:val="Hyperlink"/>
            <w:rFonts w:ascii="Times New Roman" w:hAnsi="Times New Roman"/>
            <w:noProof/>
          </w:rPr>
          <w:t xml:space="preserve"> Representative BSE images and elemental maps highlighting minerals and reaction features in supersolidus experiments</w:t>
        </w:r>
        <w:r w:rsidR="00F0667D">
          <w:rPr>
            <w:rStyle w:val="Hyperlink"/>
            <w:rFonts w:ascii="Times New Roman" w:hAnsi="Times New Roman"/>
            <w:noProof/>
          </w:rPr>
          <w:t xml:space="preserve"> MRx#10 and MRx#12</w:t>
        </w:r>
        <w:r w:rsidRPr="0099010D">
          <w:rPr>
            <w:rStyle w:val="Hyperlink"/>
            <w:rFonts w:ascii="Times New Roman" w:hAnsi="Times New Roman"/>
            <w:noProof/>
          </w:rPr>
          <w:t>.</w:t>
        </w:r>
        <w:r w:rsidRPr="0099010D">
          <w:rPr>
            <w:noProof/>
            <w:webHidden/>
          </w:rPr>
          <w:tab/>
        </w:r>
        <w:r w:rsidRPr="0099010D">
          <w:rPr>
            <w:noProof/>
            <w:webHidden/>
          </w:rPr>
          <w:fldChar w:fldCharType="begin"/>
        </w:r>
        <w:r w:rsidRPr="0099010D">
          <w:rPr>
            <w:noProof/>
            <w:webHidden/>
          </w:rPr>
          <w:instrText xml:space="preserve"> PAGEREF _Toc185263410 \h </w:instrText>
        </w:r>
        <w:r w:rsidRPr="0099010D">
          <w:rPr>
            <w:noProof/>
            <w:webHidden/>
          </w:rPr>
        </w:r>
        <w:r w:rsidRPr="0099010D">
          <w:rPr>
            <w:noProof/>
            <w:webHidden/>
          </w:rPr>
          <w:fldChar w:fldCharType="separate"/>
        </w:r>
        <w:r w:rsidR="00143EE1">
          <w:rPr>
            <w:noProof/>
            <w:webHidden/>
          </w:rPr>
          <w:t>38</w:t>
        </w:r>
        <w:r w:rsidRPr="0099010D">
          <w:rPr>
            <w:noProof/>
            <w:webHidden/>
          </w:rPr>
          <w:fldChar w:fldCharType="end"/>
        </w:r>
      </w:hyperlink>
    </w:p>
    <w:p w14:paraId="36802C45" w14:textId="024C47F5" w:rsidR="004923CF" w:rsidRPr="0099010D" w:rsidRDefault="004923CF" w:rsidP="003E2E58">
      <w:pPr>
        <w:pStyle w:val="TOC1"/>
        <w:outlineLvl w:val="0"/>
        <w:rPr>
          <w:rFonts w:eastAsiaTheme="minorEastAsia"/>
          <w:noProof/>
          <w:kern w:val="2"/>
          <w14:ligatures w14:val="standardContextual"/>
        </w:rPr>
      </w:pPr>
      <w:hyperlink w:anchor="_Toc185263411" w:history="1">
        <w:r w:rsidRPr="0099010D">
          <w:rPr>
            <w:rStyle w:val="Hyperlink"/>
            <w:rFonts w:ascii="Times New Roman" w:hAnsi="Times New Roman"/>
            <w:b/>
            <w:bCs/>
            <w:noProof/>
          </w:rPr>
          <w:t>Figure 1.6.</w:t>
        </w:r>
        <w:r w:rsidRPr="0099010D">
          <w:rPr>
            <w:rStyle w:val="Hyperlink"/>
            <w:rFonts w:ascii="Times New Roman" w:hAnsi="Times New Roman"/>
            <w:noProof/>
          </w:rPr>
          <w:t xml:space="preserve"> Representative BSE image and elemental map highlighting minerals and reaction features produced in step-cooled supersolidus experiment MRx#13.</w:t>
        </w:r>
        <w:r w:rsidRPr="0099010D">
          <w:rPr>
            <w:noProof/>
            <w:webHidden/>
          </w:rPr>
          <w:tab/>
        </w:r>
        <w:r w:rsidRPr="0099010D">
          <w:rPr>
            <w:noProof/>
            <w:webHidden/>
          </w:rPr>
          <w:fldChar w:fldCharType="begin"/>
        </w:r>
        <w:r w:rsidRPr="0099010D">
          <w:rPr>
            <w:noProof/>
            <w:webHidden/>
          </w:rPr>
          <w:instrText xml:space="preserve"> PAGEREF _Toc185263411 \h </w:instrText>
        </w:r>
        <w:r w:rsidRPr="0099010D">
          <w:rPr>
            <w:noProof/>
            <w:webHidden/>
          </w:rPr>
        </w:r>
        <w:r w:rsidRPr="0099010D">
          <w:rPr>
            <w:noProof/>
            <w:webHidden/>
          </w:rPr>
          <w:fldChar w:fldCharType="separate"/>
        </w:r>
        <w:r w:rsidR="00143EE1">
          <w:rPr>
            <w:noProof/>
            <w:webHidden/>
          </w:rPr>
          <w:t>41</w:t>
        </w:r>
        <w:r w:rsidRPr="0099010D">
          <w:rPr>
            <w:noProof/>
            <w:webHidden/>
          </w:rPr>
          <w:fldChar w:fldCharType="end"/>
        </w:r>
      </w:hyperlink>
    </w:p>
    <w:p w14:paraId="6E2F10CE" w14:textId="6B67E6F9" w:rsidR="004923CF" w:rsidRPr="0099010D" w:rsidRDefault="004923CF" w:rsidP="003E2E58">
      <w:pPr>
        <w:pStyle w:val="TOC1"/>
        <w:outlineLvl w:val="0"/>
        <w:rPr>
          <w:rFonts w:eastAsiaTheme="minorEastAsia"/>
          <w:noProof/>
          <w:kern w:val="2"/>
          <w14:ligatures w14:val="standardContextual"/>
        </w:rPr>
      </w:pPr>
      <w:hyperlink w:anchor="_Toc185263412" w:history="1">
        <w:r w:rsidRPr="0099010D">
          <w:rPr>
            <w:rStyle w:val="Hyperlink"/>
            <w:rFonts w:ascii="Times New Roman" w:hAnsi="Times New Roman"/>
            <w:b/>
            <w:bCs/>
            <w:noProof/>
          </w:rPr>
          <w:t>Figure 1.7.</w:t>
        </w:r>
        <w:r w:rsidRPr="0099010D">
          <w:rPr>
            <w:rStyle w:val="Hyperlink"/>
            <w:rFonts w:ascii="Times New Roman" w:hAnsi="Times New Roman"/>
            <w:noProof/>
          </w:rPr>
          <w:t xml:space="preserve"> Experimental glasses plotted in relation to olivine-wollastonite-quartz basalt ternary diagrams from Longhi (1991).</w:t>
        </w:r>
        <w:r w:rsidRPr="0099010D">
          <w:rPr>
            <w:noProof/>
            <w:webHidden/>
          </w:rPr>
          <w:tab/>
        </w:r>
        <w:r w:rsidRPr="0099010D">
          <w:rPr>
            <w:noProof/>
            <w:webHidden/>
          </w:rPr>
          <w:fldChar w:fldCharType="begin"/>
        </w:r>
        <w:r w:rsidRPr="0099010D">
          <w:rPr>
            <w:noProof/>
            <w:webHidden/>
          </w:rPr>
          <w:instrText xml:space="preserve"> PAGEREF _Toc185263412 \h </w:instrText>
        </w:r>
        <w:r w:rsidRPr="0099010D">
          <w:rPr>
            <w:noProof/>
            <w:webHidden/>
          </w:rPr>
        </w:r>
        <w:r w:rsidRPr="0099010D">
          <w:rPr>
            <w:noProof/>
            <w:webHidden/>
          </w:rPr>
          <w:fldChar w:fldCharType="separate"/>
        </w:r>
        <w:r w:rsidR="00143EE1">
          <w:rPr>
            <w:noProof/>
            <w:webHidden/>
          </w:rPr>
          <w:t>44</w:t>
        </w:r>
        <w:r w:rsidRPr="0099010D">
          <w:rPr>
            <w:noProof/>
            <w:webHidden/>
          </w:rPr>
          <w:fldChar w:fldCharType="end"/>
        </w:r>
      </w:hyperlink>
    </w:p>
    <w:p w14:paraId="1EA4A274" w14:textId="15CEC0AB" w:rsidR="004923CF" w:rsidRPr="0099010D" w:rsidRDefault="004923CF" w:rsidP="003E2E58">
      <w:pPr>
        <w:pStyle w:val="TOC1"/>
        <w:outlineLvl w:val="0"/>
        <w:rPr>
          <w:rFonts w:eastAsiaTheme="minorEastAsia"/>
          <w:noProof/>
          <w:kern w:val="2"/>
          <w14:ligatures w14:val="standardContextual"/>
        </w:rPr>
      </w:pPr>
      <w:hyperlink w:anchor="_Toc185263413" w:history="1">
        <w:r w:rsidRPr="0099010D">
          <w:rPr>
            <w:rStyle w:val="Hyperlink"/>
            <w:rFonts w:ascii="Times New Roman" w:hAnsi="Times New Roman"/>
            <w:b/>
            <w:bCs/>
            <w:noProof/>
          </w:rPr>
          <w:t>Figure 1.8.</w:t>
        </w:r>
        <w:r w:rsidRPr="0099010D">
          <w:rPr>
            <w:rStyle w:val="Hyperlink"/>
            <w:rFonts w:ascii="Times New Roman" w:hAnsi="Times New Roman"/>
            <w:noProof/>
          </w:rPr>
          <w:t xml:space="preserve"> Fe-Mg exchange profiles across the IBC-dunite interface from near solidus experiments</w:t>
        </w:r>
        <w:r w:rsidR="00811385">
          <w:rPr>
            <w:rStyle w:val="Hyperlink"/>
            <w:rFonts w:ascii="Times New Roman" w:hAnsi="Times New Roman"/>
            <w:noProof/>
          </w:rPr>
          <w:t xml:space="preserve"> </w:t>
        </w:r>
        <w:r w:rsidR="00391DAA">
          <w:rPr>
            <w:rStyle w:val="Hyperlink"/>
            <w:rFonts w:ascii="Times New Roman" w:hAnsi="Times New Roman"/>
            <w:noProof/>
          </w:rPr>
          <w:t>with modeled diffusion curves</w:t>
        </w:r>
        <w:r w:rsidRPr="0099010D">
          <w:rPr>
            <w:rStyle w:val="Hyperlink"/>
            <w:rFonts w:ascii="Times New Roman" w:hAnsi="Times New Roman"/>
            <w:noProof/>
          </w:rPr>
          <w:t>.</w:t>
        </w:r>
        <w:r w:rsidRPr="0099010D">
          <w:rPr>
            <w:noProof/>
            <w:webHidden/>
          </w:rPr>
          <w:tab/>
        </w:r>
        <w:r w:rsidRPr="0099010D">
          <w:rPr>
            <w:noProof/>
            <w:webHidden/>
          </w:rPr>
          <w:fldChar w:fldCharType="begin"/>
        </w:r>
        <w:r w:rsidRPr="0099010D">
          <w:rPr>
            <w:noProof/>
            <w:webHidden/>
          </w:rPr>
          <w:instrText xml:space="preserve"> PAGEREF _Toc185263413 \h </w:instrText>
        </w:r>
        <w:r w:rsidRPr="0099010D">
          <w:rPr>
            <w:noProof/>
            <w:webHidden/>
          </w:rPr>
        </w:r>
        <w:r w:rsidRPr="0099010D">
          <w:rPr>
            <w:noProof/>
            <w:webHidden/>
          </w:rPr>
          <w:fldChar w:fldCharType="separate"/>
        </w:r>
        <w:r w:rsidR="00143EE1">
          <w:rPr>
            <w:noProof/>
            <w:webHidden/>
          </w:rPr>
          <w:t>47</w:t>
        </w:r>
        <w:r w:rsidRPr="0099010D">
          <w:rPr>
            <w:noProof/>
            <w:webHidden/>
          </w:rPr>
          <w:fldChar w:fldCharType="end"/>
        </w:r>
      </w:hyperlink>
    </w:p>
    <w:p w14:paraId="2CF8FA1C" w14:textId="2B0C4B0A" w:rsidR="004923CF" w:rsidRPr="0099010D" w:rsidRDefault="004923CF" w:rsidP="003E2E58">
      <w:pPr>
        <w:pStyle w:val="TOC1"/>
        <w:outlineLvl w:val="0"/>
        <w:rPr>
          <w:rFonts w:eastAsiaTheme="minorEastAsia"/>
          <w:noProof/>
          <w:kern w:val="2"/>
          <w14:ligatures w14:val="standardContextual"/>
        </w:rPr>
      </w:pPr>
      <w:hyperlink w:anchor="_Toc185263414" w:history="1">
        <w:r w:rsidRPr="0099010D">
          <w:rPr>
            <w:rStyle w:val="Hyperlink"/>
            <w:rFonts w:ascii="Times New Roman" w:hAnsi="Times New Roman"/>
            <w:b/>
            <w:bCs/>
            <w:noProof/>
          </w:rPr>
          <w:t>Figure 1.9.</w:t>
        </w:r>
        <w:r w:rsidRPr="0099010D">
          <w:rPr>
            <w:rStyle w:val="Hyperlink"/>
            <w:rFonts w:ascii="Times New Roman" w:hAnsi="Times New Roman"/>
            <w:noProof/>
          </w:rPr>
          <w:t xml:space="preserve"> Elemental concentration profiles in the IBC melt from the reaction interface (i.e., 0 µm) to the top of the experiment (or top of the glass-dominated region of the experiment). Modeled diffusion profiles for MRx#9 with respect to (a) MgO, (b) FeO, (c) MnO, (d) Al</w:t>
        </w:r>
        <w:r w:rsidRPr="0099010D">
          <w:rPr>
            <w:rStyle w:val="Hyperlink"/>
            <w:rFonts w:ascii="Times New Roman" w:hAnsi="Times New Roman"/>
            <w:noProof/>
            <w:vertAlign w:val="subscript"/>
          </w:rPr>
          <w:t>2</w:t>
        </w:r>
        <w:r w:rsidRPr="0099010D">
          <w:rPr>
            <w:rStyle w:val="Hyperlink"/>
            <w:rFonts w:ascii="Times New Roman" w:hAnsi="Times New Roman"/>
            <w:noProof/>
          </w:rPr>
          <w:t>O</w:t>
        </w:r>
        <w:r w:rsidRPr="0099010D">
          <w:rPr>
            <w:rStyle w:val="Hyperlink"/>
            <w:rFonts w:ascii="Times New Roman" w:hAnsi="Times New Roman"/>
            <w:noProof/>
            <w:vertAlign w:val="subscript"/>
          </w:rPr>
          <w:t>3</w:t>
        </w:r>
        <w:r w:rsidRPr="0099010D">
          <w:rPr>
            <w:rStyle w:val="Hyperlink"/>
            <w:rFonts w:ascii="Times New Roman" w:hAnsi="Times New Roman"/>
            <w:noProof/>
          </w:rPr>
          <w:t>, (e) TiO</w:t>
        </w:r>
        <w:r w:rsidRPr="0099010D">
          <w:rPr>
            <w:rStyle w:val="Hyperlink"/>
            <w:rFonts w:ascii="Times New Roman" w:hAnsi="Times New Roman"/>
            <w:noProof/>
            <w:vertAlign w:val="subscript"/>
          </w:rPr>
          <w:t>2</w:t>
        </w:r>
        <w:r w:rsidRPr="0099010D">
          <w:rPr>
            <w:rStyle w:val="Hyperlink"/>
            <w:rFonts w:ascii="Times New Roman" w:hAnsi="Times New Roman"/>
            <w:noProof/>
          </w:rPr>
          <w:t>, and (f) CaO mol% are represented by the dashed line.</w:t>
        </w:r>
        <w:r w:rsidRPr="0099010D">
          <w:rPr>
            <w:noProof/>
            <w:webHidden/>
          </w:rPr>
          <w:tab/>
        </w:r>
        <w:r w:rsidRPr="0099010D">
          <w:rPr>
            <w:noProof/>
            <w:webHidden/>
          </w:rPr>
          <w:fldChar w:fldCharType="begin"/>
        </w:r>
        <w:r w:rsidRPr="0099010D">
          <w:rPr>
            <w:noProof/>
            <w:webHidden/>
          </w:rPr>
          <w:instrText xml:space="preserve"> PAGEREF _Toc185263414 \h </w:instrText>
        </w:r>
        <w:r w:rsidRPr="0099010D">
          <w:rPr>
            <w:noProof/>
            <w:webHidden/>
          </w:rPr>
        </w:r>
        <w:r w:rsidRPr="0099010D">
          <w:rPr>
            <w:noProof/>
            <w:webHidden/>
          </w:rPr>
          <w:fldChar w:fldCharType="separate"/>
        </w:r>
        <w:r w:rsidR="00143EE1">
          <w:rPr>
            <w:noProof/>
            <w:webHidden/>
          </w:rPr>
          <w:t>53</w:t>
        </w:r>
        <w:r w:rsidRPr="0099010D">
          <w:rPr>
            <w:noProof/>
            <w:webHidden/>
          </w:rPr>
          <w:fldChar w:fldCharType="end"/>
        </w:r>
      </w:hyperlink>
    </w:p>
    <w:p w14:paraId="669FBFF6" w14:textId="655A8E16" w:rsidR="004923CF" w:rsidRPr="0099010D" w:rsidRDefault="004923CF" w:rsidP="003E2E58">
      <w:pPr>
        <w:pStyle w:val="TOC1"/>
        <w:outlineLvl w:val="0"/>
        <w:rPr>
          <w:rFonts w:eastAsiaTheme="minorEastAsia"/>
          <w:noProof/>
          <w:kern w:val="2"/>
          <w14:ligatures w14:val="standardContextual"/>
        </w:rPr>
      </w:pPr>
      <w:hyperlink w:anchor="_Toc185263415" w:history="1">
        <w:r w:rsidRPr="0099010D">
          <w:rPr>
            <w:rStyle w:val="Hyperlink"/>
            <w:rFonts w:ascii="Times New Roman" w:hAnsi="Times New Roman"/>
            <w:b/>
            <w:bCs/>
            <w:noProof/>
          </w:rPr>
          <w:t>Figure 1.10.</w:t>
        </w:r>
        <w:r w:rsidRPr="0099010D">
          <w:rPr>
            <w:rStyle w:val="Hyperlink"/>
            <w:rFonts w:ascii="Times New Roman" w:hAnsi="Times New Roman"/>
            <w:noProof/>
          </w:rPr>
          <w:t xml:space="preserve"> Dunite dissolution rates plotted against the square root of time.</w:t>
        </w:r>
        <w:r w:rsidRPr="0099010D">
          <w:rPr>
            <w:noProof/>
            <w:webHidden/>
          </w:rPr>
          <w:tab/>
        </w:r>
        <w:r w:rsidRPr="0099010D">
          <w:rPr>
            <w:noProof/>
            <w:webHidden/>
          </w:rPr>
          <w:fldChar w:fldCharType="begin"/>
        </w:r>
        <w:r w:rsidRPr="0099010D">
          <w:rPr>
            <w:noProof/>
            <w:webHidden/>
          </w:rPr>
          <w:instrText xml:space="preserve"> PAGEREF _Toc185263415 \h </w:instrText>
        </w:r>
        <w:r w:rsidRPr="0099010D">
          <w:rPr>
            <w:noProof/>
            <w:webHidden/>
          </w:rPr>
        </w:r>
        <w:r w:rsidRPr="0099010D">
          <w:rPr>
            <w:noProof/>
            <w:webHidden/>
          </w:rPr>
          <w:fldChar w:fldCharType="separate"/>
        </w:r>
        <w:r w:rsidR="00143EE1">
          <w:rPr>
            <w:noProof/>
            <w:webHidden/>
          </w:rPr>
          <w:t>55</w:t>
        </w:r>
        <w:r w:rsidRPr="0099010D">
          <w:rPr>
            <w:noProof/>
            <w:webHidden/>
          </w:rPr>
          <w:fldChar w:fldCharType="end"/>
        </w:r>
      </w:hyperlink>
    </w:p>
    <w:p w14:paraId="19943EA0" w14:textId="36A2CA1D" w:rsidR="004923CF" w:rsidRPr="0099010D" w:rsidRDefault="004923CF" w:rsidP="003E2E58">
      <w:pPr>
        <w:pStyle w:val="TOC1"/>
        <w:outlineLvl w:val="0"/>
        <w:rPr>
          <w:rFonts w:eastAsiaTheme="minorEastAsia"/>
          <w:noProof/>
          <w:kern w:val="2"/>
          <w14:ligatures w14:val="standardContextual"/>
        </w:rPr>
      </w:pPr>
      <w:hyperlink w:anchor="_Toc185263416" w:history="1">
        <w:r w:rsidRPr="0099010D">
          <w:rPr>
            <w:rStyle w:val="Hyperlink"/>
            <w:rFonts w:ascii="Times New Roman" w:hAnsi="Times New Roman"/>
            <w:b/>
            <w:bCs/>
            <w:noProof/>
          </w:rPr>
          <w:t>Figure 1.11.</w:t>
        </w:r>
        <w:r w:rsidRPr="0099010D">
          <w:rPr>
            <w:rStyle w:val="Hyperlink"/>
            <w:rFonts w:ascii="Times New Roman" w:hAnsi="Times New Roman"/>
            <w:noProof/>
          </w:rPr>
          <w:t xml:space="preserve"> Ilmenite bearing cumulate phase diagram based on the observations from this work and previous experimental studies testing IBC and Ti-rich lunar relevant compositions (Haggerty and Lindsley, 1970; Friel et al., 1977; Wyatt, 1977; Van Orman and Grove, 2000; Xirouchakis et al., 2002; Mallik et al., 2019).</w:t>
        </w:r>
        <w:r w:rsidRPr="0099010D">
          <w:rPr>
            <w:noProof/>
            <w:webHidden/>
          </w:rPr>
          <w:tab/>
        </w:r>
        <w:r w:rsidRPr="0099010D">
          <w:rPr>
            <w:noProof/>
            <w:webHidden/>
          </w:rPr>
          <w:fldChar w:fldCharType="begin"/>
        </w:r>
        <w:r w:rsidRPr="0099010D">
          <w:rPr>
            <w:noProof/>
            <w:webHidden/>
          </w:rPr>
          <w:instrText xml:space="preserve"> PAGEREF _Toc185263416 \h </w:instrText>
        </w:r>
        <w:r w:rsidRPr="0099010D">
          <w:rPr>
            <w:noProof/>
            <w:webHidden/>
          </w:rPr>
        </w:r>
        <w:r w:rsidRPr="0099010D">
          <w:rPr>
            <w:noProof/>
            <w:webHidden/>
          </w:rPr>
          <w:fldChar w:fldCharType="separate"/>
        </w:r>
        <w:r w:rsidR="00143EE1">
          <w:rPr>
            <w:noProof/>
            <w:webHidden/>
          </w:rPr>
          <w:t>57</w:t>
        </w:r>
        <w:r w:rsidRPr="0099010D">
          <w:rPr>
            <w:noProof/>
            <w:webHidden/>
          </w:rPr>
          <w:fldChar w:fldCharType="end"/>
        </w:r>
      </w:hyperlink>
    </w:p>
    <w:p w14:paraId="67333612" w14:textId="452401CD" w:rsidR="004923CF" w:rsidRPr="0099010D" w:rsidRDefault="004923CF" w:rsidP="003E2E58">
      <w:pPr>
        <w:pStyle w:val="TOC1"/>
        <w:outlineLvl w:val="0"/>
        <w:rPr>
          <w:rFonts w:eastAsiaTheme="minorEastAsia"/>
          <w:noProof/>
          <w:kern w:val="2"/>
          <w14:ligatures w14:val="standardContextual"/>
        </w:rPr>
      </w:pPr>
      <w:hyperlink w:anchor="_Toc185263417" w:history="1">
        <w:r w:rsidRPr="0099010D">
          <w:rPr>
            <w:rStyle w:val="Hyperlink"/>
            <w:rFonts w:ascii="Times New Roman" w:hAnsi="Times New Roman"/>
            <w:b/>
            <w:bCs/>
            <w:noProof/>
          </w:rPr>
          <w:t>Figure 1.12.</w:t>
        </w:r>
        <w:r w:rsidRPr="0099010D">
          <w:rPr>
            <w:rStyle w:val="Hyperlink"/>
            <w:rFonts w:ascii="Times New Roman" w:hAnsi="Times New Roman"/>
            <w:noProof/>
          </w:rPr>
          <w:t xml:space="preserve"> Comparison of glasses from melt-rock reaction experiments to lunar picritic glasses (TiO</w:t>
        </w:r>
        <w:r w:rsidRPr="0099010D">
          <w:rPr>
            <w:rStyle w:val="Hyperlink"/>
            <w:rFonts w:ascii="Times New Roman" w:hAnsi="Times New Roman"/>
            <w:noProof/>
            <w:vertAlign w:val="subscript"/>
          </w:rPr>
          <w:t>2</w:t>
        </w:r>
        <w:r w:rsidRPr="0099010D">
          <w:rPr>
            <w:rStyle w:val="Hyperlink"/>
            <w:rFonts w:ascii="Times New Roman" w:hAnsi="Times New Roman"/>
            <w:noProof/>
          </w:rPr>
          <w:t xml:space="preserve"> mol% vs Mg# (a.) and Al</w:t>
        </w:r>
        <w:r w:rsidRPr="0099010D">
          <w:rPr>
            <w:rStyle w:val="Hyperlink"/>
            <w:rFonts w:ascii="Times New Roman" w:hAnsi="Times New Roman"/>
            <w:noProof/>
            <w:vertAlign w:val="subscript"/>
          </w:rPr>
          <w:t>2</w:t>
        </w:r>
        <w:r w:rsidRPr="0099010D">
          <w:rPr>
            <w:rStyle w:val="Hyperlink"/>
            <w:rFonts w:ascii="Times New Roman" w:hAnsi="Times New Roman"/>
            <w:noProof/>
          </w:rPr>
          <w:t>O</w:t>
        </w:r>
        <w:r w:rsidRPr="0099010D">
          <w:rPr>
            <w:rStyle w:val="Hyperlink"/>
            <w:rFonts w:ascii="Times New Roman" w:hAnsi="Times New Roman"/>
            <w:noProof/>
            <w:vertAlign w:val="subscript"/>
          </w:rPr>
          <w:t>3</w:t>
        </w:r>
        <w:r w:rsidRPr="0099010D">
          <w:rPr>
            <w:rStyle w:val="Hyperlink"/>
            <w:rFonts w:ascii="Times New Roman" w:hAnsi="Times New Roman"/>
            <w:noProof/>
          </w:rPr>
          <w:t xml:space="preserve"> mol% vs Mg#(b.)).</w:t>
        </w:r>
        <w:r w:rsidRPr="0099010D">
          <w:rPr>
            <w:noProof/>
            <w:webHidden/>
          </w:rPr>
          <w:tab/>
        </w:r>
        <w:r w:rsidRPr="0099010D">
          <w:rPr>
            <w:noProof/>
            <w:webHidden/>
          </w:rPr>
          <w:fldChar w:fldCharType="begin"/>
        </w:r>
        <w:r w:rsidRPr="0099010D">
          <w:rPr>
            <w:noProof/>
            <w:webHidden/>
          </w:rPr>
          <w:instrText xml:space="preserve"> PAGEREF _Toc185263417 \h </w:instrText>
        </w:r>
        <w:r w:rsidRPr="0099010D">
          <w:rPr>
            <w:noProof/>
            <w:webHidden/>
          </w:rPr>
        </w:r>
        <w:r w:rsidRPr="0099010D">
          <w:rPr>
            <w:noProof/>
            <w:webHidden/>
          </w:rPr>
          <w:fldChar w:fldCharType="separate"/>
        </w:r>
        <w:r w:rsidR="00143EE1">
          <w:rPr>
            <w:noProof/>
            <w:webHidden/>
          </w:rPr>
          <w:t>64</w:t>
        </w:r>
        <w:r w:rsidRPr="0099010D">
          <w:rPr>
            <w:noProof/>
            <w:webHidden/>
          </w:rPr>
          <w:fldChar w:fldCharType="end"/>
        </w:r>
      </w:hyperlink>
    </w:p>
    <w:p w14:paraId="32AE485A" w14:textId="101330CC" w:rsidR="004923CF" w:rsidRPr="0099010D" w:rsidRDefault="004923CF" w:rsidP="003E2E58">
      <w:pPr>
        <w:pStyle w:val="TOC1"/>
        <w:outlineLvl w:val="0"/>
        <w:rPr>
          <w:rFonts w:eastAsiaTheme="minorEastAsia"/>
          <w:noProof/>
          <w:kern w:val="2"/>
          <w14:ligatures w14:val="standardContextual"/>
        </w:rPr>
      </w:pPr>
      <w:hyperlink w:anchor="_Toc185263418" w:history="1">
        <w:r w:rsidRPr="0099010D">
          <w:rPr>
            <w:rStyle w:val="Hyperlink"/>
            <w:rFonts w:ascii="Times New Roman" w:hAnsi="Times New Roman"/>
            <w:b/>
            <w:bCs/>
            <w:noProof/>
          </w:rPr>
          <w:t>Figure 2.1.</w:t>
        </w:r>
        <w:r w:rsidRPr="0099010D">
          <w:rPr>
            <w:rStyle w:val="Hyperlink"/>
            <w:rFonts w:ascii="Times New Roman" w:hAnsi="Times New Roman"/>
            <w:noProof/>
          </w:rPr>
          <w:t xml:space="preserve"> Schematic figure of lunar evolution up to the point of cumulate overturn and mantle hybridization.</w:t>
        </w:r>
        <w:r w:rsidRPr="0099010D">
          <w:rPr>
            <w:noProof/>
            <w:webHidden/>
          </w:rPr>
          <w:tab/>
        </w:r>
        <w:r w:rsidRPr="0099010D">
          <w:rPr>
            <w:noProof/>
            <w:webHidden/>
          </w:rPr>
          <w:fldChar w:fldCharType="begin"/>
        </w:r>
        <w:r w:rsidRPr="0099010D">
          <w:rPr>
            <w:noProof/>
            <w:webHidden/>
          </w:rPr>
          <w:instrText xml:space="preserve"> PAGEREF _Toc185263418 \h </w:instrText>
        </w:r>
        <w:r w:rsidRPr="0099010D">
          <w:rPr>
            <w:noProof/>
            <w:webHidden/>
          </w:rPr>
        </w:r>
        <w:r w:rsidRPr="0099010D">
          <w:rPr>
            <w:noProof/>
            <w:webHidden/>
          </w:rPr>
          <w:fldChar w:fldCharType="separate"/>
        </w:r>
        <w:r w:rsidR="00143EE1">
          <w:rPr>
            <w:noProof/>
            <w:webHidden/>
          </w:rPr>
          <w:t>110</w:t>
        </w:r>
        <w:r w:rsidRPr="0099010D">
          <w:rPr>
            <w:noProof/>
            <w:webHidden/>
          </w:rPr>
          <w:fldChar w:fldCharType="end"/>
        </w:r>
      </w:hyperlink>
    </w:p>
    <w:p w14:paraId="631A692E" w14:textId="7F1E72B9" w:rsidR="004923CF" w:rsidRPr="0099010D" w:rsidRDefault="004923CF" w:rsidP="003E2E58">
      <w:pPr>
        <w:pStyle w:val="TOC1"/>
        <w:outlineLvl w:val="0"/>
        <w:rPr>
          <w:rFonts w:eastAsiaTheme="minorEastAsia"/>
          <w:noProof/>
          <w:kern w:val="2"/>
          <w14:ligatures w14:val="standardContextual"/>
        </w:rPr>
      </w:pPr>
      <w:hyperlink w:anchor="_Toc185263419" w:history="1">
        <w:r w:rsidRPr="0099010D">
          <w:rPr>
            <w:rStyle w:val="Hyperlink"/>
            <w:rFonts w:ascii="Times New Roman" w:hAnsi="Times New Roman"/>
            <w:b/>
            <w:bCs/>
            <w:noProof/>
          </w:rPr>
          <w:t>Figure 2.2.</w:t>
        </w:r>
        <w:r w:rsidRPr="0099010D">
          <w:rPr>
            <w:rStyle w:val="Hyperlink"/>
            <w:rFonts w:ascii="Times New Roman" w:hAnsi="Times New Roman"/>
            <w:noProof/>
          </w:rPr>
          <w:t xml:space="preserve"> Trace element comparison between evolving magma ocean cumulates,</w:t>
        </w:r>
        <w:r w:rsidR="00B13892">
          <w:rPr>
            <w:rStyle w:val="Hyperlink"/>
            <w:rFonts w:ascii="Times New Roman" w:hAnsi="Times New Roman"/>
            <w:noProof/>
          </w:rPr>
          <w:t xml:space="preserve"> residual magma ocean liquids,</w:t>
        </w:r>
        <w:r w:rsidRPr="0099010D">
          <w:rPr>
            <w:rStyle w:val="Hyperlink"/>
            <w:rFonts w:ascii="Times New Roman" w:hAnsi="Times New Roman"/>
            <w:noProof/>
          </w:rPr>
          <w:t xml:space="preserve"> lunar picritic glasses, and lunar KREEP basalts.</w:t>
        </w:r>
        <w:r w:rsidRPr="0099010D">
          <w:rPr>
            <w:noProof/>
            <w:webHidden/>
          </w:rPr>
          <w:tab/>
        </w:r>
        <w:r w:rsidRPr="0099010D">
          <w:rPr>
            <w:noProof/>
            <w:webHidden/>
          </w:rPr>
          <w:fldChar w:fldCharType="begin"/>
        </w:r>
        <w:r w:rsidRPr="0099010D">
          <w:rPr>
            <w:noProof/>
            <w:webHidden/>
          </w:rPr>
          <w:instrText xml:space="preserve"> PAGEREF _Toc185263419 \h </w:instrText>
        </w:r>
        <w:r w:rsidRPr="0099010D">
          <w:rPr>
            <w:noProof/>
            <w:webHidden/>
          </w:rPr>
        </w:r>
        <w:r w:rsidRPr="0099010D">
          <w:rPr>
            <w:noProof/>
            <w:webHidden/>
          </w:rPr>
          <w:fldChar w:fldCharType="separate"/>
        </w:r>
        <w:r w:rsidR="00143EE1">
          <w:rPr>
            <w:noProof/>
            <w:webHidden/>
          </w:rPr>
          <w:t>130</w:t>
        </w:r>
        <w:r w:rsidRPr="0099010D">
          <w:rPr>
            <w:noProof/>
            <w:webHidden/>
          </w:rPr>
          <w:fldChar w:fldCharType="end"/>
        </w:r>
      </w:hyperlink>
    </w:p>
    <w:p w14:paraId="0741E44E" w14:textId="592D7EF6" w:rsidR="004923CF" w:rsidRPr="0099010D" w:rsidRDefault="004923CF" w:rsidP="003E2E58">
      <w:pPr>
        <w:pStyle w:val="TOC1"/>
        <w:outlineLvl w:val="0"/>
        <w:rPr>
          <w:rFonts w:eastAsiaTheme="minorEastAsia"/>
          <w:noProof/>
          <w:kern w:val="2"/>
          <w14:ligatures w14:val="standardContextual"/>
        </w:rPr>
      </w:pPr>
      <w:hyperlink w:anchor="_Toc185263420" w:history="1">
        <w:r w:rsidRPr="0099010D">
          <w:rPr>
            <w:rStyle w:val="Hyperlink"/>
            <w:rFonts w:ascii="Times New Roman" w:hAnsi="Times New Roman"/>
            <w:b/>
            <w:bCs/>
            <w:noProof/>
          </w:rPr>
          <w:t>Figure 2.3.</w:t>
        </w:r>
        <w:r w:rsidRPr="0099010D">
          <w:rPr>
            <w:rStyle w:val="Hyperlink"/>
            <w:rFonts w:ascii="Times New Roman" w:hAnsi="Times New Roman"/>
            <w:noProof/>
          </w:rPr>
          <w:t xml:space="preserve"> Evolution of LMO residual melt and cumulates during fractional crystallization of the LMO compared to picritic lunar glass and basalt compositions.</w:t>
        </w:r>
        <w:r w:rsidRPr="0099010D">
          <w:rPr>
            <w:noProof/>
            <w:webHidden/>
          </w:rPr>
          <w:tab/>
        </w:r>
        <w:r w:rsidRPr="0099010D">
          <w:rPr>
            <w:noProof/>
            <w:webHidden/>
          </w:rPr>
          <w:fldChar w:fldCharType="begin"/>
        </w:r>
        <w:r w:rsidRPr="0099010D">
          <w:rPr>
            <w:noProof/>
            <w:webHidden/>
          </w:rPr>
          <w:instrText xml:space="preserve"> PAGEREF _Toc185263420 \h </w:instrText>
        </w:r>
        <w:r w:rsidRPr="0099010D">
          <w:rPr>
            <w:noProof/>
            <w:webHidden/>
          </w:rPr>
        </w:r>
        <w:r w:rsidRPr="0099010D">
          <w:rPr>
            <w:noProof/>
            <w:webHidden/>
          </w:rPr>
          <w:fldChar w:fldCharType="separate"/>
        </w:r>
        <w:r w:rsidR="00143EE1">
          <w:rPr>
            <w:noProof/>
            <w:webHidden/>
          </w:rPr>
          <w:t>131</w:t>
        </w:r>
        <w:r w:rsidRPr="0099010D">
          <w:rPr>
            <w:noProof/>
            <w:webHidden/>
          </w:rPr>
          <w:fldChar w:fldCharType="end"/>
        </w:r>
      </w:hyperlink>
    </w:p>
    <w:p w14:paraId="05E0289B" w14:textId="79B8CFAC" w:rsidR="004923CF" w:rsidRPr="0099010D" w:rsidRDefault="004923CF" w:rsidP="003E2E58">
      <w:pPr>
        <w:pStyle w:val="TOC1"/>
        <w:outlineLvl w:val="0"/>
        <w:rPr>
          <w:rFonts w:eastAsiaTheme="minorEastAsia"/>
          <w:noProof/>
          <w:kern w:val="2"/>
          <w14:ligatures w14:val="standardContextual"/>
        </w:rPr>
      </w:pPr>
      <w:hyperlink w:anchor="_Toc185263421" w:history="1">
        <w:r w:rsidRPr="0099010D">
          <w:rPr>
            <w:rStyle w:val="Hyperlink"/>
            <w:rFonts w:ascii="Times New Roman" w:hAnsi="Times New Roman"/>
            <w:b/>
            <w:bCs/>
            <w:noProof/>
          </w:rPr>
          <w:t>Figure 2.4.</w:t>
        </w:r>
        <w:r w:rsidRPr="0099010D">
          <w:rPr>
            <w:rStyle w:val="Hyperlink"/>
            <w:rFonts w:ascii="Times New Roman" w:hAnsi="Times New Roman"/>
            <w:noProof/>
          </w:rPr>
          <w:t xml:space="preserve"> Models for partial melting of primary (i.e., unhybridized) LMO cumulates assuming 90% plagioclase floatation (Reference Scenario 0).</w:t>
        </w:r>
        <w:r w:rsidRPr="0099010D">
          <w:rPr>
            <w:noProof/>
            <w:webHidden/>
          </w:rPr>
          <w:tab/>
        </w:r>
        <w:r w:rsidRPr="0099010D">
          <w:rPr>
            <w:noProof/>
            <w:webHidden/>
          </w:rPr>
          <w:fldChar w:fldCharType="begin"/>
        </w:r>
        <w:r w:rsidRPr="0099010D">
          <w:rPr>
            <w:noProof/>
            <w:webHidden/>
          </w:rPr>
          <w:instrText xml:space="preserve"> PAGEREF _Toc185263421 \h </w:instrText>
        </w:r>
        <w:r w:rsidRPr="0099010D">
          <w:rPr>
            <w:noProof/>
            <w:webHidden/>
          </w:rPr>
        </w:r>
        <w:r w:rsidRPr="0099010D">
          <w:rPr>
            <w:noProof/>
            <w:webHidden/>
          </w:rPr>
          <w:fldChar w:fldCharType="separate"/>
        </w:r>
        <w:r w:rsidR="00143EE1">
          <w:rPr>
            <w:noProof/>
            <w:webHidden/>
          </w:rPr>
          <w:t>135</w:t>
        </w:r>
        <w:r w:rsidRPr="0099010D">
          <w:rPr>
            <w:noProof/>
            <w:webHidden/>
          </w:rPr>
          <w:fldChar w:fldCharType="end"/>
        </w:r>
      </w:hyperlink>
    </w:p>
    <w:p w14:paraId="0382727E" w14:textId="2E26FFC2" w:rsidR="004923CF" w:rsidRPr="0099010D" w:rsidRDefault="004923CF" w:rsidP="003E2E58">
      <w:pPr>
        <w:pStyle w:val="TOC1"/>
        <w:outlineLvl w:val="0"/>
        <w:rPr>
          <w:rFonts w:eastAsiaTheme="minorEastAsia"/>
          <w:noProof/>
          <w:kern w:val="2"/>
          <w14:ligatures w14:val="standardContextual"/>
        </w:rPr>
      </w:pPr>
      <w:hyperlink w:anchor="_Toc185263422" w:history="1">
        <w:r w:rsidRPr="0099010D">
          <w:rPr>
            <w:rStyle w:val="Hyperlink"/>
            <w:rFonts w:ascii="Times New Roman" w:hAnsi="Times New Roman"/>
            <w:b/>
            <w:bCs/>
            <w:noProof/>
          </w:rPr>
          <w:t>Figure 2.5.</w:t>
        </w:r>
        <w:r w:rsidRPr="0099010D">
          <w:rPr>
            <w:rStyle w:val="Hyperlink"/>
            <w:rFonts w:ascii="Times New Roman" w:hAnsi="Times New Roman"/>
            <w:noProof/>
          </w:rPr>
          <w:t xml:space="preserve"> Models demonstrating the effect of plagioclase floatation and ƒO</w:t>
        </w:r>
        <w:r w:rsidRPr="0099010D">
          <w:rPr>
            <w:rStyle w:val="Hyperlink"/>
            <w:rFonts w:ascii="Times New Roman" w:hAnsi="Times New Roman"/>
            <w:noProof/>
            <w:vertAlign w:val="subscript"/>
          </w:rPr>
          <w:t>2</w:t>
        </w:r>
        <w:r w:rsidRPr="0099010D">
          <w:rPr>
            <w:rStyle w:val="Hyperlink"/>
            <w:rFonts w:ascii="Times New Roman" w:hAnsi="Times New Roman"/>
            <w:noProof/>
          </w:rPr>
          <w:t xml:space="preserve"> on Eu anomaly (Eu/Eu*) formation in partial melts of LMO cumulates.</w:t>
        </w:r>
        <w:r w:rsidRPr="0099010D">
          <w:rPr>
            <w:noProof/>
            <w:webHidden/>
          </w:rPr>
          <w:tab/>
        </w:r>
        <w:r w:rsidRPr="0099010D">
          <w:rPr>
            <w:noProof/>
            <w:webHidden/>
          </w:rPr>
          <w:fldChar w:fldCharType="begin"/>
        </w:r>
        <w:r w:rsidRPr="0099010D">
          <w:rPr>
            <w:noProof/>
            <w:webHidden/>
          </w:rPr>
          <w:instrText xml:space="preserve"> PAGEREF _Toc185263422 \h </w:instrText>
        </w:r>
        <w:r w:rsidRPr="0099010D">
          <w:rPr>
            <w:noProof/>
            <w:webHidden/>
          </w:rPr>
        </w:r>
        <w:r w:rsidRPr="0099010D">
          <w:rPr>
            <w:noProof/>
            <w:webHidden/>
          </w:rPr>
          <w:fldChar w:fldCharType="separate"/>
        </w:r>
        <w:r w:rsidR="00143EE1">
          <w:rPr>
            <w:noProof/>
            <w:webHidden/>
          </w:rPr>
          <w:t>142</w:t>
        </w:r>
        <w:r w:rsidRPr="0099010D">
          <w:rPr>
            <w:noProof/>
            <w:webHidden/>
          </w:rPr>
          <w:fldChar w:fldCharType="end"/>
        </w:r>
      </w:hyperlink>
    </w:p>
    <w:p w14:paraId="3E6EF762" w14:textId="762F36C8" w:rsidR="004923CF" w:rsidRPr="0099010D" w:rsidRDefault="004923CF" w:rsidP="003E2E58">
      <w:pPr>
        <w:pStyle w:val="TOC1"/>
        <w:outlineLvl w:val="0"/>
        <w:rPr>
          <w:rFonts w:eastAsiaTheme="minorEastAsia"/>
          <w:noProof/>
          <w:kern w:val="2"/>
          <w14:ligatures w14:val="standardContextual"/>
        </w:rPr>
      </w:pPr>
      <w:hyperlink w:anchor="_Toc185263423" w:history="1">
        <w:r w:rsidRPr="0099010D">
          <w:rPr>
            <w:rStyle w:val="Hyperlink"/>
            <w:rFonts w:ascii="Times New Roman" w:hAnsi="Times New Roman"/>
            <w:b/>
            <w:bCs/>
            <w:noProof/>
          </w:rPr>
          <w:t>Figure 2.6.</w:t>
        </w:r>
        <w:r w:rsidRPr="0099010D">
          <w:rPr>
            <w:rStyle w:val="Hyperlink"/>
            <w:rFonts w:ascii="Times New Roman" w:hAnsi="Times New Roman"/>
            <w:noProof/>
          </w:rPr>
          <w:t xml:space="preserve"> IBC mineralogy at 1150</w:t>
        </w:r>
        <w:r w:rsidRPr="0099010D">
          <w:rPr>
            <w:rStyle w:val="Hyperlink"/>
            <w:rFonts w:ascii="Times New Roman" w:hAnsi="Times New Roman"/>
            <w:noProof/>
          </w:rPr>
          <w:sym w:font="Symbol" w:char="F0B0"/>
        </w:r>
        <w:r w:rsidRPr="0099010D">
          <w:rPr>
            <w:rStyle w:val="Hyperlink"/>
            <w:rFonts w:ascii="Times New Roman" w:hAnsi="Times New Roman"/>
            <w:noProof/>
          </w:rPr>
          <w:t>C and 2 GPa calculated using thermodynamic models assuming plagioclase floatation efficiencies of 80-98%.</w:t>
        </w:r>
        <w:r w:rsidRPr="0099010D">
          <w:rPr>
            <w:noProof/>
            <w:webHidden/>
          </w:rPr>
          <w:tab/>
        </w:r>
        <w:r w:rsidRPr="0099010D">
          <w:rPr>
            <w:noProof/>
            <w:webHidden/>
          </w:rPr>
          <w:fldChar w:fldCharType="begin"/>
        </w:r>
        <w:r w:rsidRPr="0099010D">
          <w:rPr>
            <w:noProof/>
            <w:webHidden/>
          </w:rPr>
          <w:instrText xml:space="preserve"> PAGEREF _Toc185263423 \h </w:instrText>
        </w:r>
        <w:r w:rsidRPr="0099010D">
          <w:rPr>
            <w:noProof/>
            <w:webHidden/>
          </w:rPr>
        </w:r>
        <w:r w:rsidRPr="0099010D">
          <w:rPr>
            <w:noProof/>
            <w:webHidden/>
          </w:rPr>
          <w:fldChar w:fldCharType="separate"/>
        </w:r>
        <w:r w:rsidR="00143EE1">
          <w:rPr>
            <w:noProof/>
            <w:webHidden/>
          </w:rPr>
          <w:t>147</w:t>
        </w:r>
        <w:r w:rsidRPr="0099010D">
          <w:rPr>
            <w:noProof/>
            <w:webHidden/>
          </w:rPr>
          <w:fldChar w:fldCharType="end"/>
        </w:r>
      </w:hyperlink>
    </w:p>
    <w:p w14:paraId="42153980" w14:textId="493336FC" w:rsidR="004923CF" w:rsidRPr="0099010D" w:rsidRDefault="004923CF" w:rsidP="003E2E58">
      <w:pPr>
        <w:pStyle w:val="TOC1"/>
        <w:outlineLvl w:val="0"/>
        <w:rPr>
          <w:rFonts w:eastAsiaTheme="minorEastAsia"/>
          <w:noProof/>
          <w:kern w:val="2"/>
          <w14:ligatures w14:val="standardContextual"/>
        </w:rPr>
      </w:pPr>
      <w:hyperlink w:anchor="_Toc185263424" w:history="1">
        <w:r w:rsidRPr="0099010D">
          <w:rPr>
            <w:rStyle w:val="Hyperlink"/>
            <w:rFonts w:ascii="Times New Roman" w:hAnsi="Times New Roman"/>
            <w:b/>
            <w:bCs/>
            <w:noProof/>
          </w:rPr>
          <w:t>Figure 2.7.</w:t>
        </w:r>
        <w:r w:rsidRPr="0099010D">
          <w:rPr>
            <w:rStyle w:val="Hyperlink"/>
            <w:rFonts w:ascii="Times New Roman" w:hAnsi="Times New Roman"/>
            <w:noProof/>
          </w:rPr>
          <w:t xml:space="preserve"> Models demonstrating the effect of plagioclase floatation and ƒO</w:t>
        </w:r>
        <w:r w:rsidRPr="0099010D">
          <w:rPr>
            <w:rStyle w:val="Hyperlink"/>
            <w:rFonts w:ascii="Times New Roman" w:hAnsi="Times New Roman"/>
            <w:noProof/>
            <w:vertAlign w:val="subscript"/>
          </w:rPr>
          <w:t>2</w:t>
        </w:r>
        <w:r w:rsidRPr="0099010D">
          <w:rPr>
            <w:rStyle w:val="Hyperlink"/>
            <w:rFonts w:ascii="Times New Roman" w:hAnsi="Times New Roman"/>
            <w:noProof/>
          </w:rPr>
          <w:t xml:space="preserve"> on Eu anomaly (Eu/Eu*) formation in partial melts of garnet-free IBC material and garnet-free hybridized sources.</w:t>
        </w:r>
        <w:r w:rsidRPr="0099010D">
          <w:rPr>
            <w:noProof/>
            <w:webHidden/>
          </w:rPr>
          <w:tab/>
        </w:r>
        <w:r w:rsidRPr="0099010D">
          <w:rPr>
            <w:noProof/>
            <w:webHidden/>
          </w:rPr>
          <w:fldChar w:fldCharType="begin"/>
        </w:r>
        <w:r w:rsidRPr="0099010D">
          <w:rPr>
            <w:noProof/>
            <w:webHidden/>
          </w:rPr>
          <w:instrText xml:space="preserve"> PAGEREF _Toc185263424 \h </w:instrText>
        </w:r>
        <w:r w:rsidRPr="0099010D">
          <w:rPr>
            <w:noProof/>
            <w:webHidden/>
          </w:rPr>
        </w:r>
        <w:r w:rsidRPr="0099010D">
          <w:rPr>
            <w:noProof/>
            <w:webHidden/>
          </w:rPr>
          <w:fldChar w:fldCharType="separate"/>
        </w:r>
        <w:r w:rsidR="00143EE1">
          <w:rPr>
            <w:noProof/>
            <w:webHidden/>
          </w:rPr>
          <w:t>150</w:t>
        </w:r>
        <w:r w:rsidRPr="0099010D">
          <w:rPr>
            <w:noProof/>
            <w:webHidden/>
          </w:rPr>
          <w:fldChar w:fldCharType="end"/>
        </w:r>
      </w:hyperlink>
    </w:p>
    <w:p w14:paraId="434BC79B" w14:textId="108FC5C5" w:rsidR="004923CF" w:rsidRPr="0099010D" w:rsidRDefault="004923CF" w:rsidP="003E2E58">
      <w:pPr>
        <w:pStyle w:val="TOC1"/>
        <w:outlineLvl w:val="0"/>
        <w:rPr>
          <w:rFonts w:eastAsiaTheme="minorEastAsia"/>
          <w:noProof/>
          <w:kern w:val="2"/>
          <w14:ligatures w14:val="standardContextual"/>
        </w:rPr>
      </w:pPr>
      <w:hyperlink w:anchor="_Toc185263425" w:history="1">
        <w:r w:rsidRPr="0099010D">
          <w:rPr>
            <w:rStyle w:val="Hyperlink"/>
            <w:rFonts w:ascii="Times New Roman" w:hAnsi="Times New Roman"/>
            <w:b/>
            <w:bCs/>
            <w:noProof/>
          </w:rPr>
          <w:t>Figure 2.8.</w:t>
        </w:r>
        <w:r w:rsidRPr="0099010D">
          <w:rPr>
            <w:rStyle w:val="Hyperlink"/>
            <w:rFonts w:ascii="Times New Roman" w:hAnsi="Times New Roman"/>
            <w:noProof/>
          </w:rPr>
          <w:t xml:space="preserve"> Partial melts of garnet-free and garnet-bearing hybridized sources, assuming that during hybridization, the IBC material was below its solidus and was mechanically mixed into EMOC.</w:t>
        </w:r>
        <w:r w:rsidRPr="0099010D">
          <w:rPr>
            <w:noProof/>
            <w:webHidden/>
          </w:rPr>
          <w:tab/>
        </w:r>
        <w:r w:rsidRPr="0099010D">
          <w:rPr>
            <w:noProof/>
            <w:webHidden/>
          </w:rPr>
          <w:fldChar w:fldCharType="begin"/>
        </w:r>
        <w:r w:rsidRPr="0099010D">
          <w:rPr>
            <w:noProof/>
            <w:webHidden/>
          </w:rPr>
          <w:instrText xml:space="preserve"> PAGEREF _Toc185263425 \h </w:instrText>
        </w:r>
        <w:r w:rsidRPr="0099010D">
          <w:rPr>
            <w:noProof/>
            <w:webHidden/>
          </w:rPr>
        </w:r>
        <w:r w:rsidRPr="0099010D">
          <w:rPr>
            <w:noProof/>
            <w:webHidden/>
          </w:rPr>
          <w:fldChar w:fldCharType="separate"/>
        </w:r>
        <w:r w:rsidR="00143EE1">
          <w:rPr>
            <w:noProof/>
            <w:webHidden/>
          </w:rPr>
          <w:t>161</w:t>
        </w:r>
        <w:r w:rsidRPr="0099010D">
          <w:rPr>
            <w:noProof/>
            <w:webHidden/>
          </w:rPr>
          <w:fldChar w:fldCharType="end"/>
        </w:r>
      </w:hyperlink>
    </w:p>
    <w:p w14:paraId="4D35528F" w14:textId="616114CF" w:rsidR="004923CF" w:rsidRPr="0099010D" w:rsidRDefault="004923CF" w:rsidP="003E2E58">
      <w:pPr>
        <w:pStyle w:val="TOC1"/>
        <w:outlineLvl w:val="0"/>
        <w:rPr>
          <w:rFonts w:eastAsiaTheme="minorEastAsia"/>
          <w:noProof/>
          <w:kern w:val="2"/>
          <w14:ligatures w14:val="standardContextual"/>
        </w:rPr>
      </w:pPr>
      <w:hyperlink w:anchor="_Toc185263426" w:history="1">
        <w:r w:rsidRPr="0099010D">
          <w:rPr>
            <w:rStyle w:val="Hyperlink"/>
            <w:rFonts w:ascii="Times New Roman" w:hAnsi="Times New Roman"/>
            <w:b/>
            <w:bCs/>
            <w:noProof/>
          </w:rPr>
          <w:t>Figure 2.9.</w:t>
        </w:r>
        <w:r w:rsidRPr="0099010D">
          <w:rPr>
            <w:rStyle w:val="Hyperlink"/>
            <w:rFonts w:ascii="Times New Roman" w:hAnsi="Times New Roman"/>
            <w:noProof/>
          </w:rPr>
          <w:t xml:space="preserve"> Partial melting models for garnet-free and garnet-bearing sources that were hybridized by partial melts from downwelling garnet-free IBC prior to subsequent melting.</w:t>
        </w:r>
        <w:r w:rsidRPr="0099010D">
          <w:rPr>
            <w:noProof/>
            <w:webHidden/>
          </w:rPr>
          <w:tab/>
        </w:r>
        <w:r w:rsidRPr="0099010D">
          <w:rPr>
            <w:noProof/>
            <w:webHidden/>
          </w:rPr>
          <w:fldChar w:fldCharType="begin"/>
        </w:r>
        <w:r w:rsidRPr="0099010D">
          <w:rPr>
            <w:noProof/>
            <w:webHidden/>
          </w:rPr>
          <w:instrText xml:space="preserve"> PAGEREF _Toc185263426 \h </w:instrText>
        </w:r>
        <w:r w:rsidRPr="0099010D">
          <w:rPr>
            <w:noProof/>
            <w:webHidden/>
          </w:rPr>
        </w:r>
        <w:r w:rsidRPr="0099010D">
          <w:rPr>
            <w:noProof/>
            <w:webHidden/>
          </w:rPr>
          <w:fldChar w:fldCharType="separate"/>
        </w:r>
        <w:r w:rsidR="00143EE1">
          <w:rPr>
            <w:noProof/>
            <w:webHidden/>
          </w:rPr>
          <w:t>164</w:t>
        </w:r>
        <w:r w:rsidRPr="0099010D">
          <w:rPr>
            <w:noProof/>
            <w:webHidden/>
          </w:rPr>
          <w:fldChar w:fldCharType="end"/>
        </w:r>
      </w:hyperlink>
    </w:p>
    <w:p w14:paraId="11AD1C35" w14:textId="0C3CEF7A" w:rsidR="004923CF" w:rsidRPr="0099010D" w:rsidRDefault="004923CF" w:rsidP="003E2E58">
      <w:pPr>
        <w:pStyle w:val="TOC1"/>
        <w:outlineLvl w:val="0"/>
        <w:rPr>
          <w:rFonts w:eastAsiaTheme="minorEastAsia"/>
          <w:noProof/>
          <w:kern w:val="2"/>
          <w14:ligatures w14:val="standardContextual"/>
        </w:rPr>
      </w:pPr>
      <w:hyperlink w:anchor="_Toc185263427" w:history="1">
        <w:r w:rsidRPr="0099010D">
          <w:rPr>
            <w:rStyle w:val="Hyperlink"/>
            <w:rFonts w:ascii="Times New Roman" w:hAnsi="Times New Roman"/>
            <w:b/>
            <w:bCs/>
            <w:noProof/>
          </w:rPr>
          <w:t>Figure 2.10.</w:t>
        </w:r>
        <w:r w:rsidRPr="0099010D">
          <w:rPr>
            <w:rStyle w:val="Hyperlink"/>
            <w:rFonts w:ascii="Times New Roman" w:hAnsi="Times New Roman"/>
            <w:noProof/>
          </w:rPr>
          <w:t xml:space="preserve"> Partial melting models for garnet-free hybridized sources that were hybridized by partial melts from a garnet-bearing IBC prior to subsequent melting.</w:t>
        </w:r>
        <w:r w:rsidRPr="0099010D">
          <w:rPr>
            <w:noProof/>
            <w:webHidden/>
          </w:rPr>
          <w:tab/>
        </w:r>
        <w:r w:rsidRPr="0099010D">
          <w:rPr>
            <w:noProof/>
            <w:webHidden/>
          </w:rPr>
          <w:fldChar w:fldCharType="begin"/>
        </w:r>
        <w:r w:rsidRPr="0099010D">
          <w:rPr>
            <w:noProof/>
            <w:webHidden/>
          </w:rPr>
          <w:instrText xml:space="preserve"> PAGEREF _Toc185263427 \h </w:instrText>
        </w:r>
        <w:r w:rsidRPr="0099010D">
          <w:rPr>
            <w:noProof/>
            <w:webHidden/>
          </w:rPr>
        </w:r>
        <w:r w:rsidRPr="0099010D">
          <w:rPr>
            <w:noProof/>
            <w:webHidden/>
          </w:rPr>
          <w:fldChar w:fldCharType="separate"/>
        </w:r>
        <w:r w:rsidR="00143EE1">
          <w:rPr>
            <w:noProof/>
            <w:webHidden/>
          </w:rPr>
          <w:t>168</w:t>
        </w:r>
        <w:r w:rsidRPr="0099010D">
          <w:rPr>
            <w:noProof/>
            <w:webHidden/>
          </w:rPr>
          <w:fldChar w:fldCharType="end"/>
        </w:r>
      </w:hyperlink>
    </w:p>
    <w:p w14:paraId="391FD214" w14:textId="7A0FE1B9" w:rsidR="004923CF" w:rsidRPr="0099010D" w:rsidRDefault="004923CF" w:rsidP="003E2E58">
      <w:pPr>
        <w:pStyle w:val="TOC1"/>
        <w:outlineLvl w:val="0"/>
        <w:rPr>
          <w:rFonts w:eastAsiaTheme="minorEastAsia"/>
          <w:noProof/>
          <w:kern w:val="2"/>
          <w14:ligatures w14:val="standardContextual"/>
        </w:rPr>
      </w:pPr>
      <w:hyperlink w:anchor="_Toc185263428" w:history="1">
        <w:r w:rsidRPr="0099010D">
          <w:rPr>
            <w:rStyle w:val="Hyperlink"/>
            <w:rFonts w:ascii="Times New Roman" w:hAnsi="Times New Roman"/>
            <w:b/>
            <w:bCs/>
            <w:noProof/>
          </w:rPr>
          <w:t>Figure 2.11.</w:t>
        </w:r>
        <w:r w:rsidRPr="0099010D">
          <w:rPr>
            <w:rStyle w:val="Hyperlink"/>
            <w:rFonts w:ascii="Times New Roman" w:hAnsi="Times New Roman"/>
            <w:noProof/>
          </w:rPr>
          <w:t xml:space="preserve"> Partial melting models for a hybridized source and IBC, assuming a thickened layer of IBC material did not experience melting during the hybridization process (i.e., solid-solid mechanical mixing) prior to subsequent melting.</w:t>
        </w:r>
        <w:r w:rsidRPr="0099010D">
          <w:rPr>
            <w:noProof/>
            <w:webHidden/>
          </w:rPr>
          <w:tab/>
        </w:r>
        <w:r w:rsidRPr="0099010D">
          <w:rPr>
            <w:noProof/>
            <w:webHidden/>
          </w:rPr>
          <w:fldChar w:fldCharType="begin"/>
        </w:r>
        <w:r w:rsidRPr="0099010D">
          <w:rPr>
            <w:noProof/>
            <w:webHidden/>
          </w:rPr>
          <w:instrText xml:space="preserve"> PAGEREF _Toc185263428 \h </w:instrText>
        </w:r>
        <w:r w:rsidRPr="0099010D">
          <w:rPr>
            <w:noProof/>
            <w:webHidden/>
          </w:rPr>
        </w:r>
        <w:r w:rsidRPr="0099010D">
          <w:rPr>
            <w:noProof/>
            <w:webHidden/>
          </w:rPr>
          <w:fldChar w:fldCharType="separate"/>
        </w:r>
        <w:r w:rsidR="00143EE1">
          <w:rPr>
            <w:noProof/>
            <w:webHidden/>
          </w:rPr>
          <w:t>171</w:t>
        </w:r>
        <w:r w:rsidRPr="0099010D">
          <w:rPr>
            <w:noProof/>
            <w:webHidden/>
          </w:rPr>
          <w:fldChar w:fldCharType="end"/>
        </w:r>
      </w:hyperlink>
    </w:p>
    <w:p w14:paraId="14CB2548" w14:textId="72FDEB5F" w:rsidR="004923CF" w:rsidRPr="0099010D" w:rsidRDefault="004923CF" w:rsidP="003E2E58">
      <w:pPr>
        <w:pStyle w:val="TOC1"/>
        <w:outlineLvl w:val="0"/>
        <w:rPr>
          <w:rFonts w:eastAsiaTheme="minorEastAsia"/>
          <w:noProof/>
          <w:kern w:val="2"/>
          <w14:ligatures w14:val="standardContextual"/>
        </w:rPr>
      </w:pPr>
      <w:hyperlink w:anchor="_Toc185263429" w:history="1">
        <w:r w:rsidRPr="0099010D">
          <w:rPr>
            <w:rStyle w:val="Hyperlink"/>
            <w:rFonts w:ascii="Times New Roman" w:hAnsi="Times New Roman"/>
            <w:b/>
            <w:bCs/>
            <w:noProof/>
          </w:rPr>
          <w:t>Figure 2.12.</w:t>
        </w:r>
        <w:r w:rsidRPr="0099010D">
          <w:rPr>
            <w:rStyle w:val="Hyperlink"/>
            <w:rFonts w:ascii="Times New Roman" w:hAnsi="Times New Roman"/>
            <w:noProof/>
          </w:rPr>
          <w:t xml:space="preserve"> Comparison of measured and modeled </w:t>
        </w:r>
        <w:r w:rsidR="000709B9">
          <w:rPr>
            <w:rStyle w:val="Hyperlink"/>
            <w:rFonts w:ascii="Times New Roman" w:hAnsi="Times New Roman"/>
            <w:noProof/>
          </w:rPr>
          <w:t xml:space="preserve">Lu-Hf and Sm-Nd </w:t>
        </w:r>
        <w:r w:rsidRPr="0099010D">
          <w:rPr>
            <w:rStyle w:val="Hyperlink"/>
            <w:rFonts w:ascii="Times New Roman" w:hAnsi="Times New Roman"/>
            <w:noProof/>
          </w:rPr>
          <w:t>isotopic compositions for lunar mantle sources.</w:t>
        </w:r>
        <w:r w:rsidRPr="0099010D">
          <w:rPr>
            <w:noProof/>
            <w:webHidden/>
          </w:rPr>
          <w:tab/>
        </w:r>
        <w:r w:rsidRPr="0099010D">
          <w:rPr>
            <w:noProof/>
            <w:webHidden/>
          </w:rPr>
          <w:fldChar w:fldCharType="begin"/>
        </w:r>
        <w:r w:rsidRPr="0099010D">
          <w:rPr>
            <w:noProof/>
            <w:webHidden/>
          </w:rPr>
          <w:instrText xml:space="preserve"> PAGEREF _Toc185263429 \h </w:instrText>
        </w:r>
        <w:r w:rsidRPr="0099010D">
          <w:rPr>
            <w:noProof/>
            <w:webHidden/>
          </w:rPr>
        </w:r>
        <w:r w:rsidRPr="0099010D">
          <w:rPr>
            <w:noProof/>
            <w:webHidden/>
          </w:rPr>
          <w:fldChar w:fldCharType="separate"/>
        </w:r>
        <w:r w:rsidR="00143EE1">
          <w:rPr>
            <w:noProof/>
            <w:webHidden/>
          </w:rPr>
          <w:t>183</w:t>
        </w:r>
        <w:r w:rsidRPr="0099010D">
          <w:rPr>
            <w:noProof/>
            <w:webHidden/>
          </w:rPr>
          <w:fldChar w:fldCharType="end"/>
        </w:r>
      </w:hyperlink>
    </w:p>
    <w:p w14:paraId="5061F0BB" w14:textId="12533E81" w:rsidR="004923CF" w:rsidRPr="0099010D" w:rsidRDefault="004923CF" w:rsidP="003E2E58">
      <w:pPr>
        <w:pStyle w:val="TOC1"/>
        <w:outlineLvl w:val="0"/>
        <w:rPr>
          <w:rFonts w:eastAsiaTheme="minorEastAsia"/>
          <w:noProof/>
          <w:kern w:val="2"/>
          <w14:ligatures w14:val="standardContextual"/>
        </w:rPr>
      </w:pPr>
      <w:hyperlink w:anchor="_Toc185263430" w:history="1">
        <w:r w:rsidRPr="0099010D">
          <w:rPr>
            <w:rStyle w:val="Hyperlink"/>
            <w:rFonts w:ascii="Times New Roman" w:hAnsi="Times New Roman"/>
            <w:b/>
            <w:bCs/>
            <w:noProof/>
          </w:rPr>
          <w:t>Figure 3.1.</w:t>
        </w:r>
        <w:r w:rsidRPr="0099010D">
          <w:rPr>
            <w:rStyle w:val="Hyperlink"/>
            <w:rFonts w:ascii="Times New Roman" w:hAnsi="Times New Roman"/>
            <w:noProof/>
          </w:rPr>
          <w:t xml:space="preserve"> Distribution of Heat Producing Elements (HPE) and heat production potential following LMO solidification if the LMO extends to the lunar core-mantle boundary.</w:t>
        </w:r>
        <w:r w:rsidRPr="0099010D">
          <w:rPr>
            <w:noProof/>
            <w:webHidden/>
          </w:rPr>
          <w:tab/>
        </w:r>
        <w:r w:rsidRPr="0099010D">
          <w:rPr>
            <w:noProof/>
            <w:webHidden/>
          </w:rPr>
          <w:fldChar w:fldCharType="begin"/>
        </w:r>
        <w:r w:rsidRPr="0099010D">
          <w:rPr>
            <w:noProof/>
            <w:webHidden/>
          </w:rPr>
          <w:instrText xml:space="preserve"> PAGEREF _Toc185263430 \h </w:instrText>
        </w:r>
        <w:r w:rsidRPr="0099010D">
          <w:rPr>
            <w:noProof/>
            <w:webHidden/>
          </w:rPr>
        </w:r>
        <w:r w:rsidRPr="0099010D">
          <w:rPr>
            <w:noProof/>
            <w:webHidden/>
          </w:rPr>
          <w:fldChar w:fldCharType="separate"/>
        </w:r>
        <w:r w:rsidR="00143EE1">
          <w:rPr>
            <w:noProof/>
            <w:webHidden/>
          </w:rPr>
          <w:t>248</w:t>
        </w:r>
        <w:r w:rsidRPr="0099010D">
          <w:rPr>
            <w:noProof/>
            <w:webHidden/>
          </w:rPr>
          <w:fldChar w:fldCharType="end"/>
        </w:r>
      </w:hyperlink>
    </w:p>
    <w:p w14:paraId="585D0AE7" w14:textId="54BA66FD" w:rsidR="004923CF" w:rsidRPr="0099010D" w:rsidRDefault="004923CF" w:rsidP="003E2E58">
      <w:pPr>
        <w:pStyle w:val="TOC1"/>
        <w:outlineLvl w:val="0"/>
        <w:rPr>
          <w:rFonts w:eastAsiaTheme="minorEastAsia"/>
          <w:noProof/>
          <w:kern w:val="2"/>
          <w14:ligatures w14:val="standardContextual"/>
        </w:rPr>
      </w:pPr>
      <w:hyperlink w:anchor="_Toc185263431" w:history="1">
        <w:r w:rsidRPr="0099010D">
          <w:rPr>
            <w:rStyle w:val="Hyperlink"/>
            <w:rFonts w:ascii="Times New Roman" w:hAnsi="Times New Roman"/>
            <w:b/>
            <w:bCs/>
            <w:noProof/>
          </w:rPr>
          <w:t>Figure 3.2.</w:t>
        </w:r>
        <w:r w:rsidRPr="0099010D">
          <w:rPr>
            <w:rStyle w:val="Hyperlink"/>
            <w:rFonts w:ascii="Times New Roman" w:hAnsi="Times New Roman"/>
            <w:noProof/>
          </w:rPr>
          <w:t xml:space="preserve"> Comparison of the Th and K abundances observed in lunar samples with geochemical models for LMO solidification and mantle cumulate partial melting.</w:t>
        </w:r>
        <w:r w:rsidRPr="0099010D">
          <w:rPr>
            <w:noProof/>
            <w:webHidden/>
          </w:rPr>
          <w:tab/>
        </w:r>
        <w:r w:rsidRPr="0099010D">
          <w:rPr>
            <w:noProof/>
            <w:webHidden/>
          </w:rPr>
          <w:fldChar w:fldCharType="begin"/>
        </w:r>
        <w:r w:rsidRPr="0099010D">
          <w:rPr>
            <w:noProof/>
            <w:webHidden/>
          </w:rPr>
          <w:instrText xml:space="preserve"> PAGEREF _Toc185263431 \h </w:instrText>
        </w:r>
        <w:r w:rsidRPr="0099010D">
          <w:rPr>
            <w:noProof/>
            <w:webHidden/>
          </w:rPr>
        </w:r>
        <w:r w:rsidRPr="0099010D">
          <w:rPr>
            <w:noProof/>
            <w:webHidden/>
          </w:rPr>
          <w:fldChar w:fldCharType="separate"/>
        </w:r>
        <w:r w:rsidR="00143EE1">
          <w:rPr>
            <w:noProof/>
            <w:webHidden/>
          </w:rPr>
          <w:t>251</w:t>
        </w:r>
        <w:r w:rsidRPr="0099010D">
          <w:rPr>
            <w:noProof/>
            <w:webHidden/>
          </w:rPr>
          <w:fldChar w:fldCharType="end"/>
        </w:r>
      </w:hyperlink>
    </w:p>
    <w:p w14:paraId="04781903" w14:textId="42686D9B" w:rsidR="004923CF" w:rsidRPr="0099010D" w:rsidRDefault="004923CF" w:rsidP="003E2E58">
      <w:pPr>
        <w:pStyle w:val="TOC1"/>
        <w:outlineLvl w:val="0"/>
        <w:rPr>
          <w:rFonts w:eastAsiaTheme="minorEastAsia"/>
          <w:noProof/>
          <w:kern w:val="2"/>
          <w14:ligatures w14:val="standardContextual"/>
        </w:rPr>
      </w:pPr>
      <w:hyperlink w:anchor="_Toc185263432" w:history="1">
        <w:r w:rsidRPr="0099010D">
          <w:rPr>
            <w:rStyle w:val="Hyperlink"/>
            <w:rFonts w:ascii="Times New Roman" w:hAnsi="Times New Roman"/>
            <w:b/>
            <w:bCs/>
            <w:noProof/>
          </w:rPr>
          <w:t>Figure 3.3.</w:t>
        </w:r>
        <w:r w:rsidRPr="0099010D">
          <w:rPr>
            <w:rStyle w:val="Hyperlink"/>
            <w:rFonts w:ascii="Times New Roman" w:hAnsi="Times New Roman"/>
            <w:noProof/>
          </w:rPr>
          <w:t xml:space="preserve"> Pre- and post-overturn HPE (a) and temperature (b) distributions</w:t>
        </w:r>
        <w:r w:rsidRPr="0099010D">
          <w:rPr>
            <w:rStyle w:val="Hyperlink"/>
            <w:rFonts w:ascii="Times New Roman" w:hAnsi="Times New Roman"/>
            <w:b/>
            <w:bCs/>
            <w:noProof/>
          </w:rPr>
          <w:t xml:space="preserve"> </w:t>
        </w:r>
        <w:r w:rsidRPr="0099010D">
          <w:rPr>
            <w:rStyle w:val="Hyperlink"/>
            <w:rFonts w:ascii="Times New Roman" w:hAnsi="Times New Roman"/>
            <w:noProof/>
          </w:rPr>
          <w:t xml:space="preserve">tested </w:t>
        </w:r>
        <w:r w:rsidR="00887501">
          <w:rPr>
            <w:rStyle w:val="Hyperlink"/>
            <w:rFonts w:ascii="Times New Roman" w:hAnsi="Times New Roman"/>
            <w:noProof/>
          </w:rPr>
          <w:t>in thermal evolution models</w:t>
        </w:r>
        <w:r w:rsidRPr="0099010D">
          <w:rPr>
            <w:rStyle w:val="Hyperlink"/>
            <w:rFonts w:ascii="Times New Roman" w:hAnsi="Times New Roman"/>
            <w:noProof/>
          </w:rPr>
          <w:t xml:space="preserve"> </w:t>
        </w:r>
        <w:r w:rsidR="00887501">
          <w:rPr>
            <w:rStyle w:val="Hyperlink"/>
            <w:rFonts w:ascii="Times New Roman" w:hAnsi="Times New Roman"/>
            <w:noProof/>
          </w:rPr>
          <w:t xml:space="preserve">from </w:t>
        </w:r>
        <w:r w:rsidRPr="0099010D">
          <w:rPr>
            <w:rStyle w:val="Hyperlink"/>
            <w:rFonts w:ascii="Times New Roman" w:hAnsi="Times New Roman"/>
            <w:noProof/>
          </w:rPr>
          <w:t>this stu</w:t>
        </w:r>
        <w:r w:rsidR="00887501">
          <w:rPr>
            <w:rStyle w:val="Hyperlink"/>
            <w:rFonts w:ascii="Times New Roman" w:hAnsi="Times New Roman"/>
            <w:noProof/>
          </w:rPr>
          <w:t>dy</w:t>
        </w:r>
        <w:r w:rsidRPr="0099010D">
          <w:rPr>
            <w:rStyle w:val="Hyperlink"/>
            <w:rFonts w:ascii="Times New Roman" w:hAnsi="Times New Roman"/>
            <w:noProof/>
          </w:rPr>
          <w:t>.</w:t>
        </w:r>
        <w:r w:rsidRPr="0099010D">
          <w:rPr>
            <w:noProof/>
            <w:webHidden/>
          </w:rPr>
          <w:tab/>
        </w:r>
        <w:r w:rsidRPr="0099010D">
          <w:rPr>
            <w:noProof/>
            <w:webHidden/>
          </w:rPr>
          <w:fldChar w:fldCharType="begin"/>
        </w:r>
        <w:r w:rsidRPr="0099010D">
          <w:rPr>
            <w:noProof/>
            <w:webHidden/>
          </w:rPr>
          <w:instrText xml:space="preserve"> PAGEREF _Toc185263432 \h </w:instrText>
        </w:r>
        <w:r w:rsidRPr="0099010D">
          <w:rPr>
            <w:noProof/>
            <w:webHidden/>
          </w:rPr>
        </w:r>
        <w:r w:rsidRPr="0099010D">
          <w:rPr>
            <w:noProof/>
            <w:webHidden/>
          </w:rPr>
          <w:fldChar w:fldCharType="separate"/>
        </w:r>
        <w:r w:rsidR="00143EE1">
          <w:rPr>
            <w:noProof/>
            <w:webHidden/>
          </w:rPr>
          <w:t>262</w:t>
        </w:r>
        <w:r w:rsidRPr="0099010D">
          <w:rPr>
            <w:noProof/>
            <w:webHidden/>
          </w:rPr>
          <w:fldChar w:fldCharType="end"/>
        </w:r>
      </w:hyperlink>
    </w:p>
    <w:p w14:paraId="0E643A72" w14:textId="5F6615F4" w:rsidR="004923CF" w:rsidRPr="0099010D" w:rsidRDefault="004923CF" w:rsidP="003E2E58">
      <w:pPr>
        <w:pStyle w:val="TOC1"/>
        <w:outlineLvl w:val="0"/>
        <w:rPr>
          <w:rFonts w:eastAsiaTheme="minorEastAsia"/>
          <w:noProof/>
          <w:kern w:val="2"/>
          <w14:ligatures w14:val="standardContextual"/>
        </w:rPr>
      </w:pPr>
      <w:hyperlink w:anchor="_Toc185263433" w:history="1">
        <w:r w:rsidRPr="0099010D">
          <w:rPr>
            <w:rStyle w:val="Hyperlink"/>
            <w:rFonts w:ascii="Times New Roman" w:hAnsi="Times New Roman"/>
            <w:b/>
            <w:bCs/>
            <w:noProof/>
          </w:rPr>
          <w:t>Figure 3.4.</w:t>
        </w:r>
        <w:r w:rsidRPr="0099010D">
          <w:rPr>
            <w:rStyle w:val="Hyperlink"/>
            <w:rFonts w:ascii="Times New Roman" w:hAnsi="Times New Roman"/>
            <w:noProof/>
          </w:rPr>
          <w:t xml:space="preserve"> Post 4.35 Ga thermal evolution of the upper (top row), middle (middle row), and lower lunar mantle (bottom row) for scenarios with and without lunar cumulate overturn (left and right columns).</w:t>
        </w:r>
        <w:r w:rsidRPr="0099010D">
          <w:rPr>
            <w:noProof/>
            <w:webHidden/>
          </w:rPr>
          <w:tab/>
        </w:r>
        <w:r w:rsidRPr="0099010D">
          <w:rPr>
            <w:noProof/>
            <w:webHidden/>
          </w:rPr>
          <w:fldChar w:fldCharType="begin"/>
        </w:r>
        <w:r w:rsidRPr="0099010D">
          <w:rPr>
            <w:noProof/>
            <w:webHidden/>
          </w:rPr>
          <w:instrText xml:space="preserve"> PAGEREF _Toc185263433 \h </w:instrText>
        </w:r>
        <w:r w:rsidRPr="0099010D">
          <w:rPr>
            <w:noProof/>
            <w:webHidden/>
          </w:rPr>
        </w:r>
        <w:r w:rsidRPr="0099010D">
          <w:rPr>
            <w:noProof/>
            <w:webHidden/>
          </w:rPr>
          <w:fldChar w:fldCharType="separate"/>
        </w:r>
        <w:r w:rsidR="00143EE1">
          <w:rPr>
            <w:noProof/>
            <w:webHidden/>
          </w:rPr>
          <w:t>264</w:t>
        </w:r>
        <w:r w:rsidRPr="0099010D">
          <w:rPr>
            <w:noProof/>
            <w:webHidden/>
          </w:rPr>
          <w:fldChar w:fldCharType="end"/>
        </w:r>
      </w:hyperlink>
    </w:p>
    <w:p w14:paraId="59965276" w14:textId="71AE1974" w:rsidR="00E46BB1" w:rsidRDefault="00D54CE6" w:rsidP="00E46BB1">
      <w:pPr>
        <w:pStyle w:val="TOC1"/>
        <w:outlineLvl w:val="0"/>
      </w:pPr>
      <w:r w:rsidRPr="0099010D">
        <w:fldChar w:fldCharType="end"/>
      </w:r>
    </w:p>
    <w:p w14:paraId="7E4D2C6C" w14:textId="77777777" w:rsidR="00E46BB1" w:rsidRDefault="00E46BB1" w:rsidP="00E46BB1"/>
    <w:p w14:paraId="76253D53" w14:textId="3622DD4A" w:rsidR="00E46BB1" w:rsidRPr="00E46BB1" w:rsidRDefault="00E46BB1" w:rsidP="00E46BB1">
      <w:pPr>
        <w:sectPr w:rsidR="00E46BB1" w:rsidRPr="00E46BB1" w:rsidSect="002C25FD">
          <w:pgSz w:w="12240" w:h="15840" w:code="1"/>
          <w:pgMar w:top="1440" w:right="1800" w:bottom="1872" w:left="1800" w:header="720" w:footer="1440" w:gutter="0"/>
          <w:pgNumType w:fmt="lowerRoman"/>
          <w:cols w:space="720"/>
          <w:noEndnote/>
          <w:titlePg/>
        </w:sectPr>
      </w:pPr>
    </w:p>
    <w:p w14:paraId="5D88DD12" w14:textId="4EB9DADC" w:rsidR="00C93F2A" w:rsidRDefault="00F93A2C" w:rsidP="00BD186E">
      <w:pPr>
        <w:pStyle w:val="AltHeading1"/>
      </w:pPr>
      <w:r>
        <w:lastRenderedPageBreak/>
        <w:t>List Of attachments</w:t>
      </w:r>
    </w:p>
    <w:p w14:paraId="1FF93B74" w14:textId="4D1799B1" w:rsidR="00C93F2A" w:rsidRDefault="00F93A2C" w:rsidP="00952858">
      <w:pPr>
        <w:spacing w:line="480" w:lineRule="auto"/>
      </w:pPr>
      <w:r>
        <w:t xml:space="preserve">Attachment Ch1SupportingTables.xlsx contains supplementary information on the major element compositions of minerals and melt from high pressure experiments discussed in Chapter 1. </w:t>
      </w:r>
    </w:p>
    <w:p w14:paraId="0C93D164" w14:textId="77777777" w:rsidR="00C93F2A" w:rsidRDefault="00C93F2A" w:rsidP="00952858">
      <w:pPr>
        <w:spacing w:line="480" w:lineRule="auto"/>
      </w:pPr>
    </w:p>
    <w:p w14:paraId="339FE2C0" w14:textId="4CE28B70" w:rsidR="00C93F2A" w:rsidRPr="009D2AA9" w:rsidRDefault="00C93F2A" w:rsidP="00C41CBC">
      <w:pPr>
        <w:sectPr w:rsidR="00C93F2A" w:rsidRPr="009D2AA9" w:rsidSect="00416BEB">
          <w:pgSz w:w="12240" w:h="15840" w:code="1"/>
          <w:pgMar w:top="1440" w:right="1800" w:bottom="1872" w:left="1800" w:header="720" w:footer="1440" w:gutter="0"/>
          <w:pgNumType w:fmt="lowerRoman"/>
          <w:cols w:space="720"/>
          <w:noEndnote/>
          <w:titlePg/>
        </w:sectPr>
      </w:pPr>
    </w:p>
    <w:p w14:paraId="24C468A0" w14:textId="7FCEDBBF" w:rsidR="002F3782" w:rsidRPr="00D43832" w:rsidRDefault="00AC32D7" w:rsidP="00DC0065">
      <w:pPr>
        <w:pStyle w:val="NonNumberedHeading"/>
      </w:pPr>
      <w:bookmarkStart w:id="0" w:name="_Toc182331719"/>
      <w:bookmarkStart w:id="1" w:name="_Toc182995445"/>
      <w:bookmarkStart w:id="2" w:name="_Toc183536546"/>
      <w:bookmarkStart w:id="3" w:name="_Toc184727348"/>
      <w:bookmarkStart w:id="4" w:name="_Toc185325596"/>
      <w:bookmarkStart w:id="5" w:name="_Toc420995890"/>
      <w:bookmarkStart w:id="6" w:name="_Toc422997477"/>
      <w:r w:rsidRPr="00D43832">
        <w:lastRenderedPageBreak/>
        <w:t>INTRODUCTION AND LITERATURE REVIEW</w:t>
      </w:r>
      <w:bookmarkEnd w:id="0"/>
      <w:bookmarkEnd w:id="1"/>
      <w:bookmarkEnd w:id="2"/>
      <w:bookmarkEnd w:id="3"/>
      <w:bookmarkEnd w:id="4"/>
    </w:p>
    <w:p w14:paraId="145EF604" w14:textId="77777777" w:rsidR="0095034B" w:rsidRPr="00D43832" w:rsidRDefault="0095034B" w:rsidP="0095034B">
      <w:pPr>
        <w:spacing w:line="480" w:lineRule="auto"/>
        <w:ind w:firstLine="720"/>
        <w:rPr>
          <w:color w:val="000000" w:themeColor="text1"/>
        </w:rPr>
      </w:pPr>
      <w:r w:rsidRPr="00D43832">
        <w:rPr>
          <w:color w:val="000000" w:themeColor="text1"/>
        </w:rPr>
        <w:t xml:space="preserve">All large rocky planets within our solar system are believed to experience a magma ocean stage during differentiation. As protoplanets accrete material and grow, the combined heat of accretion (heat released by many high energy impacts) and radiogenic heating related to the decay of short-lived radionuclides present during the early solar system, e.g., </w:t>
      </w:r>
      <w:r w:rsidRPr="00D43832">
        <w:rPr>
          <w:color w:val="000000" w:themeColor="text1"/>
          <w:vertAlign w:val="superscript"/>
        </w:rPr>
        <w:t>26</w:t>
      </w:r>
      <w:r w:rsidRPr="00D43832">
        <w:rPr>
          <w:color w:val="000000" w:themeColor="text1"/>
        </w:rPr>
        <w:t>Al) partially melts the precursor material within planetary bodies. If the planetesimals do not grow fast enough, there is not enough accretionary heat generated or insulating material to retain the radiogenic heat that is produced to initiate partial melting and magma ocean formation. This results in the formation of undifferentiated to partially differentiated chondritic dwarf planets and is the reason why chondritic meteorites that exhibit variable degrees of thermal alteration exist. Protoplanets that accrete quickly and reach the size of Vesta (diameter of ~500 km) retain a significant portion of their accretionary and radiogenic heat resulting in partial melting and eventual magma ocean generation (e.g., Urey, 1955; Fish et al., 1960; Lee et al., 1976; LaTourrette and Wasserburg, 1998; Elkins-Tanton, 2012). Depending on the size of the protoplanet, the magma ocean may be a relatively thin and short-lived lens of melt or a deep molten layer that spans a significant portion of the body’s interior and solidifies over millions of years (Mars and Mercury sized bodies or larger). The solidification of these deep magma oceans strongly influences the distribution of elements throughout planetary interiors and further influences post-magma ocean mantle dynamics.</w:t>
      </w:r>
    </w:p>
    <w:p w14:paraId="1A10AFF4" w14:textId="7D66B599" w:rsidR="0095034B" w:rsidRPr="00D43832" w:rsidRDefault="0095034B" w:rsidP="0095034B">
      <w:pPr>
        <w:spacing w:line="480" w:lineRule="auto"/>
        <w:ind w:firstLine="720"/>
        <w:rPr>
          <w:color w:val="000000" w:themeColor="text1"/>
        </w:rPr>
      </w:pPr>
      <w:r w:rsidRPr="00D43832">
        <w:rPr>
          <w:color w:val="000000" w:themeColor="text1"/>
        </w:rPr>
        <w:t xml:space="preserve">While this planetary differentiation process is believed to occur within large rocky bodies throughout the solar systems, our inability to easily access such bodies makes it </w:t>
      </w:r>
      <w:r w:rsidRPr="00D43832">
        <w:rPr>
          <w:color w:val="000000" w:themeColor="text1"/>
        </w:rPr>
        <w:lastRenderedPageBreak/>
        <w:t xml:space="preserve">difficult test and refine models of magma ocean solidification and post-solidification mantle evolution. In addition, the active tectonic environment on Earth (i.e., subducting plates, mountain build collisions, and rifting continents) results in significant geochemical overprinting, erasing Earth’s magma ocean related geochemical information. </w:t>
      </w:r>
      <w:r w:rsidR="00333739" w:rsidRPr="00D43832">
        <w:rPr>
          <w:color w:val="000000" w:themeColor="text1"/>
        </w:rPr>
        <w:t>Fortunately,</w:t>
      </w:r>
      <w:r w:rsidRPr="00D43832">
        <w:rPr>
          <w:color w:val="000000" w:themeColor="text1"/>
        </w:rPr>
        <w:t xml:space="preserve"> the Moon also had a deep magma ocean thought to extended throughout much of the lunar interior. As the Moon lacks evidence of active tectonic processes, chemical signatures related to magma ocean solidification are believed to be retained within the recovered Apollo sample suite and collected lunar meteorites. </w:t>
      </w:r>
    </w:p>
    <w:p w14:paraId="57E7CC13" w14:textId="0D3AD579" w:rsidR="0033233D" w:rsidRPr="00D43832" w:rsidRDefault="0095034B" w:rsidP="0095034B">
      <w:pPr>
        <w:spacing w:line="480" w:lineRule="auto"/>
        <w:ind w:firstLine="720"/>
        <w:rPr>
          <w:color w:val="000000" w:themeColor="text1"/>
        </w:rPr>
      </w:pPr>
      <w:r w:rsidRPr="00D43832">
        <w:rPr>
          <w:color w:val="000000" w:themeColor="text1"/>
        </w:rPr>
        <w:t>This work is composed of three chapters that explore early lunar evolution and its chemical effects on the lunar mantle. Three chapters describe experimental and model-based approaches to improve our understanding of lunar melt basalt chemistry, lunar mantle chemistry, and post-magma ocean mantle processes.</w:t>
      </w:r>
      <w:r w:rsidR="00E21F1E" w:rsidRPr="00D43832">
        <w:rPr>
          <w:color w:val="000000" w:themeColor="text1"/>
        </w:rPr>
        <w:t xml:space="preserve"> </w:t>
      </w:r>
    </w:p>
    <w:p w14:paraId="7C88B859" w14:textId="36983E82" w:rsidR="00DB6C12" w:rsidRPr="00D43832" w:rsidRDefault="00DB6C12" w:rsidP="00172F34">
      <w:pPr>
        <w:pStyle w:val="NonNumberedHeading2"/>
        <w:spacing w:line="480" w:lineRule="auto"/>
        <w:rPr>
          <w:color w:val="000000" w:themeColor="text1"/>
        </w:rPr>
      </w:pPr>
      <w:bookmarkStart w:id="7" w:name="_Toc182331720"/>
      <w:bookmarkStart w:id="8" w:name="_Toc182995446"/>
      <w:bookmarkStart w:id="9" w:name="_Toc183536547"/>
      <w:bookmarkStart w:id="10" w:name="_Toc184727349"/>
      <w:bookmarkStart w:id="11" w:name="_Toc185325597"/>
      <w:r w:rsidRPr="00D43832">
        <w:rPr>
          <w:color w:val="000000" w:themeColor="text1"/>
        </w:rPr>
        <w:t>Lunar Magma Ocean Formation</w:t>
      </w:r>
      <w:r w:rsidR="00BE7A61" w:rsidRPr="00D43832">
        <w:rPr>
          <w:color w:val="000000" w:themeColor="text1"/>
        </w:rPr>
        <w:t xml:space="preserve"> and Solidification</w:t>
      </w:r>
      <w:bookmarkEnd w:id="7"/>
      <w:bookmarkEnd w:id="8"/>
      <w:bookmarkEnd w:id="9"/>
      <w:bookmarkEnd w:id="10"/>
      <w:bookmarkEnd w:id="11"/>
    </w:p>
    <w:p w14:paraId="4DA2D632" w14:textId="0A0889A7" w:rsidR="0095034B" w:rsidRPr="00D43832" w:rsidRDefault="0095034B" w:rsidP="0095034B">
      <w:pPr>
        <w:spacing w:line="480" w:lineRule="auto"/>
        <w:ind w:firstLine="720"/>
        <w:rPr>
          <w:color w:val="000000" w:themeColor="text1"/>
        </w:rPr>
      </w:pPr>
      <w:r w:rsidRPr="00D43832">
        <w:rPr>
          <w:color w:val="000000" w:themeColor="text1"/>
        </w:rPr>
        <w:t xml:space="preserve">The lunar magma ocean (LMO) is believed to have formed after an impact between the proto-Earth and a large (perhaps Mars sized) planetary body, resulting in the ejection of rocky material and eventual accretion of the Moon (Canup, 2004, 2012; Elkins-Tanton and Hager, 2005; Hiesinger and Head, 2006; Elkins-Tanton, 2012; Young et al., 2016; Thiemens et al., 2019; Cano et al., 2020). </w:t>
      </w:r>
      <w:r w:rsidR="000D41A4" w:rsidRPr="00D43832">
        <w:rPr>
          <w:color w:val="000000" w:themeColor="text1"/>
        </w:rPr>
        <w:t>It</w:t>
      </w:r>
      <w:r w:rsidRPr="00D43832">
        <w:rPr>
          <w:color w:val="000000" w:themeColor="text1"/>
        </w:rPr>
        <w:t xml:space="preserve"> is still debated when exactly this impact occurred</w:t>
      </w:r>
      <w:r w:rsidR="000D41A4" w:rsidRPr="00D43832">
        <w:rPr>
          <w:color w:val="000000" w:themeColor="text1"/>
        </w:rPr>
        <w:t>; however,</w:t>
      </w:r>
      <w:r w:rsidRPr="00D43832">
        <w:rPr>
          <w:color w:val="000000" w:themeColor="text1"/>
        </w:rPr>
        <w:t xml:space="preserve"> radiometric age estimates suggest that the impact occurred after 4.5 Gyr and before 4.36 Gyr (Kruijer and Kleine, 2017; Borg et al., 2022; Borg and Carlson, 2023 and references therein). </w:t>
      </w:r>
      <w:r w:rsidR="00D04F07" w:rsidRPr="00D43832">
        <w:rPr>
          <w:color w:val="000000" w:themeColor="text1"/>
        </w:rPr>
        <w:t>T</w:t>
      </w:r>
      <w:r w:rsidRPr="00D43832">
        <w:rPr>
          <w:color w:val="000000" w:themeColor="text1"/>
        </w:rPr>
        <w:t>his provides a ~140 Myr range in which the Moon could have formed</w:t>
      </w:r>
      <w:r w:rsidR="00D04F07" w:rsidRPr="00D43832">
        <w:rPr>
          <w:color w:val="000000" w:themeColor="text1"/>
        </w:rPr>
        <w:t xml:space="preserve"> and</w:t>
      </w:r>
      <w:r w:rsidRPr="00D43832">
        <w:rPr>
          <w:color w:val="000000" w:themeColor="text1"/>
        </w:rPr>
        <w:t xml:space="preserve"> suggests the Moon formed tens of millions of years after </w:t>
      </w:r>
      <w:r w:rsidRPr="00D43832">
        <w:rPr>
          <w:color w:val="000000" w:themeColor="text1"/>
        </w:rPr>
        <w:lastRenderedPageBreak/>
        <w:t xml:space="preserve">the other planetary bodies (e.g., 4.56-4.54 Gyr: Kleine et al., 2002; Schoenberg et al., 2002; Yin et al., 2002; Kleine et al., 2004; Markowski et al., 2007). Given the short half-life </w:t>
      </w:r>
      <w:r w:rsidRPr="00D43832">
        <w:rPr>
          <w:color w:val="000000" w:themeColor="text1"/>
          <w:vertAlign w:val="superscript"/>
        </w:rPr>
        <w:t>26</w:t>
      </w:r>
      <w:r w:rsidRPr="00D43832">
        <w:rPr>
          <w:color w:val="000000" w:themeColor="text1"/>
        </w:rPr>
        <w:t>Al (~0.7 Myr), the giant impact and accretionary heating are the primary thermal contributors to LMO formation (Canup, 2004, 2008).</w:t>
      </w:r>
    </w:p>
    <w:p w14:paraId="6D01058E" w14:textId="390131B7" w:rsidR="00A50E03" w:rsidRPr="00D43832" w:rsidRDefault="0095034B" w:rsidP="0095034B">
      <w:pPr>
        <w:spacing w:line="480" w:lineRule="auto"/>
        <w:ind w:firstLine="720"/>
        <w:rPr>
          <w:bCs/>
          <w:color w:val="000000" w:themeColor="text1"/>
        </w:rPr>
      </w:pPr>
      <w:r w:rsidRPr="00D43832">
        <w:rPr>
          <w:color w:val="000000" w:themeColor="text1"/>
        </w:rPr>
        <w:t xml:space="preserve">The estimated depth of the LMO varies significantly depending on the constraints considered (e.g., 200-1000 km; Solomon and Longhi, 1977; Elkins-Tanton et al., 2011); however, recent work using gravity and experimental petrology-based crustal thickness estimates indicate that the LMO was likely </w:t>
      </w:r>
      <m:oMath>
        <m:r>
          <w:rPr>
            <w:rFonts w:ascii="Cambria Math" w:hAnsi="Cambria Math"/>
            <w:color w:val="000000" w:themeColor="text1"/>
          </w:rPr>
          <m:t>≥</m:t>
        </m:r>
      </m:oMath>
      <w:r w:rsidRPr="00D43832">
        <w:rPr>
          <w:color w:val="000000" w:themeColor="text1"/>
        </w:rPr>
        <w:t>600 km (Charlier et al., 2018). Magma ocean cooling models indicate that ~80% of the LMO would solidify within ~</w:t>
      </w:r>
      <w:r w:rsidRPr="00D43832">
        <w:rPr>
          <w:bCs/>
          <w:color w:val="000000" w:themeColor="text1"/>
        </w:rPr>
        <w:t xml:space="preserve">1000 yr after accretion (Elkins-Tanton et al. 2011), while the last 20% of the LMO could take 100-400 myr to solidify completely due to the insulating effects of the plagioclase floatation crust and radiogenic heating via U, Th and K decay (Solomon and Longhi 1977; Maurice et al. 2020, 2024). </w:t>
      </w:r>
      <w:r w:rsidR="00F50152" w:rsidRPr="00D43832">
        <w:rPr>
          <w:bCs/>
          <w:color w:val="000000" w:themeColor="text1"/>
        </w:rPr>
        <w:t xml:space="preserve"> </w:t>
      </w:r>
    </w:p>
    <w:p w14:paraId="062BD202" w14:textId="46D14001" w:rsidR="00F50152" w:rsidRPr="00D43832" w:rsidRDefault="00A50E03" w:rsidP="00172F34">
      <w:pPr>
        <w:pStyle w:val="NonNumberedHeading2"/>
        <w:spacing w:line="480" w:lineRule="auto"/>
        <w:rPr>
          <w:color w:val="000000" w:themeColor="text1"/>
        </w:rPr>
      </w:pPr>
      <w:bookmarkStart w:id="12" w:name="_Toc182331721"/>
      <w:bookmarkStart w:id="13" w:name="_Toc182995447"/>
      <w:bookmarkStart w:id="14" w:name="_Toc183536548"/>
      <w:bookmarkStart w:id="15" w:name="_Toc184727350"/>
      <w:bookmarkStart w:id="16" w:name="_Toc185325598"/>
      <w:r w:rsidRPr="00D43832">
        <w:rPr>
          <w:color w:val="000000" w:themeColor="text1"/>
        </w:rPr>
        <w:t>LMO Solidification Products and Their Physical Effects</w:t>
      </w:r>
      <w:bookmarkEnd w:id="12"/>
      <w:bookmarkEnd w:id="13"/>
      <w:bookmarkEnd w:id="14"/>
      <w:bookmarkEnd w:id="15"/>
      <w:bookmarkEnd w:id="16"/>
    </w:p>
    <w:p w14:paraId="2146DAA0" w14:textId="77777777" w:rsidR="007D3AA2" w:rsidRPr="00D43832" w:rsidRDefault="00F50152" w:rsidP="007D3AA2">
      <w:pPr>
        <w:spacing w:line="480" w:lineRule="auto"/>
        <w:rPr>
          <w:color w:val="000000" w:themeColor="text1"/>
        </w:rPr>
      </w:pPr>
      <w:r w:rsidRPr="00D43832">
        <w:rPr>
          <w:rStyle w:val="Strong"/>
          <w:b w:val="0"/>
          <w:bCs w:val="0"/>
          <w:color w:val="000000" w:themeColor="text1"/>
        </w:rPr>
        <w:tab/>
      </w:r>
      <w:r w:rsidR="007D3AA2" w:rsidRPr="00D43832">
        <w:rPr>
          <w:color w:val="000000" w:themeColor="text1"/>
        </w:rPr>
        <w:t xml:space="preserve">Mineral stratification in the post-LMO cumulate mantle is controlled by the phase saturation sequence and phase density, if the LMO fractionally solidified. </w:t>
      </w:r>
      <w:r w:rsidR="007D3AA2" w:rsidRPr="00D43832">
        <w:rPr>
          <w:rStyle w:val="Strong"/>
          <w:b w:val="0"/>
          <w:bCs w:val="0"/>
          <w:color w:val="000000" w:themeColor="text1"/>
        </w:rPr>
        <w:t xml:space="preserve">Lunar </w:t>
      </w:r>
      <w:r w:rsidR="007D3AA2" w:rsidRPr="00D43832">
        <w:rPr>
          <w:color w:val="000000" w:themeColor="text1"/>
        </w:rPr>
        <w:t>magma ocean crystallization experiments show consistent trends with olivine as the dominant crystallizing phase during early magma ocean solidification (Elardo et al. 2011; Elkins-Tanton et al. 2011; Lin et al. 2017; Charlier et al. 2018; Rapp and Draper 2018). This is followed by olivine and orthopyroxene as the SiO</w:t>
      </w:r>
      <w:r w:rsidR="007D3AA2" w:rsidRPr="00D43832">
        <w:rPr>
          <w:color w:val="000000" w:themeColor="text1"/>
          <w:vertAlign w:val="subscript"/>
        </w:rPr>
        <w:t>2</w:t>
      </w:r>
      <w:r w:rsidR="007D3AA2" w:rsidRPr="00D43832">
        <w:rPr>
          <w:color w:val="000000" w:themeColor="text1"/>
        </w:rPr>
        <w:t xml:space="preserve"> concentration in the melt increases (Elkins-Tanton et al. 2011; Charlier et al. 2018). After 60-70% magma ocean crystallization, high-Ca pyroxenes (i.e., pigeonite and augite) and plagioclase (i.e., </w:t>
      </w:r>
      <w:r w:rsidR="007D3AA2" w:rsidRPr="00D43832">
        <w:rPr>
          <w:color w:val="000000" w:themeColor="text1"/>
        </w:rPr>
        <w:lastRenderedPageBreak/>
        <w:t>anorthite) become saturated. Since plagioclase is less dense than the melt from which it crystallized, it will float to the top of the LMO and form an anorthosite crust (Wood et al. 1970; Walker and Hays 1977; Dygert et al. 2017). Ilmenite (FeTiO</w:t>
      </w:r>
      <w:r w:rsidR="007D3AA2" w:rsidRPr="00D43832">
        <w:rPr>
          <w:color w:val="000000" w:themeColor="text1"/>
          <w:vertAlign w:val="subscript"/>
        </w:rPr>
        <w:t>3</w:t>
      </w:r>
      <w:r w:rsidR="007D3AA2" w:rsidRPr="00D43832">
        <w:rPr>
          <w:color w:val="000000" w:themeColor="text1"/>
        </w:rPr>
        <w:t>) and possibly other Fe-Ti oxides (e.g., Ulvöspinel (TiFe</w:t>
      </w:r>
      <w:r w:rsidR="007D3AA2" w:rsidRPr="00D43832">
        <w:rPr>
          <w:color w:val="000000" w:themeColor="text1"/>
          <w:vertAlign w:val="subscript"/>
        </w:rPr>
        <w:t>2</w:t>
      </w:r>
      <w:r w:rsidR="007D3AA2" w:rsidRPr="00D43832">
        <w:rPr>
          <w:color w:val="000000" w:themeColor="text1"/>
        </w:rPr>
        <w:t>O</w:t>
      </w:r>
      <w:r w:rsidR="007D3AA2" w:rsidRPr="00D43832">
        <w:rPr>
          <w:color w:val="000000" w:themeColor="text1"/>
          <w:vertAlign w:val="subscript"/>
        </w:rPr>
        <w:t>4</w:t>
      </w:r>
      <w:r w:rsidR="007D3AA2" w:rsidRPr="00D43832">
        <w:rPr>
          <w:color w:val="000000" w:themeColor="text1"/>
        </w:rPr>
        <w:t>), Armalcolite ((Mg,Fe)Ti</w:t>
      </w:r>
      <w:r w:rsidR="007D3AA2" w:rsidRPr="00D43832">
        <w:rPr>
          <w:color w:val="000000" w:themeColor="text1"/>
          <w:vertAlign w:val="subscript"/>
        </w:rPr>
        <w:t>2</w:t>
      </w:r>
      <w:r w:rsidR="007D3AA2" w:rsidRPr="00D43832">
        <w:rPr>
          <w:color w:val="000000" w:themeColor="text1"/>
        </w:rPr>
        <w:t>O</w:t>
      </w:r>
      <w:r w:rsidR="007D3AA2" w:rsidRPr="00D43832">
        <w:rPr>
          <w:color w:val="000000" w:themeColor="text1"/>
          <w:vertAlign w:val="subscript"/>
        </w:rPr>
        <w:t>5</w:t>
      </w:r>
      <w:r w:rsidR="007D3AA2" w:rsidRPr="00D43832">
        <w:rPr>
          <w:color w:val="000000" w:themeColor="text1"/>
        </w:rPr>
        <w:t>)) begin to crystallize at 90-95% magma ocean solidification and likely continue to precipitate until the end of magma ocean solidification (Elkins-Tanton et al. 2011; Lin et al. 2017; Charlier et al. 2018).</w:t>
      </w:r>
    </w:p>
    <w:p w14:paraId="7A9783AA" w14:textId="363E0045" w:rsidR="002527A1" w:rsidRPr="00D43832" w:rsidRDefault="007D3AA2" w:rsidP="000D41A4">
      <w:pPr>
        <w:spacing w:line="480" w:lineRule="auto"/>
        <w:ind w:firstLine="720"/>
        <w:rPr>
          <w:color w:val="000000" w:themeColor="text1"/>
        </w:rPr>
      </w:pPr>
      <w:r w:rsidRPr="00D43832">
        <w:rPr>
          <w:color w:val="000000" w:themeColor="text1"/>
        </w:rPr>
        <w:t xml:space="preserve">After LMO solidification, the Moon is thought to have had an olivine-rich dunite surrounding the core, harzburgite above the dunite layer, a clinopyroxene- and ilmenite-bearing cumulate (IBC) layer atop the harzburgite, and an incompatible element enriched residual melt region or cumulate near or above the IBC layer, all beneath an anorthosite crust (Snyder et al. 1992; Hess and Parmentier 1995; Shearer et al., 2006; Elkins-Tanton et al. 2011, 2012; Dygert et al. 2017, Rapp and Draper 2018). The late (shallow) precipitation of dense IBC produces a gravitationally unstable lunar mantle stratigraphy, with less dense ilmenite-free cumulates beneath the dense IBC (Snyder et al. 1992; Hess and Parmentier 1995; Elkins-Tanton et al. 2011; Zhang et al. 2017; Li et al. 2019). Recent studies indicate that the gravitationally unstable stratigraphy in the lunar mantle would have resulted in cumulate overturn (Zhang et al. 2017; Li et al. 2019; Maurice et al. 2024). In this scenario, dense shallow cumulates flow into the deep lunar interior as viscous solids, perhaps after progressive thickening of the IBC layer by downwelling of small-scale IBC instabilities into the underlying mantle (Hess and Parmentier, 1995; Li et al., 2019). The overturn of IBC into the lunar mantle would juxtapose sinking IBC </w:t>
      </w:r>
      <w:r w:rsidRPr="00D43832">
        <w:rPr>
          <w:color w:val="000000" w:themeColor="text1"/>
        </w:rPr>
        <w:lastRenderedPageBreak/>
        <w:t xml:space="preserve">against deep mafic mantle cumulates, where mechanical mixing or chemical reactions could generate hybridized mantle sources. </w:t>
      </w:r>
      <w:r w:rsidR="002527A1" w:rsidRPr="00D43832">
        <w:rPr>
          <w:color w:val="000000" w:themeColor="text1"/>
        </w:rPr>
        <w:t xml:space="preserve"> </w:t>
      </w:r>
    </w:p>
    <w:p w14:paraId="0FF01B1A" w14:textId="51D38D63" w:rsidR="00A328A7" w:rsidRPr="00D43832" w:rsidRDefault="00A328A7">
      <w:pPr>
        <w:rPr>
          <w:rStyle w:val="Strong"/>
          <w:b w:val="0"/>
          <w:bCs w:val="0"/>
        </w:rPr>
      </w:pPr>
      <w:r w:rsidRPr="00D43832">
        <w:rPr>
          <w:rStyle w:val="Strong"/>
          <w:b w:val="0"/>
          <w:bCs w:val="0"/>
        </w:rPr>
        <w:br w:type="page"/>
      </w:r>
    </w:p>
    <w:p w14:paraId="4AC00EAE" w14:textId="321976DA" w:rsidR="00EF76D2" w:rsidRDefault="00EF76D2" w:rsidP="00CA08DF">
      <w:pPr>
        <w:pStyle w:val="NonNumberedHeading2"/>
        <w:spacing w:line="480" w:lineRule="auto"/>
      </w:pPr>
      <w:bookmarkStart w:id="17" w:name="_Toc184727351"/>
      <w:bookmarkStart w:id="18" w:name="_Toc185325599"/>
      <w:r>
        <w:lastRenderedPageBreak/>
        <w:t>References</w:t>
      </w:r>
      <w:bookmarkEnd w:id="17"/>
      <w:bookmarkEnd w:id="18"/>
    </w:p>
    <w:p w14:paraId="5D4EE259" w14:textId="60A23B0B" w:rsidR="00933C49" w:rsidRPr="00933C49" w:rsidRDefault="00933C49" w:rsidP="00CA08DF">
      <w:pPr>
        <w:spacing w:line="480" w:lineRule="auto"/>
        <w:ind w:left="450" w:hanging="450"/>
      </w:pPr>
      <w:r w:rsidRPr="00933C49">
        <w:t>Borg, L.E., Brennecka, G.A., and Kruijer, T.S., 2022, The origin of volatile elements in the Earth–Moon system: Proceedings of the National Academy of Sciences, v. 119, p. e2115726119, doi:</w:t>
      </w:r>
      <w:hyperlink r:id="rId11" w:history="1">
        <w:r w:rsidRPr="00933C49">
          <w:rPr>
            <w:color w:val="0000FF"/>
            <w:u w:val="single"/>
          </w:rPr>
          <w:t>10.1073/pnas.2115726119</w:t>
        </w:r>
      </w:hyperlink>
      <w:r w:rsidRPr="00933C49">
        <w:t>.</w:t>
      </w:r>
    </w:p>
    <w:p w14:paraId="364E58EF" w14:textId="77777777" w:rsidR="00933C49" w:rsidRPr="00933C49" w:rsidRDefault="00933C49" w:rsidP="00CA08DF">
      <w:pPr>
        <w:spacing w:line="480" w:lineRule="auto"/>
        <w:ind w:left="450" w:hanging="450"/>
      </w:pPr>
      <w:r w:rsidRPr="00933C49">
        <w:t>Borg, L.E., and Carlson, R.W., 2023, The Evolving Chronology of Moon Formation: Annual Review of Earth and Planetary Sciences, v. 51, p. 25–52, doi:</w:t>
      </w:r>
      <w:hyperlink r:id="rId12" w:history="1">
        <w:r w:rsidRPr="00933C49">
          <w:rPr>
            <w:color w:val="0000FF"/>
            <w:u w:val="single"/>
          </w:rPr>
          <w:t>10.1146/annurev-earth-031621-060538</w:t>
        </w:r>
      </w:hyperlink>
      <w:r w:rsidRPr="00933C49">
        <w:t>.</w:t>
      </w:r>
    </w:p>
    <w:p w14:paraId="76B6922D" w14:textId="77777777" w:rsidR="00933C49" w:rsidRPr="00933C49" w:rsidRDefault="00933C49" w:rsidP="00CA08DF">
      <w:pPr>
        <w:spacing w:line="480" w:lineRule="auto"/>
        <w:ind w:left="450" w:hanging="450"/>
      </w:pPr>
      <w:r w:rsidRPr="00933C49">
        <w:t>Cano, E.J., Sharp, Z.D., and Shearer, C.K., 2020, Distinct oxygen isotope compositions of the Earth and Moon: Nature Geoscience, v. 13, p. 270–274, doi:</w:t>
      </w:r>
      <w:hyperlink r:id="rId13" w:history="1">
        <w:r w:rsidRPr="00933C49">
          <w:rPr>
            <w:color w:val="0000FF"/>
            <w:u w:val="single"/>
          </w:rPr>
          <w:t>10.1038/s41561-020-0550-0</w:t>
        </w:r>
      </w:hyperlink>
      <w:r w:rsidRPr="00933C49">
        <w:t>.</w:t>
      </w:r>
    </w:p>
    <w:p w14:paraId="5512C1E1" w14:textId="77777777" w:rsidR="00933C49" w:rsidRPr="00933C49" w:rsidRDefault="00933C49" w:rsidP="00CA08DF">
      <w:pPr>
        <w:spacing w:line="480" w:lineRule="auto"/>
        <w:ind w:left="450" w:hanging="450"/>
      </w:pPr>
      <w:r w:rsidRPr="00933C49">
        <w:t>Canup, R.M., 2008, Accretion of the Earth: Philosophical Transactions of the Royal Society A: Mathematical, Physical and Engineering Sciences, v. 366, p. 4061–4075, doi:</w:t>
      </w:r>
      <w:hyperlink r:id="rId14" w:history="1">
        <w:r w:rsidRPr="00933C49">
          <w:rPr>
            <w:color w:val="0000FF"/>
            <w:u w:val="single"/>
          </w:rPr>
          <w:t>10.1098/rsta.2008.0101</w:t>
        </w:r>
      </w:hyperlink>
      <w:r w:rsidRPr="00933C49">
        <w:t>.</w:t>
      </w:r>
    </w:p>
    <w:p w14:paraId="4BA4C68E" w14:textId="77777777" w:rsidR="00933C49" w:rsidRPr="00933C49" w:rsidRDefault="00933C49" w:rsidP="00CA08DF">
      <w:pPr>
        <w:spacing w:line="480" w:lineRule="auto"/>
        <w:ind w:left="450" w:hanging="450"/>
      </w:pPr>
      <w:r w:rsidRPr="00933C49">
        <w:t>Canup, R.M., 2012, Forming a Moon with an Earth-like Composition via a Giant Impact: Science, v. 338, p. 1052, doi:</w:t>
      </w:r>
      <w:hyperlink r:id="rId15" w:history="1">
        <w:r w:rsidRPr="00933C49">
          <w:rPr>
            <w:color w:val="0000FF"/>
            <w:u w:val="single"/>
          </w:rPr>
          <w:t>10.1126/science.1226073</w:t>
        </w:r>
      </w:hyperlink>
      <w:r w:rsidRPr="00933C49">
        <w:t>.</w:t>
      </w:r>
    </w:p>
    <w:p w14:paraId="0B620C0F" w14:textId="77777777" w:rsidR="00933C49" w:rsidRPr="00933C49" w:rsidRDefault="00933C49" w:rsidP="00CA08DF">
      <w:pPr>
        <w:spacing w:line="480" w:lineRule="auto"/>
        <w:ind w:left="450" w:hanging="450"/>
      </w:pPr>
      <w:r w:rsidRPr="00933C49">
        <w:t>Canup, R.M., 2004, Origin of the terrestrial planets and the Earth-Moon system: Physics Today, v. 57, p. 56–62.</w:t>
      </w:r>
    </w:p>
    <w:p w14:paraId="4B754017" w14:textId="77777777" w:rsidR="00933C49" w:rsidRPr="00933C49" w:rsidRDefault="00933C49" w:rsidP="00CA08DF">
      <w:pPr>
        <w:spacing w:line="480" w:lineRule="auto"/>
        <w:ind w:left="450" w:hanging="450"/>
      </w:pPr>
      <w:r w:rsidRPr="00933C49">
        <w:t>Charlier, B., Grove, T.L., Namur, O., and Holtz, F., 2018, Crystallization of the lunar magma ocean and the primordial mantle-crust differentiation of the Moon: Geochimica et Cosmochimica Acta, v. 234, p. 50–69, doi:</w:t>
      </w:r>
      <w:hyperlink r:id="rId16" w:history="1">
        <w:r w:rsidRPr="00933C49">
          <w:rPr>
            <w:color w:val="0000FF"/>
            <w:u w:val="single"/>
          </w:rPr>
          <w:t>10.1016/j.gca.2018.05.006</w:t>
        </w:r>
      </w:hyperlink>
      <w:r w:rsidRPr="00933C49">
        <w:t>.</w:t>
      </w:r>
    </w:p>
    <w:p w14:paraId="6C288560" w14:textId="77777777" w:rsidR="00933C49" w:rsidRPr="00933C49" w:rsidRDefault="00933C49" w:rsidP="00CA08DF">
      <w:pPr>
        <w:spacing w:line="480" w:lineRule="auto"/>
        <w:ind w:left="450" w:hanging="450"/>
      </w:pPr>
      <w:r w:rsidRPr="00933C49">
        <w:lastRenderedPageBreak/>
        <w:t>Dygert, N., Lin, J.-F., Marshall, E.W., Kono, Y., and Gardner, J.E., 2017, A Low Viscosity Lunar Magma Ocean Forms a Stratified Anorthitic Flotation Crust With Mafic Poor and Rich Units: Geophysical Research Letters, v. 44, p. 11,282-11,291, doi:</w:t>
      </w:r>
      <w:hyperlink r:id="rId17" w:history="1">
        <w:r w:rsidRPr="00933C49">
          <w:rPr>
            <w:color w:val="0000FF"/>
            <w:u w:val="single"/>
          </w:rPr>
          <w:t>10.1002/2017GL075703</w:t>
        </w:r>
      </w:hyperlink>
      <w:r w:rsidRPr="00933C49">
        <w:t>.</w:t>
      </w:r>
    </w:p>
    <w:p w14:paraId="6991979A" w14:textId="77777777" w:rsidR="00933C49" w:rsidRPr="00933C49" w:rsidRDefault="00933C49" w:rsidP="00CA08DF">
      <w:pPr>
        <w:spacing w:line="480" w:lineRule="auto"/>
        <w:ind w:left="450" w:hanging="450"/>
      </w:pPr>
      <w:r w:rsidRPr="00933C49">
        <w:t>Elardo, S.M., Draper, D.S., and Shearer, C.K., 2011, Lunar Magma Ocean crystallization revisited: Bulk composition, early cumulate mineralogy, and the source regions of the highlands Mg-suite: Geochimica et Cosmochimica Acta, v. 75, p. 3024–3045, doi:</w:t>
      </w:r>
      <w:hyperlink r:id="rId18" w:history="1">
        <w:r w:rsidRPr="00933C49">
          <w:rPr>
            <w:color w:val="0000FF"/>
            <w:u w:val="single"/>
          </w:rPr>
          <w:t>10.1016/j.gca.2011.02.033</w:t>
        </w:r>
      </w:hyperlink>
      <w:r w:rsidRPr="00933C49">
        <w:t>.</w:t>
      </w:r>
    </w:p>
    <w:p w14:paraId="1171E629" w14:textId="77777777" w:rsidR="00933C49" w:rsidRPr="00933C49" w:rsidRDefault="00933C49" w:rsidP="00CA08DF">
      <w:pPr>
        <w:spacing w:line="480" w:lineRule="auto"/>
        <w:ind w:left="450" w:hanging="450"/>
      </w:pPr>
      <w:r w:rsidRPr="00933C49">
        <w:t>Elkins-Tanton, L.T., 2012, Magma Oceans in the Inner Solar System: Annual Review of Earth and Planetary Sciences, v. 40, p. 113–139, doi:</w:t>
      </w:r>
      <w:hyperlink r:id="rId19" w:history="1">
        <w:r w:rsidRPr="00933C49">
          <w:rPr>
            <w:color w:val="0000FF"/>
            <w:u w:val="single"/>
          </w:rPr>
          <w:t>10.1146/annurev-earth-042711-105503</w:t>
        </w:r>
      </w:hyperlink>
      <w:r w:rsidRPr="00933C49">
        <w:t>.</w:t>
      </w:r>
    </w:p>
    <w:p w14:paraId="599765FF" w14:textId="77777777" w:rsidR="00933C49" w:rsidRPr="00933C49" w:rsidRDefault="00933C49" w:rsidP="00CA08DF">
      <w:pPr>
        <w:spacing w:line="480" w:lineRule="auto"/>
        <w:ind w:left="450" w:hanging="450"/>
      </w:pPr>
      <w:r w:rsidRPr="00933C49">
        <w:t>Elkins-Tanton, L.T., Burgess, S., and Yin, Q.-Z., 2011, The lunar magma ocean: Reconciling the solidification process with lunar petrology and geochronology: Earth and Planetary Science Letters, v. 304, p. 326–336, doi:</w:t>
      </w:r>
      <w:hyperlink r:id="rId20" w:history="1">
        <w:r w:rsidRPr="00933C49">
          <w:rPr>
            <w:color w:val="0000FF"/>
            <w:u w:val="single"/>
          </w:rPr>
          <w:t>10.1016/j.epsl.2011.02.004</w:t>
        </w:r>
      </w:hyperlink>
      <w:r w:rsidRPr="00933C49">
        <w:t>.</w:t>
      </w:r>
    </w:p>
    <w:p w14:paraId="2030BCD5" w14:textId="77777777" w:rsidR="00933C49" w:rsidRPr="00933C49" w:rsidRDefault="00933C49" w:rsidP="00CA08DF">
      <w:pPr>
        <w:spacing w:line="480" w:lineRule="auto"/>
        <w:ind w:left="450" w:hanging="450"/>
      </w:pPr>
      <w:r w:rsidRPr="00933C49">
        <w:t>Elkins-Tanton, L.T., and Hager, B.H., 2005, Giant meteoroid impacts can cause volcanism: Earth and Planetary Science Letters, v. 239, p. 219–232, doi:</w:t>
      </w:r>
      <w:hyperlink r:id="rId21" w:history="1">
        <w:r w:rsidRPr="00933C49">
          <w:rPr>
            <w:color w:val="0000FF"/>
            <w:u w:val="single"/>
          </w:rPr>
          <w:t>10.1016/j.epsl.2005.07.029</w:t>
        </w:r>
      </w:hyperlink>
      <w:r w:rsidRPr="00933C49">
        <w:t>.</w:t>
      </w:r>
    </w:p>
    <w:p w14:paraId="08C8FF04" w14:textId="77777777" w:rsidR="00933C49" w:rsidRPr="00933C49" w:rsidRDefault="00933C49" w:rsidP="00CA08DF">
      <w:pPr>
        <w:spacing w:line="480" w:lineRule="auto"/>
        <w:ind w:left="450" w:hanging="450"/>
      </w:pPr>
      <w:r w:rsidRPr="00933C49">
        <w:t>Fish, R.A., Goles, G.G., and Anders, E., 1960, The Record in the Meteorites. III. on the Development of Meteorites in Asteroidal Bodies.: \apj, v. 132, p. 243, doi:</w:t>
      </w:r>
      <w:hyperlink r:id="rId22" w:history="1">
        <w:r w:rsidRPr="00933C49">
          <w:rPr>
            <w:color w:val="0000FF"/>
            <w:u w:val="single"/>
          </w:rPr>
          <w:t>10.1086/146918</w:t>
        </w:r>
      </w:hyperlink>
      <w:r w:rsidRPr="00933C49">
        <w:t>.</w:t>
      </w:r>
    </w:p>
    <w:p w14:paraId="21EBE272" w14:textId="77777777" w:rsidR="00933C49" w:rsidRPr="00933C49" w:rsidRDefault="00933C49" w:rsidP="00CA08DF">
      <w:pPr>
        <w:spacing w:line="480" w:lineRule="auto"/>
        <w:ind w:left="450" w:hanging="450"/>
      </w:pPr>
      <w:r w:rsidRPr="00933C49">
        <w:lastRenderedPageBreak/>
        <w:t>Hess, P.C., and Parmentier, E.M., 1995, A model for the thermal and chemical evolution of the Moon’s interior: implications for the onset of mare volcanism: Earth and Planetary Science Letters, v. 134, p. 501–514, doi:</w:t>
      </w:r>
      <w:hyperlink r:id="rId23" w:history="1">
        <w:r w:rsidRPr="00933C49">
          <w:rPr>
            <w:color w:val="0000FF"/>
            <w:u w:val="single"/>
          </w:rPr>
          <w:t>10.1016/0012-821X(95)00138-3</w:t>
        </w:r>
      </w:hyperlink>
      <w:r w:rsidRPr="00933C49">
        <w:t>.</w:t>
      </w:r>
    </w:p>
    <w:p w14:paraId="715AE669" w14:textId="77777777" w:rsidR="00933C49" w:rsidRPr="00933C49" w:rsidRDefault="00933C49" w:rsidP="00CA08DF">
      <w:pPr>
        <w:spacing w:line="480" w:lineRule="auto"/>
        <w:ind w:left="450" w:hanging="450"/>
      </w:pPr>
      <w:r w:rsidRPr="00933C49">
        <w:t>Hiesinger, H., and Head, J.W., III, 2006, New Views of Lunar Geoscience: An Introduction and Overview: Reviews in Mineralogy and Geochemistry, v. 60, p. 1–81, doi:</w:t>
      </w:r>
      <w:hyperlink r:id="rId24" w:history="1">
        <w:r w:rsidRPr="00933C49">
          <w:rPr>
            <w:color w:val="0000FF"/>
            <w:u w:val="single"/>
          </w:rPr>
          <w:t>10.2138/rmg.2006.60.1</w:t>
        </w:r>
      </w:hyperlink>
      <w:r w:rsidRPr="00933C49">
        <w:t>.</w:t>
      </w:r>
    </w:p>
    <w:p w14:paraId="4746306C" w14:textId="77777777" w:rsidR="00933C49" w:rsidRPr="00933C49" w:rsidRDefault="00933C49" w:rsidP="00CA08DF">
      <w:pPr>
        <w:spacing w:line="480" w:lineRule="auto"/>
        <w:ind w:left="450" w:hanging="450"/>
      </w:pPr>
      <w:r w:rsidRPr="00933C49">
        <w:t>Kleine, T., Mezger, K., Münker, C., Palme, H., and Bischoff, A., 2004, 182Hf-182W isotope systematics of chondrites, eucrites, and martian meteorites: Chronology of core formation and early mantle differentiation in Vesta and Mars1 1Associate editor: R. J. Walker: Geochimica et Cosmochimica Acta, v. 68, p. 2935–2946, doi:</w:t>
      </w:r>
      <w:hyperlink r:id="rId25" w:history="1">
        <w:r w:rsidRPr="00933C49">
          <w:rPr>
            <w:color w:val="0000FF"/>
            <w:u w:val="single"/>
          </w:rPr>
          <w:t>10.1016/j.gca.2004.01.009</w:t>
        </w:r>
      </w:hyperlink>
      <w:r w:rsidRPr="00933C49">
        <w:t>.</w:t>
      </w:r>
    </w:p>
    <w:p w14:paraId="6ABC76D3" w14:textId="77777777" w:rsidR="00933C49" w:rsidRPr="00933C49" w:rsidRDefault="00933C49" w:rsidP="00CA08DF">
      <w:pPr>
        <w:spacing w:line="480" w:lineRule="auto"/>
        <w:ind w:left="450" w:hanging="450"/>
      </w:pPr>
      <w:r w:rsidRPr="00933C49">
        <w:t>Kleine, T., Münker, C., Mezger, K., and Palme, H., 2002, Rapid accretion and early core formation on asteroids and the terrestrial planets from Hf–W chronometry: Nature, v. 418, p. 952–955, doi:</w:t>
      </w:r>
      <w:hyperlink r:id="rId26" w:history="1">
        <w:r w:rsidRPr="00933C49">
          <w:rPr>
            <w:color w:val="0000FF"/>
            <w:u w:val="single"/>
          </w:rPr>
          <w:t>10.1038/nature00982</w:t>
        </w:r>
      </w:hyperlink>
      <w:r w:rsidRPr="00933C49">
        <w:t>.</w:t>
      </w:r>
    </w:p>
    <w:p w14:paraId="5B276374" w14:textId="77777777" w:rsidR="00933C49" w:rsidRPr="00933C49" w:rsidRDefault="00933C49" w:rsidP="00CA08DF">
      <w:pPr>
        <w:spacing w:line="480" w:lineRule="auto"/>
        <w:ind w:left="450" w:hanging="450"/>
      </w:pPr>
      <w:r w:rsidRPr="00933C49">
        <w:t>Kruijer, T.S., and Kleine, T., 2017, Tungsten isotopes and the origin of the Moon: Earth and Planetary Science Letters, v. 475, p. 15–24, doi:</w:t>
      </w:r>
      <w:hyperlink r:id="rId27" w:history="1">
        <w:r w:rsidRPr="00933C49">
          <w:rPr>
            <w:color w:val="0000FF"/>
            <w:u w:val="single"/>
          </w:rPr>
          <w:t>10.1016/j.epsl.2017.07.021</w:t>
        </w:r>
      </w:hyperlink>
      <w:r w:rsidRPr="00933C49">
        <w:t>.</w:t>
      </w:r>
    </w:p>
    <w:p w14:paraId="111F3B13" w14:textId="77777777" w:rsidR="00933C49" w:rsidRPr="00933C49" w:rsidRDefault="00933C49" w:rsidP="00CA08DF">
      <w:pPr>
        <w:spacing w:line="480" w:lineRule="auto"/>
        <w:ind w:left="450" w:hanging="450"/>
      </w:pPr>
      <w:r w:rsidRPr="00933C49">
        <w:t>LaTourrette, T., and Wasserburg, G.J., 1998, Mg diffusion in anorthite: implications for the formation of early solar system planetesimals: Earth and Planetary Science Letters, v. 158, p. 91–108, doi:</w:t>
      </w:r>
      <w:hyperlink r:id="rId28" w:history="1">
        <w:r w:rsidRPr="00933C49">
          <w:rPr>
            <w:color w:val="0000FF"/>
            <w:u w:val="single"/>
          </w:rPr>
          <w:t>10.1016/S0012-821X(98)00048-X</w:t>
        </w:r>
      </w:hyperlink>
      <w:r w:rsidRPr="00933C49">
        <w:t>.</w:t>
      </w:r>
    </w:p>
    <w:p w14:paraId="762A0AE3" w14:textId="77777777" w:rsidR="00933C49" w:rsidRPr="00933C49" w:rsidRDefault="00933C49" w:rsidP="00CA08DF">
      <w:pPr>
        <w:spacing w:line="480" w:lineRule="auto"/>
        <w:ind w:left="450" w:hanging="450"/>
      </w:pPr>
      <w:r w:rsidRPr="00933C49">
        <w:t>Lee, T., Papanastassiou, D.A., and Wasserburg, G.J., 1976, Demonstration of</w:t>
      </w:r>
      <w:r w:rsidRPr="00933C49">
        <w:rPr>
          <w:vertAlign w:val="superscript"/>
        </w:rPr>
        <w:t>26</w:t>
      </w:r>
      <w:r w:rsidRPr="00933C49">
        <w:t xml:space="preserve"> Mg excess in Allende and evidence for</w:t>
      </w:r>
      <w:r w:rsidRPr="00933C49">
        <w:rPr>
          <w:vertAlign w:val="superscript"/>
        </w:rPr>
        <w:t>26</w:t>
      </w:r>
      <w:r w:rsidRPr="00933C49">
        <w:t xml:space="preserve"> Al: Geophysical Research Letters, v. 3, p. 41–44, doi:</w:t>
      </w:r>
      <w:hyperlink r:id="rId29" w:history="1">
        <w:r w:rsidRPr="00933C49">
          <w:rPr>
            <w:color w:val="0000FF"/>
            <w:u w:val="single"/>
          </w:rPr>
          <w:t>10.1029/GL003i001p00041</w:t>
        </w:r>
      </w:hyperlink>
      <w:r w:rsidRPr="00933C49">
        <w:t>.</w:t>
      </w:r>
    </w:p>
    <w:p w14:paraId="45F08F24" w14:textId="77777777" w:rsidR="00933C49" w:rsidRPr="00933C49" w:rsidRDefault="00933C49" w:rsidP="00CA08DF">
      <w:pPr>
        <w:spacing w:line="480" w:lineRule="auto"/>
        <w:ind w:left="450" w:hanging="450"/>
      </w:pPr>
      <w:r w:rsidRPr="00933C49">
        <w:lastRenderedPageBreak/>
        <w:t>Li, H., Zhang, N., Liang, Y., Wu, B., Dygert, N.J., Huang, J., and Parmentier, E.M., 2019, Lunar Cumulate Mantle Overturn: A Model Constrained by Ilmenite Rheology: Journal of Geophysical Research: Planets, v. 124, p. 1357–1378, doi:</w:t>
      </w:r>
      <w:hyperlink r:id="rId30" w:history="1">
        <w:r w:rsidRPr="00933C49">
          <w:rPr>
            <w:color w:val="0000FF"/>
            <w:u w:val="single"/>
          </w:rPr>
          <w:t>10.1029/2018JE005905</w:t>
        </w:r>
      </w:hyperlink>
      <w:r w:rsidRPr="00933C49">
        <w:t>.</w:t>
      </w:r>
    </w:p>
    <w:p w14:paraId="38B0287A" w14:textId="77777777" w:rsidR="00933C49" w:rsidRPr="00933C49" w:rsidRDefault="00933C49" w:rsidP="00CA08DF">
      <w:pPr>
        <w:spacing w:line="480" w:lineRule="auto"/>
        <w:ind w:left="450" w:hanging="450"/>
      </w:pPr>
      <w:r w:rsidRPr="00933C49">
        <w:t>Lin, Y., Tronche, E.J., Steenstra, E.S., and van Westrenen, W., 2017, Evidence for an early wet Moon from experimental crystallization of the lunar magma ocean: Nature Geoscience, v. 10, p. 14–18, doi:</w:t>
      </w:r>
      <w:hyperlink r:id="rId31" w:history="1">
        <w:r w:rsidRPr="00933C49">
          <w:rPr>
            <w:color w:val="0000FF"/>
            <w:u w:val="single"/>
          </w:rPr>
          <w:t>10.1038/ngeo2845</w:t>
        </w:r>
      </w:hyperlink>
      <w:r w:rsidRPr="00933C49">
        <w:t>.</w:t>
      </w:r>
    </w:p>
    <w:p w14:paraId="590DA656" w14:textId="77777777" w:rsidR="00933C49" w:rsidRPr="00933C49" w:rsidRDefault="00933C49" w:rsidP="00CA08DF">
      <w:pPr>
        <w:spacing w:line="480" w:lineRule="auto"/>
        <w:ind w:left="450" w:hanging="450"/>
      </w:pPr>
      <w:r w:rsidRPr="00933C49">
        <w:t>Markowski, A., Quitté, G., Kleine, T., Halliday, A.N., Bizzarro, M., and Irving, A.J., 2007, Hafnium–tungsten chronometry of angrites and the earliest evolution of planetary objects: Earth and Planetary Science Letters, v. 262, p. 214–229, doi:</w:t>
      </w:r>
      <w:hyperlink r:id="rId32" w:history="1">
        <w:r w:rsidRPr="00933C49">
          <w:rPr>
            <w:color w:val="0000FF"/>
            <w:u w:val="single"/>
          </w:rPr>
          <w:t>10.1016/j.epsl.2007.07.035</w:t>
        </w:r>
      </w:hyperlink>
      <w:r w:rsidRPr="00933C49">
        <w:t>.</w:t>
      </w:r>
    </w:p>
    <w:p w14:paraId="7BB31F29" w14:textId="77777777" w:rsidR="00933C49" w:rsidRPr="00933C49" w:rsidRDefault="00933C49" w:rsidP="00CA08DF">
      <w:pPr>
        <w:spacing w:line="480" w:lineRule="auto"/>
        <w:ind w:left="450" w:hanging="450"/>
      </w:pPr>
      <w:r w:rsidRPr="00933C49">
        <w:t>Maurice, M., Tosi, N., and Hüttig, C., 2024, Small-Scale Overturn of High-Ti Cumulates Promoted by the Long Lifetime of the Lunar Magma Ocean: Journal of Geophysical Research: Planets, v. 129, p. e2023JE008060, doi:</w:t>
      </w:r>
      <w:hyperlink r:id="rId33" w:history="1">
        <w:r w:rsidRPr="00933C49">
          <w:rPr>
            <w:color w:val="0000FF"/>
            <w:u w:val="single"/>
          </w:rPr>
          <w:t>10.1029/2023JE008060</w:t>
        </w:r>
      </w:hyperlink>
      <w:r w:rsidRPr="00933C49">
        <w:t>.</w:t>
      </w:r>
    </w:p>
    <w:p w14:paraId="21BF53A5" w14:textId="77777777" w:rsidR="00933C49" w:rsidRPr="00933C49" w:rsidRDefault="00933C49" w:rsidP="00CA08DF">
      <w:pPr>
        <w:spacing w:line="480" w:lineRule="auto"/>
        <w:ind w:left="450" w:hanging="450"/>
      </w:pPr>
      <w:r w:rsidRPr="00933C49">
        <w:t>Maurice, M., Tosi, N., Schwinger, S., Breuer, D., and Kleine, T., 2020, A long-lived magma ocean on a young Moon: Science Advances, v. 6, doi:</w:t>
      </w:r>
      <w:hyperlink r:id="rId34" w:history="1">
        <w:r w:rsidRPr="00933C49">
          <w:rPr>
            <w:color w:val="0000FF"/>
            <w:u w:val="single"/>
          </w:rPr>
          <w:t>10.1126/sciadv.aba8949</w:t>
        </w:r>
      </w:hyperlink>
      <w:r w:rsidRPr="00933C49">
        <w:t>.</w:t>
      </w:r>
    </w:p>
    <w:p w14:paraId="43F89C36" w14:textId="77777777" w:rsidR="00933C49" w:rsidRPr="00933C49" w:rsidRDefault="00933C49" w:rsidP="00CA08DF">
      <w:pPr>
        <w:spacing w:line="480" w:lineRule="auto"/>
        <w:ind w:left="450" w:hanging="450"/>
      </w:pPr>
      <w:r w:rsidRPr="00933C49">
        <w:t>Rapp, J.F., and Draper, D.S., 2018, Fractional crystallization of the lunar magma ocean: Updating the dominant paradigm: Meteoritics &amp; Planetary Science, v. 53, p. 1432–1455, doi:</w:t>
      </w:r>
      <w:hyperlink r:id="rId35" w:history="1">
        <w:r w:rsidRPr="00933C49">
          <w:rPr>
            <w:color w:val="0000FF"/>
            <w:u w:val="single"/>
          </w:rPr>
          <w:t>10.1111/maps.13086</w:t>
        </w:r>
      </w:hyperlink>
      <w:r w:rsidRPr="00933C49">
        <w:t>.</w:t>
      </w:r>
    </w:p>
    <w:p w14:paraId="338D9118" w14:textId="77777777" w:rsidR="00933C49" w:rsidRPr="00933C49" w:rsidRDefault="00933C49" w:rsidP="00CA08DF">
      <w:pPr>
        <w:spacing w:line="480" w:lineRule="auto"/>
        <w:ind w:left="450" w:hanging="450"/>
      </w:pPr>
      <w:r w:rsidRPr="00933C49">
        <w:lastRenderedPageBreak/>
        <w:t>Schoenberg, R., Kamber, B.S., Collerson, K.D., and Eugster, O., 2002, New W-isotope evidence for rapid terrestrial accretion and very early core formation: Geochimica et Cosmochimica Acta, v. 66, p. 3151–3160, doi:</w:t>
      </w:r>
      <w:hyperlink r:id="rId36" w:history="1">
        <w:r w:rsidRPr="00933C49">
          <w:rPr>
            <w:color w:val="0000FF"/>
            <w:u w:val="single"/>
          </w:rPr>
          <w:t>10.1016/S0016-7037(02)00911-0</w:t>
        </w:r>
      </w:hyperlink>
      <w:r w:rsidRPr="00933C49">
        <w:t>.</w:t>
      </w:r>
    </w:p>
    <w:p w14:paraId="59041883" w14:textId="77777777" w:rsidR="00933C49" w:rsidRPr="00933C49" w:rsidRDefault="00933C49" w:rsidP="00CA08DF">
      <w:pPr>
        <w:spacing w:line="480" w:lineRule="auto"/>
        <w:ind w:left="450" w:hanging="450"/>
      </w:pPr>
      <w:r w:rsidRPr="00933C49">
        <w:t>Shearer, C.K. et al., 2006, Thermal and Magmatic Evolution of the Moon: Reviews in Mineralogy and Geochemistry, v. 60, p. 365–518, doi:</w:t>
      </w:r>
      <w:hyperlink r:id="rId37" w:history="1">
        <w:r w:rsidRPr="00933C49">
          <w:rPr>
            <w:color w:val="0000FF"/>
            <w:u w:val="single"/>
          </w:rPr>
          <w:t>10.2138/rmg.2006.60.4</w:t>
        </w:r>
      </w:hyperlink>
      <w:r w:rsidRPr="00933C49">
        <w:t>.</w:t>
      </w:r>
    </w:p>
    <w:p w14:paraId="0D2D4EC8" w14:textId="77777777" w:rsidR="00933C49" w:rsidRPr="00933C49" w:rsidRDefault="00933C49" w:rsidP="00CA08DF">
      <w:pPr>
        <w:spacing w:line="480" w:lineRule="auto"/>
        <w:ind w:left="450" w:hanging="450"/>
      </w:pPr>
      <w:r w:rsidRPr="00933C49">
        <w:t xml:space="preserve">Snyder, G.A., Taylor, L.A., and Neal, C.R., 1992, Combined equilibrium and fractional crystallization of a magma ocean and formation of the upper mantle of the Moon, </w:t>
      </w:r>
      <w:r w:rsidRPr="00933C49">
        <w:rPr>
          <w:i/>
          <w:iCs/>
        </w:rPr>
        <w:t>in</w:t>
      </w:r>
      <w:r w:rsidRPr="00933C49">
        <w:t xml:space="preserve"> Lunar and Planetary Science Conference, v. 23.</w:t>
      </w:r>
    </w:p>
    <w:p w14:paraId="1E34056E" w14:textId="77777777" w:rsidR="00933C49" w:rsidRPr="00933C49" w:rsidRDefault="00933C49" w:rsidP="00CA08DF">
      <w:pPr>
        <w:spacing w:line="480" w:lineRule="auto"/>
        <w:ind w:left="450" w:hanging="450"/>
      </w:pPr>
      <w:r w:rsidRPr="00933C49">
        <w:t xml:space="preserve">Solomon, S.C., and Longhi, J., 1977, Magma oceanography. I-Thermal evolution, </w:t>
      </w:r>
      <w:r w:rsidRPr="00933C49">
        <w:rPr>
          <w:i/>
          <w:iCs/>
        </w:rPr>
        <w:t>in</w:t>
      </w:r>
      <w:r w:rsidRPr="00933C49">
        <w:t xml:space="preserve"> Lunar and planetary science conference proceedings, v. 8, p. 583–599.</w:t>
      </w:r>
    </w:p>
    <w:p w14:paraId="4CC11E55" w14:textId="77777777" w:rsidR="00933C49" w:rsidRPr="00933C49" w:rsidRDefault="00933C49" w:rsidP="00CA08DF">
      <w:pPr>
        <w:spacing w:line="480" w:lineRule="auto"/>
        <w:ind w:left="450" w:hanging="450"/>
      </w:pPr>
      <w:r w:rsidRPr="00933C49">
        <w:t>Thiemens, M.M., Sprung, P., Fonseca, R.O.C., Leitzke, F.P., and Münker, C., 2019, Early Moon formation inferred from hafnium–tungsten systematics: Nature Geoscience, v. 12, p. 696–700, doi:</w:t>
      </w:r>
      <w:hyperlink r:id="rId38" w:history="1">
        <w:r w:rsidRPr="00933C49">
          <w:rPr>
            <w:color w:val="0000FF"/>
            <w:u w:val="single"/>
          </w:rPr>
          <w:t>10.1038/s41561-019-0398-3</w:t>
        </w:r>
      </w:hyperlink>
      <w:r w:rsidRPr="00933C49">
        <w:t>.</w:t>
      </w:r>
    </w:p>
    <w:p w14:paraId="27B586C3" w14:textId="41B79403" w:rsidR="00933C49" w:rsidRPr="00933C49" w:rsidRDefault="00933C49" w:rsidP="00CA08DF">
      <w:pPr>
        <w:spacing w:line="480" w:lineRule="auto"/>
        <w:ind w:left="450" w:hanging="450"/>
      </w:pPr>
      <w:r w:rsidRPr="00933C49">
        <w:t xml:space="preserve">Urey, H.C., 1955, </w:t>
      </w:r>
      <w:r w:rsidR="000C729E">
        <w:t>T</w:t>
      </w:r>
      <w:r w:rsidR="000C729E" w:rsidRPr="00933C49">
        <w:t>he cosmic abundances of potassium, uranium, and thorium and the heat balances of the earth, the moon, and mars</w:t>
      </w:r>
      <w:r w:rsidRPr="00933C49">
        <w:t>*: Proceedings of the National Academy of Sciences, v. 41, p. 127–144, doi:</w:t>
      </w:r>
      <w:hyperlink r:id="rId39" w:history="1">
        <w:r w:rsidRPr="00933C49">
          <w:rPr>
            <w:color w:val="0000FF"/>
            <w:u w:val="single"/>
          </w:rPr>
          <w:t>10.1073/pnas.41.3.127</w:t>
        </w:r>
      </w:hyperlink>
      <w:r w:rsidRPr="00933C49">
        <w:t>.</w:t>
      </w:r>
    </w:p>
    <w:p w14:paraId="79FF9F2F" w14:textId="77777777" w:rsidR="00933C49" w:rsidRPr="00933C49" w:rsidRDefault="00933C49" w:rsidP="00CA08DF">
      <w:pPr>
        <w:spacing w:line="480" w:lineRule="auto"/>
        <w:ind w:left="450" w:hanging="450"/>
      </w:pPr>
      <w:r w:rsidRPr="00933C49">
        <w:t>Walker, D., and Hays, J.F., 1977, Plagioclase flotation and lunar crust formation: Geology, v. 5, p. 425–428, doi:</w:t>
      </w:r>
      <w:hyperlink r:id="rId40" w:history="1">
        <w:r w:rsidRPr="00933C49">
          <w:rPr>
            <w:color w:val="0000FF"/>
            <w:u w:val="single"/>
          </w:rPr>
          <w:t>10.1130/0091-7613(1977)5&lt;425:PFALCF&gt;2.0.CO;2</w:t>
        </w:r>
      </w:hyperlink>
      <w:r w:rsidRPr="00933C49">
        <w:t>.</w:t>
      </w:r>
    </w:p>
    <w:p w14:paraId="5E8ABEB1" w14:textId="77777777" w:rsidR="00933C49" w:rsidRPr="00933C49" w:rsidRDefault="00933C49" w:rsidP="00CA08DF">
      <w:pPr>
        <w:spacing w:line="480" w:lineRule="auto"/>
        <w:ind w:left="450" w:hanging="450"/>
      </w:pPr>
      <w:r w:rsidRPr="00933C49">
        <w:t>Wood, J.A., Dickey Jr, J.S., Marvin, U.B., and Powell, B.N., 1970, Lunar anorthosites and a geophysical model of the moon: Geochimica et Cosmochimica Acta Supplement, v. 1, p. 965.</w:t>
      </w:r>
    </w:p>
    <w:p w14:paraId="0BC26671" w14:textId="77777777" w:rsidR="00933C49" w:rsidRPr="00933C49" w:rsidRDefault="00933C49" w:rsidP="00CA08DF">
      <w:pPr>
        <w:spacing w:line="480" w:lineRule="auto"/>
        <w:ind w:left="450" w:hanging="450"/>
      </w:pPr>
      <w:r w:rsidRPr="00933C49">
        <w:lastRenderedPageBreak/>
        <w:t>Yin, Q., Jacobsen, S.B., Yamashita, K., Blichert-Toft, J., Télouk, P., and Albarède, F., 2002, A short timescale for terrestrial planet formation from Hf–W chronometry of meteorites: Nature, v. 418, p. 949–952, doi:</w:t>
      </w:r>
      <w:hyperlink r:id="rId41" w:history="1">
        <w:r w:rsidRPr="00933C49">
          <w:rPr>
            <w:color w:val="0000FF"/>
            <w:u w:val="single"/>
          </w:rPr>
          <w:t>10.1038/nature00995</w:t>
        </w:r>
      </w:hyperlink>
      <w:r w:rsidRPr="00933C49">
        <w:t>.</w:t>
      </w:r>
    </w:p>
    <w:p w14:paraId="3BE0C43C" w14:textId="77777777" w:rsidR="00933C49" w:rsidRPr="00933C49" w:rsidRDefault="00933C49" w:rsidP="00CA08DF">
      <w:pPr>
        <w:spacing w:line="480" w:lineRule="auto"/>
        <w:ind w:left="450" w:hanging="450"/>
      </w:pPr>
      <w:r w:rsidRPr="00933C49">
        <w:t>Young, E.D., Kohl, I.E., Warren, P.H., Rubie, D.C., Jacobson, S.A., and Morbidelli, A., 2016, Oxygen isotopic evidence for vigorous mixing during the Moon-forming giant impact: Science, v. 351, p. 493, doi:</w:t>
      </w:r>
      <w:hyperlink r:id="rId42" w:history="1">
        <w:r w:rsidRPr="00933C49">
          <w:rPr>
            <w:color w:val="0000FF"/>
            <w:u w:val="single"/>
          </w:rPr>
          <w:t>10.1126/science.aad0525</w:t>
        </w:r>
      </w:hyperlink>
      <w:r w:rsidRPr="00933C49">
        <w:t>.</w:t>
      </w:r>
    </w:p>
    <w:p w14:paraId="38D4FAB4" w14:textId="77777777" w:rsidR="00933C49" w:rsidRPr="00933C49" w:rsidRDefault="00933C49" w:rsidP="00CA08DF">
      <w:pPr>
        <w:spacing w:line="480" w:lineRule="auto"/>
        <w:ind w:left="450" w:hanging="450"/>
      </w:pPr>
      <w:r w:rsidRPr="00933C49">
        <w:t>Zhang, N., Dygert, N., Liang, Y., and Parmentier, E.M., 2017, The effect of ilmenite viscosity on the dynamics and evolution of an overturned lunar cumulate mantle: Geophysical Research Letters, v. 44, p. 6543–6552, doi:</w:t>
      </w:r>
      <w:hyperlink r:id="rId43" w:history="1">
        <w:r w:rsidRPr="00933C49">
          <w:rPr>
            <w:color w:val="0000FF"/>
            <w:u w:val="single"/>
          </w:rPr>
          <w:t>10.1002/2017GL073702</w:t>
        </w:r>
      </w:hyperlink>
      <w:r w:rsidRPr="00933C49">
        <w:t>.</w:t>
      </w:r>
    </w:p>
    <w:p w14:paraId="51EB4989" w14:textId="77777777" w:rsidR="002527A1" w:rsidRDefault="002527A1" w:rsidP="00CA08DF">
      <w:pPr>
        <w:spacing w:line="480" w:lineRule="auto"/>
        <w:rPr>
          <w:rStyle w:val="Strong"/>
          <w:b w:val="0"/>
          <w:bCs w:val="0"/>
        </w:rPr>
      </w:pPr>
    </w:p>
    <w:p w14:paraId="4EAB83AB" w14:textId="6AFB029E" w:rsidR="002527A1" w:rsidRDefault="002527A1" w:rsidP="00CA08DF">
      <w:pPr>
        <w:spacing w:line="480" w:lineRule="auto"/>
      </w:pPr>
    </w:p>
    <w:p w14:paraId="5142EADD" w14:textId="77777777" w:rsidR="00A20606" w:rsidRDefault="00A20606" w:rsidP="00CA08DF">
      <w:pPr>
        <w:spacing w:line="480" w:lineRule="auto"/>
      </w:pPr>
    </w:p>
    <w:p w14:paraId="2CEC7D5F" w14:textId="4A70FBF6" w:rsidR="00A20606" w:rsidRPr="00F50152" w:rsidRDefault="00A20606" w:rsidP="00F50152">
      <w:pPr>
        <w:rPr>
          <w:rStyle w:val="Strong"/>
          <w:b w:val="0"/>
          <w:bCs w:val="0"/>
        </w:rPr>
        <w:sectPr w:rsidR="00A20606" w:rsidRPr="00F50152" w:rsidSect="005D1C28">
          <w:pgSz w:w="12240" w:h="15840" w:code="1"/>
          <w:pgMar w:top="1440" w:right="1800" w:bottom="1872" w:left="1800" w:header="720" w:footer="1440" w:gutter="0"/>
          <w:pgNumType w:start="1"/>
          <w:cols w:space="720"/>
          <w:noEndnote/>
          <w:docGrid w:linePitch="360"/>
        </w:sectPr>
      </w:pPr>
    </w:p>
    <w:p w14:paraId="17CAA117" w14:textId="2F4195AC" w:rsidR="00236E6D" w:rsidRPr="00A21A6D" w:rsidRDefault="002F3782" w:rsidP="001F2E4E">
      <w:pPr>
        <w:pStyle w:val="Chapter"/>
      </w:pPr>
      <w:bookmarkStart w:id="19" w:name="_Toc182331722"/>
      <w:bookmarkStart w:id="20" w:name="_Toc182995448"/>
      <w:bookmarkStart w:id="21" w:name="_Toc183536549"/>
      <w:bookmarkStart w:id="22" w:name="_Toc184727352"/>
      <w:bookmarkStart w:id="23" w:name="_Toc185325600"/>
      <w:bookmarkEnd w:id="5"/>
      <w:bookmarkEnd w:id="6"/>
      <w:r w:rsidRPr="00A21A6D">
        <w:lastRenderedPageBreak/>
        <w:t>Experimental Insights into the Mineralogy and Melt-Rock Reactions Produced by Lunar Cumulate Mantle Overturn</w:t>
      </w:r>
      <w:bookmarkEnd w:id="19"/>
      <w:bookmarkEnd w:id="20"/>
      <w:bookmarkEnd w:id="21"/>
      <w:bookmarkEnd w:id="22"/>
      <w:bookmarkEnd w:id="23"/>
    </w:p>
    <w:p w14:paraId="5392B1D1" w14:textId="3EE6B9AA" w:rsidR="002F3782" w:rsidRPr="00A21A6D" w:rsidRDefault="002F3782" w:rsidP="002F3782">
      <w:r w:rsidRPr="00A21A6D">
        <w:br w:type="page"/>
      </w:r>
    </w:p>
    <w:p w14:paraId="52DC7506" w14:textId="77777777" w:rsidR="00CF78D5" w:rsidRDefault="002F3782" w:rsidP="00995E48">
      <w:pPr>
        <w:spacing w:line="480" w:lineRule="auto"/>
        <w:ind w:firstLine="720"/>
      </w:pPr>
      <w:r w:rsidRPr="002F3782">
        <w:lastRenderedPageBreak/>
        <w:t>A version of this Chapter was originally published by Jesse L. Scholpp and Nicholas</w:t>
      </w:r>
      <w:r w:rsidR="00332701">
        <w:t xml:space="preserve"> Dygert</w:t>
      </w:r>
      <w:r w:rsidR="00D23F21">
        <w:t>:</w:t>
      </w:r>
    </w:p>
    <w:p w14:paraId="473180DC" w14:textId="73962856" w:rsidR="00E71F26" w:rsidRDefault="00CF78D5" w:rsidP="00995E48">
      <w:pPr>
        <w:spacing w:line="480" w:lineRule="auto"/>
        <w:ind w:firstLine="720"/>
      </w:pPr>
      <w:r w:rsidRPr="00CF78D5">
        <w:t xml:space="preserve">Scholpp, J.L., and Dygert, N., 2024, Experimental insights into the mineralogy and melt-rock reactions produced by lunar cumulate mantle overturn: </w:t>
      </w:r>
      <w:r w:rsidRPr="00CF78D5">
        <w:rPr>
          <w:i/>
          <w:iCs/>
        </w:rPr>
        <w:t>Contributions to Mineralogy and Petrology, v. 179, p. 58,</w:t>
      </w:r>
      <w:r w:rsidRPr="00CF78D5">
        <w:t xml:space="preserve"> doi:</w:t>
      </w:r>
      <w:hyperlink r:id="rId44" w:history="1">
        <w:r w:rsidRPr="00CF78D5">
          <w:rPr>
            <w:color w:val="0000FF"/>
            <w:u w:val="single"/>
          </w:rPr>
          <w:t>10.1007/s00410-024-02134-z</w:t>
        </w:r>
      </w:hyperlink>
      <w:r w:rsidRPr="00CF78D5">
        <w:t>.</w:t>
      </w:r>
    </w:p>
    <w:p w14:paraId="2709DDB9" w14:textId="267D5E7D" w:rsidR="00192B32" w:rsidRDefault="00192B32" w:rsidP="00815E61">
      <w:pPr>
        <w:pStyle w:val="NonNumberedHeading2"/>
        <w:spacing w:line="480" w:lineRule="auto"/>
      </w:pPr>
      <w:bookmarkStart w:id="24" w:name="_Toc182331723"/>
      <w:bookmarkStart w:id="25" w:name="_Toc182995449"/>
      <w:bookmarkStart w:id="26" w:name="_Toc183536550"/>
      <w:bookmarkStart w:id="27" w:name="_Toc184727353"/>
      <w:bookmarkStart w:id="28" w:name="_Toc185325601"/>
      <w:r>
        <w:t>Abstract</w:t>
      </w:r>
      <w:bookmarkEnd w:id="24"/>
      <w:bookmarkEnd w:id="25"/>
      <w:bookmarkEnd w:id="26"/>
      <w:bookmarkEnd w:id="27"/>
      <w:bookmarkEnd w:id="28"/>
    </w:p>
    <w:p w14:paraId="28D912F1" w14:textId="3890D360" w:rsidR="007846D2" w:rsidRPr="003E4101" w:rsidRDefault="00D23F21" w:rsidP="00815E61">
      <w:pPr>
        <w:spacing w:line="480" w:lineRule="auto"/>
        <w:ind w:firstLine="720"/>
      </w:pPr>
      <w:r w:rsidRPr="00D23F21">
        <w:t>Hybridization of the lunar mantle during the overturn (sinking) of Fe- and Ti-rich ilmenite-bearing clinopyroxenite cumulates (IBC) in the lunar interior is called upon to explain the high TiO</w:t>
      </w:r>
      <w:r w:rsidRPr="00D23F21">
        <w:rPr>
          <w:vertAlign w:val="subscript"/>
        </w:rPr>
        <w:t>2</w:t>
      </w:r>
      <w:r w:rsidRPr="00D23F21">
        <w:t xml:space="preserve"> abundances of lunar basalts. Chemical reactions that occur after juxtaposition of IBC and mantle peridotite are poorly constrained. We experimentally investigated these reactions in experiments that adjoin an IBC glass against presynthesized dunite in a reaction couple at temperatures of 1100-1300</w:t>
      </w:r>
      <w:r w:rsidRPr="00D23F21">
        <w:rPr>
          <w:vertAlign w:val="superscript"/>
        </w:rPr>
        <w:t xml:space="preserve"> º</w:t>
      </w:r>
      <w:r w:rsidRPr="00D23F21">
        <w:t xml:space="preserve">C and pressures of 0.5-2.02 GPa for 0.33-31.66 hr. These conditions produced experiments near and well above the solidus temperature of the IBC. Near solidus experiments produce garnet in the IBC at 2 GPa. Supersolidus experiments exhibit dissolution of olivine material into the IBC melt and the formation of clinopyroxene at the IBC melt-dunite interface. Dunite dissolution is attributed to the olivine undersaturated composition of the IBC melt. In both near- and supersolidus experiments, compositional variations produced by solid-state diffusion across the IBC melt-dunite interface are observed. When pressure increases, temperature decreases, or IBC melts become closer to olivine saturation, dissolution slows, and the effects of solid-state diffusion in the dunite become more evident. Similar chemical exchange reactions would occur in the lunar mantle as </w:t>
      </w:r>
      <w:r w:rsidRPr="00D23F21">
        <w:lastRenderedPageBreak/>
        <w:t>downwelling IBC and lunar peridotites are juxtaposed by cumulate overturn. Hybridized lunar mantle sources are expected to contain 47-84% normative peridotite and 16-53% IBC. Simple numerical simulations suggest that in addition to dissolution-precipitation reactions, mechanical mixing may be required to produce volumetrically significant hybridized mantle sources over geologically-relevant timescales.</w:t>
      </w:r>
    </w:p>
    <w:p w14:paraId="7E2FA5B6" w14:textId="66329AF1" w:rsidR="007846D2" w:rsidRPr="007846D2" w:rsidRDefault="007846D2" w:rsidP="002F7368">
      <w:pPr>
        <w:pStyle w:val="Heading2"/>
      </w:pPr>
      <w:bookmarkStart w:id="29" w:name="_Toc182331724"/>
      <w:bookmarkStart w:id="30" w:name="_Toc182995450"/>
      <w:bookmarkStart w:id="31" w:name="_Toc183536551"/>
      <w:bookmarkStart w:id="32" w:name="_Toc184727354"/>
      <w:bookmarkStart w:id="33" w:name="_Toc185325602"/>
      <w:r w:rsidRPr="007846D2">
        <w:t>Introduction</w:t>
      </w:r>
      <w:bookmarkEnd w:id="29"/>
      <w:bookmarkEnd w:id="30"/>
      <w:bookmarkEnd w:id="31"/>
      <w:bookmarkEnd w:id="32"/>
      <w:bookmarkEnd w:id="33"/>
    </w:p>
    <w:p w14:paraId="38BA562A" w14:textId="0BCD33C2" w:rsidR="00A278A8" w:rsidRPr="007F2D9E" w:rsidRDefault="00A278A8" w:rsidP="00172F34">
      <w:pPr>
        <w:spacing w:line="480" w:lineRule="auto"/>
        <w:ind w:firstLine="720"/>
        <w:rPr>
          <w:color w:val="000000" w:themeColor="text1"/>
        </w:rPr>
      </w:pPr>
      <w:r w:rsidRPr="007F2D9E">
        <w:rPr>
          <w:color w:val="000000" w:themeColor="text1"/>
        </w:rPr>
        <w:t>The origin and formation mechanisms of lunar mare basalt and picritic glass mantle sources have been debated since analysis of Apollo returned samples revealed that the basalts exhibit variable TiO</w:t>
      </w:r>
      <w:r w:rsidRPr="007F2D9E">
        <w:rPr>
          <w:color w:val="000000" w:themeColor="text1"/>
          <w:vertAlign w:val="subscript"/>
        </w:rPr>
        <w:t>2</w:t>
      </w:r>
      <w:r w:rsidRPr="007F2D9E">
        <w:rPr>
          <w:color w:val="000000" w:themeColor="text1"/>
        </w:rPr>
        <w:t xml:space="preserve"> and REE concentrations with a wide range of Mg#s (Mg# = (molar Mg/(Mg+Fe))x100) (Delano</w:t>
      </w:r>
      <w:r w:rsidR="00B14D97">
        <w:rPr>
          <w:color w:val="000000" w:themeColor="text1"/>
        </w:rPr>
        <w:t>,</w:t>
      </w:r>
      <w:r w:rsidRPr="007F2D9E">
        <w:rPr>
          <w:color w:val="000000" w:themeColor="text1"/>
        </w:rPr>
        <w:t xml:space="preserve"> 1986; Haskin and Warren</w:t>
      </w:r>
      <w:r w:rsidR="00B14D97">
        <w:rPr>
          <w:color w:val="000000" w:themeColor="text1"/>
        </w:rPr>
        <w:t>,</w:t>
      </w:r>
      <w:r w:rsidRPr="007F2D9E">
        <w:rPr>
          <w:color w:val="000000" w:themeColor="text1"/>
        </w:rPr>
        <w:t xml:space="preserve"> 1991; Shearer </w:t>
      </w:r>
      <w:r w:rsidR="008F5CFC">
        <w:rPr>
          <w:color w:val="000000" w:themeColor="text1"/>
        </w:rPr>
        <w:t>et al., 19</w:t>
      </w:r>
      <w:r w:rsidRPr="007F2D9E">
        <w:rPr>
          <w:color w:val="000000" w:themeColor="text1"/>
        </w:rPr>
        <w:t>91; Shearer and Papike</w:t>
      </w:r>
      <w:r w:rsidR="00B14D97">
        <w:rPr>
          <w:color w:val="000000" w:themeColor="text1"/>
        </w:rPr>
        <w:t>,</w:t>
      </w:r>
      <w:r w:rsidRPr="007F2D9E">
        <w:rPr>
          <w:color w:val="000000" w:themeColor="text1"/>
        </w:rPr>
        <w:t xml:space="preserve"> 1993; Papike </w:t>
      </w:r>
      <w:r w:rsidR="008F5CFC">
        <w:rPr>
          <w:color w:val="000000" w:themeColor="text1"/>
        </w:rPr>
        <w:t>et al., 19</w:t>
      </w:r>
      <w:r w:rsidRPr="007F2D9E">
        <w:rPr>
          <w:color w:val="000000" w:themeColor="text1"/>
        </w:rPr>
        <w:t>98; Neal</w:t>
      </w:r>
      <w:r w:rsidR="00B14D97">
        <w:rPr>
          <w:color w:val="000000" w:themeColor="text1"/>
        </w:rPr>
        <w:t>,</w:t>
      </w:r>
      <w:r w:rsidRPr="007F2D9E">
        <w:rPr>
          <w:color w:val="000000" w:themeColor="text1"/>
        </w:rPr>
        <w:t xml:space="preserve"> 2001; Shearer </w:t>
      </w:r>
      <w:r w:rsidR="008F5CFC">
        <w:rPr>
          <w:color w:val="000000" w:themeColor="text1"/>
        </w:rPr>
        <w:t>et al., 20</w:t>
      </w:r>
      <w:r w:rsidRPr="007F2D9E">
        <w:rPr>
          <w:color w:val="000000" w:themeColor="text1"/>
        </w:rPr>
        <w:t xml:space="preserve">15). This chemical variation is attributed to the chemical diversity of lunar mantle sources (e.g., Lucey </w:t>
      </w:r>
      <w:r w:rsidR="008F5CFC">
        <w:rPr>
          <w:color w:val="000000" w:themeColor="text1"/>
        </w:rPr>
        <w:t>et al., 19</w:t>
      </w:r>
      <w:r w:rsidRPr="007F2D9E">
        <w:rPr>
          <w:color w:val="000000" w:themeColor="text1"/>
        </w:rPr>
        <w:t xml:space="preserve">98; Giguere </w:t>
      </w:r>
      <w:r w:rsidR="008F5CFC">
        <w:rPr>
          <w:color w:val="000000" w:themeColor="text1"/>
        </w:rPr>
        <w:t>et al., 20</w:t>
      </w:r>
      <w:r w:rsidRPr="007F2D9E">
        <w:rPr>
          <w:color w:val="000000" w:themeColor="text1"/>
        </w:rPr>
        <w:t xml:space="preserve">00; Shearer </w:t>
      </w:r>
      <w:r w:rsidR="008F5CFC">
        <w:rPr>
          <w:color w:val="000000" w:themeColor="text1"/>
        </w:rPr>
        <w:t>et al., 20</w:t>
      </w:r>
      <w:r w:rsidRPr="007F2D9E">
        <w:rPr>
          <w:color w:val="000000" w:themeColor="text1"/>
        </w:rPr>
        <w:t xml:space="preserve">15). Lunar mantle sources may have formed after solidification of a lunar magma ocean (LMO), which would produce layers of mafic cumulates (olivine and then olivine and orthopyroxene) beneath clinopyroxene and ilmenite-bearing cumulates of more evolved residual magma ocean liquids. Despite the mineralogical diversity of these LMO cumulate layers, they individually cannot explain the compositions of many mare basalt sources (Snyder </w:t>
      </w:r>
      <w:r w:rsidR="008F5CFC">
        <w:rPr>
          <w:color w:val="000000" w:themeColor="text1"/>
        </w:rPr>
        <w:t>et al., 19</w:t>
      </w:r>
      <w:r w:rsidRPr="007F2D9E">
        <w:rPr>
          <w:color w:val="000000" w:themeColor="text1"/>
        </w:rPr>
        <w:t xml:space="preserve">92; Elardo </w:t>
      </w:r>
      <w:r w:rsidR="008F5CFC">
        <w:rPr>
          <w:color w:val="000000" w:themeColor="text1"/>
        </w:rPr>
        <w:t>et al., 20</w:t>
      </w:r>
      <w:r w:rsidRPr="007F2D9E">
        <w:rPr>
          <w:color w:val="000000" w:themeColor="text1"/>
        </w:rPr>
        <w:t xml:space="preserve">11; Elkins-Tanton </w:t>
      </w:r>
      <w:r w:rsidR="008F5CFC">
        <w:rPr>
          <w:color w:val="000000" w:themeColor="text1"/>
        </w:rPr>
        <w:t>et al., 20</w:t>
      </w:r>
      <w:r w:rsidRPr="007F2D9E">
        <w:rPr>
          <w:color w:val="000000" w:themeColor="text1"/>
        </w:rPr>
        <w:t xml:space="preserve">11; Lin </w:t>
      </w:r>
      <w:r w:rsidR="008F5CFC">
        <w:rPr>
          <w:color w:val="000000" w:themeColor="text1"/>
        </w:rPr>
        <w:t>et al., 20</w:t>
      </w:r>
      <w:r w:rsidRPr="007F2D9E">
        <w:rPr>
          <w:color w:val="000000" w:themeColor="text1"/>
        </w:rPr>
        <w:t xml:space="preserve">17; Charlier </w:t>
      </w:r>
      <w:r w:rsidR="008F5CFC">
        <w:rPr>
          <w:color w:val="000000" w:themeColor="text1"/>
        </w:rPr>
        <w:t>et al., 20</w:t>
      </w:r>
      <w:r w:rsidRPr="007F2D9E">
        <w:rPr>
          <w:color w:val="000000" w:themeColor="text1"/>
        </w:rPr>
        <w:t xml:space="preserve">18). Thus, a post-LMO solidification mantle hybridization mechanism is invoked to effectively mix shallow and deep magma ocean cumulates to account for the mare basalt and picritic glass chemical compositions (Hess and Parmentier, 1995; Singletary and </w:t>
      </w:r>
      <w:r w:rsidRPr="007F2D9E">
        <w:rPr>
          <w:color w:val="000000" w:themeColor="text1"/>
        </w:rPr>
        <w:lastRenderedPageBreak/>
        <w:t>Grove</w:t>
      </w:r>
      <w:r w:rsidR="00B14D97">
        <w:rPr>
          <w:color w:val="000000" w:themeColor="text1"/>
        </w:rPr>
        <w:t>,</w:t>
      </w:r>
      <w:r w:rsidRPr="007F2D9E">
        <w:rPr>
          <w:color w:val="000000" w:themeColor="text1"/>
        </w:rPr>
        <w:t xml:space="preserve"> 2008; Thacker </w:t>
      </w:r>
      <w:r w:rsidR="008F5CFC">
        <w:rPr>
          <w:color w:val="000000" w:themeColor="text1"/>
        </w:rPr>
        <w:t>et al., 20</w:t>
      </w:r>
      <w:r w:rsidRPr="007F2D9E">
        <w:rPr>
          <w:color w:val="000000" w:themeColor="text1"/>
        </w:rPr>
        <w:t>09; Yao and Liang</w:t>
      </w:r>
      <w:r w:rsidR="00B14D97">
        <w:rPr>
          <w:color w:val="000000" w:themeColor="text1"/>
        </w:rPr>
        <w:t>,</w:t>
      </w:r>
      <w:r w:rsidRPr="007F2D9E">
        <w:rPr>
          <w:color w:val="000000" w:themeColor="text1"/>
        </w:rPr>
        <w:t xml:space="preserve"> 2012; Mallik </w:t>
      </w:r>
      <w:r w:rsidR="008F5CFC">
        <w:rPr>
          <w:color w:val="000000" w:themeColor="text1"/>
        </w:rPr>
        <w:t>et al., 20</w:t>
      </w:r>
      <w:r w:rsidRPr="007F2D9E">
        <w:rPr>
          <w:color w:val="000000" w:themeColor="text1"/>
        </w:rPr>
        <w:t>19). This work explores processes that control mantle hybridization inferred to produce lunar basalt sources.</w:t>
      </w:r>
    </w:p>
    <w:p w14:paraId="5F886B0A" w14:textId="32445F43" w:rsidR="00A278A8" w:rsidRPr="007F2D9E" w:rsidRDefault="00A278A8" w:rsidP="00172F34">
      <w:pPr>
        <w:spacing w:line="480" w:lineRule="auto"/>
        <w:ind w:firstLine="720"/>
        <w:rPr>
          <w:color w:val="000000" w:themeColor="text1"/>
        </w:rPr>
      </w:pPr>
      <w:r w:rsidRPr="007F2D9E">
        <w:rPr>
          <w:color w:val="000000" w:themeColor="text1"/>
        </w:rPr>
        <w:t xml:space="preserve">Magma ocean crystallization experiments testing a bulk Moon with an LPUM-like composition show consistent trends during magma ocean solidification with olivine as the initial crystallizing phase (Elardo </w:t>
      </w:r>
      <w:r w:rsidR="008F5CFC">
        <w:rPr>
          <w:color w:val="000000" w:themeColor="text1"/>
        </w:rPr>
        <w:t>et al., 20</w:t>
      </w:r>
      <w:r w:rsidRPr="007F2D9E">
        <w:rPr>
          <w:color w:val="000000" w:themeColor="text1"/>
        </w:rPr>
        <w:t xml:space="preserve">11; Elkins-Tanton </w:t>
      </w:r>
      <w:r w:rsidR="008F5CFC">
        <w:rPr>
          <w:color w:val="000000" w:themeColor="text1"/>
        </w:rPr>
        <w:t>et al., 20</w:t>
      </w:r>
      <w:r w:rsidRPr="007F2D9E">
        <w:rPr>
          <w:color w:val="000000" w:themeColor="text1"/>
        </w:rPr>
        <w:t xml:space="preserve">11; Lin </w:t>
      </w:r>
      <w:r w:rsidR="008F5CFC">
        <w:rPr>
          <w:color w:val="000000" w:themeColor="text1"/>
        </w:rPr>
        <w:t>et al., 20</w:t>
      </w:r>
      <w:r w:rsidRPr="007F2D9E">
        <w:rPr>
          <w:color w:val="000000" w:themeColor="text1"/>
        </w:rPr>
        <w:t xml:space="preserve">17; Charlier </w:t>
      </w:r>
      <w:r w:rsidR="008F5CFC">
        <w:rPr>
          <w:color w:val="000000" w:themeColor="text1"/>
        </w:rPr>
        <w:t>et al., 20</w:t>
      </w:r>
      <w:r w:rsidRPr="007F2D9E">
        <w:rPr>
          <w:color w:val="000000" w:themeColor="text1"/>
        </w:rPr>
        <w:t>18; Rapp and Draper</w:t>
      </w:r>
      <w:r w:rsidR="00B14D97">
        <w:rPr>
          <w:color w:val="000000" w:themeColor="text1"/>
        </w:rPr>
        <w:t>,</w:t>
      </w:r>
      <w:r w:rsidRPr="007F2D9E">
        <w:rPr>
          <w:color w:val="000000" w:themeColor="text1"/>
        </w:rPr>
        <w:t xml:space="preserve"> 2018). This is followed by olivine (Ol) and orthopyroxene (Opx) as the SiO</w:t>
      </w:r>
      <w:r w:rsidRPr="007F2D9E">
        <w:rPr>
          <w:color w:val="000000" w:themeColor="text1"/>
          <w:vertAlign w:val="subscript"/>
        </w:rPr>
        <w:t>2</w:t>
      </w:r>
      <w:r w:rsidRPr="007F2D9E">
        <w:rPr>
          <w:color w:val="000000" w:themeColor="text1"/>
        </w:rPr>
        <w:t xml:space="preserve"> concentration in the melt increases (Elkins-Tanton </w:t>
      </w:r>
      <w:r w:rsidR="008F5CFC">
        <w:rPr>
          <w:color w:val="000000" w:themeColor="text1"/>
        </w:rPr>
        <w:t>et al., 20</w:t>
      </w:r>
      <w:r w:rsidRPr="007F2D9E">
        <w:rPr>
          <w:color w:val="000000" w:themeColor="text1"/>
        </w:rPr>
        <w:t xml:space="preserve">11; Charlier </w:t>
      </w:r>
      <w:r w:rsidR="008F5CFC">
        <w:rPr>
          <w:color w:val="000000" w:themeColor="text1"/>
        </w:rPr>
        <w:t>et al., 20</w:t>
      </w:r>
      <w:r w:rsidRPr="007F2D9E">
        <w:rPr>
          <w:color w:val="000000" w:themeColor="text1"/>
        </w:rPr>
        <w:t xml:space="preserve">18). At 60-70% crystallization of the magma ocean, high-Ca pyroxene (i.e., pigeonite and augite) and plagioclase (i.e., anorthite) become saturated. Since plagioclase is less dense than the melt from which it crystallized, it will float to the top of the LMO and form an anorthosite crust (Wood </w:t>
      </w:r>
      <w:r w:rsidR="008F5CFC">
        <w:rPr>
          <w:color w:val="000000" w:themeColor="text1"/>
        </w:rPr>
        <w:t>et al., 19</w:t>
      </w:r>
      <w:r w:rsidRPr="007F2D9E">
        <w:rPr>
          <w:color w:val="000000" w:themeColor="text1"/>
        </w:rPr>
        <w:t>70; Walker and Hays</w:t>
      </w:r>
      <w:r w:rsidR="00B14D97">
        <w:rPr>
          <w:color w:val="000000" w:themeColor="text1"/>
        </w:rPr>
        <w:t>,</w:t>
      </w:r>
      <w:r w:rsidRPr="007F2D9E">
        <w:rPr>
          <w:color w:val="000000" w:themeColor="text1"/>
        </w:rPr>
        <w:t xml:space="preserve"> 1977; Dygert </w:t>
      </w:r>
      <w:r w:rsidR="008F5CFC">
        <w:rPr>
          <w:color w:val="000000" w:themeColor="text1"/>
        </w:rPr>
        <w:t>et al., 20</w:t>
      </w:r>
      <w:r w:rsidRPr="007F2D9E">
        <w:rPr>
          <w:color w:val="000000" w:themeColor="text1"/>
        </w:rPr>
        <w:t>17). Ilmenite (FeTiO</w:t>
      </w:r>
      <w:r w:rsidRPr="007F2D9E">
        <w:rPr>
          <w:color w:val="000000" w:themeColor="text1"/>
          <w:vertAlign w:val="subscript"/>
        </w:rPr>
        <w:t>3</w:t>
      </w:r>
      <w:r w:rsidRPr="007F2D9E">
        <w:rPr>
          <w:color w:val="000000" w:themeColor="text1"/>
        </w:rPr>
        <w:t>) and possibly other Fe-Ti oxides (e.g., Ulvöspinel (TiFe</w:t>
      </w:r>
      <w:r w:rsidRPr="007F2D9E">
        <w:rPr>
          <w:color w:val="000000" w:themeColor="text1"/>
          <w:vertAlign w:val="subscript"/>
        </w:rPr>
        <w:t>2</w:t>
      </w:r>
      <w:r w:rsidRPr="007F2D9E">
        <w:rPr>
          <w:color w:val="000000" w:themeColor="text1"/>
        </w:rPr>
        <w:t>O</w:t>
      </w:r>
      <w:r w:rsidRPr="007F2D9E">
        <w:rPr>
          <w:color w:val="000000" w:themeColor="text1"/>
          <w:vertAlign w:val="subscript"/>
        </w:rPr>
        <w:t>4</w:t>
      </w:r>
      <w:r w:rsidRPr="007F2D9E">
        <w:rPr>
          <w:color w:val="000000" w:themeColor="text1"/>
        </w:rPr>
        <w:t>), Armalcolite ((Mg,Fe)Ti</w:t>
      </w:r>
      <w:r w:rsidRPr="007F2D9E">
        <w:rPr>
          <w:color w:val="000000" w:themeColor="text1"/>
          <w:vertAlign w:val="subscript"/>
        </w:rPr>
        <w:t>2</w:t>
      </w:r>
      <w:r w:rsidRPr="007F2D9E">
        <w:rPr>
          <w:color w:val="000000" w:themeColor="text1"/>
        </w:rPr>
        <w:t>O</w:t>
      </w:r>
      <w:r w:rsidRPr="007F2D9E">
        <w:rPr>
          <w:color w:val="000000" w:themeColor="text1"/>
          <w:vertAlign w:val="subscript"/>
        </w:rPr>
        <w:t>5</w:t>
      </w:r>
      <w:r w:rsidRPr="007F2D9E">
        <w:rPr>
          <w:color w:val="000000" w:themeColor="text1"/>
        </w:rPr>
        <w:t xml:space="preserve">)) begin to crystallize at 90-95% magma ocean solidification and likely continue to precipitate until the end of magma ocean solidification (Elkins-Tanton </w:t>
      </w:r>
      <w:r w:rsidR="008F5CFC">
        <w:rPr>
          <w:color w:val="000000" w:themeColor="text1"/>
        </w:rPr>
        <w:t>et al., 20</w:t>
      </w:r>
      <w:r w:rsidRPr="007F2D9E">
        <w:rPr>
          <w:color w:val="000000" w:themeColor="text1"/>
        </w:rPr>
        <w:t xml:space="preserve">11; Lin </w:t>
      </w:r>
      <w:r w:rsidR="008F5CFC">
        <w:rPr>
          <w:color w:val="000000" w:themeColor="text1"/>
        </w:rPr>
        <w:t>et al., 20</w:t>
      </w:r>
      <w:r w:rsidRPr="007F2D9E">
        <w:rPr>
          <w:color w:val="000000" w:themeColor="text1"/>
        </w:rPr>
        <w:t xml:space="preserve">17; Charlier </w:t>
      </w:r>
      <w:r w:rsidR="008F5CFC">
        <w:rPr>
          <w:color w:val="000000" w:themeColor="text1"/>
        </w:rPr>
        <w:t>et al., 20</w:t>
      </w:r>
      <w:r w:rsidRPr="007F2D9E">
        <w:rPr>
          <w:color w:val="000000" w:themeColor="text1"/>
        </w:rPr>
        <w:t xml:space="preserve">18). Although high-pressure crystallization experiments with TWM-like starting compositions have produced garnet as an LMO cumulate (Elardo </w:t>
      </w:r>
      <w:r w:rsidR="008F5CFC">
        <w:rPr>
          <w:color w:val="000000" w:themeColor="text1"/>
        </w:rPr>
        <w:t>et al., 20</w:t>
      </w:r>
      <w:r w:rsidRPr="007F2D9E">
        <w:rPr>
          <w:color w:val="000000" w:themeColor="text1"/>
        </w:rPr>
        <w:t xml:space="preserve">11; Jing </w:t>
      </w:r>
      <w:r w:rsidR="008F5CFC">
        <w:rPr>
          <w:color w:val="000000" w:themeColor="text1"/>
        </w:rPr>
        <w:t>et al., 20</w:t>
      </w:r>
      <w:r w:rsidRPr="007F2D9E">
        <w:rPr>
          <w:color w:val="000000" w:themeColor="text1"/>
        </w:rPr>
        <w:t xml:space="preserve">22, Kraettli </w:t>
      </w:r>
      <w:r w:rsidR="008F5CFC">
        <w:rPr>
          <w:color w:val="000000" w:themeColor="text1"/>
        </w:rPr>
        <w:t>et al., 20</w:t>
      </w:r>
      <w:r w:rsidRPr="007F2D9E">
        <w:rPr>
          <w:color w:val="000000" w:themeColor="text1"/>
        </w:rPr>
        <w:t xml:space="preserve">22), garnet has not been observed in crystallization experiments assuming an LPUM-like bulk Moon composition regardless of the pressure. Thus, if we assume the LMO had an LPUM-like composition, garnet is likely to have been absent from the initial magma ocean cumulates. </w:t>
      </w:r>
    </w:p>
    <w:p w14:paraId="0F7F3A0C" w14:textId="4270AF83" w:rsidR="00A278A8" w:rsidRPr="007F2D9E" w:rsidRDefault="00A278A8" w:rsidP="00172F34">
      <w:pPr>
        <w:spacing w:line="480" w:lineRule="auto"/>
        <w:ind w:firstLine="720"/>
        <w:rPr>
          <w:color w:val="000000" w:themeColor="text1"/>
        </w:rPr>
      </w:pPr>
      <w:r w:rsidRPr="007F2D9E">
        <w:rPr>
          <w:color w:val="000000" w:themeColor="text1"/>
        </w:rPr>
        <w:lastRenderedPageBreak/>
        <w:t xml:space="preserve">Mineral stratification in the post-LMO cumulate mantle is controlled by the phase saturation sequence and phase density due to fractional crystallization of the solidifying LMO. After LMO solidification, the Moon is thought to have had an olivine-rich dunite surrounding the core, harzburgite above the dunite layer, a clinopyroxene- (Cpx) and ilmenite-bearing cumulate (IBC) atop the harzburgite, and an incompatible element enriched (i.e., KREEP- Potassium, Rare Earth Element, and Phosphorous) residual melt region or cumulate near or above the IBC layer, all beneath an anorthosite crust (Snyder </w:t>
      </w:r>
      <w:r w:rsidR="008F5CFC">
        <w:rPr>
          <w:color w:val="000000" w:themeColor="text1"/>
        </w:rPr>
        <w:t>et al., 19</w:t>
      </w:r>
      <w:r w:rsidRPr="007F2D9E">
        <w:rPr>
          <w:color w:val="000000" w:themeColor="text1"/>
        </w:rPr>
        <w:t>92; Hess and Parmentier</w:t>
      </w:r>
      <w:r w:rsidR="00B14D97">
        <w:rPr>
          <w:color w:val="000000" w:themeColor="text1"/>
        </w:rPr>
        <w:t>,</w:t>
      </w:r>
      <w:r w:rsidRPr="007F2D9E">
        <w:rPr>
          <w:color w:val="000000" w:themeColor="text1"/>
        </w:rPr>
        <w:t xml:space="preserve"> 1995; Elkins-Tanton </w:t>
      </w:r>
      <w:r w:rsidR="008F5CFC">
        <w:rPr>
          <w:color w:val="000000" w:themeColor="text1"/>
        </w:rPr>
        <w:t>et al., 20</w:t>
      </w:r>
      <w:r w:rsidRPr="007F2D9E">
        <w:rPr>
          <w:color w:val="000000" w:themeColor="text1"/>
        </w:rPr>
        <w:t xml:space="preserve">11, 2012; Dygert </w:t>
      </w:r>
      <w:r w:rsidR="008F5CFC">
        <w:rPr>
          <w:color w:val="000000" w:themeColor="text1"/>
        </w:rPr>
        <w:t>et al., 20</w:t>
      </w:r>
      <w:r w:rsidRPr="007F2D9E">
        <w:rPr>
          <w:color w:val="000000" w:themeColor="text1"/>
        </w:rPr>
        <w:t>17, Rapp and Draper</w:t>
      </w:r>
      <w:r w:rsidR="00327406">
        <w:rPr>
          <w:color w:val="000000" w:themeColor="text1"/>
        </w:rPr>
        <w:t>,</w:t>
      </w:r>
      <w:r w:rsidRPr="007F2D9E">
        <w:rPr>
          <w:color w:val="000000" w:themeColor="text1"/>
        </w:rPr>
        <w:t xml:space="preserve"> 2018). The late, shallow precipitation of dense IBC produces a gravitationally unstable lunar mantle stratigraphy, with less dense ilmenite-free cumulates beneath the dense IBC (for reference, ilmenite is ~4720 kg/m</w:t>
      </w:r>
      <w:r w:rsidRPr="007F2D9E">
        <w:rPr>
          <w:color w:val="000000" w:themeColor="text1"/>
          <w:vertAlign w:val="superscript"/>
        </w:rPr>
        <w:t>3</w:t>
      </w:r>
      <w:r w:rsidRPr="007F2D9E">
        <w:rPr>
          <w:color w:val="000000" w:themeColor="text1"/>
        </w:rPr>
        <w:t>, magnesian olivine is ~3400 kg/m</w:t>
      </w:r>
      <w:r w:rsidRPr="007F2D9E">
        <w:rPr>
          <w:color w:val="000000" w:themeColor="text1"/>
          <w:vertAlign w:val="superscript"/>
        </w:rPr>
        <w:t>3</w:t>
      </w:r>
      <w:r w:rsidRPr="007F2D9E">
        <w:rPr>
          <w:color w:val="000000" w:themeColor="text1"/>
        </w:rPr>
        <w:t>, magnesian orthopyroxene is ~3300 kg/m</w:t>
      </w:r>
      <w:r w:rsidRPr="007F2D9E">
        <w:rPr>
          <w:color w:val="000000" w:themeColor="text1"/>
          <w:vertAlign w:val="superscript"/>
        </w:rPr>
        <w:t>3</w:t>
      </w:r>
      <w:r w:rsidRPr="007F2D9E">
        <w:rPr>
          <w:color w:val="000000" w:themeColor="text1"/>
        </w:rPr>
        <w:t xml:space="preserve"> at atmospheric pressure) (Snyder </w:t>
      </w:r>
      <w:r w:rsidR="008F5CFC">
        <w:rPr>
          <w:color w:val="000000" w:themeColor="text1"/>
        </w:rPr>
        <w:t>et al., 19</w:t>
      </w:r>
      <w:r w:rsidRPr="007F2D9E">
        <w:rPr>
          <w:color w:val="000000" w:themeColor="text1"/>
        </w:rPr>
        <w:t>92; Hess and Parmentier</w:t>
      </w:r>
      <w:r w:rsidR="00327406">
        <w:rPr>
          <w:color w:val="000000" w:themeColor="text1"/>
        </w:rPr>
        <w:t>,</w:t>
      </w:r>
      <w:r w:rsidRPr="007F2D9E">
        <w:rPr>
          <w:color w:val="000000" w:themeColor="text1"/>
        </w:rPr>
        <w:t xml:space="preserve"> 1995; Elkins-Tanton </w:t>
      </w:r>
      <w:r w:rsidR="008F5CFC">
        <w:rPr>
          <w:color w:val="000000" w:themeColor="text1"/>
        </w:rPr>
        <w:t>et al., 20</w:t>
      </w:r>
      <w:r w:rsidRPr="007F2D9E">
        <w:rPr>
          <w:color w:val="000000" w:themeColor="text1"/>
        </w:rPr>
        <w:t xml:space="preserve">11; Zhang </w:t>
      </w:r>
      <w:r w:rsidR="008F5CFC">
        <w:rPr>
          <w:color w:val="000000" w:themeColor="text1"/>
        </w:rPr>
        <w:t>et al., 20</w:t>
      </w:r>
      <w:r w:rsidRPr="007F2D9E">
        <w:rPr>
          <w:color w:val="000000" w:themeColor="text1"/>
        </w:rPr>
        <w:t xml:space="preserve">17; Li </w:t>
      </w:r>
      <w:r w:rsidR="008F5CFC">
        <w:rPr>
          <w:color w:val="000000" w:themeColor="text1"/>
        </w:rPr>
        <w:t>et al., 20</w:t>
      </w:r>
      <w:r w:rsidRPr="007F2D9E">
        <w:rPr>
          <w:color w:val="000000" w:themeColor="text1"/>
        </w:rPr>
        <w:t xml:space="preserve">19). Elkins-Tanton et al. (2002) argue the overturn of solidified IBC is unlikely given the viscosities and temperatures of mantle cumulates, and other studies argued it might be inefficient owing to the IBC viscosity (Zhao et al., 2019), but recent studies that account for the low viscosity of ilmenite relative to lunar mantle silicates (Dygert </w:t>
      </w:r>
      <w:r w:rsidR="008F5CFC">
        <w:rPr>
          <w:color w:val="000000" w:themeColor="text1"/>
        </w:rPr>
        <w:t>et al., 20</w:t>
      </w:r>
      <w:r w:rsidRPr="007F2D9E">
        <w:rPr>
          <w:color w:val="000000" w:themeColor="text1"/>
        </w:rPr>
        <w:t xml:space="preserve">16; Tokle et al., 2021), suggest that the gravitationally unstable stratigraphy would have resulted in cumulate overturn (Zhang </w:t>
      </w:r>
      <w:r w:rsidR="008F5CFC">
        <w:rPr>
          <w:color w:val="000000" w:themeColor="text1"/>
        </w:rPr>
        <w:t>et al., 20</w:t>
      </w:r>
      <w:r w:rsidRPr="007F2D9E">
        <w:rPr>
          <w:color w:val="000000" w:themeColor="text1"/>
        </w:rPr>
        <w:t xml:space="preserve">17; Li </w:t>
      </w:r>
      <w:r w:rsidR="008F5CFC">
        <w:rPr>
          <w:color w:val="000000" w:themeColor="text1"/>
        </w:rPr>
        <w:t>et al., 20</w:t>
      </w:r>
      <w:r w:rsidRPr="007F2D9E">
        <w:rPr>
          <w:color w:val="000000" w:themeColor="text1"/>
        </w:rPr>
        <w:t xml:space="preserve">19; Maurice </w:t>
      </w:r>
      <w:r w:rsidR="008F5CFC">
        <w:rPr>
          <w:color w:val="000000" w:themeColor="text1"/>
        </w:rPr>
        <w:t>et al., 20</w:t>
      </w:r>
      <w:r w:rsidRPr="007F2D9E">
        <w:rPr>
          <w:color w:val="000000" w:themeColor="text1"/>
        </w:rPr>
        <w:t xml:space="preserve">24). These recent studies indicate that dense shallow cumulates flow into the deep lunar interior as viscous solids, perhaps after progressive thickening of the IBC layer by downwelling of </w:t>
      </w:r>
      <w:r w:rsidR="00F400F2" w:rsidRPr="007F2D9E">
        <w:rPr>
          <w:color w:val="000000" w:themeColor="text1"/>
        </w:rPr>
        <w:t>small-scale</w:t>
      </w:r>
      <w:r w:rsidRPr="007F2D9E">
        <w:rPr>
          <w:color w:val="000000" w:themeColor="text1"/>
        </w:rPr>
        <w:t xml:space="preserve"> IBC instabilities into the underlying mantle (Hess and </w:t>
      </w:r>
      <w:r w:rsidRPr="007F2D9E">
        <w:rPr>
          <w:color w:val="000000" w:themeColor="text1"/>
        </w:rPr>
        <w:lastRenderedPageBreak/>
        <w:t xml:space="preserve">Parmentier, 1995; Li et al., 2019). The overturn of IBC into the lunar mantle would juxtapose sinking IBC against deep mafic mantle cumulates, where mechanical mixing or chemical reactions could generate hybridized mantle sources. </w:t>
      </w:r>
    </w:p>
    <w:p w14:paraId="1EE2A8EA" w14:textId="3734087A" w:rsidR="00A278A8" w:rsidRPr="007F2D9E" w:rsidRDefault="00A278A8" w:rsidP="00172F34">
      <w:pPr>
        <w:spacing w:line="480" w:lineRule="auto"/>
        <w:ind w:firstLine="720"/>
        <w:rPr>
          <w:color w:val="000000" w:themeColor="text1"/>
        </w:rPr>
      </w:pPr>
      <w:r w:rsidRPr="007F2D9E">
        <w:rPr>
          <w:color w:val="000000" w:themeColor="text1"/>
        </w:rPr>
        <w:t>Although multiple lunar basalt formation mechanisms have been proposed (e.g., Hubbard and Minear, 1975), mantle hybridization is considered a capable mechanism for forming sources of high-Ti lunar basalts and picritic glasses (Ringwood and Kesson</w:t>
      </w:r>
      <w:r w:rsidR="00B14D97">
        <w:rPr>
          <w:color w:val="000000" w:themeColor="text1"/>
        </w:rPr>
        <w:t>,</w:t>
      </w:r>
      <w:r w:rsidRPr="007F2D9E">
        <w:rPr>
          <w:color w:val="000000" w:themeColor="text1"/>
        </w:rPr>
        <w:t xml:space="preserve"> 1976; Hess and Parmentier</w:t>
      </w:r>
      <w:r w:rsidR="00B14D97">
        <w:rPr>
          <w:color w:val="000000" w:themeColor="text1"/>
        </w:rPr>
        <w:t>,</w:t>
      </w:r>
      <w:r w:rsidRPr="007F2D9E">
        <w:rPr>
          <w:color w:val="000000" w:themeColor="text1"/>
        </w:rPr>
        <w:t xml:space="preserve"> 1995; Wagner and Grove</w:t>
      </w:r>
      <w:r w:rsidR="00B14D97">
        <w:rPr>
          <w:color w:val="000000" w:themeColor="text1"/>
        </w:rPr>
        <w:t>,</w:t>
      </w:r>
      <w:r w:rsidRPr="007F2D9E">
        <w:rPr>
          <w:color w:val="000000" w:themeColor="text1"/>
        </w:rPr>
        <w:t xml:space="preserve"> 1997; Van Orman and Grove</w:t>
      </w:r>
      <w:r w:rsidR="00B14D97">
        <w:rPr>
          <w:color w:val="000000" w:themeColor="text1"/>
        </w:rPr>
        <w:t>,</w:t>
      </w:r>
      <w:r w:rsidRPr="007F2D9E">
        <w:rPr>
          <w:color w:val="000000" w:themeColor="text1"/>
        </w:rPr>
        <w:t xml:space="preserve"> 2000; Elkins-Tanton </w:t>
      </w:r>
      <w:r w:rsidR="008F5CFC">
        <w:rPr>
          <w:color w:val="000000" w:themeColor="text1"/>
        </w:rPr>
        <w:t>et al., 20</w:t>
      </w:r>
      <w:r w:rsidRPr="007F2D9E">
        <w:rPr>
          <w:color w:val="000000" w:themeColor="text1"/>
        </w:rPr>
        <w:t>02). Hybridization is invoked to explain the Ti- and REE-rich compositions of the lunar basalts (relative to mafic cumulates of a lunar magma ocean) and high Mg#s (relative to that estimated for the IBC) (e.g., Singletary and Grove</w:t>
      </w:r>
      <w:r w:rsidR="00B14D97">
        <w:rPr>
          <w:color w:val="000000" w:themeColor="text1"/>
        </w:rPr>
        <w:t>,</w:t>
      </w:r>
      <w:r w:rsidRPr="007F2D9E">
        <w:rPr>
          <w:color w:val="000000" w:themeColor="text1"/>
        </w:rPr>
        <w:t xml:space="preserve"> 2008; Grove and Krawczynsk</w:t>
      </w:r>
      <w:r w:rsidR="00430BB7">
        <w:rPr>
          <w:color w:val="000000" w:themeColor="text1"/>
        </w:rPr>
        <w:t>i, 20</w:t>
      </w:r>
      <w:r w:rsidRPr="007F2D9E">
        <w:rPr>
          <w:color w:val="000000" w:themeColor="text1"/>
        </w:rPr>
        <w:t>09; Krawczynski and Grove</w:t>
      </w:r>
      <w:r w:rsidR="00B14D97">
        <w:rPr>
          <w:color w:val="000000" w:themeColor="text1"/>
        </w:rPr>
        <w:t>,</w:t>
      </w:r>
      <w:r w:rsidRPr="007F2D9E">
        <w:rPr>
          <w:color w:val="000000" w:themeColor="text1"/>
        </w:rPr>
        <w:t xml:space="preserve"> 2012; Brown and Grove</w:t>
      </w:r>
      <w:r w:rsidR="00B14D97">
        <w:rPr>
          <w:color w:val="000000" w:themeColor="text1"/>
        </w:rPr>
        <w:t>,</w:t>
      </w:r>
      <w:r w:rsidRPr="007F2D9E">
        <w:rPr>
          <w:color w:val="000000" w:themeColor="text1"/>
        </w:rPr>
        <w:t xml:space="preserve"> 2015). Previous studies have estimated the composition of the hybridized sources by mixing various proportions of late LMO cumulates and mafic cumulates (Singletary and Grove</w:t>
      </w:r>
      <w:r w:rsidR="00B14D97">
        <w:rPr>
          <w:color w:val="000000" w:themeColor="text1"/>
        </w:rPr>
        <w:t>,</w:t>
      </w:r>
      <w:r w:rsidRPr="007F2D9E">
        <w:rPr>
          <w:color w:val="000000" w:themeColor="text1"/>
        </w:rPr>
        <w:t xml:space="preserve"> 2008; Thacker </w:t>
      </w:r>
      <w:r w:rsidR="008F5CFC">
        <w:rPr>
          <w:color w:val="000000" w:themeColor="text1"/>
        </w:rPr>
        <w:t>et al., 20</w:t>
      </w:r>
      <w:r w:rsidRPr="007F2D9E">
        <w:rPr>
          <w:color w:val="000000" w:themeColor="text1"/>
        </w:rPr>
        <w:t xml:space="preserve">09; Yao and Liang, 2012; Mallik </w:t>
      </w:r>
      <w:r w:rsidR="008F5CFC">
        <w:rPr>
          <w:color w:val="000000" w:themeColor="text1"/>
        </w:rPr>
        <w:t>et al., 20</w:t>
      </w:r>
      <w:r w:rsidRPr="007F2D9E">
        <w:rPr>
          <w:color w:val="000000" w:themeColor="text1"/>
        </w:rPr>
        <w:t>19) and investigated the phase equilibria of the downwelling IBC (Van Orman and Grove</w:t>
      </w:r>
      <w:r w:rsidR="00B14D97">
        <w:rPr>
          <w:color w:val="000000" w:themeColor="text1"/>
        </w:rPr>
        <w:t>,</w:t>
      </w:r>
      <w:r w:rsidRPr="007F2D9E">
        <w:rPr>
          <w:color w:val="000000" w:themeColor="text1"/>
        </w:rPr>
        <w:t xml:space="preserve"> 2000; Mallik </w:t>
      </w:r>
      <w:r w:rsidR="008F5CFC">
        <w:rPr>
          <w:color w:val="000000" w:themeColor="text1"/>
        </w:rPr>
        <w:t>et al., 20</w:t>
      </w:r>
      <w:r w:rsidRPr="007F2D9E">
        <w:rPr>
          <w:color w:val="000000" w:themeColor="text1"/>
        </w:rPr>
        <w:t xml:space="preserve">19). While these studies provide a </w:t>
      </w:r>
      <w:r w:rsidR="00F400F2" w:rsidRPr="007F2D9E">
        <w:rPr>
          <w:color w:val="000000" w:themeColor="text1"/>
        </w:rPr>
        <w:t>first order</w:t>
      </w:r>
      <w:r w:rsidRPr="007F2D9E">
        <w:rPr>
          <w:color w:val="000000" w:themeColor="text1"/>
        </w:rPr>
        <w:t xml:space="preserve"> understanding of the starting material and possible end products of the hybridization process, they do not explore the chemical reactions that control the hybridization process.</w:t>
      </w:r>
    </w:p>
    <w:p w14:paraId="04C5723A" w14:textId="5CBBBAB6" w:rsidR="00A278A8" w:rsidRPr="007F2D9E" w:rsidRDefault="00A278A8" w:rsidP="00172F34">
      <w:pPr>
        <w:spacing w:line="480" w:lineRule="auto"/>
        <w:ind w:firstLine="720"/>
        <w:rPr>
          <w:color w:val="000000" w:themeColor="text1"/>
        </w:rPr>
      </w:pPr>
      <w:r w:rsidRPr="007F2D9E">
        <w:rPr>
          <w:color w:val="000000" w:themeColor="text1"/>
        </w:rPr>
        <w:t xml:space="preserve">This study experimentally investigates the chemical reactions that occur during the cumulate overturn as downwelling IBC melts and mushes interact with mafic cumulates. The experiments indicate that the primary processes contributing to hybridization are the dissolution of mafic material and solid-state diffusion between </w:t>
      </w:r>
      <w:r w:rsidRPr="007F2D9E">
        <w:rPr>
          <w:color w:val="000000" w:themeColor="text1"/>
        </w:rPr>
        <w:lastRenderedPageBreak/>
        <w:t xml:space="preserve">cumulates. The experimental results also constrain metamorphic phase relations in the downwelling IBC, which indicate garnet would form in the lunar mantle during cumulate mantle overturn events. </w:t>
      </w:r>
    </w:p>
    <w:p w14:paraId="25BBC34F" w14:textId="48251340" w:rsidR="00A278A8" w:rsidRPr="007846D2" w:rsidRDefault="00A278A8" w:rsidP="002F7368">
      <w:pPr>
        <w:pStyle w:val="Heading2"/>
      </w:pPr>
      <w:bookmarkStart w:id="34" w:name="_Toc182331725"/>
      <w:bookmarkStart w:id="35" w:name="_Toc182995451"/>
      <w:bookmarkStart w:id="36" w:name="_Toc183536552"/>
      <w:bookmarkStart w:id="37" w:name="_Toc184727355"/>
      <w:bookmarkStart w:id="38" w:name="_Toc185325603"/>
      <w:r w:rsidRPr="007846D2">
        <w:t>Methods</w:t>
      </w:r>
      <w:bookmarkEnd w:id="34"/>
      <w:bookmarkEnd w:id="35"/>
      <w:bookmarkEnd w:id="36"/>
      <w:bookmarkEnd w:id="37"/>
      <w:bookmarkEnd w:id="38"/>
    </w:p>
    <w:p w14:paraId="58A40DC6" w14:textId="5AFA1387" w:rsidR="0049022F" w:rsidRPr="0049022F" w:rsidRDefault="0049022F" w:rsidP="006E67B1">
      <w:pPr>
        <w:pStyle w:val="Heading3"/>
      </w:pPr>
      <w:bookmarkStart w:id="39" w:name="_Toc182331726"/>
      <w:bookmarkStart w:id="40" w:name="_Toc182995452"/>
      <w:bookmarkStart w:id="41" w:name="_Toc183536553"/>
      <w:bookmarkStart w:id="42" w:name="_Toc184727356"/>
      <w:bookmarkStart w:id="43" w:name="_Toc185325604"/>
      <w:r w:rsidRPr="0049022F">
        <w:t>Starting Materials</w:t>
      </w:r>
      <w:bookmarkEnd w:id="39"/>
      <w:bookmarkEnd w:id="40"/>
      <w:bookmarkEnd w:id="41"/>
      <w:bookmarkEnd w:id="42"/>
      <w:bookmarkEnd w:id="43"/>
    </w:p>
    <w:p w14:paraId="56F90932" w14:textId="3E067B7E" w:rsidR="00A278A8" w:rsidRPr="007F2D9E" w:rsidRDefault="00A278A8" w:rsidP="00172F34">
      <w:pPr>
        <w:spacing w:line="480" w:lineRule="auto"/>
        <w:ind w:firstLine="720"/>
        <w:rPr>
          <w:rFonts w:eastAsiaTheme="minorEastAsia"/>
          <w:color w:val="000000" w:themeColor="text1"/>
        </w:rPr>
      </w:pPr>
      <w:r w:rsidRPr="007F2D9E">
        <w:rPr>
          <w:color w:val="000000" w:themeColor="text1"/>
        </w:rPr>
        <w:t>Experiments tested the mineralogy and mineral reactions that occurred between dunite representing early lunar magma ocean cumulates and an ilmenite-bearing cumulate (IBC) under supersolidus and near solidus conditions (for the IBC). The IBC composition in this study represents a late lunar magma ocean cumulate comprising 85% normative hedenbergite clinopyroxene and 15% normative ilmenite (Longhi and Ashwal</w:t>
      </w:r>
      <w:r w:rsidR="00F803C8">
        <w:rPr>
          <w:color w:val="000000" w:themeColor="text1"/>
        </w:rPr>
        <w:t>,</w:t>
      </w:r>
      <w:r w:rsidRPr="007F2D9E">
        <w:rPr>
          <w:color w:val="000000" w:themeColor="text1"/>
        </w:rPr>
        <w:t xml:space="preserve"> 1985; Snyder </w:t>
      </w:r>
      <w:r w:rsidR="008F5CFC">
        <w:rPr>
          <w:color w:val="000000" w:themeColor="text1"/>
        </w:rPr>
        <w:t>et al., 19</w:t>
      </w:r>
      <w:r w:rsidRPr="007F2D9E">
        <w:rPr>
          <w:color w:val="000000" w:themeColor="text1"/>
        </w:rPr>
        <w:t>92; Hess and Parmentier</w:t>
      </w:r>
      <w:r w:rsidR="00F803C8">
        <w:rPr>
          <w:color w:val="000000" w:themeColor="text1"/>
        </w:rPr>
        <w:t>,</w:t>
      </w:r>
      <w:r w:rsidRPr="007F2D9E">
        <w:rPr>
          <w:color w:val="000000" w:themeColor="text1"/>
        </w:rPr>
        <w:t xml:space="preserve"> 1995). The assumed pyroxene composition is an average of LMO-relevant pyroxene compositions NJD-20, HB-1, HB-4 from Dygert et al. (2014), while the assumed ilmenite composition is an average of LMO-relevant ilmenite compositions NJD-22M, NJD-19M, NJD-17M, NJD-15M from Dygert et al. (2013). Reagent-grade metal oxide and carbonate powders were used to prepare the IBC starting composition. The powders were weighed and ground in a mortar and pestle for 12 hours, then decarbonated in a furnace at 800</w:t>
      </w:r>
      <w:r w:rsidRPr="007F2D9E">
        <w:rPr>
          <w:color w:val="000000" w:themeColor="text1"/>
          <w:vertAlign w:val="superscript"/>
        </w:rPr>
        <w:t>º</w:t>
      </w:r>
      <w:r w:rsidRPr="007F2D9E">
        <w:rPr>
          <w:color w:val="000000" w:themeColor="text1"/>
        </w:rPr>
        <w:t>C for 24 hours. Following the decarbonation, the powder was conditioned at an oxygen fugacity (ƒO</w:t>
      </w:r>
      <w:r w:rsidRPr="007F2D9E">
        <w:rPr>
          <w:color w:val="000000" w:themeColor="text1"/>
          <w:vertAlign w:val="subscript"/>
        </w:rPr>
        <w:t>2</w:t>
      </w:r>
      <w:r w:rsidRPr="007F2D9E">
        <w:rPr>
          <w:color w:val="000000" w:themeColor="text1"/>
        </w:rPr>
        <w:t>) relevant to the lunar mantle, which is close to the iron-wüstite (IW) buffer (Sato</w:t>
      </w:r>
      <w:r w:rsidR="00F803C8">
        <w:rPr>
          <w:color w:val="000000" w:themeColor="text1"/>
        </w:rPr>
        <w:t>,</w:t>
      </w:r>
      <w:r w:rsidRPr="007F2D9E">
        <w:rPr>
          <w:color w:val="000000" w:themeColor="text1"/>
        </w:rPr>
        <w:t xml:space="preserve"> 1979; Weitz </w:t>
      </w:r>
      <w:r w:rsidR="008F5CFC">
        <w:rPr>
          <w:color w:val="000000" w:themeColor="text1"/>
        </w:rPr>
        <w:t>et al., 19</w:t>
      </w:r>
      <w:r w:rsidRPr="007F2D9E">
        <w:rPr>
          <w:color w:val="000000" w:themeColor="text1"/>
        </w:rPr>
        <w:t>97; Nicolis and Rutherford</w:t>
      </w:r>
      <w:r w:rsidR="00F803C8">
        <w:rPr>
          <w:color w:val="000000" w:themeColor="text1"/>
        </w:rPr>
        <w:t>,</w:t>
      </w:r>
      <w:r w:rsidRPr="007F2D9E">
        <w:rPr>
          <w:color w:val="000000" w:themeColor="text1"/>
        </w:rPr>
        <w:t xml:space="preserve"> 2009). The powder was placed in a gas mixing furnace at 800</w:t>
      </w:r>
      <w:r w:rsidRPr="007F2D9E">
        <w:rPr>
          <w:color w:val="000000" w:themeColor="text1"/>
          <w:vertAlign w:val="superscript"/>
        </w:rPr>
        <w:t>º</w:t>
      </w:r>
      <w:r w:rsidRPr="007F2D9E">
        <w:rPr>
          <w:color w:val="000000" w:themeColor="text1"/>
        </w:rPr>
        <w:t>C in a gas mixture with subequal volumes of CO</w:t>
      </w:r>
      <w:r w:rsidRPr="007F2D9E">
        <w:rPr>
          <w:color w:val="000000" w:themeColor="text1"/>
          <w:vertAlign w:val="subscript"/>
        </w:rPr>
        <w:t>2</w:t>
      </w:r>
      <w:r w:rsidRPr="007F2D9E">
        <w:rPr>
          <w:color w:val="000000" w:themeColor="text1"/>
        </w:rPr>
        <w:t xml:space="preserve"> and H</w:t>
      </w:r>
      <w:r w:rsidRPr="007F2D9E">
        <w:rPr>
          <w:color w:val="000000" w:themeColor="text1"/>
          <w:vertAlign w:val="subscript"/>
        </w:rPr>
        <w:t>2</w:t>
      </w:r>
      <w:r w:rsidRPr="007F2D9E">
        <w:rPr>
          <w:color w:val="000000" w:themeColor="text1"/>
        </w:rPr>
        <w:t xml:space="preserve"> (Deines</w:t>
      </w:r>
      <w:r w:rsidR="00F803C8">
        <w:rPr>
          <w:color w:val="000000" w:themeColor="text1"/>
        </w:rPr>
        <w:t>,</w:t>
      </w:r>
      <w:r w:rsidRPr="007F2D9E">
        <w:rPr>
          <w:color w:val="000000" w:themeColor="text1"/>
        </w:rPr>
        <w:t xml:space="preserve"> 1974) to achieve </w:t>
      </w:r>
      <w:r w:rsidRPr="007F2D9E">
        <w:rPr>
          <w:color w:val="000000" w:themeColor="text1"/>
        </w:rPr>
        <w:lastRenderedPageBreak/>
        <w:t>an ƒO</w:t>
      </w:r>
      <w:r w:rsidRPr="007F2D9E">
        <w:rPr>
          <w:color w:val="000000" w:themeColor="text1"/>
          <w:vertAlign w:val="subscript"/>
        </w:rPr>
        <w:t>2</w:t>
      </w:r>
      <w:r w:rsidRPr="007F2D9E">
        <w:rPr>
          <w:color w:val="000000" w:themeColor="text1"/>
        </w:rPr>
        <w:t xml:space="preserve"> approximating IW. The IBC cumulate melt has a Ti-, Al-, and Fe-rich composition with an Mg# of 4.96 </w:t>
      </w:r>
      <m:oMath>
        <m:r>
          <w:rPr>
            <w:rFonts w:ascii="Cambria Math" w:hAnsi="Cambria Math"/>
            <w:color w:val="000000" w:themeColor="text1"/>
          </w:rPr>
          <m:t xml:space="preserve">± </m:t>
        </m:r>
      </m:oMath>
      <w:r w:rsidRPr="007F2D9E">
        <w:rPr>
          <w:rFonts w:eastAsiaTheme="minorEastAsia"/>
          <w:color w:val="000000" w:themeColor="text1"/>
        </w:rPr>
        <w:t>0.12 (</w:t>
      </w:r>
      <w:r w:rsidRPr="005739CD">
        <w:rPr>
          <w:rFonts w:eastAsiaTheme="minorEastAsia"/>
          <w:b/>
          <w:bCs/>
          <w:color w:val="000000" w:themeColor="text1"/>
        </w:rPr>
        <w:t xml:space="preserve">Table </w:t>
      </w:r>
      <w:r w:rsidR="00F803C8" w:rsidRPr="005739CD">
        <w:rPr>
          <w:rFonts w:eastAsiaTheme="minorEastAsia"/>
          <w:b/>
          <w:bCs/>
          <w:color w:val="000000" w:themeColor="text1"/>
        </w:rPr>
        <w:t>1.</w:t>
      </w:r>
      <w:r w:rsidRPr="005739CD">
        <w:rPr>
          <w:rFonts w:eastAsiaTheme="minorEastAsia"/>
          <w:b/>
          <w:bCs/>
          <w:color w:val="000000" w:themeColor="text1"/>
        </w:rPr>
        <w:t>1</w:t>
      </w:r>
      <w:r w:rsidRPr="007F2D9E">
        <w:rPr>
          <w:rFonts w:eastAsiaTheme="minorEastAsia"/>
          <w:color w:val="000000" w:themeColor="text1"/>
        </w:rPr>
        <w:t xml:space="preserve">). </w:t>
      </w:r>
    </w:p>
    <w:p w14:paraId="540411A5" w14:textId="135C5431" w:rsidR="00A278A8" w:rsidRPr="00C52248" w:rsidRDefault="00A278A8" w:rsidP="00172F34">
      <w:pPr>
        <w:spacing w:line="480" w:lineRule="auto"/>
        <w:ind w:firstLine="720"/>
        <w:rPr>
          <w:rFonts w:eastAsiaTheme="minorEastAsia"/>
          <w:color w:val="000000" w:themeColor="text1"/>
        </w:rPr>
      </w:pPr>
      <w:r w:rsidRPr="007F2D9E">
        <w:rPr>
          <w:color w:val="000000" w:themeColor="text1"/>
        </w:rPr>
        <w:t xml:space="preserve">A lunar-relevant mafic cumulate composition represented by a terrestrial dunite was prepared using mineral separates from a mantle xenolith (Dygert </w:t>
      </w:r>
      <w:r w:rsidR="008F5CFC">
        <w:rPr>
          <w:color w:val="000000" w:themeColor="text1"/>
        </w:rPr>
        <w:t>et al., 20</w:t>
      </w:r>
      <w:r w:rsidRPr="007F2D9E">
        <w:rPr>
          <w:color w:val="000000" w:themeColor="text1"/>
        </w:rPr>
        <w:t>19). The dunite consists of olivine mineral separates with trace amounts of Opx, Cpx, and minor spinel from the crushed mantle xenolith. The dunite separates were ground in ethanol, dried, and stored in a 200</w:t>
      </w:r>
      <w:r w:rsidRPr="007F2D9E">
        <w:rPr>
          <w:color w:val="000000" w:themeColor="text1"/>
          <w:vertAlign w:val="superscript"/>
        </w:rPr>
        <w:t>º</w:t>
      </w:r>
      <w:r w:rsidRPr="007F2D9E">
        <w:rPr>
          <w:color w:val="000000" w:themeColor="text1"/>
        </w:rPr>
        <w:t>C vacuum oven for at least 12 hours to drive off adsorbed water.</w:t>
      </w:r>
      <w:r w:rsidRPr="007F2D9E">
        <w:rPr>
          <w:rFonts w:eastAsiaTheme="minorEastAsia"/>
          <w:color w:val="000000" w:themeColor="text1"/>
        </w:rPr>
        <w:t xml:space="preserve"> The olivine from the dunite used in reaction experiments has an </w:t>
      </w:r>
      <w:r w:rsidRPr="007F2D9E">
        <w:rPr>
          <w:color w:val="000000" w:themeColor="text1"/>
        </w:rPr>
        <w:t xml:space="preserve">Mg# of 90.83 </w:t>
      </w:r>
      <m:oMath>
        <m:r>
          <w:rPr>
            <w:rFonts w:ascii="Cambria Math" w:hAnsi="Cambria Math"/>
            <w:color w:val="000000" w:themeColor="text1"/>
          </w:rPr>
          <m:t xml:space="preserve">± </m:t>
        </m:r>
      </m:oMath>
      <w:r w:rsidRPr="007F2D9E">
        <w:rPr>
          <w:rFonts w:eastAsiaTheme="minorEastAsia"/>
          <w:color w:val="000000" w:themeColor="text1"/>
        </w:rPr>
        <w:t>0.07 (</w:t>
      </w:r>
      <w:r w:rsidRPr="005739CD">
        <w:rPr>
          <w:rFonts w:eastAsiaTheme="minorEastAsia"/>
          <w:b/>
          <w:bCs/>
          <w:color w:val="000000" w:themeColor="text1"/>
        </w:rPr>
        <w:t xml:space="preserve">Table </w:t>
      </w:r>
      <w:r w:rsidR="00F803C8" w:rsidRPr="005739CD">
        <w:rPr>
          <w:rFonts w:eastAsiaTheme="minorEastAsia"/>
          <w:b/>
          <w:bCs/>
          <w:color w:val="000000" w:themeColor="text1"/>
        </w:rPr>
        <w:t>1.</w:t>
      </w:r>
      <w:r w:rsidRPr="005739CD">
        <w:rPr>
          <w:rFonts w:eastAsiaTheme="minorEastAsia"/>
          <w:b/>
          <w:bCs/>
          <w:color w:val="000000" w:themeColor="text1"/>
        </w:rPr>
        <w:t>1</w:t>
      </w:r>
      <w:r w:rsidRPr="007F2D9E">
        <w:rPr>
          <w:rFonts w:eastAsiaTheme="minorEastAsia"/>
          <w:color w:val="000000" w:themeColor="text1"/>
        </w:rPr>
        <w:t>).</w:t>
      </w:r>
    </w:p>
    <w:p w14:paraId="3B25C8A6" w14:textId="6BA0D0FF" w:rsidR="00A278A8" w:rsidRPr="007F2D9E" w:rsidRDefault="00A278A8" w:rsidP="006E67B1">
      <w:pPr>
        <w:pStyle w:val="Heading3"/>
      </w:pPr>
      <w:bookmarkStart w:id="44" w:name="_Toc182331727"/>
      <w:bookmarkStart w:id="45" w:name="_Toc182995453"/>
      <w:bookmarkStart w:id="46" w:name="_Toc183536554"/>
      <w:bookmarkStart w:id="47" w:name="_Toc184727357"/>
      <w:bookmarkStart w:id="48" w:name="_Toc185325605"/>
      <w:r w:rsidRPr="007F2D9E">
        <w:t>Experiments</w:t>
      </w:r>
      <w:bookmarkEnd w:id="44"/>
      <w:bookmarkEnd w:id="45"/>
      <w:bookmarkEnd w:id="46"/>
      <w:bookmarkEnd w:id="47"/>
      <w:bookmarkEnd w:id="48"/>
    </w:p>
    <w:p w14:paraId="338F5CC0" w14:textId="4215A089" w:rsidR="007C7E9D" w:rsidRDefault="00A278A8" w:rsidP="007C7E9D">
      <w:pPr>
        <w:spacing w:line="480" w:lineRule="auto"/>
        <w:ind w:firstLine="720"/>
        <w:rPr>
          <w:color w:val="000000" w:themeColor="text1"/>
        </w:rPr>
      </w:pPr>
      <w:r w:rsidRPr="007F2D9E">
        <w:rPr>
          <w:color w:val="000000" w:themeColor="text1"/>
        </w:rPr>
        <w:t xml:space="preserve">Experiments were conducted at the University of Tennessee using a 150-ton end-loaded piston cylinder apparatus equipped with a computerized pressure holding system. Assembly designs are similar to those utilized by Morgan and Liang (2005) and Wang et al. (2013). Experiments were run in graphite-lined molybdenum capsules, which were previously demonstrated to approach lunar-relevant value </w:t>
      </w:r>
      <w:r w:rsidRPr="007F2D9E">
        <w:rPr>
          <w:i/>
          <w:color w:val="000000" w:themeColor="text1"/>
        </w:rPr>
        <w:t>f</w:t>
      </w:r>
      <w:r w:rsidRPr="007F2D9E">
        <w:rPr>
          <w:color w:val="000000" w:themeColor="text1"/>
        </w:rPr>
        <w:t>O</w:t>
      </w:r>
      <w:r w:rsidRPr="007F2D9E">
        <w:rPr>
          <w:color w:val="000000" w:themeColor="text1"/>
          <w:vertAlign w:val="subscript"/>
        </w:rPr>
        <w:t>2</w:t>
      </w:r>
      <w:r w:rsidRPr="007F2D9E">
        <w:rPr>
          <w:color w:val="000000" w:themeColor="text1"/>
        </w:rPr>
        <w:t>s near the IW buffer for similarly preconditioned starting materials (Ji and Dygert, 2024). Dunite and IBC materials were presynthesized before running the reaction experiments. The IBC materials were heated to 1300</w:t>
      </w:r>
      <w:r w:rsidRPr="007F2D9E">
        <w:rPr>
          <w:color w:val="000000" w:themeColor="text1"/>
          <w:vertAlign w:val="superscript"/>
        </w:rPr>
        <w:t>º</w:t>
      </w:r>
      <w:r w:rsidRPr="007F2D9E">
        <w:rPr>
          <w:color w:val="000000" w:themeColor="text1"/>
        </w:rPr>
        <w:t>C at 1 GPa for 2 hours and then quenched to a glass. Dunite was annealed at 1200</w:t>
      </w:r>
      <w:r w:rsidRPr="007F2D9E">
        <w:rPr>
          <w:color w:val="000000" w:themeColor="text1"/>
          <w:vertAlign w:val="superscript"/>
        </w:rPr>
        <w:t>º</w:t>
      </w:r>
      <w:r w:rsidRPr="007F2D9E">
        <w:rPr>
          <w:color w:val="000000" w:themeColor="text1"/>
        </w:rPr>
        <w:t xml:space="preserve">C at 1 GPa for 24 hours to texturally equilibrate. The presynthesized runs were then sectioned latitudinally, polished, and reaction couples were prepared by juxtaposing the IBC glass against the dunite. </w:t>
      </w:r>
    </w:p>
    <w:p w14:paraId="5ACDCCB7" w14:textId="33F28608" w:rsidR="0085500B" w:rsidRDefault="0085500B">
      <w:pPr>
        <w:rPr>
          <w:color w:val="000000" w:themeColor="text1"/>
        </w:rPr>
      </w:pPr>
    </w:p>
    <w:p w14:paraId="1BA904F7" w14:textId="365B2A77" w:rsidR="0085500B" w:rsidRDefault="0085500B" w:rsidP="002B1F0A">
      <w:pPr>
        <w:pStyle w:val="Tables"/>
      </w:pPr>
      <w:bookmarkStart w:id="49" w:name="_Toc178246845"/>
      <w:bookmarkStart w:id="50" w:name="_Toc185263586"/>
      <w:r w:rsidRPr="005A553C">
        <w:rPr>
          <w:b/>
          <w:bCs/>
        </w:rPr>
        <w:lastRenderedPageBreak/>
        <w:t>Table 1.1.</w:t>
      </w:r>
      <w:r>
        <w:t xml:space="preserve"> </w:t>
      </w:r>
      <w:r w:rsidRPr="0085500B">
        <w:t>Starting material compositions (wt%) measured by electron microprobe from this study compared with ilmenite-bearing cumulate compositions from previous studies.</w:t>
      </w:r>
      <w:bookmarkEnd w:id="49"/>
      <w:bookmarkEnd w:id="50"/>
    </w:p>
    <w:tbl>
      <w:tblPr>
        <w:tblW w:w="8820" w:type="dxa"/>
        <w:tblLook w:val="04A0" w:firstRow="1" w:lastRow="0" w:firstColumn="1" w:lastColumn="0" w:noHBand="0" w:noVBand="1"/>
      </w:tblPr>
      <w:tblGrid>
        <w:gridCol w:w="1120"/>
        <w:gridCol w:w="940"/>
        <w:gridCol w:w="940"/>
        <w:gridCol w:w="940"/>
        <w:gridCol w:w="940"/>
        <w:gridCol w:w="1340"/>
        <w:gridCol w:w="1300"/>
        <w:gridCol w:w="1300"/>
      </w:tblGrid>
      <w:tr w:rsidR="0085500B" w:rsidRPr="0085500B" w14:paraId="6A8B95F3" w14:textId="77777777" w:rsidTr="005A553C">
        <w:trPr>
          <w:trHeight w:val="400"/>
        </w:trPr>
        <w:tc>
          <w:tcPr>
            <w:tcW w:w="1120" w:type="dxa"/>
            <w:tcBorders>
              <w:top w:val="single" w:sz="4" w:space="0" w:color="auto"/>
              <w:left w:val="single" w:sz="4" w:space="0" w:color="auto"/>
              <w:bottom w:val="nil"/>
              <w:right w:val="single" w:sz="4" w:space="0" w:color="auto"/>
            </w:tcBorders>
            <w:shd w:val="clear" w:color="auto" w:fill="auto"/>
            <w:vAlign w:val="bottom"/>
            <w:hideMark/>
          </w:tcPr>
          <w:p w14:paraId="6D7C0C06" w14:textId="77777777" w:rsidR="0085500B" w:rsidRPr="0085500B" w:rsidRDefault="0085500B" w:rsidP="0085500B">
            <w:pPr>
              <w:rPr>
                <w:color w:val="000000"/>
              </w:rPr>
            </w:pPr>
            <w:r w:rsidRPr="0085500B">
              <w:rPr>
                <w:color w:val="000000"/>
              </w:rPr>
              <w:t> </w:t>
            </w:r>
          </w:p>
        </w:tc>
        <w:tc>
          <w:tcPr>
            <w:tcW w:w="1880" w:type="dxa"/>
            <w:gridSpan w:val="2"/>
            <w:tcBorders>
              <w:top w:val="single" w:sz="8" w:space="0" w:color="auto"/>
              <w:left w:val="single" w:sz="4" w:space="0" w:color="auto"/>
              <w:bottom w:val="nil"/>
              <w:right w:val="single" w:sz="4" w:space="0" w:color="auto"/>
            </w:tcBorders>
            <w:shd w:val="clear" w:color="auto" w:fill="auto"/>
            <w:vAlign w:val="bottom"/>
            <w:hideMark/>
          </w:tcPr>
          <w:p w14:paraId="4AE63B6A" w14:textId="77777777" w:rsidR="0085500B" w:rsidRPr="0085500B" w:rsidRDefault="0085500B" w:rsidP="0085500B">
            <w:pPr>
              <w:jc w:val="center"/>
              <w:rPr>
                <w:color w:val="000000"/>
              </w:rPr>
            </w:pPr>
            <w:r w:rsidRPr="0085500B">
              <w:rPr>
                <w:color w:val="000000"/>
              </w:rPr>
              <w:t>IBC</w:t>
            </w:r>
          </w:p>
        </w:tc>
        <w:tc>
          <w:tcPr>
            <w:tcW w:w="1880" w:type="dxa"/>
            <w:gridSpan w:val="2"/>
            <w:tcBorders>
              <w:top w:val="single" w:sz="8" w:space="0" w:color="auto"/>
              <w:left w:val="single" w:sz="4" w:space="0" w:color="auto"/>
              <w:bottom w:val="nil"/>
              <w:right w:val="single" w:sz="4" w:space="0" w:color="auto"/>
            </w:tcBorders>
            <w:shd w:val="clear" w:color="auto" w:fill="auto"/>
            <w:vAlign w:val="bottom"/>
            <w:hideMark/>
          </w:tcPr>
          <w:p w14:paraId="7D822772" w14:textId="77777777" w:rsidR="0085500B" w:rsidRPr="0085500B" w:rsidRDefault="0085500B" w:rsidP="0085500B">
            <w:pPr>
              <w:jc w:val="center"/>
              <w:rPr>
                <w:color w:val="000000"/>
              </w:rPr>
            </w:pPr>
            <w:r w:rsidRPr="0085500B">
              <w:rPr>
                <w:color w:val="000000"/>
              </w:rPr>
              <w:t>Dunite</w:t>
            </w:r>
          </w:p>
        </w:tc>
        <w:tc>
          <w:tcPr>
            <w:tcW w:w="1340" w:type="dxa"/>
            <w:tcBorders>
              <w:top w:val="single" w:sz="8" w:space="0" w:color="auto"/>
              <w:left w:val="single" w:sz="4" w:space="0" w:color="auto"/>
              <w:bottom w:val="nil"/>
              <w:right w:val="single" w:sz="4" w:space="0" w:color="auto"/>
            </w:tcBorders>
            <w:shd w:val="clear" w:color="auto" w:fill="auto"/>
            <w:vAlign w:val="bottom"/>
            <w:hideMark/>
          </w:tcPr>
          <w:p w14:paraId="05304DBC" w14:textId="77777777" w:rsidR="0085500B" w:rsidRPr="0085500B" w:rsidRDefault="0085500B" w:rsidP="0085500B">
            <w:pPr>
              <w:jc w:val="center"/>
              <w:rPr>
                <w:color w:val="000000"/>
              </w:rPr>
            </w:pPr>
            <w:r w:rsidRPr="0085500B">
              <w:rPr>
                <w:color w:val="000000"/>
              </w:rPr>
              <w:t>TiCum</w:t>
            </w:r>
          </w:p>
        </w:tc>
        <w:tc>
          <w:tcPr>
            <w:tcW w:w="1300" w:type="dxa"/>
            <w:tcBorders>
              <w:top w:val="single" w:sz="8" w:space="0" w:color="auto"/>
              <w:left w:val="single" w:sz="4" w:space="0" w:color="auto"/>
              <w:bottom w:val="nil"/>
              <w:right w:val="single" w:sz="4" w:space="0" w:color="auto"/>
            </w:tcBorders>
            <w:shd w:val="clear" w:color="auto" w:fill="auto"/>
            <w:vAlign w:val="bottom"/>
            <w:hideMark/>
          </w:tcPr>
          <w:p w14:paraId="2922C897" w14:textId="77777777" w:rsidR="0085500B" w:rsidRPr="0085500B" w:rsidRDefault="0085500B" w:rsidP="0085500B">
            <w:pPr>
              <w:jc w:val="center"/>
              <w:rPr>
                <w:color w:val="000000"/>
              </w:rPr>
            </w:pPr>
            <w:r w:rsidRPr="0085500B">
              <w:rPr>
                <w:color w:val="000000"/>
              </w:rPr>
              <w:t>TiCum</w:t>
            </w:r>
          </w:p>
        </w:tc>
        <w:tc>
          <w:tcPr>
            <w:tcW w:w="1300" w:type="dxa"/>
            <w:tcBorders>
              <w:top w:val="single" w:sz="8" w:space="0" w:color="auto"/>
              <w:left w:val="single" w:sz="4" w:space="0" w:color="auto"/>
              <w:bottom w:val="nil"/>
              <w:right w:val="single" w:sz="4" w:space="0" w:color="auto"/>
            </w:tcBorders>
            <w:shd w:val="clear" w:color="auto" w:fill="auto"/>
            <w:vAlign w:val="bottom"/>
            <w:hideMark/>
          </w:tcPr>
          <w:p w14:paraId="36761189" w14:textId="77777777" w:rsidR="0085500B" w:rsidRPr="0085500B" w:rsidRDefault="0085500B" w:rsidP="0085500B">
            <w:pPr>
              <w:jc w:val="center"/>
              <w:rPr>
                <w:color w:val="000000"/>
              </w:rPr>
            </w:pPr>
            <w:r w:rsidRPr="0085500B">
              <w:rPr>
                <w:color w:val="000000"/>
              </w:rPr>
              <w:t>TiCum Est</w:t>
            </w:r>
          </w:p>
        </w:tc>
      </w:tr>
      <w:tr w:rsidR="0085500B" w:rsidRPr="0085500B" w14:paraId="2E6536AB" w14:textId="77777777" w:rsidTr="00D61AAF">
        <w:trPr>
          <w:trHeight w:val="38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08047BAC" w14:textId="77777777" w:rsidR="0085500B" w:rsidRPr="0085500B" w:rsidRDefault="0085500B" w:rsidP="0085500B">
            <w:pPr>
              <w:jc w:val="center"/>
              <w:rPr>
                <w:color w:val="000000"/>
              </w:rPr>
            </w:pPr>
            <w:r w:rsidRPr="0085500B">
              <w:rPr>
                <w:color w:val="000000"/>
              </w:rPr>
              <w:t> </w:t>
            </w:r>
          </w:p>
        </w:tc>
        <w:tc>
          <w:tcPr>
            <w:tcW w:w="1880" w:type="dxa"/>
            <w:gridSpan w:val="2"/>
            <w:tcBorders>
              <w:top w:val="nil"/>
              <w:left w:val="single" w:sz="4" w:space="0" w:color="auto"/>
              <w:bottom w:val="single" w:sz="4" w:space="0" w:color="auto"/>
              <w:right w:val="single" w:sz="4" w:space="0" w:color="auto"/>
            </w:tcBorders>
            <w:shd w:val="clear" w:color="auto" w:fill="auto"/>
            <w:hideMark/>
          </w:tcPr>
          <w:p w14:paraId="2F093AA5" w14:textId="77777777" w:rsidR="0085500B" w:rsidRPr="0085500B" w:rsidRDefault="0085500B" w:rsidP="0085500B">
            <w:pPr>
              <w:jc w:val="center"/>
              <w:rPr>
                <w:color w:val="000000"/>
              </w:rPr>
            </w:pPr>
            <w:r w:rsidRPr="0085500B">
              <w:rPr>
                <w:color w:val="000000"/>
              </w:rPr>
              <w:t>(This Study)</w:t>
            </w:r>
          </w:p>
        </w:tc>
        <w:tc>
          <w:tcPr>
            <w:tcW w:w="1880" w:type="dxa"/>
            <w:gridSpan w:val="2"/>
            <w:tcBorders>
              <w:top w:val="nil"/>
              <w:left w:val="single" w:sz="4" w:space="0" w:color="auto"/>
              <w:bottom w:val="single" w:sz="4" w:space="0" w:color="auto"/>
              <w:right w:val="single" w:sz="4" w:space="0" w:color="auto"/>
            </w:tcBorders>
            <w:shd w:val="clear" w:color="auto" w:fill="auto"/>
            <w:hideMark/>
          </w:tcPr>
          <w:p w14:paraId="101B9885" w14:textId="77777777" w:rsidR="0085500B" w:rsidRPr="0085500B" w:rsidRDefault="0085500B" w:rsidP="0085500B">
            <w:pPr>
              <w:jc w:val="center"/>
              <w:rPr>
                <w:color w:val="000000"/>
              </w:rPr>
            </w:pPr>
            <w:r w:rsidRPr="0085500B">
              <w:rPr>
                <w:color w:val="000000"/>
              </w:rPr>
              <w:t>(This Study)</w:t>
            </w:r>
          </w:p>
        </w:tc>
        <w:tc>
          <w:tcPr>
            <w:tcW w:w="1340" w:type="dxa"/>
            <w:tcBorders>
              <w:top w:val="nil"/>
              <w:left w:val="single" w:sz="4" w:space="0" w:color="auto"/>
              <w:bottom w:val="single" w:sz="4" w:space="0" w:color="auto"/>
              <w:right w:val="single" w:sz="4" w:space="0" w:color="auto"/>
            </w:tcBorders>
            <w:shd w:val="clear" w:color="auto" w:fill="auto"/>
            <w:hideMark/>
          </w:tcPr>
          <w:p w14:paraId="0DB6F239" w14:textId="77777777" w:rsidR="0085500B" w:rsidRPr="0085500B" w:rsidRDefault="0085500B" w:rsidP="0085500B">
            <w:pPr>
              <w:jc w:val="center"/>
              <w:rPr>
                <w:color w:val="000000"/>
              </w:rPr>
            </w:pPr>
            <w:r w:rsidRPr="0085500B">
              <w:rPr>
                <w:color w:val="000000"/>
              </w:rPr>
              <w:t>(VO&amp;G' 00)</w:t>
            </w:r>
          </w:p>
        </w:tc>
        <w:tc>
          <w:tcPr>
            <w:tcW w:w="1300" w:type="dxa"/>
            <w:tcBorders>
              <w:top w:val="nil"/>
              <w:left w:val="single" w:sz="4" w:space="0" w:color="auto"/>
              <w:bottom w:val="single" w:sz="4" w:space="0" w:color="auto"/>
              <w:right w:val="single" w:sz="4" w:space="0" w:color="auto"/>
            </w:tcBorders>
            <w:shd w:val="clear" w:color="auto" w:fill="auto"/>
            <w:hideMark/>
          </w:tcPr>
          <w:p w14:paraId="3E772842" w14:textId="77777777" w:rsidR="0085500B" w:rsidRPr="0085500B" w:rsidRDefault="0085500B" w:rsidP="0085500B">
            <w:pPr>
              <w:jc w:val="center"/>
              <w:rPr>
                <w:color w:val="000000"/>
              </w:rPr>
            </w:pPr>
            <w:r w:rsidRPr="0085500B">
              <w:rPr>
                <w:color w:val="000000"/>
              </w:rPr>
              <w:t>(M' 19)</w:t>
            </w:r>
          </w:p>
        </w:tc>
        <w:tc>
          <w:tcPr>
            <w:tcW w:w="1300" w:type="dxa"/>
            <w:tcBorders>
              <w:top w:val="nil"/>
              <w:left w:val="single" w:sz="4" w:space="0" w:color="auto"/>
              <w:bottom w:val="single" w:sz="4" w:space="0" w:color="auto"/>
              <w:right w:val="single" w:sz="4" w:space="0" w:color="auto"/>
            </w:tcBorders>
            <w:shd w:val="clear" w:color="auto" w:fill="auto"/>
            <w:hideMark/>
          </w:tcPr>
          <w:p w14:paraId="7C50449D" w14:textId="77777777" w:rsidR="0085500B" w:rsidRPr="0085500B" w:rsidRDefault="0085500B" w:rsidP="0085500B">
            <w:pPr>
              <w:jc w:val="center"/>
              <w:rPr>
                <w:color w:val="000000"/>
              </w:rPr>
            </w:pPr>
            <w:r w:rsidRPr="0085500B">
              <w:rPr>
                <w:color w:val="000000"/>
              </w:rPr>
              <w:t>(C' 18)</w:t>
            </w:r>
          </w:p>
        </w:tc>
      </w:tr>
      <w:tr w:rsidR="0085500B" w:rsidRPr="0085500B" w14:paraId="1DE75C92" w14:textId="77777777" w:rsidTr="00D61AAF">
        <w:trPr>
          <w:trHeight w:val="34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F0CDE" w14:textId="77777777" w:rsidR="0085500B" w:rsidRPr="0085500B" w:rsidRDefault="0085500B" w:rsidP="0085500B">
            <w:pPr>
              <w:jc w:val="center"/>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D9D2F" w14:textId="77777777" w:rsidR="0085500B" w:rsidRPr="0085500B" w:rsidRDefault="0085500B" w:rsidP="0085500B">
            <w:pPr>
              <w:jc w:val="right"/>
              <w:rPr>
                <w:color w:val="000000"/>
              </w:rPr>
            </w:pPr>
            <w:r w:rsidRPr="0085500B">
              <w:rPr>
                <w:color w:val="000000"/>
              </w:rPr>
              <w:t>Avg.</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3C35B" w14:textId="77777777" w:rsidR="0085500B" w:rsidRPr="0085500B" w:rsidRDefault="0085500B" w:rsidP="0085500B">
            <w:pPr>
              <w:jc w:val="center"/>
              <w:rPr>
                <w:color w:val="000000"/>
              </w:rPr>
            </w:pPr>
            <w:r w:rsidRPr="0085500B">
              <w:rPr>
                <w:rFonts w:ascii="Cambria Math" w:hAnsi="Cambria Math" w:cs="Cambria Math"/>
                <w:color w:val="000000"/>
              </w:rPr>
              <w:t>𝝈</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A4522" w14:textId="77777777" w:rsidR="0085500B" w:rsidRPr="0085500B" w:rsidRDefault="0085500B" w:rsidP="0085500B">
            <w:pPr>
              <w:jc w:val="right"/>
              <w:rPr>
                <w:color w:val="000000"/>
              </w:rPr>
            </w:pPr>
            <w:r w:rsidRPr="0085500B">
              <w:rPr>
                <w:color w:val="000000"/>
              </w:rPr>
              <w:t>Avg.</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B29B5" w14:textId="77777777" w:rsidR="0085500B" w:rsidRPr="0085500B" w:rsidRDefault="0085500B" w:rsidP="0085500B">
            <w:pPr>
              <w:jc w:val="center"/>
              <w:rPr>
                <w:color w:val="000000"/>
              </w:rPr>
            </w:pPr>
            <w:r w:rsidRPr="0085500B">
              <w:rPr>
                <w:rFonts w:ascii="Cambria Math" w:hAnsi="Cambria Math" w:cs="Cambria Math"/>
                <w:color w:val="000000"/>
              </w:rPr>
              <w:t>𝝈</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FBBE14" w14:textId="77777777" w:rsidR="0085500B" w:rsidRPr="0085500B" w:rsidRDefault="0085500B" w:rsidP="0085500B">
            <w:pPr>
              <w:jc w:val="center"/>
              <w:rPr>
                <w:color w:val="00000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B7B704" w14:textId="77777777" w:rsidR="0085500B" w:rsidRPr="0085500B" w:rsidRDefault="0085500B" w:rsidP="0085500B">
            <w:pPr>
              <w:jc w:val="center"/>
              <w:rPr>
                <w:sz w:val="20"/>
                <w:szCs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505AB" w14:textId="77777777" w:rsidR="0085500B" w:rsidRPr="0085500B" w:rsidRDefault="0085500B" w:rsidP="0085500B">
            <w:pPr>
              <w:jc w:val="center"/>
              <w:rPr>
                <w:sz w:val="20"/>
                <w:szCs w:val="20"/>
              </w:rPr>
            </w:pPr>
          </w:p>
        </w:tc>
      </w:tr>
      <w:tr w:rsidR="0085500B" w:rsidRPr="0085500B" w14:paraId="4BAB411F"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712A6" w14:textId="77777777" w:rsidR="0085500B" w:rsidRPr="0085500B" w:rsidRDefault="0085500B" w:rsidP="0085500B">
            <w:pPr>
              <w:jc w:val="center"/>
              <w:rPr>
                <w:color w:val="000000"/>
              </w:rPr>
            </w:pPr>
            <w:r w:rsidRPr="0085500B">
              <w:rPr>
                <w:color w:val="000000"/>
              </w:rPr>
              <w:t>SiO</w:t>
            </w:r>
            <w:r w:rsidRPr="0085500B">
              <w:rPr>
                <w:color w:val="000000"/>
                <w:vertAlign w:val="subscript"/>
              </w:rPr>
              <w:t>2</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F33A55" w14:textId="77777777" w:rsidR="0085500B" w:rsidRPr="0085500B" w:rsidRDefault="0085500B" w:rsidP="0085500B">
            <w:pPr>
              <w:jc w:val="right"/>
              <w:rPr>
                <w:color w:val="000000"/>
              </w:rPr>
            </w:pPr>
            <w:r w:rsidRPr="0085500B">
              <w:rPr>
                <w:color w:val="000000"/>
              </w:rPr>
              <w:t>38.03</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1820D" w14:textId="77777777" w:rsidR="0085500B" w:rsidRPr="0085500B" w:rsidRDefault="0085500B" w:rsidP="0085500B">
            <w:pPr>
              <w:jc w:val="center"/>
              <w:rPr>
                <w:color w:val="000000"/>
              </w:rPr>
            </w:pPr>
            <w:r w:rsidRPr="0085500B">
              <w:rPr>
                <w:color w:val="000000"/>
              </w:rPr>
              <w:t>0.15</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72F40" w14:textId="77777777" w:rsidR="0085500B" w:rsidRPr="0085500B" w:rsidRDefault="0085500B" w:rsidP="0085500B">
            <w:pPr>
              <w:jc w:val="right"/>
              <w:rPr>
                <w:color w:val="000000"/>
              </w:rPr>
            </w:pPr>
            <w:r w:rsidRPr="0085500B">
              <w:rPr>
                <w:color w:val="000000"/>
              </w:rPr>
              <w:t>41.42</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C6DE9" w14:textId="77777777" w:rsidR="0085500B" w:rsidRPr="0085500B" w:rsidRDefault="0085500B" w:rsidP="0085500B">
            <w:pPr>
              <w:jc w:val="center"/>
              <w:rPr>
                <w:color w:val="000000"/>
              </w:rPr>
            </w:pPr>
            <w:r w:rsidRPr="0085500B">
              <w:rPr>
                <w:color w:val="000000"/>
              </w:rPr>
              <w:t>0.27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15E4E" w14:textId="77777777" w:rsidR="0085500B" w:rsidRPr="0085500B" w:rsidRDefault="0085500B" w:rsidP="0085500B">
            <w:pPr>
              <w:jc w:val="center"/>
              <w:rPr>
                <w:color w:val="000000"/>
              </w:rPr>
            </w:pPr>
            <w:r w:rsidRPr="0085500B">
              <w:rPr>
                <w:color w:val="000000"/>
              </w:rPr>
              <w:t>41.61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BCE4C" w14:textId="77777777" w:rsidR="0085500B" w:rsidRPr="0085500B" w:rsidRDefault="0085500B" w:rsidP="0085500B">
            <w:pPr>
              <w:jc w:val="center"/>
              <w:rPr>
                <w:color w:val="000000"/>
              </w:rPr>
            </w:pPr>
            <w:r w:rsidRPr="0085500B">
              <w:rPr>
                <w:color w:val="000000"/>
              </w:rPr>
              <w:t>41.90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60C1C" w14:textId="77777777" w:rsidR="0085500B" w:rsidRPr="0085500B" w:rsidRDefault="0085500B" w:rsidP="0085500B">
            <w:pPr>
              <w:jc w:val="center"/>
              <w:rPr>
                <w:color w:val="000000"/>
              </w:rPr>
            </w:pPr>
            <w:r w:rsidRPr="0085500B">
              <w:rPr>
                <w:color w:val="000000"/>
              </w:rPr>
              <w:t>32.40</w:t>
            </w:r>
          </w:p>
        </w:tc>
      </w:tr>
      <w:tr w:rsidR="0085500B" w:rsidRPr="0085500B" w14:paraId="35E42F2F"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E2FE3" w14:textId="77777777" w:rsidR="0085500B" w:rsidRPr="0085500B" w:rsidRDefault="0085500B" w:rsidP="0085500B">
            <w:pPr>
              <w:jc w:val="center"/>
              <w:rPr>
                <w:color w:val="000000"/>
              </w:rPr>
            </w:pPr>
            <w:r w:rsidRPr="0085500B">
              <w:rPr>
                <w:color w:val="000000"/>
              </w:rPr>
              <w:t>TiO</w:t>
            </w:r>
            <w:r w:rsidRPr="0085500B">
              <w:rPr>
                <w:color w:val="000000"/>
                <w:vertAlign w:val="subscript"/>
              </w:rPr>
              <w:t>2</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FC0F9" w14:textId="77777777" w:rsidR="0085500B" w:rsidRPr="0085500B" w:rsidRDefault="0085500B" w:rsidP="0085500B">
            <w:pPr>
              <w:jc w:val="right"/>
              <w:rPr>
                <w:color w:val="000000"/>
              </w:rPr>
            </w:pPr>
            <w:r w:rsidRPr="0085500B">
              <w:rPr>
                <w:color w:val="000000"/>
              </w:rPr>
              <w:t>6.83</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B026C" w14:textId="77777777" w:rsidR="0085500B" w:rsidRPr="0085500B" w:rsidRDefault="0085500B" w:rsidP="0085500B">
            <w:pPr>
              <w:jc w:val="center"/>
              <w:rPr>
                <w:color w:val="000000"/>
              </w:rPr>
            </w:pPr>
            <w:r w:rsidRPr="0085500B">
              <w:rPr>
                <w:color w:val="000000"/>
              </w:rPr>
              <w:t>0.10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8CDA4" w14:textId="77777777" w:rsidR="0085500B" w:rsidRPr="0085500B" w:rsidRDefault="0085500B" w:rsidP="0085500B">
            <w:pPr>
              <w:jc w:val="right"/>
              <w:rPr>
                <w:color w:val="000000"/>
              </w:rPr>
            </w:pPr>
            <w:r w:rsidRPr="0085500B">
              <w:rPr>
                <w:color w:val="000000"/>
              </w:rPr>
              <w:t>0.01</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5CF56" w14:textId="77777777" w:rsidR="0085500B" w:rsidRPr="0085500B" w:rsidRDefault="0085500B" w:rsidP="0085500B">
            <w:pPr>
              <w:jc w:val="center"/>
              <w:rPr>
                <w:color w:val="000000"/>
              </w:rPr>
            </w:pPr>
            <w:r w:rsidRPr="0085500B">
              <w:rPr>
                <w:color w:val="000000"/>
              </w:rPr>
              <w:t>0.01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901060" w14:textId="77777777" w:rsidR="0085500B" w:rsidRPr="0085500B" w:rsidRDefault="0085500B" w:rsidP="0085500B">
            <w:pPr>
              <w:jc w:val="center"/>
              <w:rPr>
                <w:color w:val="000000"/>
              </w:rPr>
            </w:pPr>
            <w:r w:rsidRPr="0085500B">
              <w:rPr>
                <w:color w:val="000000"/>
              </w:rPr>
              <w:t>9.10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10FB6" w14:textId="77777777" w:rsidR="0085500B" w:rsidRPr="0085500B" w:rsidRDefault="0085500B" w:rsidP="0085500B">
            <w:pPr>
              <w:jc w:val="center"/>
              <w:rPr>
                <w:color w:val="000000"/>
              </w:rPr>
            </w:pPr>
            <w:r w:rsidRPr="0085500B">
              <w:rPr>
                <w:color w:val="000000"/>
              </w:rPr>
              <w:t>9.10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494FB" w14:textId="77777777" w:rsidR="0085500B" w:rsidRPr="0085500B" w:rsidRDefault="0085500B" w:rsidP="0085500B">
            <w:pPr>
              <w:jc w:val="center"/>
              <w:rPr>
                <w:color w:val="000000"/>
              </w:rPr>
            </w:pPr>
            <w:r w:rsidRPr="0085500B">
              <w:rPr>
                <w:color w:val="000000"/>
              </w:rPr>
              <w:t>12.63</w:t>
            </w:r>
          </w:p>
        </w:tc>
      </w:tr>
      <w:tr w:rsidR="0085500B" w:rsidRPr="0085500B" w14:paraId="03B4837F"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2FB4A" w14:textId="77777777" w:rsidR="0085500B" w:rsidRPr="0085500B" w:rsidRDefault="0085500B" w:rsidP="0085500B">
            <w:pPr>
              <w:jc w:val="center"/>
              <w:rPr>
                <w:color w:val="000000"/>
              </w:rPr>
            </w:pPr>
            <w:r w:rsidRPr="0085500B">
              <w:rPr>
                <w:color w:val="000000"/>
              </w:rPr>
              <w:t>Al</w:t>
            </w:r>
            <w:r w:rsidRPr="0085500B">
              <w:rPr>
                <w:color w:val="000000"/>
                <w:vertAlign w:val="subscript"/>
              </w:rPr>
              <w:t>2</w:t>
            </w:r>
            <w:r w:rsidRPr="0085500B">
              <w:rPr>
                <w:color w:val="000000"/>
              </w:rPr>
              <w:t>O</w:t>
            </w:r>
            <w:r w:rsidRPr="0085500B">
              <w:rPr>
                <w:color w:val="000000"/>
                <w:vertAlign w:val="subscript"/>
              </w:rPr>
              <w:t>3</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EF7DC" w14:textId="77777777" w:rsidR="0085500B" w:rsidRPr="0085500B" w:rsidRDefault="0085500B" w:rsidP="0085500B">
            <w:pPr>
              <w:jc w:val="right"/>
              <w:rPr>
                <w:color w:val="000000"/>
              </w:rPr>
            </w:pPr>
            <w:r w:rsidRPr="0085500B">
              <w:rPr>
                <w:color w:val="000000"/>
              </w:rPr>
              <w:t>6.26</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792AF" w14:textId="77777777" w:rsidR="0085500B" w:rsidRPr="0085500B" w:rsidRDefault="0085500B" w:rsidP="0085500B">
            <w:pPr>
              <w:jc w:val="center"/>
              <w:rPr>
                <w:color w:val="000000"/>
              </w:rPr>
            </w:pPr>
            <w:r w:rsidRPr="0085500B">
              <w:rPr>
                <w:color w:val="000000"/>
              </w:rPr>
              <w:t>0.08</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2FC4B" w14:textId="77777777" w:rsidR="0085500B" w:rsidRPr="0085500B" w:rsidRDefault="0085500B" w:rsidP="0085500B">
            <w:pPr>
              <w:jc w:val="right"/>
              <w:rPr>
                <w:color w:val="000000"/>
              </w:rPr>
            </w:pPr>
            <w:r w:rsidRPr="0085500B">
              <w:rPr>
                <w:color w:val="000000"/>
              </w:rPr>
              <w:t>0.05</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5B657" w14:textId="77777777" w:rsidR="0085500B" w:rsidRPr="0085500B" w:rsidRDefault="0085500B" w:rsidP="0085500B">
            <w:pPr>
              <w:jc w:val="center"/>
              <w:rPr>
                <w:color w:val="000000"/>
              </w:rPr>
            </w:pPr>
            <w:r w:rsidRPr="0085500B">
              <w:rPr>
                <w:color w:val="000000"/>
              </w:rPr>
              <w:t>0.02</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1136D" w14:textId="77777777" w:rsidR="0085500B" w:rsidRPr="0085500B" w:rsidRDefault="0085500B" w:rsidP="0085500B">
            <w:pPr>
              <w:jc w:val="center"/>
              <w:rPr>
                <w:color w:val="000000"/>
              </w:rPr>
            </w:pPr>
            <w:r w:rsidRPr="0085500B">
              <w:rPr>
                <w:color w:val="000000"/>
              </w:rPr>
              <w:t>2.80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3250C" w14:textId="77777777" w:rsidR="0085500B" w:rsidRPr="0085500B" w:rsidRDefault="0085500B" w:rsidP="0085500B">
            <w:pPr>
              <w:jc w:val="center"/>
              <w:rPr>
                <w:color w:val="000000"/>
              </w:rPr>
            </w:pPr>
            <w:r w:rsidRPr="0085500B">
              <w:rPr>
                <w:color w:val="000000"/>
              </w:rPr>
              <w:t>3.24</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11F25" w14:textId="77777777" w:rsidR="0085500B" w:rsidRPr="0085500B" w:rsidRDefault="0085500B" w:rsidP="0085500B">
            <w:pPr>
              <w:jc w:val="center"/>
              <w:rPr>
                <w:color w:val="000000"/>
              </w:rPr>
            </w:pPr>
            <w:r w:rsidRPr="0085500B">
              <w:rPr>
                <w:color w:val="000000"/>
              </w:rPr>
              <w:t>5.51</w:t>
            </w:r>
          </w:p>
        </w:tc>
      </w:tr>
      <w:tr w:rsidR="0085500B" w:rsidRPr="0085500B" w14:paraId="73C61267"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54354" w14:textId="77777777" w:rsidR="0085500B" w:rsidRPr="0085500B" w:rsidRDefault="0085500B" w:rsidP="0085500B">
            <w:pPr>
              <w:jc w:val="center"/>
              <w:rPr>
                <w:color w:val="000000"/>
              </w:rPr>
            </w:pPr>
            <w:r w:rsidRPr="0085500B">
              <w:rPr>
                <w:color w:val="000000"/>
              </w:rPr>
              <w:t>Cr</w:t>
            </w:r>
            <w:r w:rsidRPr="0085500B">
              <w:rPr>
                <w:color w:val="000000"/>
                <w:vertAlign w:val="subscript"/>
              </w:rPr>
              <w:t>2</w:t>
            </w:r>
            <w:r w:rsidRPr="0085500B">
              <w:rPr>
                <w:color w:val="000000"/>
              </w:rPr>
              <w:t>O</w:t>
            </w:r>
            <w:r w:rsidRPr="0085500B">
              <w:rPr>
                <w:color w:val="000000"/>
                <w:vertAlign w:val="subscript"/>
              </w:rPr>
              <w:t>3</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4BD18" w14:textId="77777777" w:rsidR="0085500B" w:rsidRPr="0085500B" w:rsidRDefault="0085500B" w:rsidP="0085500B">
            <w:pPr>
              <w:jc w:val="right"/>
              <w:rPr>
                <w:color w:val="000000"/>
              </w:rPr>
            </w:pPr>
            <w:r w:rsidRPr="0085500B">
              <w:rPr>
                <w:color w:val="000000"/>
              </w:rPr>
              <w:t>0.26</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6F173" w14:textId="77777777" w:rsidR="0085500B" w:rsidRPr="0085500B" w:rsidRDefault="0085500B" w:rsidP="0085500B">
            <w:pPr>
              <w:jc w:val="center"/>
              <w:rPr>
                <w:color w:val="000000"/>
              </w:rPr>
            </w:pPr>
            <w:r w:rsidRPr="0085500B">
              <w:rPr>
                <w:color w:val="000000"/>
              </w:rPr>
              <w:t>0.01</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9974E" w14:textId="77777777" w:rsidR="0085500B" w:rsidRPr="0085500B" w:rsidRDefault="0085500B" w:rsidP="0085500B">
            <w:pPr>
              <w:jc w:val="right"/>
              <w:rPr>
                <w:color w:val="000000"/>
              </w:rPr>
            </w:pPr>
            <w:r w:rsidRPr="0085500B">
              <w:rPr>
                <w:color w:val="000000"/>
              </w:rPr>
              <w:t>0.12</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E4C99" w14:textId="77777777" w:rsidR="0085500B" w:rsidRPr="0085500B" w:rsidRDefault="0085500B" w:rsidP="0085500B">
            <w:pPr>
              <w:jc w:val="center"/>
              <w:rPr>
                <w:color w:val="000000"/>
              </w:rPr>
            </w:pPr>
            <w:r w:rsidRPr="0085500B">
              <w:rPr>
                <w:color w:val="000000"/>
              </w:rPr>
              <w:t>0.01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D6B71" w14:textId="77777777" w:rsidR="0085500B" w:rsidRPr="0085500B" w:rsidRDefault="0085500B" w:rsidP="0085500B">
            <w:pPr>
              <w:jc w:val="center"/>
              <w:rPr>
                <w:color w:val="000000"/>
              </w:rPr>
            </w:pPr>
            <w:r w:rsidRPr="0085500B">
              <w:rPr>
                <w:color w:val="000000"/>
              </w:rPr>
              <w:t>0.00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9F8A12" w14:textId="77777777" w:rsidR="0085500B" w:rsidRPr="0085500B" w:rsidRDefault="0085500B" w:rsidP="0085500B">
            <w:pPr>
              <w:jc w:val="center"/>
              <w:rPr>
                <w:color w:val="000000"/>
              </w:rPr>
            </w:pPr>
            <w:r w:rsidRPr="0085500B">
              <w:rPr>
                <w:color w:val="000000"/>
              </w:rPr>
              <w:t>0.01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09AF9" w14:textId="77777777" w:rsidR="0085500B" w:rsidRPr="0085500B" w:rsidRDefault="0085500B" w:rsidP="0085500B">
            <w:pPr>
              <w:jc w:val="center"/>
              <w:rPr>
                <w:color w:val="000000"/>
              </w:rPr>
            </w:pPr>
            <w:r w:rsidRPr="0085500B">
              <w:rPr>
                <w:color w:val="000000"/>
              </w:rPr>
              <w:t>0.03</w:t>
            </w:r>
          </w:p>
        </w:tc>
      </w:tr>
      <w:tr w:rsidR="0085500B" w:rsidRPr="0085500B" w14:paraId="4BB530E0"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CF25B" w14:textId="77777777" w:rsidR="0085500B" w:rsidRPr="0085500B" w:rsidRDefault="0085500B" w:rsidP="0085500B">
            <w:pPr>
              <w:jc w:val="center"/>
              <w:rPr>
                <w:color w:val="000000"/>
              </w:rPr>
            </w:pPr>
            <w:r w:rsidRPr="0085500B">
              <w:rPr>
                <w:color w:val="000000"/>
              </w:rPr>
              <w:t>MgO</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A4721" w14:textId="77777777" w:rsidR="0085500B" w:rsidRPr="0085500B" w:rsidRDefault="0085500B" w:rsidP="0085500B">
            <w:pPr>
              <w:jc w:val="right"/>
              <w:rPr>
                <w:color w:val="000000"/>
              </w:rPr>
            </w:pPr>
            <w:r w:rsidRPr="0085500B">
              <w:rPr>
                <w:color w:val="000000"/>
              </w:rPr>
              <w:t>0.91</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78E10" w14:textId="77777777" w:rsidR="0085500B" w:rsidRPr="0085500B" w:rsidRDefault="0085500B" w:rsidP="0085500B">
            <w:pPr>
              <w:jc w:val="center"/>
              <w:rPr>
                <w:color w:val="000000"/>
              </w:rPr>
            </w:pPr>
            <w:r w:rsidRPr="0085500B">
              <w:rPr>
                <w:color w:val="000000"/>
              </w:rPr>
              <w:t>0.02</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91C3D2" w14:textId="77777777" w:rsidR="0085500B" w:rsidRPr="0085500B" w:rsidRDefault="0085500B" w:rsidP="0085500B">
            <w:pPr>
              <w:jc w:val="right"/>
              <w:rPr>
                <w:color w:val="000000"/>
              </w:rPr>
            </w:pPr>
            <w:r w:rsidRPr="0085500B">
              <w:rPr>
                <w:color w:val="000000"/>
              </w:rPr>
              <w:t>49.90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2181F" w14:textId="77777777" w:rsidR="0085500B" w:rsidRPr="0085500B" w:rsidRDefault="0085500B" w:rsidP="0085500B">
            <w:pPr>
              <w:jc w:val="center"/>
              <w:rPr>
                <w:color w:val="000000"/>
              </w:rPr>
            </w:pPr>
            <w:r w:rsidRPr="0085500B">
              <w:rPr>
                <w:color w:val="000000"/>
              </w:rPr>
              <w:t>0.15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42604" w14:textId="77777777" w:rsidR="0085500B" w:rsidRPr="0085500B" w:rsidRDefault="0085500B" w:rsidP="0085500B">
            <w:pPr>
              <w:jc w:val="center"/>
              <w:rPr>
                <w:color w:val="000000"/>
              </w:rPr>
            </w:pPr>
            <w:r w:rsidRPr="0085500B">
              <w:rPr>
                <w:color w:val="000000"/>
              </w:rPr>
              <w:t>7.50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34F9B" w14:textId="77777777" w:rsidR="0085500B" w:rsidRPr="0085500B" w:rsidRDefault="0085500B" w:rsidP="0085500B">
            <w:pPr>
              <w:jc w:val="center"/>
              <w:rPr>
                <w:color w:val="000000"/>
              </w:rPr>
            </w:pPr>
            <w:r w:rsidRPr="0085500B">
              <w:rPr>
                <w:color w:val="000000"/>
              </w:rPr>
              <w:t>7.95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1B337" w14:textId="77777777" w:rsidR="0085500B" w:rsidRPr="0085500B" w:rsidRDefault="0085500B" w:rsidP="0085500B">
            <w:pPr>
              <w:jc w:val="center"/>
              <w:rPr>
                <w:color w:val="000000"/>
              </w:rPr>
            </w:pPr>
            <w:r w:rsidRPr="0085500B">
              <w:rPr>
                <w:color w:val="000000"/>
              </w:rPr>
              <w:t>4.34</w:t>
            </w:r>
          </w:p>
        </w:tc>
      </w:tr>
      <w:tr w:rsidR="0085500B" w:rsidRPr="0085500B" w14:paraId="696A8C79"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0F0CC" w14:textId="77777777" w:rsidR="0085500B" w:rsidRPr="0085500B" w:rsidRDefault="0085500B" w:rsidP="0085500B">
            <w:pPr>
              <w:jc w:val="center"/>
              <w:rPr>
                <w:color w:val="000000"/>
              </w:rPr>
            </w:pPr>
            <w:r w:rsidRPr="0085500B">
              <w:rPr>
                <w:color w:val="000000"/>
              </w:rPr>
              <w:t>CaO</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27968" w14:textId="77777777" w:rsidR="0085500B" w:rsidRPr="0085500B" w:rsidRDefault="0085500B" w:rsidP="0085500B">
            <w:pPr>
              <w:jc w:val="right"/>
              <w:rPr>
                <w:color w:val="000000"/>
              </w:rPr>
            </w:pPr>
            <w:r w:rsidRPr="0085500B">
              <w:rPr>
                <w:color w:val="000000"/>
              </w:rPr>
              <w:t>13.91</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86692" w14:textId="77777777" w:rsidR="0085500B" w:rsidRPr="0085500B" w:rsidRDefault="0085500B" w:rsidP="0085500B">
            <w:pPr>
              <w:jc w:val="center"/>
              <w:rPr>
                <w:color w:val="000000"/>
              </w:rPr>
            </w:pPr>
            <w:r w:rsidRPr="0085500B">
              <w:rPr>
                <w:color w:val="000000"/>
              </w:rPr>
              <w:t>0.10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43C188" w14:textId="77777777" w:rsidR="0085500B" w:rsidRPr="0085500B" w:rsidRDefault="0085500B" w:rsidP="0085500B">
            <w:pPr>
              <w:jc w:val="right"/>
              <w:rPr>
                <w:color w:val="000000"/>
              </w:rPr>
            </w:pPr>
            <w:r w:rsidRPr="0085500B">
              <w:rPr>
                <w:color w:val="000000"/>
              </w:rPr>
              <w:t>0.20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647E15" w14:textId="77777777" w:rsidR="0085500B" w:rsidRPr="0085500B" w:rsidRDefault="0085500B" w:rsidP="0085500B">
            <w:pPr>
              <w:jc w:val="center"/>
              <w:rPr>
                <w:color w:val="000000"/>
              </w:rPr>
            </w:pPr>
            <w:r w:rsidRPr="0085500B">
              <w:rPr>
                <w:color w:val="000000"/>
              </w:rPr>
              <w:t>0.02</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5D93F" w14:textId="77777777" w:rsidR="0085500B" w:rsidRPr="0085500B" w:rsidRDefault="0085500B" w:rsidP="0085500B">
            <w:pPr>
              <w:jc w:val="center"/>
              <w:rPr>
                <w:color w:val="000000"/>
              </w:rPr>
            </w:pPr>
            <w:r w:rsidRPr="0085500B">
              <w:rPr>
                <w:color w:val="000000"/>
              </w:rPr>
              <w:t>8.20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C3C20" w14:textId="77777777" w:rsidR="0085500B" w:rsidRPr="0085500B" w:rsidRDefault="0085500B" w:rsidP="0085500B">
            <w:pPr>
              <w:jc w:val="center"/>
              <w:rPr>
                <w:color w:val="000000"/>
              </w:rPr>
            </w:pPr>
            <w:r w:rsidRPr="0085500B">
              <w:rPr>
                <w:color w:val="000000"/>
              </w:rPr>
              <w:t>8.48</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B633A" w14:textId="77777777" w:rsidR="0085500B" w:rsidRPr="0085500B" w:rsidRDefault="0085500B" w:rsidP="0085500B">
            <w:pPr>
              <w:jc w:val="center"/>
              <w:rPr>
                <w:color w:val="000000"/>
              </w:rPr>
            </w:pPr>
            <w:r w:rsidRPr="0085500B">
              <w:rPr>
                <w:color w:val="000000"/>
              </w:rPr>
              <w:t>5.38</w:t>
            </w:r>
          </w:p>
        </w:tc>
      </w:tr>
      <w:tr w:rsidR="0085500B" w:rsidRPr="0085500B" w14:paraId="5B8E4D20"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BE715" w14:textId="77777777" w:rsidR="0085500B" w:rsidRPr="0085500B" w:rsidRDefault="0085500B" w:rsidP="0085500B">
            <w:pPr>
              <w:jc w:val="center"/>
              <w:rPr>
                <w:color w:val="000000"/>
              </w:rPr>
            </w:pPr>
            <w:r w:rsidRPr="0085500B">
              <w:rPr>
                <w:color w:val="000000"/>
              </w:rPr>
              <w:t>MnO</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CE465" w14:textId="77777777" w:rsidR="0085500B" w:rsidRPr="0085500B" w:rsidRDefault="0085500B" w:rsidP="0085500B">
            <w:pPr>
              <w:jc w:val="right"/>
              <w:rPr>
                <w:color w:val="000000"/>
              </w:rPr>
            </w:pPr>
            <w:r w:rsidRPr="0085500B">
              <w:rPr>
                <w:color w:val="000000"/>
              </w:rPr>
              <w:t>1.05</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2F9BD" w14:textId="77777777" w:rsidR="0085500B" w:rsidRPr="0085500B" w:rsidRDefault="0085500B" w:rsidP="0085500B">
            <w:pPr>
              <w:jc w:val="center"/>
              <w:rPr>
                <w:color w:val="000000"/>
              </w:rPr>
            </w:pPr>
            <w:r w:rsidRPr="0085500B">
              <w:rPr>
                <w:color w:val="000000"/>
              </w:rPr>
              <w:t>0.02</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3BC06" w14:textId="77777777" w:rsidR="0085500B" w:rsidRPr="0085500B" w:rsidRDefault="0085500B" w:rsidP="0085500B">
            <w:pPr>
              <w:jc w:val="right"/>
              <w:rPr>
                <w:color w:val="000000"/>
              </w:rPr>
            </w:pPr>
            <w:r w:rsidRPr="0085500B">
              <w:rPr>
                <w:color w:val="000000"/>
              </w:rPr>
              <w:t>0.14</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10F78" w14:textId="77777777" w:rsidR="0085500B" w:rsidRPr="0085500B" w:rsidRDefault="0085500B" w:rsidP="0085500B">
            <w:pPr>
              <w:jc w:val="center"/>
              <w:rPr>
                <w:color w:val="000000"/>
              </w:rPr>
            </w:pPr>
            <w:r w:rsidRPr="0085500B">
              <w:rPr>
                <w:color w:val="000000"/>
              </w:rPr>
              <w:t>0.01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B278A" w14:textId="77777777" w:rsidR="0085500B" w:rsidRPr="0085500B" w:rsidRDefault="0085500B" w:rsidP="0085500B">
            <w:pPr>
              <w:jc w:val="center"/>
              <w:rPr>
                <w:color w:val="000000"/>
              </w:rPr>
            </w:pPr>
            <w:r w:rsidRPr="0085500B">
              <w:rPr>
                <w:color w:val="000000"/>
              </w:rPr>
              <w:t>0.00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8B4C5" w14:textId="77777777" w:rsidR="0085500B" w:rsidRPr="0085500B" w:rsidRDefault="0085500B" w:rsidP="0085500B">
            <w:pPr>
              <w:jc w:val="center"/>
              <w:rPr>
                <w:color w:val="000000"/>
              </w:rPr>
            </w:pPr>
            <w:r w:rsidRPr="0085500B">
              <w:rPr>
                <w:color w:val="000000"/>
              </w:rPr>
              <w:t>0.03</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BE007" w14:textId="77777777" w:rsidR="0085500B" w:rsidRPr="0085500B" w:rsidRDefault="0085500B" w:rsidP="0085500B">
            <w:pPr>
              <w:jc w:val="center"/>
              <w:rPr>
                <w:color w:val="000000"/>
              </w:rPr>
            </w:pPr>
            <w:r w:rsidRPr="0085500B">
              <w:rPr>
                <w:color w:val="000000"/>
              </w:rPr>
              <w:t>0.40</w:t>
            </w:r>
          </w:p>
        </w:tc>
      </w:tr>
      <w:tr w:rsidR="0085500B" w:rsidRPr="0085500B" w14:paraId="00C0C564"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1A3B5" w14:textId="77777777" w:rsidR="0085500B" w:rsidRPr="0085500B" w:rsidRDefault="0085500B" w:rsidP="0085500B">
            <w:pPr>
              <w:jc w:val="center"/>
              <w:rPr>
                <w:color w:val="000000"/>
              </w:rPr>
            </w:pPr>
            <w:r w:rsidRPr="0085500B">
              <w:rPr>
                <w:color w:val="000000"/>
              </w:rPr>
              <w:t>FeO</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243D9" w14:textId="77777777" w:rsidR="0085500B" w:rsidRPr="0085500B" w:rsidRDefault="0085500B" w:rsidP="0085500B">
            <w:pPr>
              <w:jc w:val="right"/>
              <w:rPr>
                <w:color w:val="000000"/>
              </w:rPr>
            </w:pPr>
            <w:r w:rsidRPr="0085500B">
              <w:rPr>
                <w:color w:val="000000"/>
              </w:rPr>
              <w:t>31.21</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1C7A7" w14:textId="77777777" w:rsidR="0085500B" w:rsidRPr="0085500B" w:rsidRDefault="0085500B" w:rsidP="0085500B">
            <w:pPr>
              <w:jc w:val="center"/>
              <w:rPr>
                <w:color w:val="000000"/>
              </w:rPr>
            </w:pPr>
            <w:r w:rsidRPr="0085500B">
              <w:rPr>
                <w:color w:val="000000"/>
              </w:rPr>
              <w:t>0.09</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53A32" w14:textId="77777777" w:rsidR="0085500B" w:rsidRPr="0085500B" w:rsidRDefault="0085500B" w:rsidP="0085500B">
            <w:pPr>
              <w:jc w:val="right"/>
              <w:rPr>
                <w:color w:val="000000"/>
              </w:rPr>
            </w:pPr>
            <w:r w:rsidRPr="0085500B">
              <w:rPr>
                <w:color w:val="000000"/>
              </w:rPr>
              <w:t>8.98</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652A0" w14:textId="77777777" w:rsidR="0085500B" w:rsidRPr="0085500B" w:rsidRDefault="0085500B" w:rsidP="0085500B">
            <w:pPr>
              <w:jc w:val="center"/>
              <w:rPr>
                <w:color w:val="000000"/>
              </w:rPr>
            </w:pPr>
            <w:r w:rsidRPr="0085500B">
              <w:rPr>
                <w:color w:val="000000"/>
              </w:rPr>
              <w:t>0.05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CA262" w14:textId="77777777" w:rsidR="0085500B" w:rsidRPr="0085500B" w:rsidRDefault="0085500B" w:rsidP="0085500B">
            <w:pPr>
              <w:jc w:val="center"/>
              <w:rPr>
                <w:color w:val="000000"/>
              </w:rPr>
            </w:pPr>
            <w:r w:rsidRPr="0085500B">
              <w:rPr>
                <w:color w:val="000000"/>
              </w:rPr>
              <w:t>29.60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7E76C5" w14:textId="77777777" w:rsidR="0085500B" w:rsidRPr="0085500B" w:rsidRDefault="0085500B" w:rsidP="0085500B">
            <w:pPr>
              <w:jc w:val="center"/>
              <w:rPr>
                <w:color w:val="000000"/>
              </w:rPr>
            </w:pPr>
            <w:r w:rsidRPr="0085500B">
              <w:rPr>
                <w:color w:val="000000"/>
              </w:rPr>
              <w:t>28.90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F565B" w14:textId="77777777" w:rsidR="0085500B" w:rsidRPr="0085500B" w:rsidRDefault="0085500B" w:rsidP="0085500B">
            <w:pPr>
              <w:jc w:val="center"/>
              <w:rPr>
                <w:color w:val="000000"/>
              </w:rPr>
            </w:pPr>
            <w:r w:rsidRPr="0085500B">
              <w:rPr>
                <w:color w:val="000000"/>
              </w:rPr>
              <w:t>39.15</w:t>
            </w:r>
          </w:p>
        </w:tc>
      </w:tr>
      <w:tr w:rsidR="0085500B" w:rsidRPr="0085500B" w14:paraId="4FBE9462"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1491E" w14:textId="77777777" w:rsidR="0085500B" w:rsidRPr="0085500B" w:rsidRDefault="0085500B" w:rsidP="0085500B">
            <w:pPr>
              <w:jc w:val="center"/>
              <w:rPr>
                <w:color w:val="000000"/>
              </w:rPr>
            </w:pPr>
            <w:r w:rsidRPr="0085500B">
              <w:rPr>
                <w:color w:val="000000"/>
              </w:rPr>
              <w:t>NiO</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F0227" w14:textId="77777777" w:rsidR="0085500B" w:rsidRPr="0085500B" w:rsidRDefault="0085500B" w:rsidP="0085500B">
            <w:pPr>
              <w:jc w:val="right"/>
              <w:rPr>
                <w:color w:val="000000"/>
              </w:rPr>
            </w:pPr>
            <w:r w:rsidRPr="0085500B">
              <w:rPr>
                <w:color w:val="000000"/>
              </w:rPr>
              <w:t>0.00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27A19" w14:textId="77777777" w:rsidR="0085500B" w:rsidRPr="0085500B" w:rsidRDefault="0085500B" w:rsidP="0085500B">
            <w:pPr>
              <w:jc w:val="center"/>
              <w:rPr>
                <w:color w:val="000000"/>
              </w:rPr>
            </w:pPr>
            <w:r w:rsidRPr="0085500B">
              <w:rPr>
                <w:color w:val="000000"/>
              </w:rPr>
              <w:t>0.00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52C229" w14:textId="77777777" w:rsidR="0085500B" w:rsidRPr="0085500B" w:rsidRDefault="0085500B" w:rsidP="0085500B">
            <w:pPr>
              <w:jc w:val="right"/>
              <w:rPr>
                <w:color w:val="000000"/>
              </w:rPr>
            </w:pPr>
            <w:r w:rsidRPr="0085500B">
              <w:rPr>
                <w:color w:val="000000"/>
              </w:rPr>
              <w:t>0.40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F77C2" w14:textId="77777777" w:rsidR="0085500B" w:rsidRPr="0085500B" w:rsidRDefault="0085500B" w:rsidP="0085500B">
            <w:pPr>
              <w:jc w:val="center"/>
              <w:rPr>
                <w:color w:val="000000"/>
              </w:rPr>
            </w:pPr>
            <w:r w:rsidRPr="0085500B">
              <w:rPr>
                <w:color w:val="000000"/>
              </w:rPr>
              <w:t>0.03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237A6" w14:textId="77777777" w:rsidR="0085500B" w:rsidRPr="0085500B" w:rsidRDefault="0085500B" w:rsidP="0085500B">
            <w:pPr>
              <w:jc w:val="center"/>
              <w:rPr>
                <w:color w:val="000000"/>
              </w:rPr>
            </w:pPr>
            <w:r w:rsidRPr="0085500B">
              <w:rPr>
                <w:color w:val="000000"/>
              </w:rPr>
              <w:t>0.00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DC3E8" w14:textId="77777777" w:rsidR="0085500B" w:rsidRPr="0085500B" w:rsidRDefault="0085500B" w:rsidP="0085500B">
            <w:pPr>
              <w:jc w:val="center"/>
              <w:rPr>
                <w:color w:val="000000"/>
              </w:rPr>
            </w:pPr>
            <w:r w:rsidRPr="0085500B">
              <w:rPr>
                <w:color w:val="000000"/>
              </w:rPr>
              <w:t>0.00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164A4" w14:textId="77777777" w:rsidR="0085500B" w:rsidRPr="0085500B" w:rsidRDefault="0085500B" w:rsidP="0085500B">
            <w:pPr>
              <w:jc w:val="center"/>
              <w:rPr>
                <w:color w:val="000000"/>
              </w:rPr>
            </w:pPr>
            <w:r w:rsidRPr="0085500B">
              <w:rPr>
                <w:color w:val="000000"/>
              </w:rPr>
              <w:t>0.00</w:t>
            </w:r>
          </w:p>
        </w:tc>
      </w:tr>
      <w:tr w:rsidR="0085500B" w:rsidRPr="0085500B" w14:paraId="64F04433"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F6544" w14:textId="77777777" w:rsidR="0085500B" w:rsidRPr="0085500B" w:rsidRDefault="0085500B" w:rsidP="0085500B">
            <w:pPr>
              <w:jc w:val="center"/>
              <w:rPr>
                <w:color w:val="000000"/>
              </w:rPr>
            </w:pPr>
            <w:r w:rsidRPr="0085500B">
              <w:rPr>
                <w:color w:val="000000"/>
              </w:rPr>
              <w:t>Na</w:t>
            </w:r>
            <w:r w:rsidRPr="0085500B">
              <w:rPr>
                <w:color w:val="000000"/>
                <w:vertAlign w:val="subscript"/>
              </w:rPr>
              <w:t>2</w:t>
            </w:r>
            <w:r w:rsidRPr="0085500B">
              <w:rPr>
                <w:color w:val="000000"/>
              </w:rPr>
              <w:t>O</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CD099" w14:textId="77777777" w:rsidR="0085500B" w:rsidRPr="0085500B" w:rsidRDefault="0085500B" w:rsidP="0085500B">
            <w:pPr>
              <w:jc w:val="right"/>
              <w:rPr>
                <w:color w:val="000000"/>
              </w:rPr>
            </w:pPr>
            <w:r w:rsidRPr="0085500B">
              <w:rPr>
                <w:color w:val="000000"/>
              </w:rPr>
              <w:t>0.29</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B50D4" w14:textId="77777777" w:rsidR="0085500B" w:rsidRPr="0085500B" w:rsidRDefault="0085500B" w:rsidP="0085500B">
            <w:pPr>
              <w:jc w:val="center"/>
              <w:rPr>
                <w:color w:val="000000"/>
              </w:rPr>
            </w:pPr>
            <w:r w:rsidRPr="0085500B">
              <w:rPr>
                <w:color w:val="000000"/>
              </w:rPr>
              <w:t>0.02</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8A749" w14:textId="77777777" w:rsidR="0085500B" w:rsidRPr="0085500B" w:rsidRDefault="0085500B" w:rsidP="0085500B">
            <w:pPr>
              <w:jc w:val="right"/>
              <w:rPr>
                <w:color w:val="000000"/>
              </w:rPr>
            </w:pPr>
            <w:r w:rsidRPr="0085500B">
              <w:rPr>
                <w:color w:val="000000"/>
              </w:rPr>
              <w:t>0.01</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6864A" w14:textId="77777777" w:rsidR="0085500B" w:rsidRPr="0085500B" w:rsidRDefault="0085500B" w:rsidP="0085500B">
            <w:pPr>
              <w:jc w:val="center"/>
              <w:rPr>
                <w:color w:val="000000"/>
              </w:rPr>
            </w:pPr>
            <w:r w:rsidRPr="0085500B">
              <w:rPr>
                <w:color w:val="000000"/>
              </w:rPr>
              <w:t>0.00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ABEDE" w14:textId="77777777" w:rsidR="0085500B" w:rsidRPr="0085500B" w:rsidRDefault="0085500B" w:rsidP="0085500B">
            <w:pPr>
              <w:jc w:val="center"/>
              <w:rPr>
                <w:color w:val="000000"/>
              </w:rPr>
            </w:pPr>
            <w:r w:rsidRPr="0085500B">
              <w:rPr>
                <w:color w:val="000000"/>
              </w:rPr>
              <w:t>0.00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F91965" w14:textId="77777777" w:rsidR="0085500B" w:rsidRPr="0085500B" w:rsidRDefault="0085500B" w:rsidP="0085500B">
            <w:pPr>
              <w:jc w:val="center"/>
              <w:rPr>
                <w:color w:val="000000"/>
              </w:rPr>
            </w:pPr>
            <w:r w:rsidRPr="0085500B">
              <w:rPr>
                <w:color w:val="000000"/>
              </w:rPr>
              <w:t>0.02</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0343A" w14:textId="77777777" w:rsidR="0085500B" w:rsidRPr="0085500B" w:rsidRDefault="0085500B" w:rsidP="0085500B">
            <w:pPr>
              <w:jc w:val="center"/>
              <w:rPr>
                <w:color w:val="000000"/>
              </w:rPr>
            </w:pPr>
            <w:r w:rsidRPr="0085500B">
              <w:rPr>
                <w:color w:val="000000"/>
              </w:rPr>
              <w:t>0.15</w:t>
            </w:r>
          </w:p>
        </w:tc>
      </w:tr>
      <w:tr w:rsidR="0085500B" w:rsidRPr="0085500B" w14:paraId="30D14DC4"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53C08" w14:textId="77777777" w:rsidR="0085500B" w:rsidRPr="0085500B" w:rsidRDefault="0085500B" w:rsidP="0085500B">
            <w:pPr>
              <w:jc w:val="center"/>
              <w:rPr>
                <w:color w:val="000000"/>
              </w:rPr>
            </w:pPr>
            <w:r w:rsidRPr="0085500B">
              <w:rPr>
                <w:color w:val="000000"/>
              </w:rPr>
              <w:t>K</w:t>
            </w:r>
            <w:r w:rsidRPr="0085500B">
              <w:rPr>
                <w:color w:val="000000"/>
                <w:vertAlign w:val="subscript"/>
              </w:rPr>
              <w:t>2</w:t>
            </w:r>
            <w:r w:rsidRPr="0085500B">
              <w:rPr>
                <w:color w:val="000000"/>
              </w:rPr>
              <w:t>O</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CE123" w14:textId="77777777" w:rsidR="0085500B" w:rsidRPr="0085500B" w:rsidRDefault="0085500B" w:rsidP="0085500B">
            <w:pPr>
              <w:jc w:val="right"/>
              <w:rPr>
                <w:color w:val="000000"/>
              </w:rPr>
            </w:pPr>
            <w:r w:rsidRPr="0085500B">
              <w:rPr>
                <w:color w:val="000000"/>
              </w:rPr>
              <w:t>0.00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5DAA7" w14:textId="77777777" w:rsidR="0085500B" w:rsidRPr="0085500B" w:rsidRDefault="0085500B" w:rsidP="0085500B">
            <w:pPr>
              <w:jc w:val="center"/>
              <w:rPr>
                <w:color w:val="000000"/>
              </w:rPr>
            </w:pPr>
            <w:r w:rsidRPr="0085500B">
              <w:rPr>
                <w:color w:val="000000"/>
              </w:rPr>
              <w:t>-</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1F177" w14:textId="77777777" w:rsidR="0085500B" w:rsidRPr="0085500B" w:rsidRDefault="0085500B" w:rsidP="0085500B">
            <w:pPr>
              <w:jc w:val="right"/>
              <w:rPr>
                <w:color w:val="000000"/>
              </w:rPr>
            </w:pPr>
            <w:r w:rsidRPr="0085500B">
              <w:rPr>
                <w:color w:val="000000"/>
              </w:rPr>
              <w:t>0.00</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592FEF" w14:textId="77777777" w:rsidR="0085500B" w:rsidRPr="0085500B" w:rsidRDefault="0085500B" w:rsidP="0085500B">
            <w:pPr>
              <w:jc w:val="center"/>
              <w:rPr>
                <w:color w:val="000000"/>
              </w:rPr>
            </w:pPr>
            <w:r w:rsidRPr="0085500B">
              <w:rPr>
                <w:color w:val="000000"/>
              </w:rPr>
              <w:t>-</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90A52A" w14:textId="77777777" w:rsidR="0085500B" w:rsidRPr="0085500B" w:rsidRDefault="0085500B" w:rsidP="0085500B">
            <w:pPr>
              <w:jc w:val="center"/>
              <w:rPr>
                <w:color w:val="000000"/>
              </w:rPr>
            </w:pPr>
            <w:r w:rsidRPr="0085500B">
              <w:rPr>
                <w:color w:val="000000"/>
              </w:rPr>
              <w:t>0.00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CFEB7" w14:textId="77777777" w:rsidR="0085500B" w:rsidRPr="0085500B" w:rsidRDefault="0085500B" w:rsidP="0085500B">
            <w:pPr>
              <w:jc w:val="center"/>
              <w:rPr>
                <w:color w:val="000000"/>
              </w:rPr>
            </w:pPr>
            <w:r w:rsidRPr="0085500B">
              <w:rPr>
                <w:color w:val="000000"/>
              </w:rPr>
              <w:t>0.02</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4B71B" w14:textId="77777777" w:rsidR="0085500B" w:rsidRPr="0085500B" w:rsidRDefault="0085500B" w:rsidP="0085500B">
            <w:pPr>
              <w:jc w:val="center"/>
              <w:rPr>
                <w:color w:val="000000"/>
              </w:rPr>
            </w:pPr>
            <w:r w:rsidRPr="0085500B">
              <w:rPr>
                <w:color w:val="000000"/>
              </w:rPr>
              <w:t>0.01</w:t>
            </w:r>
          </w:p>
        </w:tc>
      </w:tr>
      <w:tr w:rsidR="0085500B" w:rsidRPr="0085500B" w14:paraId="2301CE01"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13291" w14:textId="77777777" w:rsidR="0085500B" w:rsidRPr="0085500B" w:rsidRDefault="0085500B" w:rsidP="0085500B">
            <w:pPr>
              <w:jc w:val="center"/>
              <w:rPr>
                <w:color w:val="000000"/>
              </w:rPr>
            </w:pPr>
            <w:r w:rsidRPr="0085500B">
              <w:rPr>
                <w:color w:val="000000"/>
              </w:rPr>
              <w:t>Total</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DC0C4" w14:textId="77777777" w:rsidR="0085500B" w:rsidRPr="0085500B" w:rsidRDefault="0085500B" w:rsidP="0085500B">
            <w:pPr>
              <w:jc w:val="right"/>
              <w:rPr>
                <w:color w:val="000000"/>
              </w:rPr>
            </w:pPr>
            <w:r w:rsidRPr="0085500B">
              <w:rPr>
                <w:color w:val="000000"/>
              </w:rPr>
              <w:t>98.75</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78DBC0" w14:textId="77777777" w:rsidR="0085500B" w:rsidRPr="0085500B" w:rsidRDefault="0085500B" w:rsidP="0085500B">
            <w:pPr>
              <w:jc w:val="center"/>
              <w:rPr>
                <w:color w:val="000000"/>
              </w:rPr>
            </w:pPr>
            <w:r w:rsidRPr="0085500B">
              <w:rPr>
                <w:color w:val="000000"/>
              </w:rPr>
              <w:t>0.23</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2FF3C" w14:textId="77777777" w:rsidR="0085500B" w:rsidRPr="0085500B" w:rsidRDefault="0085500B" w:rsidP="0085500B">
            <w:pPr>
              <w:jc w:val="right"/>
              <w:rPr>
                <w:color w:val="000000"/>
              </w:rPr>
            </w:pPr>
            <w:r w:rsidRPr="0085500B">
              <w:rPr>
                <w:color w:val="000000"/>
              </w:rPr>
              <w:t>101.22</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67A42" w14:textId="77777777" w:rsidR="0085500B" w:rsidRPr="0085500B" w:rsidRDefault="0085500B" w:rsidP="0085500B">
            <w:pPr>
              <w:jc w:val="center"/>
              <w:rPr>
                <w:color w:val="000000"/>
              </w:rPr>
            </w:pPr>
            <w:r w:rsidRPr="0085500B">
              <w:rPr>
                <w:color w:val="000000"/>
              </w:rPr>
              <w:t>0.35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D3188" w14:textId="77777777" w:rsidR="0085500B" w:rsidRPr="0085500B" w:rsidRDefault="0085500B" w:rsidP="0085500B">
            <w:pPr>
              <w:jc w:val="center"/>
              <w:rPr>
                <w:color w:val="000000"/>
              </w:rPr>
            </w:pPr>
            <w:r w:rsidRPr="0085500B">
              <w:rPr>
                <w:color w:val="000000"/>
              </w:rPr>
              <w:t>98.81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21C66" w14:textId="77777777" w:rsidR="0085500B" w:rsidRPr="0085500B" w:rsidRDefault="0085500B" w:rsidP="0085500B">
            <w:pPr>
              <w:jc w:val="center"/>
              <w:rPr>
                <w:color w:val="000000"/>
              </w:rPr>
            </w:pPr>
            <w:r w:rsidRPr="0085500B">
              <w:rPr>
                <w:color w:val="000000"/>
              </w:rPr>
              <w:t>99.65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867C6" w14:textId="77777777" w:rsidR="0085500B" w:rsidRPr="0085500B" w:rsidRDefault="0085500B" w:rsidP="0085500B">
            <w:pPr>
              <w:jc w:val="center"/>
              <w:rPr>
                <w:color w:val="000000"/>
              </w:rPr>
            </w:pPr>
            <w:r w:rsidRPr="0085500B">
              <w:rPr>
                <w:color w:val="000000"/>
              </w:rPr>
              <w:t>100.00</w:t>
            </w:r>
          </w:p>
        </w:tc>
      </w:tr>
      <w:tr w:rsidR="0085500B" w:rsidRPr="0085500B" w14:paraId="3E72E0AF" w14:textId="77777777" w:rsidTr="00D61AAF">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48C340" w14:textId="77777777" w:rsidR="0085500B" w:rsidRPr="0085500B" w:rsidRDefault="0085500B" w:rsidP="0085500B">
            <w:pPr>
              <w:jc w:val="center"/>
              <w:rPr>
                <w:color w:val="000000"/>
              </w:rPr>
            </w:pPr>
            <w:r w:rsidRPr="0085500B">
              <w:rPr>
                <w:color w:val="000000"/>
              </w:rPr>
              <w:t>Mg#</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771B48" w14:textId="77777777" w:rsidR="0085500B" w:rsidRPr="0085500B" w:rsidRDefault="0085500B" w:rsidP="0085500B">
            <w:pPr>
              <w:jc w:val="right"/>
              <w:rPr>
                <w:color w:val="000000"/>
              </w:rPr>
            </w:pPr>
            <w:r w:rsidRPr="0085500B">
              <w:rPr>
                <w:color w:val="000000"/>
              </w:rPr>
              <w:t>4.96</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5E795D" w14:textId="77777777" w:rsidR="0085500B" w:rsidRPr="0085500B" w:rsidRDefault="0085500B" w:rsidP="0085500B">
            <w:pPr>
              <w:jc w:val="center"/>
              <w:rPr>
                <w:color w:val="000000"/>
              </w:rPr>
            </w:pPr>
            <w:r w:rsidRPr="0085500B">
              <w:rPr>
                <w:color w:val="000000"/>
              </w:rPr>
              <w:t>0.12</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2C750" w14:textId="77777777" w:rsidR="0085500B" w:rsidRPr="0085500B" w:rsidRDefault="0085500B" w:rsidP="0085500B">
            <w:pPr>
              <w:jc w:val="right"/>
              <w:rPr>
                <w:color w:val="000000"/>
              </w:rPr>
            </w:pPr>
            <w:r w:rsidRPr="0085500B">
              <w:rPr>
                <w:color w:val="000000"/>
              </w:rPr>
              <w:t>90.83</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542CC" w14:textId="77777777" w:rsidR="0085500B" w:rsidRPr="0085500B" w:rsidRDefault="0085500B" w:rsidP="0085500B">
            <w:pPr>
              <w:jc w:val="center"/>
              <w:rPr>
                <w:color w:val="000000"/>
              </w:rPr>
            </w:pPr>
            <w:r w:rsidRPr="0085500B">
              <w:rPr>
                <w:color w:val="000000"/>
              </w:rPr>
              <w:t>0.07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053F8" w14:textId="77777777" w:rsidR="0085500B" w:rsidRPr="0085500B" w:rsidRDefault="0085500B" w:rsidP="0085500B">
            <w:pPr>
              <w:jc w:val="center"/>
              <w:rPr>
                <w:color w:val="000000"/>
              </w:rPr>
            </w:pPr>
            <w:r w:rsidRPr="0085500B">
              <w:rPr>
                <w:color w:val="000000"/>
              </w:rPr>
              <w:t>31.11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20BFD" w14:textId="77777777" w:rsidR="0085500B" w:rsidRPr="0085500B" w:rsidRDefault="0085500B" w:rsidP="0085500B">
            <w:pPr>
              <w:jc w:val="center"/>
              <w:rPr>
                <w:color w:val="000000"/>
              </w:rPr>
            </w:pPr>
            <w:r w:rsidRPr="0085500B">
              <w:rPr>
                <w:color w:val="000000"/>
              </w:rPr>
              <w:t>32.90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2B9E8" w14:textId="77777777" w:rsidR="0085500B" w:rsidRPr="0085500B" w:rsidRDefault="0085500B" w:rsidP="0085500B">
            <w:pPr>
              <w:jc w:val="center"/>
              <w:rPr>
                <w:color w:val="000000"/>
              </w:rPr>
            </w:pPr>
            <w:r w:rsidRPr="0085500B">
              <w:rPr>
                <w:color w:val="000000"/>
              </w:rPr>
              <w:t>16.49</w:t>
            </w:r>
          </w:p>
        </w:tc>
      </w:tr>
    </w:tbl>
    <w:p w14:paraId="7B5EE16B" w14:textId="77777777" w:rsidR="0085500B" w:rsidRPr="0085500B" w:rsidRDefault="0085500B" w:rsidP="0085500B">
      <w:pPr>
        <w:rPr>
          <w:color w:val="000000"/>
        </w:rPr>
      </w:pPr>
      <w:r w:rsidRPr="0085500B">
        <w:rPr>
          <w:color w:val="000000"/>
        </w:rPr>
        <w:t>Mg# = (Mg/(Mg+Fe))x100</w:t>
      </w:r>
    </w:p>
    <w:p w14:paraId="59F1F035" w14:textId="77777777" w:rsidR="0085500B" w:rsidRPr="0085500B" w:rsidRDefault="0085500B" w:rsidP="0085500B">
      <w:pPr>
        <w:rPr>
          <w:color w:val="000000"/>
        </w:rPr>
      </w:pPr>
      <w:r w:rsidRPr="0085500B">
        <w:rPr>
          <w:color w:val="000000"/>
        </w:rPr>
        <w:t>VO&amp;G' 00 - Van Orman and Grove (2000)</w:t>
      </w:r>
    </w:p>
    <w:p w14:paraId="1B9259CE" w14:textId="77777777" w:rsidR="0085500B" w:rsidRPr="0085500B" w:rsidRDefault="0085500B" w:rsidP="0085500B">
      <w:pPr>
        <w:rPr>
          <w:color w:val="000000"/>
        </w:rPr>
      </w:pPr>
      <w:r w:rsidRPr="0085500B">
        <w:rPr>
          <w:color w:val="000000"/>
        </w:rPr>
        <w:t>M' 19 - Mallik et al. (2019)</w:t>
      </w:r>
    </w:p>
    <w:p w14:paraId="52A8845F" w14:textId="77777777" w:rsidR="0085500B" w:rsidRPr="0085500B" w:rsidRDefault="0085500B" w:rsidP="0085500B">
      <w:pPr>
        <w:rPr>
          <w:color w:val="000000"/>
        </w:rPr>
      </w:pPr>
      <w:r w:rsidRPr="0085500B">
        <w:rPr>
          <w:color w:val="000000"/>
        </w:rPr>
        <w:t>C' 18 - Charlier et al. (2018)</w:t>
      </w:r>
    </w:p>
    <w:p w14:paraId="7FF5093C" w14:textId="77777777" w:rsidR="00B60E1C" w:rsidRDefault="00B60E1C" w:rsidP="00B60E1C">
      <w:pPr>
        <w:rPr>
          <w:color w:val="000000"/>
        </w:rPr>
      </w:pPr>
      <w:r w:rsidRPr="00B60E1C">
        <w:rPr>
          <w:color w:val="000000"/>
        </w:rPr>
        <w:t>TiCum Est - Estimated composition of the ilmenite-bearing cumulate from Charlier et al. (2018) determined with the modal mineral abundances and mineral compositions from crystallization experiments (LPUM/02-3 gl). Composition assumes 80% floation of plagioclase and quartz based on the findings of the study.</w:t>
      </w:r>
    </w:p>
    <w:p w14:paraId="4295C3C7" w14:textId="6EC5042B" w:rsidR="007C7E9D" w:rsidRDefault="007C7E9D">
      <w:pPr>
        <w:rPr>
          <w:color w:val="000000"/>
        </w:rPr>
      </w:pPr>
      <w:r>
        <w:rPr>
          <w:color w:val="000000"/>
        </w:rPr>
        <w:br w:type="page"/>
      </w:r>
    </w:p>
    <w:p w14:paraId="52BC7026" w14:textId="77777777" w:rsidR="007C7E9D" w:rsidRPr="007F2D9E" w:rsidRDefault="007C7E9D" w:rsidP="007C7E9D">
      <w:pPr>
        <w:spacing w:line="480" w:lineRule="auto"/>
        <w:rPr>
          <w:color w:val="000000" w:themeColor="text1"/>
        </w:rPr>
      </w:pPr>
      <w:r w:rsidRPr="007F2D9E">
        <w:rPr>
          <w:color w:val="000000" w:themeColor="text1"/>
        </w:rPr>
        <w:lastRenderedPageBreak/>
        <w:t>Reaction couples were held together using platinum foil and placed in experimental assemblies composed of crushable MgO spacers within a graphite resistance heater and Pyrex sleeve, using outer NaCl salt sleeves as a confining material, with the IBC glass above the dunite (</w:t>
      </w:r>
      <w:r w:rsidRPr="005739CD">
        <w:rPr>
          <w:b/>
          <w:bCs/>
          <w:color w:val="000000" w:themeColor="text1"/>
        </w:rPr>
        <w:t>Figure 1.1</w:t>
      </w:r>
      <w:r w:rsidRPr="007F2D9E">
        <w:rPr>
          <w:color w:val="000000" w:themeColor="text1"/>
        </w:rPr>
        <w:t>). No pressure correction was applied. Temperature was monitored using calibrated D-type W-Re thermocouples, and no emf correction was applied.</w:t>
      </w:r>
    </w:p>
    <w:p w14:paraId="173DEA9F" w14:textId="22274D7B" w:rsidR="007C7E9D" w:rsidRDefault="007C7E9D" w:rsidP="007C7E9D">
      <w:pPr>
        <w:spacing w:line="480" w:lineRule="auto"/>
        <w:ind w:firstLine="720"/>
        <w:rPr>
          <w:color w:val="000000" w:themeColor="text1"/>
        </w:rPr>
      </w:pPr>
      <w:r w:rsidRPr="007F2D9E">
        <w:rPr>
          <w:color w:val="000000" w:themeColor="text1"/>
        </w:rPr>
        <w:t>Eight of the experiments were run in a three-step, heat-dwell-quench sequence to examine whether a reaction would occur between the halves of the reaction couple (</w:t>
      </w:r>
      <w:r w:rsidRPr="00D74F65">
        <w:rPr>
          <w:b/>
          <w:bCs/>
          <w:color w:val="000000" w:themeColor="text1"/>
        </w:rPr>
        <w:t>Table 1.2</w:t>
      </w:r>
      <w:r w:rsidRPr="007F2D9E">
        <w:rPr>
          <w:color w:val="000000" w:themeColor="text1"/>
        </w:rPr>
        <w:t>). These eight experiments were run at temperatures between 1100 and 1300</w:t>
      </w:r>
      <w:r w:rsidRPr="007F2D9E">
        <w:rPr>
          <w:color w:val="000000" w:themeColor="text1"/>
          <w:vertAlign w:val="superscript"/>
        </w:rPr>
        <w:t>º</w:t>
      </w:r>
      <w:r w:rsidRPr="007F2D9E">
        <w:rPr>
          <w:color w:val="000000" w:themeColor="text1"/>
        </w:rPr>
        <w:t>C at pressures between 0.55 and 2.02 GPa for durations of 20 min to 24 hr. One experiment (MRx#13) was run as a five-step, heat-dwell-cool-dwell-quench sequence to examine the effects of dunite dissolution on a hybridized cumulate (</w:t>
      </w:r>
      <w:r w:rsidRPr="00D74F65">
        <w:rPr>
          <w:b/>
          <w:bCs/>
          <w:color w:val="000000" w:themeColor="text1"/>
        </w:rPr>
        <w:t>Table 1.2</w:t>
      </w:r>
      <w:r w:rsidRPr="007F2D9E">
        <w:rPr>
          <w:color w:val="000000" w:themeColor="text1"/>
        </w:rPr>
        <w:t>). This experiment was run at 2.02 GPa and had an initial 6 hr dwell period at 1300</w:t>
      </w:r>
      <w:r w:rsidRPr="007F2D9E">
        <w:rPr>
          <w:color w:val="000000" w:themeColor="text1"/>
          <w:vertAlign w:val="superscript"/>
        </w:rPr>
        <w:t>º</w:t>
      </w:r>
      <w:r w:rsidRPr="007F2D9E">
        <w:rPr>
          <w:color w:val="000000" w:themeColor="text1"/>
        </w:rPr>
        <w:t xml:space="preserve">C, followed by a 1 hr and 40 min cooling period, which cooled the experiment at a rate of 1 </w:t>
      </w:r>
      <w:r w:rsidRPr="007F2D9E">
        <w:rPr>
          <w:color w:val="000000" w:themeColor="text1"/>
          <w:vertAlign w:val="superscript"/>
        </w:rPr>
        <w:t>º</w:t>
      </w:r>
      <w:r w:rsidRPr="007F2D9E">
        <w:rPr>
          <w:color w:val="000000" w:themeColor="text1"/>
        </w:rPr>
        <w:t>C/min. The cooling period decreased the temperature to 1200</w:t>
      </w:r>
      <w:r w:rsidRPr="007F2D9E">
        <w:rPr>
          <w:color w:val="000000" w:themeColor="text1"/>
          <w:vertAlign w:val="superscript"/>
        </w:rPr>
        <w:t>º</w:t>
      </w:r>
      <w:r w:rsidRPr="007F2D9E">
        <w:rPr>
          <w:color w:val="000000" w:themeColor="text1"/>
        </w:rPr>
        <w:t>C, and the experiment dwelled at this temperature for 24 hr before quenching (</w:t>
      </w:r>
      <w:r w:rsidRPr="00D74F65">
        <w:rPr>
          <w:b/>
          <w:bCs/>
          <w:color w:val="000000" w:themeColor="text1"/>
        </w:rPr>
        <w:t>Table 1.2</w:t>
      </w:r>
      <w:r w:rsidRPr="007F2D9E">
        <w:rPr>
          <w:color w:val="000000" w:themeColor="text1"/>
        </w:rPr>
        <w:t>).</w:t>
      </w:r>
    </w:p>
    <w:p w14:paraId="4AA2C0A4" w14:textId="77777777" w:rsidR="007C7E9D" w:rsidRPr="007F2D9E" w:rsidRDefault="007C7E9D" w:rsidP="007C7E9D">
      <w:pPr>
        <w:pStyle w:val="Heading3"/>
      </w:pPr>
      <w:bookmarkStart w:id="51" w:name="_Toc182331728"/>
      <w:bookmarkStart w:id="52" w:name="_Toc182995454"/>
      <w:bookmarkStart w:id="53" w:name="_Toc183536555"/>
      <w:bookmarkStart w:id="54" w:name="_Toc184727358"/>
      <w:bookmarkStart w:id="55" w:name="_Toc185325606"/>
      <w:r w:rsidRPr="007F2D9E">
        <w:t>Analysis of Run Products</w:t>
      </w:r>
      <w:bookmarkEnd w:id="51"/>
      <w:bookmarkEnd w:id="52"/>
      <w:bookmarkEnd w:id="53"/>
      <w:bookmarkEnd w:id="54"/>
      <w:bookmarkEnd w:id="55"/>
    </w:p>
    <w:p w14:paraId="4821901F" w14:textId="71907AB5" w:rsidR="007C7E9D" w:rsidRDefault="007C7E9D" w:rsidP="007C7E9D">
      <w:pPr>
        <w:spacing w:line="480" w:lineRule="auto"/>
        <w:ind w:firstLine="720"/>
        <w:rPr>
          <w:color w:val="000000"/>
        </w:rPr>
      </w:pPr>
      <w:r w:rsidRPr="007F2D9E">
        <w:rPr>
          <w:color w:val="000000" w:themeColor="text1"/>
        </w:rPr>
        <w:t xml:space="preserve">Run products were extracted from assembles, mounted in epoxy resin, cut lengthwise with a low-speed saw, and polished. Imaging and mineral chemistry measurements were conducted using the Cameca SX100 electron probe microanalyzer (EPMA) at the University of Tennessee, Knoxville. </w:t>
      </w:r>
    </w:p>
    <w:p w14:paraId="22D8B5D9" w14:textId="77777777" w:rsidR="007C7E9D" w:rsidRPr="00B60E1C" w:rsidRDefault="007C7E9D" w:rsidP="00B60E1C">
      <w:pPr>
        <w:rPr>
          <w:color w:val="000000"/>
        </w:rPr>
      </w:pPr>
    </w:p>
    <w:p w14:paraId="7F80DDBE" w14:textId="459AE3FD" w:rsidR="00B60E1C" w:rsidRDefault="00B60E1C" w:rsidP="00B60E1C">
      <w:pPr>
        <w:rPr>
          <w:color w:val="000000" w:themeColor="text1"/>
        </w:rPr>
        <w:sectPr w:rsidR="00B60E1C" w:rsidSect="00C93F2A">
          <w:pgSz w:w="12240" w:h="15840" w:code="1"/>
          <w:pgMar w:top="1440" w:right="1800" w:bottom="1872" w:left="1800" w:header="720" w:footer="1440" w:gutter="0"/>
          <w:cols w:space="720"/>
          <w:noEndnote/>
          <w:docGrid w:linePitch="360"/>
        </w:sectPr>
      </w:pPr>
    </w:p>
    <w:p w14:paraId="0F988B49" w14:textId="6A242132" w:rsidR="00B60E1C" w:rsidRPr="00B60E1C" w:rsidRDefault="00B60E1C" w:rsidP="002B1F0A">
      <w:pPr>
        <w:pStyle w:val="Tables"/>
      </w:pPr>
      <w:bookmarkStart w:id="56" w:name="_Toc178246846"/>
      <w:bookmarkStart w:id="57" w:name="_Toc185263587"/>
      <w:r w:rsidRPr="00B60E1C">
        <w:rPr>
          <w:b/>
          <w:bCs/>
        </w:rPr>
        <w:lastRenderedPageBreak/>
        <w:t>Table 1.2.</w:t>
      </w:r>
      <w:r>
        <w:t xml:space="preserve"> </w:t>
      </w:r>
      <w:r w:rsidRPr="00B60E1C">
        <w:t>Starting materials and run conditions.</w:t>
      </w:r>
      <w:bookmarkEnd w:id="56"/>
      <w:bookmarkEnd w:id="57"/>
    </w:p>
    <w:tbl>
      <w:tblPr>
        <w:tblW w:w="12800" w:type="dxa"/>
        <w:tblLook w:val="04A0" w:firstRow="1" w:lastRow="0" w:firstColumn="1" w:lastColumn="0" w:noHBand="0" w:noVBand="1"/>
      </w:tblPr>
      <w:tblGrid>
        <w:gridCol w:w="1343"/>
        <w:gridCol w:w="1495"/>
        <w:gridCol w:w="857"/>
        <w:gridCol w:w="794"/>
        <w:gridCol w:w="1070"/>
        <w:gridCol w:w="2767"/>
        <w:gridCol w:w="2183"/>
        <w:gridCol w:w="1461"/>
        <w:gridCol w:w="830"/>
      </w:tblGrid>
      <w:tr w:rsidR="00B42724" w14:paraId="025F5CC9" w14:textId="77777777" w:rsidTr="00B42724">
        <w:trPr>
          <w:trHeight w:val="720"/>
        </w:trPr>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4FAD6" w14:textId="77777777" w:rsidR="00B42724" w:rsidRDefault="00B42724">
            <w:pPr>
              <w:jc w:val="center"/>
              <w:rPr>
                <w:color w:val="000000"/>
              </w:rPr>
            </w:pPr>
            <w:r>
              <w:rPr>
                <w:color w:val="000000"/>
              </w:rPr>
              <w:t>Experiment</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14:paraId="1D579978" w14:textId="77777777" w:rsidR="00B42724" w:rsidRDefault="00B42724">
            <w:pPr>
              <w:jc w:val="center"/>
              <w:rPr>
                <w:color w:val="000000"/>
              </w:rPr>
            </w:pPr>
            <w:r>
              <w:rPr>
                <w:color w:val="000000"/>
              </w:rPr>
              <w:t>Starting Materials</w:t>
            </w:r>
          </w:p>
        </w:tc>
        <w:tc>
          <w:tcPr>
            <w:tcW w:w="857" w:type="dxa"/>
            <w:tcBorders>
              <w:top w:val="single" w:sz="4" w:space="0" w:color="auto"/>
              <w:left w:val="nil"/>
              <w:bottom w:val="single" w:sz="4" w:space="0" w:color="auto"/>
              <w:right w:val="single" w:sz="4" w:space="0" w:color="auto"/>
            </w:tcBorders>
            <w:shd w:val="clear" w:color="auto" w:fill="auto"/>
            <w:vAlign w:val="center"/>
            <w:hideMark/>
          </w:tcPr>
          <w:p w14:paraId="44A74D23" w14:textId="77777777" w:rsidR="00B42724" w:rsidRDefault="00B42724">
            <w:pPr>
              <w:jc w:val="center"/>
              <w:rPr>
                <w:color w:val="000000"/>
              </w:rPr>
            </w:pPr>
            <w:r>
              <w:rPr>
                <w:color w:val="000000"/>
              </w:rPr>
              <w:t xml:space="preserve">P (GPa)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14:paraId="61470890" w14:textId="77777777" w:rsidR="00B42724" w:rsidRDefault="00B42724">
            <w:pPr>
              <w:jc w:val="center"/>
              <w:rPr>
                <w:color w:val="000000"/>
              </w:rPr>
            </w:pPr>
            <w:r>
              <w:rPr>
                <w:color w:val="000000"/>
              </w:rPr>
              <w:t>T (</w:t>
            </w:r>
            <w:r>
              <w:rPr>
                <w:color w:val="000000"/>
                <w:vertAlign w:val="superscript"/>
              </w:rPr>
              <w:t>o</w:t>
            </w:r>
            <w:r>
              <w:rPr>
                <w:color w:val="000000"/>
              </w:rPr>
              <w:t>C)</w:t>
            </w:r>
          </w:p>
        </w:tc>
        <w:tc>
          <w:tcPr>
            <w:tcW w:w="954" w:type="dxa"/>
            <w:tcBorders>
              <w:top w:val="single" w:sz="4" w:space="0" w:color="auto"/>
              <w:left w:val="nil"/>
              <w:bottom w:val="single" w:sz="4" w:space="0" w:color="auto"/>
              <w:right w:val="single" w:sz="4" w:space="0" w:color="auto"/>
            </w:tcBorders>
            <w:shd w:val="clear" w:color="auto" w:fill="auto"/>
            <w:vAlign w:val="center"/>
            <w:hideMark/>
          </w:tcPr>
          <w:p w14:paraId="7D2055C6" w14:textId="77777777" w:rsidR="00B42724" w:rsidRDefault="00B42724">
            <w:pPr>
              <w:jc w:val="center"/>
              <w:rPr>
                <w:color w:val="000000"/>
              </w:rPr>
            </w:pPr>
            <w:r>
              <w:rPr>
                <w:color w:val="000000"/>
              </w:rPr>
              <w:t>Duration (hr)</w:t>
            </w:r>
          </w:p>
        </w:tc>
        <w:tc>
          <w:tcPr>
            <w:tcW w:w="3094" w:type="dxa"/>
            <w:tcBorders>
              <w:top w:val="single" w:sz="4" w:space="0" w:color="auto"/>
              <w:left w:val="nil"/>
              <w:bottom w:val="single" w:sz="4" w:space="0" w:color="auto"/>
              <w:right w:val="single" w:sz="4" w:space="0" w:color="auto"/>
            </w:tcBorders>
            <w:shd w:val="clear" w:color="auto" w:fill="auto"/>
            <w:vAlign w:val="center"/>
            <w:hideMark/>
          </w:tcPr>
          <w:p w14:paraId="5C87887C" w14:textId="77777777" w:rsidR="00B42724" w:rsidRDefault="00B42724">
            <w:pPr>
              <w:jc w:val="center"/>
              <w:rPr>
                <w:color w:val="000000"/>
              </w:rPr>
            </w:pPr>
            <w:r>
              <w:rPr>
                <w:color w:val="000000"/>
              </w:rPr>
              <w:t>Temperature Path (</w:t>
            </w:r>
            <w:r>
              <w:rPr>
                <w:color w:val="000000"/>
                <w:vertAlign w:val="superscript"/>
              </w:rPr>
              <w:t>o</w:t>
            </w:r>
            <w:r>
              <w:rPr>
                <w:color w:val="000000"/>
              </w:rPr>
              <w:t>C)</w:t>
            </w:r>
          </w:p>
        </w:tc>
        <w:tc>
          <w:tcPr>
            <w:tcW w:w="1997" w:type="dxa"/>
            <w:tcBorders>
              <w:top w:val="single" w:sz="4" w:space="0" w:color="auto"/>
              <w:left w:val="nil"/>
              <w:bottom w:val="single" w:sz="4" w:space="0" w:color="auto"/>
              <w:right w:val="single" w:sz="4" w:space="0" w:color="auto"/>
            </w:tcBorders>
            <w:shd w:val="clear" w:color="auto" w:fill="auto"/>
            <w:vAlign w:val="center"/>
            <w:hideMark/>
          </w:tcPr>
          <w:p w14:paraId="568BEB1E" w14:textId="77777777" w:rsidR="00B42724" w:rsidRDefault="00B42724">
            <w:pPr>
              <w:jc w:val="center"/>
              <w:rPr>
                <w:color w:val="000000"/>
              </w:rPr>
            </w:pPr>
            <w:r>
              <w:rPr>
                <w:color w:val="000000"/>
              </w:rPr>
              <w:t>Run Products</w:t>
            </w:r>
          </w:p>
        </w:tc>
        <w:tc>
          <w:tcPr>
            <w:tcW w:w="1461" w:type="dxa"/>
            <w:tcBorders>
              <w:top w:val="single" w:sz="4" w:space="0" w:color="auto"/>
              <w:left w:val="nil"/>
              <w:bottom w:val="single" w:sz="4" w:space="0" w:color="auto"/>
              <w:right w:val="single" w:sz="4" w:space="0" w:color="auto"/>
            </w:tcBorders>
            <w:shd w:val="clear" w:color="auto" w:fill="auto"/>
            <w:vAlign w:val="center"/>
            <w:hideMark/>
          </w:tcPr>
          <w:p w14:paraId="50C7B138" w14:textId="77777777" w:rsidR="00B42724" w:rsidRDefault="00B42724">
            <w:pPr>
              <w:jc w:val="center"/>
              <w:rPr>
                <w:color w:val="000000"/>
              </w:rPr>
            </w:pPr>
            <w:r>
              <w:rPr>
                <w:color w:val="000000"/>
              </w:rPr>
              <w:t>Assimilation</w:t>
            </w:r>
          </w:p>
        </w:tc>
        <w:tc>
          <w:tcPr>
            <w:tcW w:w="805" w:type="dxa"/>
            <w:tcBorders>
              <w:top w:val="single" w:sz="4" w:space="0" w:color="auto"/>
              <w:left w:val="nil"/>
              <w:bottom w:val="single" w:sz="4" w:space="0" w:color="auto"/>
              <w:right w:val="single" w:sz="4" w:space="0" w:color="auto"/>
            </w:tcBorders>
            <w:shd w:val="clear" w:color="auto" w:fill="auto"/>
            <w:vAlign w:val="center"/>
            <w:hideMark/>
          </w:tcPr>
          <w:p w14:paraId="17E68A96" w14:textId="77777777" w:rsidR="00B42724" w:rsidRDefault="00B42724">
            <w:pPr>
              <w:jc w:val="center"/>
              <w:rPr>
                <w:color w:val="000000"/>
              </w:rPr>
            </w:pPr>
            <w:r>
              <w:rPr>
                <w:color w:val="000000"/>
              </w:rPr>
              <w:t>Group</w:t>
            </w:r>
          </w:p>
        </w:tc>
      </w:tr>
      <w:tr w:rsidR="00B42724" w14:paraId="4848A333" w14:textId="77777777" w:rsidTr="00B42724">
        <w:trPr>
          <w:trHeight w:val="740"/>
        </w:trPr>
        <w:tc>
          <w:tcPr>
            <w:tcW w:w="1343" w:type="dxa"/>
            <w:tcBorders>
              <w:top w:val="nil"/>
              <w:left w:val="single" w:sz="4" w:space="0" w:color="auto"/>
              <w:bottom w:val="single" w:sz="4" w:space="0" w:color="auto"/>
              <w:right w:val="single" w:sz="4" w:space="0" w:color="auto"/>
            </w:tcBorders>
            <w:shd w:val="clear" w:color="auto" w:fill="auto"/>
            <w:noWrap/>
            <w:vAlign w:val="center"/>
            <w:hideMark/>
          </w:tcPr>
          <w:p w14:paraId="1F7738A7" w14:textId="77777777" w:rsidR="00B42724" w:rsidRDefault="00B42724">
            <w:pPr>
              <w:jc w:val="center"/>
              <w:rPr>
                <w:color w:val="000000"/>
              </w:rPr>
            </w:pPr>
            <w:r>
              <w:rPr>
                <w:color w:val="000000"/>
              </w:rPr>
              <w:t>MRx#1</w:t>
            </w:r>
          </w:p>
        </w:tc>
        <w:tc>
          <w:tcPr>
            <w:tcW w:w="1495" w:type="dxa"/>
            <w:tcBorders>
              <w:top w:val="nil"/>
              <w:left w:val="nil"/>
              <w:bottom w:val="single" w:sz="4" w:space="0" w:color="auto"/>
              <w:right w:val="single" w:sz="4" w:space="0" w:color="auto"/>
            </w:tcBorders>
            <w:shd w:val="clear" w:color="auto" w:fill="auto"/>
            <w:noWrap/>
            <w:vAlign w:val="center"/>
            <w:hideMark/>
          </w:tcPr>
          <w:p w14:paraId="3BC529E6" w14:textId="77777777" w:rsidR="00B42724" w:rsidRDefault="00B42724">
            <w:pPr>
              <w:jc w:val="center"/>
              <w:rPr>
                <w:color w:val="000000"/>
              </w:rPr>
            </w:pPr>
            <w:r>
              <w:rPr>
                <w:color w:val="000000"/>
              </w:rPr>
              <w:t>IBC+Dunite</w:t>
            </w:r>
          </w:p>
        </w:tc>
        <w:tc>
          <w:tcPr>
            <w:tcW w:w="857" w:type="dxa"/>
            <w:tcBorders>
              <w:top w:val="nil"/>
              <w:left w:val="nil"/>
              <w:bottom w:val="single" w:sz="4" w:space="0" w:color="auto"/>
              <w:right w:val="single" w:sz="4" w:space="0" w:color="auto"/>
            </w:tcBorders>
            <w:shd w:val="clear" w:color="auto" w:fill="auto"/>
            <w:noWrap/>
            <w:vAlign w:val="center"/>
            <w:hideMark/>
          </w:tcPr>
          <w:p w14:paraId="15E5351F" w14:textId="77777777" w:rsidR="00B42724" w:rsidRDefault="00B42724">
            <w:pPr>
              <w:jc w:val="center"/>
              <w:rPr>
                <w:color w:val="000000"/>
              </w:rPr>
            </w:pPr>
            <w:r>
              <w:rPr>
                <w:color w:val="000000"/>
              </w:rPr>
              <w:t>2.02</w:t>
            </w:r>
          </w:p>
        </w:tc>
        <w:tc>
          <w:tcPr>
            <w:tcW w:w="794" w:type="dxa"/>
            <w:tcBorders>
              <w:top w:val="nil"/>
              <w:left w:val="nil"/>
              <w:bottom w:val="single" w:sz="4" w:space="0" w:color="auto"/>
              <w:right w:val="single" w:sz="4" w:space="0" w:color="auto"/>
            </w:tcBorders>
            <w:shd w:val="clear" w:color="auto" w:fill="auto"/>
            <w:noWrap/>
            <w:vAlign w:val="center"/>
            <w:hideMark/>
          </w:tcPr>
          <w:p w14:paraId="1533B491" w14:textId="77777777" w:rsidR="00B42724" w:rsidRDefault="00B42724">
            <w:pPr>
              <w:jc w:val="center"/>
              <w:rPr>
                <w:color w:val="000000"/>
              </w:rPr>
            </w:pPr>
            <w:r>
              <w:rPr>
                <w:color w:val="000000"/>
              </w:rPr>
              <w:t>1200</w:t>
            </w:r>
          </w:p>
        </w:tc>
        <w:tc>
          <w:tcPr>
            <w:tcW w:w="954" w:type="dxa"/>
            <w:tcBorders>
              <w:top w:val="nil"/>
              <w:left w:val="nil"/>
              <w:bottom w:val="single" w:sz="4" w:space="0" w:color="auto"/>
              <w:right w:val="single" w:sz="4" w:space="0" w:color="auto"/>
            </w:tcBorders>
            <w:shd w:val="clear" w:color="auto" w:fill="auto"/>
            <w:noWrap/>
            <w:vAlign w:val="center"/>
            <w:hideMark/>
          </w:tcPr>
          <w:p w14:paraId="7BA2CB08" w14:textId="77777777" w:rsidR="00B42724" w:rsidRDefault="00B42724">
            <w:pPr>
              <w:jc w:val="center"/>
              <w:rPr>
                <w:color w:val="000000"/>
              </w:rPr>
            </w:pPr>
            <w:r>
              <w:rPr>
                <w:color w:val="000000"/>
              </w:rPr>
              <w:t>6</w:t>
            </w:r>
          </w:p>
        </w:tc>
        <w:tc>
          <w:tcPr>
            <w:tcW w:w="3094" w:type="dxa"/>
            <w:tcBorders>
              <w:top w:val="nil"/>
              <w:left w:val="nil"/>
              <w:bottom w:val="single" w:sz="4" w:space="0" w:color="auto"/>
              <w:right w:val="single" w:sz="4" w:space="0" w:color="auto"/>
            </w:tcBorders>
            <w:shd w:val="clear" w:color="auto" w:fill="auto"/>
            <w:vAlign w:val="center"/>
            <w:hideMark/>
          </w:tcPr>
          <w:p w14:paraId="2F53E021" w14:textId="77777777" w:rsidR="00B42724" w:rsidRDefault="00B42724">
            <w:pPr>
              <w:jc w:val="center"/>
              <w:rPr>
                <w:color w:val="000000"/>
              </w:rPr>
            </w:pPr>
            <w:r>
              <w:rPr>
                <w:color w:val="000000"/>
              </w:rPr>
              <w:t>0 (70</w:t>
            </w:r>
            <w:r>
              <w:rPr>
                <w:color w:val="000000"/>
                <w:vertAlign w:val="superscript"/>
              </w:rPr>
              <w:t>o</w:t>
            </w:r>
            <w:r>
              <w:rPr>
                <w:color w:val="000000"/>
              </w:rPr>
              <w:t xml:space="preserve">C/min) </w:t>
            </w:r>
            <w:r>
              <w:rPr>
                <w:rFonts w:ascii="Segoe UI Symbol" w:hAnsi="Segoe UI Symbol" w:cs="Segoe UI Symbol"/>
                <w:color w:val="000000"/>
              </w:rPr>
              <w:t>➔</w:t>
            </w:r>
            <w:r>
              <w:rPr>
                <w:color w:val="000000"/>
              </w:rPr>
              <w:t xml:space="preserve"> 1200 (6 hr) </w:t>
            </w:r>
            <w:r>
              <w:rPr>
                <w:rFonts w:ascii="Segoe UI Symbol" w:hAnsi="Segoe UI Symbol" w:cs="Segoe UI Symbol"/>
                <w:color w:val="000000"/>
              </w:rPr>
              <w:t>➔</w:t>
            </w:r>
            <w:r>
              <w:rPr>
                <w:color w:val="000000"/>
              </w:rPr>
              <w:t xml:space="preserve"> Quench</w:t>
            </w:r>
          </w:p>
        </w:tc>
        <w:tc>
          <w:tcPr>
            <w:tcW w:w="1997" w:type="dxa"/>
            <w:tcBorders>
              <w:top w:val="nil"/>
              <w:left w:val="nil"/>
              <w:bottom w:val="single" w:sz="4" w:space="0" w:color="auto"/>
              <w:right w:val="single" w:sz="4" w:space="0" w:color="auto"/>
            </w:tcBorders>
            <w:shd w:val="clear" w:color="auto" w:fill="auto"/>
            <w:vAlign w:val="center"/>
            <w:hideMark/>
          </w:tcPr>
          <w:p w14:paraId="3FCA0CF5" w14:textId="77777777" w:rsidR="00B42724" w:rsidRDefault="00B42724">
            <w:pPr>
              <w:jc w:val="center"/>
              <w:rPr>
                <w:color w:val="000000"/>
              </w:rPr>
            </w:pPr>
            <w:r>
              <w:rPr>
                <w:color w:val="000000"/>
              </w:rPr>
              <w:t>Grnt+Cpx+Fe-Ti Oxide^</w:t>
            </w:r>
          </w:p>
        </w:tc>
        <w:tc>
          <w:tcPr>
            <w:tcW w:w="1461" w:type="dxa"/>
            <w:tcBorders>
              <w:top w:val="nil"/>
              <w:left w:val="nil"/>
              <w:bottom w:val="single" w:sz="4" w:space="0" w:color="auto"/>
              <w:right w:val="single" w:sz="4" w:space="0" w:color="auto"/>
            </w:tcBorders>
            <w:shd w:val="clear" w:color="auto" w:fill="auto"/>
            <w:noWrap/>
            <w:vAlign w:val="center"/>
            <w:hideMark/>
          </w:tcPr>
          <w:p w14:paraId="455FEAF8" w14:textId="77777777" w:rsidR="00B42724" w:rsidRDefault="00B42724">
            <w:pPr>
              <w:jc w:val="center"/>
              <w:rPr>
                <w:color w:val="000000"/>
              </w:rPr>
            </w:pPr>
            <w:r>
              <w:rPr>
                <w:color w:val="000000"/>
              </w:rPr>
              <w:t>No</w:t>
            </w:r>
          </w:p>
        </w:tc>
        <w:tc>
          <w:tcPr>
            <w:tcW w:w="805" w:type="dxa"/>
            <w:tcBorders>
              <w:top w:val="nil"/>
              <w:left w:val="nil"/>
              <w:bottom w:val="single" w:sz="4" w:space="0" w:color="auto"/>
              <w:right w:val="single" w:sz="4" w:space="0" w:color="auto"/>
            </w:tcBorders>
            <w:shd w:val="clear" w:color="auto" w:fill="auto"/>
            <w:noWrap/>
            <w:vAlign w:val="center"/>
            <w:hideMark/>
          </w:tcPr>
          <w:p w14:paraId="0BC60F61" w14:textId="77777777" w:rsidR="00B42724" w:rsidRDefault="00B42724">
            <w:pPr>
              <w:jc w:val="center"/>
              <w:rPr>
                <w:color w:val="000000"/>
              </w:rPr>
            </w:pPr>
            <w:r>
              <w:rPr>
                <w:color w:val="000000"/>
              </w:rPr>
              <w:t>N/A</w:t>
            </w:r>
          </w:p>
        </w:tc>
      </w:tr>
      <w:tr w:rsidR="00B42724" w14:paraId="0F7EA1E6" w14:textId="77777777" w:rsidTr="00B42724">
        <w:trPr>
          <w:trHeight w:val="740"/>
        </w:trPr>
        <w:tc>
          <w:tcPr>
            <w:tcW w:w="1343" w:type="dxa"/>
            <w:tcBorders>
              <w:top w:val="nil"/>
              <w:left w:val="single" w:sz="4" w:space="0" w:color="auto"/>
              <w:bottom w:val="single" w:sz="4" w:space="0" w:color="auto"/>
              <w:right w:val="single" w:sz="4" w:space="0" w:color="auto"/>
            </w:tcBorders>
            <w:shd w:val="clear" w:color="auto" w:fill="auto"/>
            <w:noWrap/>
            <w:vAlign w:val="center"/>
            <w:hideMark/>
          </w:tcPr>
          <w:p w14:paraId="25A9C6C0" w14:textId="77777777" w:rsidR="00B42724" w:rsidRDefault="00B42724">
            <w:pPr>
              <w:jc w:val="center"/>
              <w:rPr>
                <w:color w:val="000000"/>
              </w:rPr>
            </w:pPr>
            <w:r>
              <w:rPr>
                <w:color w:val="000000"/>
              </w:rPr>
              <w:t>MRx#3</w:t>
            </w:r>
          </w:p>
        </w:tc>
        <w:tc>
          <w:tcPr>
            <w:tcW w:w="1495" w:type="dxa"/>
            <w:tcBorders>
              <w:top w:val="nil"/>
              <w:left w:val="nil"/>
              <w:bottom w:val="single" w:sz="4" w:space="0" w:color="auto"/>
              <w:right w:val="single" w:sz="4" w:space="0" w:color="auto"/>
            </w:tcBorders>
            <w:shd w:val="clear" w:color="auto" w:fill="auto"/>
            <w:noWrap/>
            <w:vAlign w:val="center"/>
            <w:hideMark/>
          </w:tcPr>
          <w:p w14:paraId="7D3A8AD0" w14:textId="77777777" w:rsidR="00B42724" w:rsidRDefault="00B42724">
            <w:pPr>
              <w:jc w:val="center"/>
              <w:rPr>
                <w:color w:val="000000"/>
              </w:rPr>
            </w:pPr>
            <w:r>
              <w:rPr>
                <w:color w:val="000000"/>
              </w:rPr>
              <w:t>IBC+Dunite</w:t>
            </w:r>
          </w:p>
        </w:tc>
        <w:tc>
          <w:tcPr>
            <w:tcW w:w="857" w:type="dxa"/>
            <w:tcBorders>
              <w:top w:val="nil"/>
              <w:left w:val="nil"/>
              <w:bottom w:val="single" w:sz="4" w:space="0" w:color="auto"/>
              <w:right w:val="single" w:sz="4" w:space="0" w:color="auto"/>
            </w:tcBorders>
            <w:shd w:val="clear" w:color="auto" w:fill="auto"/>
            <w:noWrap/>
            <w:vAlign w:val="center"/>
            <w:hideMark/>
          </w:tcPr>
          <w:p w14:paraId="49EC5050" w14:textId="77777777" w:rsidR="00B42724" w:rsidRDefault="00B42724">
            <w:pPr>
              <w:jc w:val="center"/>
              <w:rPr>
                <w:color w:val="000000"/>
              </w:rPr>
            </w:pPr>
            <w:r>
              <w:rPr>
                <w:color w:val="000000"/>
              </w:rPr>
              <w:t>1.99</w:t>
            </w:r>
          </w:p>
        </w:tc>
        <w:tc>
          <w:tcPr>
            <w:tcW w:w="794" w:type="dxa"/>
            <w:tcBorders>
              <w:top w:val="nil"/>
              <w:left w:val="nil"/>
              <w:bottom w:val="single" w:sz="4" w:space="0" w:color="auto"/>
              <w:right w:val="single" w:sz="4" w:space="0" w:color="auto"/>
            </w:tcBorders>
            <w:shd w:val="clear" w:color="auto" w:fill="auto"/>
            <w:noWrap/>
            <w:vAlign w:val="center"/>
            <w:hideMark/>
          </w:tcPr>
          <w:p w14:paraId="09D1E58E" w14:textId="77777777" w:rsidR="00B42724" w:rsidRDefault="00B42724">
            <w:pPr>
              <w:jc w:val="center"/>
              <w:rPr>
                <w:color w:val="000000"/>
              </w:rPr>
            </w:pPr>
            <w:r>
              <w:rPr>
                <w:color w:val="000000"/>
              </w:rPr>
              <w:t>1100</w:t>
            </w:r>
          </w:p>
        </w:tc>
        <w:tc>
          <w:tcPr>
            <w:tcW w:w="954" w:type="dxa"/>
            <w:tcBorders>
              <w:top w:val="nil"/>
              <w:left w:val="nil"/>
              <w:bottom w:val="single" w:sz="4" w:space="0" w:color="auto"/>
              <w:right w:val="single" w:sz="4" w:space="0" w:color="auto"/>
            </w:tcBorders>
            <w:shd w:val="clear" w:color="auto" w:fill="auto"/>
            <w:noWrap/>
            <w:vAlign w:val="center"/>
            <w:hideMark/>
          </w:tcPr>
          <w:p w14:paraId="54603FEB" w14:textId="77777777" w:rsidR="00B42724" w:rsidRDefault="00B42724">
            <w:pPr>
              <w:jc w:val="center"/>
              <w:rPr>
                <w:color w:val="000000"/>
              </w:rPr>
            </w:pPr>
            <w:r>
              <w:rPr>
                <w:color w:val="000000"/>
              </w:rPr>
              <w:t>6</w:t>
            </w:r>
          </w:p>
        </w:tc>
        <w:tc>
          <w:tcPr>
            <w:tcW w:w="3094" w:type="dxa"/>
            <w:tcBorders>
              <w:top w:val="nil"/>
              <w:left w:val="nil"/>
              <w:bottom w:val="single" w:sz="4" w:space="0" w:color="auto"/>
              <w:right w:val="single" w:sz="4" w:space="0" w:color="auto"/>
            </w:tcBorders>
            <w:shd w:val="clear" w:color="auto" w:fill="auto"/>
            <w:vAlign w:val="center"/>
            <w:hideMark/>
          </w:tcPr>
          <w:p w14:paraId="0B80F137" w14:textId="77777777" w:rsidR="00B42724" w:rsidRDefault="00B42724">
            <w:pPr>
              <w:jc w:val="center"/>
              <w:rPr>
                <w:color w:val="000000"/>
              </w:rPr>
            </w:pPr>
            <w:r>
              <w:rPr>
                <w:color w:val="000000"/>
              </w:rPr>
              <w:t>0 (70</w:t>
            </w:r>
            <w:r>
              <w:rPr>
                <w:color w:val="000000"/>
                <w:vertAlign w:val="superscript"/>
              </w:rPr>
              <w:t>o</w:t>
            </w:r>
            <w:r>
              <w:rPr>
                <w:color w:val="000000"/>
              </w:rPr>
              <w:t xml:space="preserve">C/min) </w:t>
            </w:r>
            <w:r>
              <w:rPr>
                <w:rFonts w:ascii="Segoe UI Symbol" w:hAnsi="Segoe UI Symbol" w:cs="Segoe UI Symbol"/>
                <w:color w:val="000000"/>
              </w:rPr>
              <w:t>➔</w:t>
            </w:r>
            <w:r>
              <w:rPr>
                <w:color w:val="000000"/>
              </w:rPr>
              <w:t xml:space="preserve"> 1100 (6 hr) </w:t>
            </w:r>
            <w:r>
              <w:rPr>
                <w:rFonts w:ascii="Segoe UI Symbol" w:hAnsi="Segoe UI Symbol" w:cs="Segoe UI Symbol"/>
                <w:color w:val="000000"/>
              </w:rPr>
              <w:t>➔</w:t>
            </w:r>
            <w:r>
              <w:rPr>
                <w:color w:val="000000"/>
              </w:rPr>
              <w:t xml:space="preserve"> Quench</w:t>
            </w:r>
          </w:p>
        </w:tc>
        <w:tc>
          <w:tcPr>
            <w:tcW w:w="1997" w:type="dxa"/>
            <w:tcBorders>
              <w:top w:val="nil"/>
              <w:left w:val="nil"/>
              <w:bottom w:val="single" w:sz="4" w:space="0" w:color="auto"/>
              <w:right w:val="single" w:sz="4" w:space="0" w:color="auto"/>
            </w:tcBorders>
            <w:shd w:val="clear" w:color="auto" w:fill="auto"/>
            <w:vAlign w:val="center"/>
            <w:hideMark/>
          </w:tcPr>
          <w:p w14:paraId="6CB29276" w14:textId="77777777" w:rsidR="00B42724" w:rsidRDefault="00B42724">
            <w:pPr>
              <w:jc w:val="center"/>
              <w:rPr>
                <w:color w:val="000000"/>
              </w:rPr>
            </w:pPr>
            <w:r>
              <w:rPr>
                <w:color w:val="000000"/>
              </w:rPr>
              <w:t>Grnt+Cpx+Ilm+Usp</w:t>
            </w:r>
          </w:p>
        </w:tc>
        <w:tc>
          <w:tcPr>
            <w:tcW w:w="1461" w:type="dxa"/>
            <w:tcBorders>
              <w:top w:val="nil"/>
              <w:left w:val="nil"/>
              <w:bottom w:val="single" w:sz="4" w:space="0" w:color="auto"/>
              <w:right w:val="single" w:sz="4" w:space="0" w:color="auto"/>
            </w:tcBorders>
            <w:shd w:val="clear" w:color="auto" w:fill="auto"/>
            <w:noWrap/>
            <w:vAlign w:val="center"/>
            <w:hideMark/>
          </w:tcPr>
          <w:p w14:paraId="19A99DA6" w14:textId="77777777" w:rsidR="00B42724" w:rsidRDefault="00B42724">
            <w:pPr>
              <w:jc w:val="center"/>
              <w:rPr>
                <w:color w:val="000000"/>
              </w:rPr>
            </w:pPr>
            <w:r>
              <w:rPr>
                <w:color w:val="000000"/>
              </w:rPr>
              <w:t>No</w:t>
            </w:r>
          </w:p>
        </w:tc>
        <w:tc>
          <w:tcPr>
            <w:tcW w:w="805" w:type="dxa"/>
            <w:tcBorders>
              <w:top w:val="nil"/>
              <w:left w:val="nil"/>
              <w:bottom w:val="single" w:sz="4" w:space="0" w:color="auto"/>
              <w:right w:val="single" w:sz="4" w:space="0" w:color="auto"/>
            </w:tcBorders>
            <w:shd w:val="clear" w:color="auto" w:fill="auto"/>
            <w:noWrap/>
            <w:vAlign w:val="center"/>
            <w:hideMark/>
          </w:tcPr>
          <w:p w14:paraId="1B11A89F" w14:textId="77777777" w:rsidR="00B42724" w:rsidRDefault="00B42724">
            <w:pPr>
              <w:jc w:val="center"/>
              <w:rPr>
                <w:color w:val="000000"/>
              </w:rPr>
            </w:pPr>
            <w:r>
              <w:rPr>
                <w:color w:val="000000"/>
              </w:rPr>
              <w:t>N/A</w:t>
            </w:r>
          </w:p>
        </w:tc>
      </w:tr>
      <w:tr w:rsidR="00B42724" w14:paraId="21AC8463" w14:textId="77777777" w:rsidTr="00B42724">
        <w:trPr>
          <w:trHeight w:val="740"/>
        </w:trPr>
        <w:tc>
          <w:tcPr>
            <w:tcW w:w="1343" w:type="dxa"/>
            <w:tcBorders>
              <w:top w:val="nil"/>
              <w:left w:val="single" w:sz="4" w:space="0" w:color="auto"/>
              <w:bottom w:val="single" w:sz="4" w:space="0" w:color="auto"/>
              <w:right w:val="single" w:sz="4" w:space="0" w:color="auto"/>
            </w:tcBorders>
            <w:shd w:val="clear" w:color="auto" w:fill="auto"/>
            <w:noWrap/>
            <w:vAlign w:val="center"/>
            <w:hideMark/>
          </w:tcPr>
          <w:p w14:paraId="0815A8A2" w14:textId="77777777" w:rsidR="00B42724" w:rsidRDefault="00B42724">
            <w:pPr>
              <w:jc w:val="center"/>
              <w:rPr>
                <w:color w:val="000000"/>
              </w:rPr>
            </w:pPr>
            <w:r>
              <w:rPr>
                <w:color w:val="000000"/>
              </w:rPr>
              <w:t>MRx#5</w:t>
            </w:r>
          </w:p>
        </w:tc>
        <w:tc>
          <w:tcPr>
            <w:tcW w:w="1495" w:type="dxa"/>
            <w:tcBorders>
              <w:top w:val="nil"/>
              <w:left w:val="nil"/>
              <w:bottom w:val="single" w:sz="4" w:space="0" w:color="auto"/>
              <w:right w:val="single" w:sz="4" w:space="0" w:color="auto"/>
            </w:tcBorders>
            <w:shd w:val="clear" w:color="auto" w:fill="auto"/>
            <w:noWrap/>
            <w:vAlign w:val="center"/>
            <w:hideMark/>
          </w:tcPr>
          <w:p w14:paraId="41F30B8B" w14:textId="77777777" w:rsidR="00B42724" w:rsidRDefault="00B42724">
            <w:pPr>
              <w:jc w:val="center"/>
              <w:rPr>
                <w:color w:val="000000"/>
              </w:rPr>
            </w:pPr>
            <w:r>
              <w:rPr>
                <w:color w:val="000000"/>
              </w:rPr>
              <w:t>IBC+Dunite</w:t>
            </w:r>
          </w:p>
        </w:tc>
        <w:tc>
          <w:tcPr>
            <w:tcW w:w="857" w:type="dxa"/>
            <w:tcBorders>
              <w:top w:val="nil"/>
              <w:left w:val="nil"/>
              <w:bottom w:val="single" w:sz="4" w:space="0" w:color="auto"/>
              <w:right w:val="single" w:sz="4" w:space="0" w:color="auto"/>
            </w:tcBorders>
            <w:shd w:val="clear" w:color="auto" w:fill="auto"/>
            <w:noWrap/>
            <w:vAlign w:val="center"/>
            <w:hideMark/>
          </w:tcPr>
          <w:p w14:paraId="240EB248" w14:textId="77777777" w:rsidR="00B42724" w:rsidRDefault="00B42724">
            <w:pPr>
              <w:jc w:val="center"/>
              <w:rPr>
                <w:color w:val="000000"/>
              </w:rPr>
            </w:pPr>
            <w:r>
              <w:rPr>
                <w:color w:val="000000"/>
              </w:rPr>
              <w:t>0.55</w:t>
            </w:r>
          </w:p>
        </w:tc>
        <w:tc>
          <w:tcPr>
            <w:tcW w:w="794" w:type="dxa"/>
            <w:tcBorders>
              <w:top w:val="nil"/>
              <w:left w:val="nil"/>
              <w:bottom w:val="single" w:sz="4" w:space="0" w:color="auto"/>
              <w:right w:val="single" w:sz="4" w:space="0" w:color="auto"/>
            </w:tcBorders>
            <w:shd w:val="clear" w:color="auto" w:fill="auto"/>
            <w:noWrap/>
            <w:vAlign w:val="center"/>
            <w:hideMark/>
          </w:tcPr>
          <w:p w14:paraId="62DA4560" w14:textId="77777777" w:rsidR="00B42724" w:rsidRDefault="00B42724">
            <w:pPr>
              <w:jc w:val="center"/>
              <w:rPr>
                <w:color w:val="000000"/>
              </w:rPr>
            </w:pPr>
            <w:r>
              <w:rPr>
                <w:color w:val="000000"/>
              </w:rPr>
              <w:t>1200</w:t>
            </w:r>
          </w:p>
        </w:tc>
        <w:tc>
          <w:tcPr>
            <w:tcW w:w="954" w:type="dxa"/>
            <w:tcBorders>
              <w:top w:val="nil"/>
              <w:left w:val="nil"/>
              <w:bottom w:val="single" w:sz="4" w:space="0" w:color="auto"/>
              <w:right w:val="single" w:sz="4" w:space="0" w:color="auto"/>
            </w:tcBorders>
            <w:shd w:val="clear" w:color="auto" w:fill="auto"/>
            <w:noWrap/>
            <w:vAlign w:val="center"/>
            <w:hideMark/>
          </w:tcPr>
          <w:p w14:paraId="6AA4702E" w14:textId="77777777" w:rsidR="00B42724" w:rsidRDefault="00B42724">
            <w:pPr>
              <w:jc w:val="center"/>
              <w:rPr>
                <w:color w:val="000000"/>
              </w:rPr>
            </w:pPr>
            <w:r>
              <w:rPr>
                <w:color w:val="000000"/>
              </w:rPr>
              <w:t>6</w:t>
            </w:r>
          </w:p>
        </w:tc>
        <w:tc>
          <w:tcPr>
            <w:tcW w:w="3094" w:type="dxa"/>
            <w:tcBorders>
              <w:top w:val="nil"/>
              <w:left w:val="nil"/>
              <w:bottom w:val="single" w:sz="4" w:space="0" w:color="auto"/>
              <w:right w:val="single" w:sz="4" w:space="0" w:color="auto"/>
            </w:tcBorders>
            <w:shd w:val="clear" w:color="auto" w:fill="auto"/>
            <w:vAlign w:val="center"/>
            <w:hideMark/>
          </w:tcPr>
          <w:p w14:paraId="41707BAA" w14:textId="77777777" w:rsidR="00B42724" w:rsidRDefault="00B42724">
            <w:pPr>
              <w:jc w:val="center"/>
              <w:rPr>
                <w:color w:val="000000"/>
              </w:rPr>
            </w:pPr>
            <w:r>
              <w:rPr>
                <w:color w:val="000000"/>
              </w:rPr>
              <w:t>0 (70</w:t>
            </w:r>
            <w:r>
              <w:rPr>
                <w:color w:val="000000"/>
                <w:vertAlign w:val="superscript"/>
              </w:rPr>
              <w:t>o</w:t>
            </w:r>
            <w:r>
              <w:rPr>
                <w:color w:val="000000"/>
              </w:rPr>
              <w:t xml:space="preserve">C/min) </w:t>
            </w:r>
            <w:r>
              <w:rPr>
                <w:rFonts w:ascii="Segoe UI Symbol" w:hAnsi="Segoe UI Symbol" w:cs="Segoe UI Symbol"/>
                <w:color w:val="000000"/>
              </w:rPr>
              <w:t>➔</w:t>
            </w:r>
            <w:r>
              <w:rPr>
                <w:color w:val="000000"/>
              </w:rPr>
              <w:t xml:space="preserve"> 1200 (6 hr) </w:t>
            </w:r>
            <w:r>
              <w:rPr>
                <w:rFonts w:ascii="Segoe UI Symbol" w:hAnsi="Segoe UI Symbol" w:cs="Segoe UI Symbol"/>
                <w:color w:val="000000"/>
              </w:rPr>
              <w:t>➔</w:t>
            </w:r>
            <w:r>
              <w:rPr>
                <w:color w:val="000000"/>
              </w:rPr>
              <w:t xml:space="preserve"> Quench</w:t>
            </w:r>
          </w:p>
        </w:tc>
        <w:tc>
          <w:tcPr>
            <w:tcW w:w="1997" w:type="dxa"/>
            <w:tcBorders>
              <w:top w:val="nil"/>
              <w:left w:val="nil"/>
              <w:bottom w:val="single" w:sz="4" w:space="0" w:color="auto"/>
              <w:right w:val="single" w:sz="4" w:space="0" w:color="auto"/>
            </w:tcBorders>
            <w:shd w:val="clear" w:color="auto" w:fill="auto"/>
            <w:noWrap/>
            <w:vAlign w:val="center"/>
            <w:hideMark/>
          </w:tcPr>
          <w:p w14:paraId="1344F244" w14:textId="77777777" w:rsidR="00B42724" w:rsidRDefault="00B42724">
            <w:pPr>
              <w:jc w:val="center"/>
              <w:rPr>
                <w:color w:val="000000"/>
              </w:rPr>
            </w:pPr>
            <w:r>
              <w:rPr>
                <w:color w:val="000000"/>
              </w:rPr>
              <w:t>Glass+Cpx</w:t>
            </w:r>
          </w:p>
        </w:tc>
        <w:tc>
          <w:tcPr>
            <w:tcW w:w="1461" w:type="dxa"/>
            <w:tcBorders>
              <w:top w:val="nil"/>
              <w:left w:val="nil"/>
              <w:bottom w:val="single" w:sz="4" w:space="0" w:color="auto"/>
              <w:right w:val="single" w:sz="4" w:space="0" w:color="auto"/>
            </w:tcBorders>
            <w:shd w:val="clear" w:color="auto" w:fill="auto"/>
            <w:noWrap/>
            <w:vAlign w:val="center"/>
            <w:hideMark/>
          </w:tcPr>
          <w:p w14:paraId="570ED572" w14:textId="77777777" w:rsidR="00B42724" w:rsidRDefault="00B42724">
            <w:pPr>
              <w:jc w:val="center"/>
              <w:rPr>
                <w:color w:val="000000"/>
              </w:rPr>
            </w:pPr>
            <w:r>
              <w:rPr>
                <w:color w:val="000000"/>
              </w:rPr>
              <w:t>Yes</w:t>
            </w:r>
          </w:p>
        </w:tc>
        <w:tc>
          <w:tcPr>
            <w:tcW w:w="805" w:type="dxa"/>
            <w:tcBorders>
              <w:top w:val="nil"/>
              <w:left w:val="nil"/>
              <w:bottom w:val="single" w:sz="4" w:space="0" w:color="auto"/>
              <w:right w:val="single" w:sz="4" w:space="0" w:color="auto"/>
            </w:tcBorders>
            <w:shd w:val="clear" w:color="auto" w:fill="auto"/>
            <w:noWrap/>
            <w:vAlign w:val="center"/>
            <w:hideMark/>
          </w:tcPr>
          <w:p w14:paraId="6F1F5FD6" w14:textId="77777777" w:rsidR="00B42724" w:rsidRDefault="00B42724">
            <w:pPr>
              <w:jc w:val="center"/>
              <w:rPr>
                <w:color w:val="000000"/>
              </w:rPr>
            </w:pPr>
            <w:r>
              <w:rPr>
                <w:color w:val="000000"/>
              </w:rPr>
              <w:t>A</w:t>
            </w:r>
          </w:p>
        </w:tc>
      </w:tr>
      <w:tr w:rsidR="00B42724" w14:paraId="02CDBA6D" w14:textId="77777777" w:rsidTr="00B42724">
        <w:trPr>
          <w:trHeight w:val="740"/>
        </w:trPr>
        <w:tc>
          <w:tcPr>
            <w:tcW w:w="1343" w:type="dxa"/>
            <w:tcBorders>
              <w:top w:val="nil"/>
              <w:left w:val="single" w:sz="4" w:space="0" w:color="auto"/>
              <w:bottom w:val="single" w:sz="4" w:space="0" w:color="auto"/>
              <w:right w:val="single" w:sz="4" w:space="0" w:color="auto"/>
            </w:tcBorders>
            <w:shd w:val="clear" w:color="auto" w:fill="auto"/>
            <w:noWrap/>
            <w:vAlign w:val="center"/>
            <w:hideMark/>
          </w:tcPr>
          <w:p w14:paraId="725F9650" w14:textId="77777777" w:rsidR="00B42724" w:rsidRDefault="00B42724">
            <w:pPr>
              <w:jc w:val="center"/>
              <w:rPr>
                <w:color w:val="000000"/>
              </w:rPr>
            </w:pPr>
            <w:r>
              <w:rPr>
                <w:color w:val="000000"/>
              </w:rPr>
              <w:t>MRx#8</w:t>
            </w:r>
          </w:p>
        </w:tc>
        <w:tc>
          <w:tcPr>
            <w:tcW w:w="1495" w:type="dxa"/>
            <w:tcBorders>
              <w:top w:val="nil"/>
              <w:left w:val="nil"/>
              <w:bottom w:val="single" w:sz="4" w:space="0" w:color="auto"/>
              <w:right w:val="single" w:sz="4" w:space="0" w:color="auto"/>
            </w:tcBorders>
            <w:shd w:val="clear" w:color="auto" w:fill="auto"/>
            <w:noWrap/>
            <w:vAlign w:val="center"/>
            <w:hideMark/>
          </w:tcPr>
          <w:p w14:paraId="58167EC9" w14:textId="77777777" w:rsidR="00B42724" w:rsidRDefault="00B42724">
            <w:pPr>
              <w:jc w:val="center"/>
              <w:rPr>
                <w:color w:val="000000"/>
              </w:rPr>
            </w:pPr>
            <w:r>
              <w:rPr>
                <w:color w:val="000000"/>
              </w:rPr>
              <w:t>IBC+Dunite</w:t>
            </w:r>
          </w:p>
        </w:tc>
        <w:tc>
          <w:tcPr>
            <w:tcW w:w="857" w:type="dxa"/>
            <w:tcBorders>
              <w:top w:val="nil"/>
              <w:left w:val="nil"/>
              <w:bottom w:val="single" w:sz="4" w:space="0" w:color="auto"/>
              <w:right w:val="single" w:sz="4" w:space="0" w:color="auto"/>
            </w:tcBorders>
            <w:shd w:val="clear" w:color="auto" w:fill="auto"/>
            <w:noWrap/>
            <w:vAlign w:val="center"/>
            <w:hideMark/>
          </w:tcPr>
          <w:p w14:paraId="720ACB72" w14:textId="77777777" w:rsidR="00B42724" w:rsidRDefault="00B42724">
            <w:pPr>
              <w:jc w:val="center"/>
              <w:rPr>
                <w:color w:val="000000"/>
              </w:rPr>
            </w:pPr>
            <w:r>
              <w:rPr>
                <w:color w:val="000000"/>
              </w:rPr>
              <w:t>2.02</w:t>
            </w:r>
          </w:p>
        </w:tc>
        <w:tc>
          <w:tcPr>
            <w:tcW w:w="794" w:type="dxa"/>
            <w:tcBorders>
              <w:top w:val="nil"/>
              <w:left w:val="nil"/>
              <w:bottom w:val="single" w:sz="4" w:space="0" w:color="auto"/>
              <w:right w:val="single" w:sz="4" w:space="0" w:color="auto"/>
            </w:tcBorders>
            <w:shd w:val="clear" w:color="auto" w:fill="auto"/>
            <w:noWrap/>
            <w:vAlign w:val="center"/>
            <w:hideMark/>
          </w:tcPr>
          <w:p w14:paraId="232BB9DE" w14:textId="77777777" w:rsidR="00B42724" w:rsidRDefault="00B42724">
            <w:pPr>
              <w:jc w:val="center"/>
              <w:rPr>
                <w:color w:val="000000"/>
              </w:rPr>
            </w:pPr>
            <w:r>
              <w:rPr>
                <w:color w:val="000000"/>
              </w:rPr>
              <w:t>1150</w:t>
            </w:r>
          </w:p>
        </w:tc>
        <w:tc>
          <w:tcPr>
            <w:tcW w:w="954" w:type="dxa"/>
            <w:tcBorders>
              <w:top w:val="nil"/>
              <w:left w:val="nil"/>
              <w:bottom w:val="single" w:sz="4" w:space="0" w:color="auto"/>
              <w:right w:val="single" w:sz="4" w:space="0" w:color="auto"/>
            </w:tcBorders>
            <w:shd w:val="clear" w:color="auto" w:fill="auto"/>
            <w:noWrap/>
            <w:vAlign w:val="center"/>
            <w:hideMark/>
          </w:tcPr>
          <w:p w14:paraId="5F865163" w14:textId="77777777" w:rsidR="00B42724" w:rsidRDefault="00B42724">
            <w:pPr>
              <w:jc w:val="center"/>
              <w:rPr>
                <w:color w:val="000000"/>
              </w:rPr>
            </w:pPr>
            <w:r>
              <w:rPr>
                <w:color w:val="000000"/>
              </w:rPr>
              <w:t>24</w:t>
            </w:r>
          </w:p>
        </w:tc>
        <w:tc>
          <w:tcPr>
            <w:tcW w:w="3094" w:type="dxa"/>
            <w:tcBorders>
              <w:top w:val="nil"/>
              <w:left w:val="nil"/>
              <w:bottom w:val="single" w:sz="4" w:space="0" w:color="auto"/>
              <w:right w:val="single" w:sz="4" w:space="0" w:color="auto"/>
            </w:tcBorders>
            <w:shd w:val="clear" w:color="auto" w:fill="auto"/>
            <w:vAlign w:val="center"/>
            <w:hideMark/>
          </w:tcPr>
          <w:p w14:paraId="3EED37B4" w14:textId="77777777" w:rsidR="00B42724" w:rsidRDefault="00B42724">
            <w:pPr>
              <w:jc w:val="center"/>
              <w:rPr>
                <w:color w:val="000000"/>
              </w:rPr>
            </w:pPr>
            <w:r>
              <w:rPr>
                <w:color w:val="000000"/>
              </w:rPr>
              <w:t>0 (70</w:t>
            </w:r>
            <w:r>
              <w:rPr>
                <w:color w:val="000000"/>
                <w:vertAlign w:val="superscript"/>
              </w:rPr>
              <w:t>o</w:t>
            </w:r>
            <w:r>
              <w:rPr>
                <w:color w:val="000000"/>
              </w:rPr>
              <w:t xml:space="preserve">C/min) </w:t>
            </w:r>
            <w:r>
              <w:rPr>
                <w:rFonts w:ascii="Segoe UI Symbol" w:hAnsi="Segoe UI Symbol" w:cs="Segoe UI Symbol"/>
                <w:color w:val="000000"/>
              </w:rPr>
              <w:t>➔</w:t>
            </w:r>
            <w:r>
              <w:rPr>
                <w:color w:val="000000"/>
              </w:rPr>
              <w:t xml:space="preserve"> 1150 (24 hr) </w:t>
            </w:r>
            <w:r>
              <w:rPr>
                <w:rFonts w:ascii="Segoe UI Symbol" w:hAnsi="Segoe UI Symbol" w:cs="Segoe UI Symbol"/>
                <w:color w:val="000000"/>
              </w:rPr>
              <w:t>➔</w:t>
            </w:r>
            <w:r>
              <w:rPr>
                <w:color w:val="000000"/>
              </w:rPr>
              <w:t xml:space="preserve"> Quench</w:t>
            </w:r>
          </w:p>
        </w:tc>
        <w:tc>
          <w:tcPr>
            <w:tcW w:w="1997" w:type="dxa"/>
            <w:tcBorders>
              <w:top w:val="nil"/>
              <w:left w:val="nil"/>
              <w:bottom w:val="single" w:sz="4" w:space="0" w:color="auto"/>
              <w:right w:val="single" w:sz="4" w:space="0" w:color="auto"/>
            </w:tcBorders>
            <w:shd w:val="clear" w:color="auto" w:fill="auto"/>
            <w:vAlign w:val="center"/>
            <w:hideMark/>
          </w:tcPr>
          <w:p w14:paraId="2D7ECE15" w14:textId="77777777" w:rsidR="00B42724" w:rsidRDefault="00B42724">
            <w:pPr>
              <w:jc w:val="center"/>
              <w:rPr>
                <w:color w:val="000000"/>
              </w:rPr>
            </w:pPr>
            <w:r>
              <w:rPr>
                <w:color w:val="000000"/>
              </w:rPr>
              <w:t>Grnt+Cpx+Ilm</w:t>
            </w:r>
          </w:p>
        </w:tc>
        <w:tc>
          <w:tcPr>
            <w:tcW w:w="1461" w:type="dxa"/>
            <w:tcBorders>
              <w:top w:val="nil"/>
              <w:left w:val="nil"/>
              <w:bottom w:val="single" w:sz="4" w:space="0" w:color="auto"/>
              <w:right w:val="single" w:sz="4" w:space="0" w:color="auto"/>
            </w:tcBorders>
            <w:shd w:val="clear" w:color="auto" w:fill="auto"/>
            <w:noWrap/>
            <w:vAlign w:val="center"/>
            <w:hideMark/>
          </w:tcPr>
          <w:p w14:paraId="74B4BF5C" w14:textId="77777777" w:rsidR="00B42724" w:rsidRDefault="00B42724">
            <w:pPr>
              <w:jc w:val="center"/>
              <w:rPr>
                <w:color w:val="000000"/>
              </w:rPr>
            </w:pPr>
            <w:r>
              <w:rPr>
                <w:color w:val="000000"/>
              </w:rPr>
              <w:t>No</w:t>
            </w:r>
          </w:p>
        </w:tc>
        <w:tc>
          <w:tcPr>
            <w:tcW w:w="805" w:type="dxa"/>
            <w:tcBorders>
              <w:top w:val="nil"/>
              <w:left w:val="nil"/>
              <w:bottom w:val="single" w:sz="4" w:space="0" w:color="auto"/>
              <w:right w:val="single" w:sz="4" w:space="0" w:color="auto"/>
            </w:tcBorders>
            <w:shd w:val="clear" w:color="auto" w:fill="auto"/>
            <w:noWrap/>
            <w:vAlign w:val="center"/>
            <w:hideMark/>
          </w:tcPr>
          <w:p w14:paraId="551E346A" w14:textId="77777777" w:rsidR="00B42724" w:rsidRDefault="00B42724">
            <w:pPr>
              <w:jc w:val="center"/>
              <w:rPr>
                <w:color w:val="000000"/>
              </w:rPr>
            </w:pPr>
            <w:r>
              <w:rPr>
                <w:color w:val="000000"/>
              </w:rPr>
              <w:t>N/A</w:t>
            </w:r>
          </w:p>
        </w:tc>
      </w:tr>
      <w:tr w:rsidR="00B42724" w14:paraId="57154009" w14:textId="77777777" w:rsidTr="00B42724">
        <w:trPr>
          <w:trHeight w:val="740"/>
        </w:trPr>
        <w:tc>
          <w:tcPr>
            <w:tcW w:w="1343" w:type="dxa"/>
            <w:tcBorders>
              <w:top w:val="nil"/>
              <w:left w:val="single" w:sz="4" w:space="0" w:color="auto"/>
              <w:bottom w:val="single" w:sz="4" w:space="0" w:color="auto"/>
              <w:right w:val="single" w:sz="4" w:space="0" w:color="auto"/>
            </w:tcBorders>
            <w:shd w:val="clear" w:color="auto" w:fill="auto"/>
            <w:noWrap/>
            <w:vAlign w:val="center"/>
            <w:hideMark/>
          </w:tcPr>
          <w:p w14:paraId="29759B00" w14:textId="77777777" w:rsidR="00B42724" w:rsidRDefault="00B42724">
            <w:pPr>
              <w:jc w:val="center"/>
              <w:rPr>
                <w:color w:val="000000"/>
              </w:rPr>
            </w:pPr>
            <w:r>
              <w:rPr>
                <w:color w:val="000000"/>
              </w:rPr>
              <w:t>MRx#9</w:t>
            </w:r>
          </w:p>
        </w:tc>
        <w:tc>
          <w:tcPr>
            <w:tcW w:w="1495" w:type="dxa"/>
            <w:tcBorders>
              <w:top w:val="nil"/>
              <w:left w:val="nil"/>
              <w:bottom w:val="single" w:sz="4" w:space="0" w:color="auto"/>
              <w:right w:val="single" w:sz="4" w:space="0" w:color="auto"/>
            </w:tcBorders>
            <w:shd w:val="clear" w:color="auto" w:fill="auto"/>
            <w:noWrap/>
            <w:vAlign w:val="center"/>
            <w:hideMark/>
          </w:tcPr>
          <w:p w14:paraId="1FC819B5" w14:textId="77777777" w:rsidR="00B42724" w:rsidRDefault="00B42724">
            <w:pPr>
              <w:jc w:val="center"/>
              <w:rPr>
                <w:color w:val="000000"/>
              </w:rPr>
            </w:pPr>
            <w:r>
              <w:rPr>
                <w:color w:val="000000"/>
              </w:rPr>
              <w:t>IBC+Dunite</w:t>
            </w:r>
          </w:p>
        </w:tc>
        <w:tc>
          <w:tcPr>
            <w:tcW w:w="857" w:type="dxa"/>
            <w:tcBorders>
              <w:top w:val="nil"/>
              <w:left w:val="nil"/>
              <w:bottom w:val="single" w:sz="4" w:space="0" w:color="auto"/>
              <w:right w:val="single" w:sz="4" w:space="0" w:color="auto"/>
            </w:tcBorders>
            <w:shd w:val="clear" w:color="auto" w:fill="auto"/>
            <w:noWrap/>
            <w:vAlign w:val="center"/>
            <w:hideMark/>
          </w:tcPr>
          <w:p w14:paraId="5A8F02E7" w14:textId="77777777" w:rsidR="00B42724" w:rsidRDefault="00B42724">
            <w:pPr>
              <w:jc w:val="center"/>
              <w:rPr>
                <w:color w:val="000000"/>
              </w:rPr>
            </w:pPr>
            <w:r>
              <w:rPr>
                <w:color w:val="000000"/>
              </w:rPr>
              <w:t>0.55</w:t>
            </w:r>
          </w:p>
        </w:tc>
        <w:tc>
          <w:tcPr>
            <w:tcW w:w="794" w:type="dxa"/>
            <w:tcBorders>
              <w:top w:val="nil"/>
              <w:left w:val="nil"/>
              <w:bottom w:val="single" w:sz="4" w:space="0" w:color="auto"/>
              <w:right w:val="single" w:sz="4" w:space="0" w:color="auto"/>
            </w:tcBorders>
            <w:shd w:val="clear" w:color="auto" w:fill="auto"/>
            <w:noWrap/>
            <w:vAlign w:val="center"/>
            <w:hideMark/>
          </w:tcPr>
          <w:p w14:paraId="3B6F4311" w14:textId="77777777" w:rsidR="00B42724" w:rsidRDefault="00B42724">
            <w:pPr>
              <w:jc w:val="center"/>
              <w:rPr>
                <w:color w:val="000000"/>
              </w:rPr>
            </w:pPr>
            <w:r>
              <w:rPr>
                <w:color w:val="000000"/>
              </w:rPr>
              <w:t>1200</w:t>
            </w:r>
          </w:p>
        </w:tc>
        <w:tc>
          <w:tcPr>
            <w:tcW w:w="954" w:type="dxa"/>
            <w:tcBorders>
              <w:top w:val="nil"/>
              <w:left w:val="nil"/>
              <w:bottom w:val="single" w:sz="4" w:space="0" w:color="auto"/>
              <w:right w:val="single" w:sz="4" w:space="0" w:color="auto"/>
            </w:tcBorders>
            <w:shd w:val="clear" w:color="auto" w:fill="auto"/>
            <w:noWrap/>
            <w:vAlign w:val="center"/>
            <w:hideMark/>
          </w:tcPr>
          <w:p w14:paraId="366CB346" w14:textId="77777777" w:rsidR="00B42724" w:rsidRDefault="00B42724">
            <w:pPr>
              <w:jc w:val="center"/>
              <w:rPr>
                <w:color w:val="000000"/>
              </w:rPr>
            </w:pPr>
            <w:r>
              <w:rPr>
                <w:color w:val="000000"/>
              </w:rPr>
              <w:t>0.33</w:t>
            </w:r>
          </w:p>
        </w:tc>
        <w:tc>
          <w:tcPr>
            <w:tcW w:w="3094" w:type="dxa"/>
            <w:tcBorders>
              <w:top w:val="nil"/>
              <w:left w:val="nil"/>
              <w:bottom w:val="single" w:sz="4" w:space="0" w:color="auto"/>
              <w:right w:val="single" w:sz="4" w:space="0" w:color="auto"/>
            </w:tcBorders>
            <w:shd w:val="clear" w:color="auto" w:fill="auto"/>
            <w:vAlign w:val="center"/>
            <w:hideMark/>
          </w:tcPr>
          <w:p w14:paraId="032664F1" w14:textId="77777777" w:rsidR="00B42724" w:rsidRDefault="00B42724">
            <w:pPr>
              <w:jc w:val="center"/>
              <w:rPr>
                <w:color w:val="000000"/>
              </w:rPr>
            </w:pPr>
            <w:r>
              <w:rPr>
                <w:color w:val="000000"/>
              </w:rPr>
              <w:t>0 (70</w:t>
            </w:r>
            <w:r>
              <w:rPr>
                <w:color w:val="000000"/>
                <w:vertAlign w:val="superscript"/>
              </w:rPr>
              <w:t>o</w:t>
            </w:r>
            <w:r>
              <w:rPr>
                <w:color w:val="000000"/>
              </w:rPr>
              <w:t xml:space="preserve">C/min) </w:t>
            </w:r>
            <w:r>
              <w:rPr>
                <w:rFonts w:ascii="Segoe UI Symbol" w:hAnsi="Segoe UI Symbol" w:cs="Segoe UI Symbol"/>
                <w:color w:val="000000"/>
              </w:rPr>
              <w:t>➔</w:t>
            </w:r>
            <w:r>
              <w:rPr>
                <w:color w:val="000000"/>
              </w:rPr>
              <w:t xml:space="preserve"> 1200 (0.33 hr) </w:t>
            </w:r>
            <w:r>
              <w:rPr>
                <w:rFonts w:ascii="Segoe UI Symbol" w:hAnsi="Segoe UI Symbol" w:cs="Segoe UI Symbol"/>
                <w:color w:val="000000"/>
              </w:rPr>
              <w:t>➔</w:t>
            </w:r>
            <w:r>
              <w:rPr>
                <w:color w:val="000000"/>
              </w:rPr>
              <w:t xml:space="preserve"> Quench</w:t>
            </w:r>
          </w:p>
        </w:tc>
        <w:tc>
          <w:tcPr>
            <w:tcW w:w="1997" w:type="dxa"/>
            <w:tcBorders>
              <w:top w:val="nil"/>
              <w:left w:val="nil"/>
              <w:bottom w:val="single" w:sz="4" w:space="0" w:color="auto"/>
              <w:right w:val="single" w:sz="4" w:space="0" w:color="auto"/>
            </w:tcBorders>
            <w:shd w:val="clear" w:color="auto" w:fill="auto"/>
            <w:noWrap/>
            <w:vAlign w:val="center"/>
            <w:hideMark/>
          </w:tcPr>
          <w:p w14:paraId="72FB233A" w14:textId="77777777" w:rsidR="00B42724" w:rsidRDefault="00B42724">
            <w:pPr>
              <w:jc w:val="center"/>
              <w:rPr>
                <w:color w:val="000000"/>
              </w:rPr>
            </w:pPr>
            <w:r>
              <w:rPr>
                <w:color w:val="000000"/>
              </w:rPr>
              <w:t>Glass+Cpx*</w:t>
            </w:r>
          </w:p>
        </w:tc>
        <w:tc>
          <w:tcPr>
            <w:tcW w:w="1461" w:type="dxa"/>
            <w:tcBorders>
              <w:top w:val="nil"/>
              <w:left w:val="nil"/>
              <w:bottom w:val="single" w:sz="4" w:space="0" w:color="auto"/>
              <w:right w:val="single" w:sz="4" w:space="0" w:color="auto"/>
            </w:tcBorders>
            <w:shd w:val="clear" w:color="auto" w:fill="auto"/>
            <w:noWrap/>
            <w:vAlign w:val="center"/>
            <w:hideMark/>
          </w:tcPr>
          <w:p w14:paraId="27835253" w14:textId="77777777" w:rsidR="00B42724" w:rsidRDefault="00B42724">
            <w:pPr>
              <w:jc w:val="center"/>
              <w:rPr>
                <w:color w:val="000000"/>
              </w:rPr>
            </w:pPr>
            <w:r>
              <w:rPr>
                <w:color w:val="000000"/>
              </w:rPr>
              <w:t>Yes</w:t>
            </w:r>
          </w:p>
        </w:tc>
        <w:tc>
          <w:tcPr>
            <w:tcW w:w="805" w:type="dxa"/>
            <w:tcBorders>
              <w:top w:val="nil"/>
              <w:left w:val="nil"/>
              <w:bottom w:val="single" w:sz="4" w:space="0" w:color="auto"/>
              <w:right w:val="single" w:sz="4" w:space="0" w:color="auto"/>
            </w:tcBorders>
            <w:shd w:val="clear" w:color="auto" w:fill="auto"/>
            <w:noWrap/>
            <w:vAlign w:val="center"/>
            <w:hideMark/>
          </w:tcPr>
          <w:p w14:paraId="73F9F412" w14:textId="77777777" w:rsidR="00B42724" w:rsidRDefault="00B42724">
            <w:pPr>
              <w:jc w:val="center"/>
              <w:rPr>
                <w:color w:val="000000"/>
              </w:rPr>
            </w:pPr>
            <w:r>
              <w:rPr>
                <w:color w:val="000000"/>
              </w:rPr>
              <w:t>A</w:t>
            </w:r>
          </w:p>
        </w:tc>
      </w:tr>
      <w:tr w:rsidR="00B42724" w14:paraId="4964B746" w14:textId="77777777" w:rsidTr="00B42724">
        <w:trPr>
          <w:trHeight w:val="740"/>
        </w:trPr>
        <w:tc>
          <w:tcPr>
            <w:tcW w:w="1343" w:type="dxa"/>
            <w:tcBorders>
              <w:top w:val="nil"/>
              <w:left w:val="single" w:sz="4" w:space="0" w:color="auto"/>
              <w:bottom w:val="single" w:sz="4" w:space="0" w:color="auto"/>
              <w:right w:val="single" w:sz="4" w:space="0" w:color="auto"/>
            </w:tcBorders>
            <w:shd w:val="clear" w:color="auto" w:fill="auto"/>
            <w:noWrap/>
            <w:vAlign w:val="center"/>
            <w:hideMark/>
          </w:tcPr>
          <w:p w14:paraId="65468FE1" w14:textId="77777777" w:rsidR="00B42724" w:rsidRDefault="00B42724">
            <w:pPr>
              <w:jc w:val="center"/>
              <w:rPr>
                <w:color w:val="000000"/>
              </w:rPr>
            </w:pPr>
            <w:r>
              <w:rPr>
                <w:color w:val="000000"/>
              </w:rPr>
              <w:t>MRx#10</w:t>
            </w:r>
          </w:p>
        </w:tc>
        <w:tc>
          <w:tcPr>
            <w:tcW w:w="1495" w:type="dxa"/>
            <w:tcBorders>
              <w:top w:val="nil"/>
              <w:left w:val="nil"/>
              <w:bottom w:val="single" w:sz="4" w:space="0" w:color="auto"/>
              <w:right w:val="single" w:sz="4" w:space="0" w:color="auto"/>
            </w:tcBorders>
            <w:shd w:val="clear" w:color="auto" w:fill="auto"/>
            <w:noWrap/>
            <w:vAlign w:val="center"/>
            <w:hideMark/>
          </w:tcPr>
          <w:p w14:paraId="5F0A992E" w14:textId="77777777" w:rsidR="00B42724" w:rsidRDefault="00B42724">
            <w:pPr>
              <w:jc w:val="center"/>
              <w:rPr>
                <w:color w:val="000000"/>
              </w:rPr>
            </w:pPr>
            <w:r>
              <w:rPr>
                <w:color w:val="000000"/>
              </w:rPr>
              <w:t>IBC+Dunite</w:t>
            </w:r>
          </w:p>
        </w:tc>
        <w:tc>
          <w:tcPr>
            <w:tcW w:w="857" w:type="dxa"/>
            <w:tcBorders>
              <w:top w:val="nil"/>
              <w:left w:val="nil"/>
              <w:bottom w:val="single" w:sz="4" w:space="0" w:color="auto"/>
              <w:right w:val="single" w:sz="4" w:space="0" w:color="auto"/>
            </w:tcBorders>
            <w:shd w:val="clear" w:color="auto" w:fill="auto"/>
            <w:noWrap/>
            <w:vAlign w:val="center"/>
            <w:hideMark/>
          </w:tcPr>
          <w:p w14:paraId="34A36FE0" w14:textId="77777777" w:rsidR="00B42724" w:rsidRDefault="00B42724">
            <w:pPr>
              <w:jc w:val="center"/>
              <w:rPr>
                <w:color w:val="000000"/>
              </w:rPr>
            </w:pPr>
            <w:r>
              <w:rPr>
                <w:color w:val="000000"/>
              </w:rPr>
              <w:t>0.55</w:t>
            </w:r>
          </w:p>
        </w:tc>
        <w:tc>
          <w:tcPr>
            <w:tcW w:w="794" w:type="dxa"/>
            <w:tcBorders>
              <w:top w:val="nil"/>
              <w:left w:val="nil"/>
              <w:bottom w:val="single" w:sz="4" w:space="0" w:color="auto"/>
              <w:right w:val="single" w:sz="4" w:space="0" w:color="auto"/>
            </w:tcBorders>
            <w:shd w:val="clear" w:color="auto" w:fill="auto"/>
            <w:noWrap/>
            <w:vAlign w:val="center"/>
            <w:hideMark/>
          </w:tcPr>
          <w:p w14:paraId="7D07A902" w14:textId="77777777" w:rsidR="00B42724" w:rsidRDefault="00B42724">
            <w:pPr>
              <w:jc w:val="center"/>
              <w:rPr>
                <w:color w:val="000000"/>
              </w:rPr>
            </w:pPr>
            <w:r>
              <w:rPr>
                <w:color w:val="000000"/>
              </w:rPr>
              <w:t>1200</w:t>
            </w:r>
          </w:p>
        </w:tc>
        <w:tc>
          <w:tcPr>
            <w:tcW w:w="954" w:type="dxa"/>
            <w:tcBorders>
              <w:top w:val="nil"/>
              <w:left w:val="nil"/>
              <w:bottom w:val="single" w:sz="4" w:space="0" w:color="auto"/>
              <w:right w:val="single" w:sz="4" w:space="0" w:color="auto"/>
            </w:tcBorders>
            <w:shd w:val="clear" w:color="auto" w:fill="auto"/>
            <w:noWrap/>
            <w:vAlign w:val="center"/>
            <w:hideMark/>
          </w:tcPr>
          <w:p w14:paraId="29EB9A41" w14:textId="77777777" w:rsidR="00B42724" w:rsidRDefault="00B42724">
            <w:pPr>
              <w:jc w:val="center"/>
              <w:rPr>
                <w:color w:val="000000"/>
              </w:rPr>
            </w:pPr>
            <w:r>
              <w:rPr>
                <w:color w:val="000000"/>
              </w:rPr>
              <w:t>24</w:t>
            </w:r>
          </w:p>
        </w:tc>
        <w:tc>
          <w:tcPr>
            <w:tcW w:w="3094" w:type="dxa"/>
            <w:tcBorders>
              <w:top w:val="nil"/>
              <w:left w:val="nil"/>
              <w:bottom w:val="single" w:sz="4" w:space="0" w:color="auto"/>
              <w:right w:val="single" w:sz="4" w:space="0" w:color="auto"/>
            </w:tcBorders>
            <w:shd w:val="clear" w:color="auto" w:fill="auto"/>
            <w:vAlign w:val="center"/>
            <w:hideMark/>
          </w:tcPr>
          <w:p w14:paraId="4E897213" w14:textId="77777777" w:rsidR="00B42724" w:rsidRDefault="00B42724">
            <w:pPr>
              <w:jc w:val="center"/>
              <w:rPr>
                <w:color w:val="000000"/>
              </w:rPr>
            </w:pPr>
            <w:r>
              <w:rPr>
                <w:color w:val="000000"/>
              </w:rPr>
              <w:t>0 (70</w:t>
            </w:r>
            <w:r>
              <w:rPr>
                <w:color w:val="000000"/>
                <w:vertAlign w:val="superscript"/>
              </w:rPr>
              <w:t>o</w:t>
            </w:r>
            <w:r>
              <w:rPr>
                <w:color w:val="000000"/>
              </w:rPr>
              <w:t xml:space="preserve">C/min) </w:t>
            </w:r>
            <w:r>
              <w:rPr>
                <w:rFonts w:ascii="Segoe UI Symbol" w:hAnsi="Segoe UI Symbol" w:cs="Segoe UI Symbol"/>
                <w:color w:val="000000"/>
              </w:rPr>
              <w:t>➔</w:t>
            </w:r>
            <w:r>
              <w:rPr>
                <w:color w:val="000000"/>
              </w:rPr>
              <w:t xml:space="preserve"> 1200 (24 hr) </w:t>
            </w:r>
            <w:r>
              <w:rPr>
                <w:rFonts w:ascii="Segoe UI Symbol" w:hAnsi="Segoe UI Symbol" w:cs="Segoe UI Symbol"/>
                <w:color w:val="000000"/>
              </w:rPr>
              <w:t>➔</w:t>
            </w:r>
            <w:r>
              <w:rPr>
                <w:color w:val="000000"/>
              </w:rPr>
              <w:t xml:space="preserve"> Quench</w:t>
            </w:r>
          </w:p>
        </w:tc>
        <w:tc>
          <w:tcPr>
            <w:tcW w:w="1997" w:type="dxa"/>
            <w:tcBorders>
              <w:top w:val="nil"/>
              <w:left w:val="nil"/>
              <w:bottom w:val="single" w:sz="4" w:space="0" w:color="auto"/>
              <w:right w:val="single" w:sz="4" w:space="0" w:color="auto"/>
            </w:tcBorders>
            <w:shd w:val="clear" w:color="auto" w:fill="auto"/>
            <w:noWrap/>
            <w:vAlign w:val="center"/>
            <w:hideMark/>
          </w:tcPr>
          <w:p w14:paraId="09EA212A" w14:textId="77777777" w:rsidR="00B42724" w:rsidRDefault="00B42724">
            <w:pPr>
              <w:jc w:val="center"/>
              <w:rPr>
                <w:color w:val="000000"/>
              </w:rPr>
            </w:pPr>
            <w:r>
              <w:rPr>
                <w:color w:val="000000"/>
              </w:rPr>
              <w:t>Glass+Cpx</w:t>
            </w:r>
          </w:p>
        </w:tc>
        <w:tc>
          <w:tcPr>
            <w:tcW w:w="1461" w:type="dxa"/>
            <w:tcBorders>
              <w:top w:val="nil"/>
              <w:left w:val="nil"/>
              <w:bottom w:val="single" w:sz="4" w:space="0" w:color="auto"/>
              <w:right w:val="single" w:sz="4" w:space="0" w:color="auto"/>
            </w:tcBorders>
            <w:shd w:val="clear" w:color="auto" w:fill="auto"/>
            <w:noWrap/>
            <w:vAlign w:val="center"/>
            <w:hideMark/>
          </w:tcPr>
          <w:p w14:paraId="76070F10" w14:textId="77777777" w:rsidR="00B42724" w:rsidRDefault="00B42724">
            <w:pPr>
              <w:jc w:val="center"/>
              <w:rPr>
                <w:color w:val="000000"/>
              </w:rPr>
            </w:pPr>
            <w:r>
              <w:rPr>
                <w:color w:val="000000"/>
              </w:rPr>
              <w:t>Yes</w:t>
            </w:r>
          </w:p>
        </w:tc>
        <w:tc>
          <w:tcPr>
            <w:tcW w:w="805" w:type="dxa"/>
            <w:tcBorders>
              <w:top w:val="nil"/>
              <w:left w:val="nil"/>
              <w:bottom w:val="single" w:sz="4" w:space="0" w:color="auto"/>
              <w:right w:val="single" w:sz="4" w:space="0" w:color="auto"/>
            </w:tcBorders>
            <w:shd w:val="clear" w:color="auto" w:fill="auto"/>
            <w:noWrap/>
            <w:vAlign w:val="center"/>
            <w:hideMark/>
          </w:tcPr>
          <w:p w14:paraId="07D9CB9B" w14:textId="77777777" w:rsidR="00B42724" w:rsidRDefault="00B42724">
            <w:pPr>
              <w:jc w:val="center"/>
              <w:rPr>
                <w:color w:val="000000"/>
              </w:rPr>
            </w:pPr>
            <w:r>
              <w:rPr>
                <w:color w:val="000000"/>
              </w:rPr>
              <w:t>A</w:t>
            </w:r>
          </w:p>
        </w:tc>
      </w:tr>
      <w:tr w:rsidR="00B42724" w14:paraId="31E1CF63" w14:textId="77777777" w:rsidTr="00B42724">
        <w:trPr>
          <w:trHeight w:val="740"/>
        </w:trPr>
        <w:tc>
          <w:tcPr>
            <w:tcW w:w="1343" w:type="dxa"/>
            <w:tcBorders>
              <w:top w:val="nil"/>
              <w:left w:val="single" w:sz="4" w:space="0" w:color="auto"/>
              <w:bottom w:val="single" w:sz="4" w:space="0" w:color="auto"/>
              <w:right w:val="single" w:sz="4" w:space="0" w:color="auto"/>
            </w:tcBorders>
            <w:shd w:val="clear" w:color="auto" w:fill="auto"/>
            <w:noWrap/>
            <w:vAlign w:val="center"/>
            <w:hideMark/>
          </w:tcPr>
          <w:p w14:paraId="37D7DA96" w14:textId="77777777" w:rsidR="00B42724" w:rsidRDefault="00B42724">
            <w:pPr>
              <w:jc w:val="center"/>
              <w:rPr>
                <w:color w:val="000000"/>
              </w:rPr>
            </w:pPr>
            <w:r>
              <w:rPr>
                <w:color w:val="000000"/>
              </w:rPr>
              <w:t>MRx#11</w:t>
            </w:r>
          </w:p>
        </w:tc>
        <w:tc>
          <w:tcPr>
            <w:tcW w:w="1495" w:type="dxa"/>
            <w:tcBorders>
              <w:top w:val="nil"/>
              <w:left w:val="nil"/>
              <w:bottom w:val="single" w:sz="4" w:space="0" w:color="auto"/>
              <w:right w:val="single" w:sz="4" w:space="0" w:color="auto"/>
            </w:tcBorders>
            <w:shd w:val="clear" w:color="auto" w:fill="auto"/>
            <w:noWrap/>
            <w:vAlign w:val="center"/>
            <w:hideMark/>
          </w:tcPr>
          <w:p w14:paraId="6EE98461" w14:textId="77777777" w:rsidR="00B42724" w:rsidRDefault="00B42724">
            <w:pPr>
              <w:jc w:val="center"/>
              <w:rPr>
                <w:color w:val="000000"/>
              </w:rPr>
            </w:pPr>
            <w:r>
              <w:rPr>
                <w:color w:val="000000"/>
              </w:rPr>
              <w:t>IBC+Dunite</w:t>
            </w:r>
          </w:p>
        </w:tc>
        <w:tc>
          <w:tcPr>
            <w:tcW w:w="857" w:type="dxa"/>
            <w:tcBorders>
              <w:top w:val="nil"/>
              <w:left w:val="nil"/>
              <w:bottom w:val="single" w:sz="4" w:space="0" w:color="auto"/>
              <w:right w:val="single" w:sz="4" w:space="0" w:color="auto"/>
            </w:tcBorders>
            <w:shd w:val="clear" w:color="auto" w:fill="auto"/>
            <w:noWrap/>
            <w:vAlign w:val="center"/>
            <w:hideMark/>
          </w:tcPr>
          <w:p w14:paraId="0F887FEB" w14:textId="77777777" w:rsidR="00B42724" w:rsidRDefault="00B42724">
            <w:pPr>
              <w:jc w:val="center"/>
              <w:rPr>
                <w:color w:val="000000"/>
              </w:rPr>
            </w:pPr>
            <w:r>
              <w:rPr>
                <w:color w:val="000000"/>
              </w:rPr>
              <w:t>0.55</w:t>
            </w:r>
          </w:p>
        </w:tc>
        <w:tc>
          <w:tcPr>
            <w:tcW w:w="794" w:type="dxa"/>
            <w:tcBorders>
              <w:top w:val="nil"/>
              <w:left w:val="nil"/>
              <w:bottom w:val="single" w:sz="4" w:space="0" w:color="auto"/>
              <w:right w:val="single" w:sz="4" w:space="0" w:color="auto"/>
            </w:tcBorders>
            <w:shd w:val="clear" w:color="auto" w:fill="auto"/>
            <w:noWrap/>
            <w:vAlign w:val="center"/>
            <w:hideMark/>
          </w:tcPr>
          <w:p w14:paraId="02A00575" w14:textId="77777777" w:rsidR="00B42724" w:rsidRDefault="00B42724">
            <w:pPr>
              <w:jc w:val="center"/>
              <w:rPr>
                <w:color w:val="000000"/>
              </w:rPr>
            </w:pPr>
            <w:r>
              <w:rPr>
                <w:color w:val="000000"/>
              </w:rPr>
              <w:t>1100</w:t>
            </w:r>
          </w:p>
        </w:tc>
        <w:tc>
          <w:tcPr>
            <w:tcW w:w="954" w:type="dxa"/>
            <w:tcBorders>
              <w:top w:val="nil"/>
              <w:left w:val="nil"/>
              <w:bottom w:val="single" w:sz="4" w:space="0" w:color="auto"/>
              <w:right w:val="single" w:sz="4" w:space="0" w:color="auto"/>
            </w:tcBorders>
            <w:shd w:val="clear" w:color="auto" w:fill="auto"/>
            <w:noWrap/>
            <w:vAlign w:val="center"/>
            <w:hideMark/>
          </w:tcPr>
          <w:p w14:paraId="4FFE1DFD" w14:textId="77777777" w:rsidR="00B42724" w:rsidRDefault="00B42724">
            <w:pPr>
              <w:jc w:val="center"/>
              <w:rPr>
                <w:color w:val="000000"/>
              </w:rPr>
            </w:pPr>
            <w:r>
              <w:rPr>
                <w:color w:val="000000"/>
              </w:rPr>
              <w:t>24</w:t>
            </w:r>
          </w:p>
        </w:tc>
        <w:tc>
          <w:tcPr>
            <w:tcW w:w="3094" w:type="dxa"/>
            <w:tcBorders>
              <w:top w:val="nil"/>
              <w:left w:val="nil"/>
              <w:bottom w:val="single" w:sz="4" w:space="0" w:color="auto"/>
              <w:right w:val="single" w:sz="4" w:space="0" w:color="auto"/>
            </w:tcBorders>
            <w:shd w:val="clear" w:color="auto" w:fill="auto"/>
            <w:vAlign w:val="center"/>
            <w:hideMark/>
          </w:tcPr>
          <w:p w14:paraId="62D14D80" w14:textId="77777777" w:rsidR="00B42724" w:rsidRDefault="00B42724">
            <w:pPr>
              <w:jc w:val="center"/>
              <w:rPr>
                <w:color w:val="000000"/>
              </w:rPr>
            </w:pPr>
            <w:r>
              <w:rPr>
                <w:color w:val="000000"/>
              </w:rPr>
              <w:t>0 (70</w:t>
            </w:r>
            <w:r>
              <w:rPr>
                <w:color w:val="000000"/>
                <w:vertAlign w:val="superscript"/>
              </w:rPr>
              <w:t>o</w:t>
            </w:r>
            <w:r>
              <w:rPr>
                <w:color w:val="000000"/>
              </w:rPr>
              <w:t xml:space="preserve">C/min) </w:t>
            </w:r>
            <w:r>
              <w:rPr>
                <w:rFonts w:ascii="Segoe UI Symbol" w:hAnsi="Segoe UI Symbol" w:cs="Segoe UI Symbol"/>
                <w:color w:val="000000"/>
              </w:rPr>
              <w:t>➔</w:t>
            </w:r>
            <w:r>
              <w:rPr>
                <w:color w:val="000000"/>
              </w:rPr>
              <w:t xml:space="preserve"> 1100 (24 hr) </w:t>
            </w:r>
            <w:r>
              <w:rPr>
                <w:rFonts w:ascii="Segoe UI Symbol" w:hAnsi="Segoe UI Symbol" w:cs="Segoe UI Symbol"/>
                <w:color w:val="000000"/>
              </w:rPr>
              <w:t>➔</w:t>
            </w:r>
            <w:r>
              <w:rPr>
                <w:color w:val="000000"/>
              </w:rPr>
              <w:t xml:space="preserve"> Quench</w:t>
            </w:r>
          </w:p>
        </w:tc>
        <w:tc>
          <w:tcPr>
            <w:tcW w:w="1997" w:type="dxa"/>
            <w:tcBorders>
              <w:top w:val="nil"/>
              <w:left w:val="nil"/>
              <w:bottom w:val="single" w:sz="4" w:space="0" w:color="auto"/>
              <w:right w:val="single" w:sz="4" w:space="0" w:color="auto"/>
            </w:tcBorders>
            <w:shd w:val="clear" w:color="auto" w:fill="auto"/>
            <w:vAlign w:val="center"/>
            <w:hideMark/>
          </w:tcPr>
          <w:p w14:paraId="12970922" w14:textId="24314178" w:rsidR="00B42724" w:rsidRDefault="00B42724">
            <w:pPr>
              <w:jc w:val="center"/>
              <w:rPr>
                <w:color w:val="000000"/>
              </w:rPr>
            </w:pPr>
            <w:r>
              <w:rPr>
                <w:color w:val="000000"/>
              </w:rPr>
              <w:t>Cpx+Usp+</w:t>
            </w:r>
            <w:r w:rsidR="0041266F">
              <w:rPr>
                <w:color w:val="000000"/>
              </w:rPr>
              <w:t>G</w:t>
            </w:r>
            <w:r>
              <w:rPr>
                <w:color w:val="000000"/>
              </w:rPr>
              <w:t>lass</w:t>
            </w:r>
          </w:p>
        </w:tc>
        <w:tc>
          <w:tcPr>
            <w:tcW w:w="1461" w:type="dxa"/>
            <w:tcBorders>
              <w:top w:val="nil"/>
              <w:left w:val="nil"/>
              <w:bottom w:val="single" w:sz="4" w:space="0" w:color="auto"/>
              <w:right w:val="single" w:sz="4" w:space="0" w:color="auto"/>
            </w:tcBorders>
            <w:shd w:val="clear" w:color="auto" w:fill="auto"/>
            <w:noWrap/>
            <w:vAlign w:val="center"/>
            <w:hideMark/>
          </w:tcPr>
          <w:p w14:paraId="47462AD4" w14:textId="77777777" w:rsidR="00B42724" w:rsidRDefault="00B42724">
            <w:pPr>
              <w:jc w:val="center"/>
              <w:rPr>
                <w:color w:val="000000"/>
              </w:rPr>
            </w:pPr>
            <w:r>
              <w:rPr>
                <w:color w:val="000000"/>
              </w:rPr>
              <w:t>No</w:t>
            </w:r>
          </w:p>
        </w:tc>
        <w:tc>
          <w:tcPr>
            <w:tcW w:w="805" w:type="dxa"/>
            <w:tcBorders>
              <w:top w:val="nil"/>
              <w:left w:val="nil"/>
              <w:bottom w:val="single" w:sz="4" w:space="0" w:color="auto"/>
              <w:right w:val="single" w:sz="4" w:space="0" w:color="auto"/>
            </w:tcBorders>
            <w:shd w:val="clear" w:color="auto" w:fill="auto"/>
            <w:noWrap/>
            <w:vAlign w:val="center"/>
            <w:hideMark/>
          </w:tcPr>
          <w:p w14:paraId="69E5D9CF" w14:textId="77777777" w:rsidR="00B42724" w:rsidRDefault="00B42724">
            <w:pPr>
              <w:jc w:val="center"/>
              <w:rPr>
                <w:color w:val="000000"/>
              </w:rPr>
            </w:pPr>
            <w:r>
              <w:rPr>
                <w:color w:val="000000"/>
              </w:rPr>
              <w:t>B</w:t>
            </w:r>
          </w:p>
        </w:tc>
      </w:tr>
    </w:tbl>
    <w:p w14:paraId="67C8A649" w14:textId="12F5199C" w:rsidR="00B60E1C" w:rsidRPr="00B60E1C" w:rsidRDefault="00B60E1C" w:rsidP="000A76FF">
      <w:pPr>
        <w:rPr>
          <w:color w:val="000000"/>
        </w:rPr>
      </w:pPr>
    </w:p>
    <w:p w14:paraId="76AD723E" w14:textId="77777777" w:rsidR="00B60E1C" w:rsidRDefault="00B60E1C">
      <w:pPr>
        <w:rPr>
          <w:color w:val="000000" w:themeColor="text1"/>
        </w:rPr>
      </w:pPr>
    </w:p>
    <w:p w14:paraId="4E1441F7" w14:textId="77777777" w:rsidR="000A76FF" w:rsidRDefault="000A76FF">
      <w:pPr>
        <w:rPr>
          <w:b/>
          <w:bCs/>
          <w:color w:val="000000" w:themeColor="text1"/>
        </w:rPr>
      </w:pPr>
    </w:p>
    <w:p w14:paraId="25B55069" w14:textId="77777777" w:rsidR="000A76FF" w:rsidRDefault="000A76FF">
      <w:pPr>
        <w:rPr>
          <w:b/>
          <w:bCs/>
          <w:color w:val="000000" w:themeColor="text1"/>
        </w:rPr>
      </w:pPr>
    </w:p>
    <w:p w14:paraId="5516C028" w14:textId="77777777" w:rsidR="000A76FF" w:rsidRDefault="000A76FF">
      <w:pPr>
        <w:rPr>
          <w:b/>
          <w:bCs/>
          <w:color w:val="000000" w:themeColor="text1"/>
        </w:rPr>
      </w:pPr>
    </w:p>
    <w:p w14:paraId="1846FEAF" w14:textId="77777777" w:rsidR="000A76FF" w:rsidRDefault="000A76FF">
      <w:pPr>
        <w:rPr>
          <w:b/>
          <w:bCs/>
          <w:color w:val="000000" w:themeColor="text1"/>
        </w:rPr>
      </w:pPr>
    </w:p>
    <w:p w14:paraId="3EFF9937" w14:textId="77777777" w:rsidR="000A76FF" w:rsidRDefault="000A76FF">
      <w:pPr>
        <w:rPr>
          <w:b/>
          <w:bCs/>
          <w:color w:val="000000" w:themeColor="text1"/>
        </w:rPr>
      </w:pPr>
    </w:p>
    <w:p w14:paraId="4CE1AF2E" w14:textId="76A5501E" w:rsidR="00B60E1C" w:rsidRDefault="00B60E1C">
      <w:pPr>
        <w:rPr>
          <w:color w:val="000000" w:themeColor="text1"/>
        </w:rPr>
      </w:pPr>
      <w:r w:rsidRPr="00B60E1C">
        <w:rPr>
          <w:b/>
          <w:bCs/>
          <w:color w:val="000000" w:themeColor="text1"/>
        </w:rPr>
        <w:lastRenderedPageBreak/>
        <w:t>Table 1.2.</w:t>
      </w:r>
      <w:r>
        <w:rPr>
          <w:color w:val="000000" w:themeColor="text1"/>
        </w:rPr>
        <w:t xml:space="preserve"> Continued.</w:t>
      </w:r>
    </w:p>
    <w:tbl>
      <w:tblPr>
        <w:tblW w:w="12800" w:type="dxa"/>
        <w:tblLook w:val="04A0" w:firstRow="1" w:lastRow="0" w:firstColumn="1" w:lastColumn="0" w:noHBand="0" w:noVBand="1"/>
      </w:tblPr>
      <w:tblGrid>
        <w:gridCol w:w="1360"/>
        <w:gridCol w:w="1520"/>
        <w:gridCol w:w="880"/>
        <w:gridCol w:w="820"/>
        <w:gridCol w:w="1070"/>
        <w:gridCol w:w="3162"/>
        <w:gridCol w:w="1678"/>
        <w:gridCol w:w="1480"/>
        <w:gridCol w:w="830"/>
      </w:tblGrid>
      <w:tr w:rsidR="00B42724" w14:paraId="44699429" w14:textId="77777777" w:rsidTr="00B42724">
        <w:trPr>
          <w:trHeight w:val="7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412DA5" w14:textId="77777777" w:rsidR="00B42724" w:rsidRDefault="00B42724">
            <w:pPr>
              <w:jc w:val="center"/>
              <w:rPr>
                <w:color w:val="000000"/>
              </w:rPr>
            </w:pPr>
            <w:r>
              <w:rPr>
                <w:color w:val="000000"/>
              </w:rPr>
              <w:t>Experiment</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F80F4CD" w14:textId="77777777" w:rsidR="00B42724" w:rsidRDefault="00B42724">
            <w:pPr>
              <w:jc w:val="center"/>
              <w:rPr>
                <w:color w:val="000000"/>
              </w:rPr>
            </w:pPr>
            <w:r>
              <w:rPr>
                <w:color w:val="000000"/>
              </w:rPr>
              <w:t>Starting Materials</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613C18A3" w14:textId="77777777" w:rsidR="00B42724" w:rsidRDefault="00B42724">
            <w:pPr>
              <w:jc w:val="center"/>
              <w:rPr>
                <w:color w:val="000000"/>
              </w:rPr>
            </w:pPr>
            <w:r>
              <w:rPr>
                <w:color w:val="000000"/>
              </w:rPr>
              <w:t xml:space="preserve">P (GPa) </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598A1FF2" w14:textId="77777777" w:rsidR="00B42724" w:rsidRDefault="00B42724">
            <w:pPr>
              <w:jc w:val="center"/>
              <w:rPr>
                <w:color w:val="000000"/>
              </w:rPr>
            </w:pPr>
            <w:r>
              <w:rPr>
                <w:color w:val="000000"/>
              </w:rPr>
              <w:t>T (</w:t>
            </w:r>
            <w:r>
              <w:rPr>
                <w:color w:val="000000"/>
                <w:vertAlign w:val="superscript"/>
              </w:rPr>
              <w:t>o</w:t>
            </w:r>
            <w:r>
              <w:rPr>
                <w:color w:val="000000"/>
              </w:rPr>
              <w:t>C)</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2F874FC" w14:textId="77777777" w:rsidR="00B42724" w:rsidRDefault="00B42724">
            <w:pPr>
              <w:jc w:val="center"/>
              <w:rPr>
                <w:color w:val="000000"/>
              </w:rPr>
            </w:pPr>
            <w:r>
              <w:rPr>
                <w:color w:val="000000"/>
              </w:rPr>
              <w:t>Duration (hr)</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30ACBADE" w14:textId="77777777" w:rsidR="00B42724" w:rsidRDefault="00B42724">
            <w:pPr>
              <w:jc w:val="center"/>
              <w:rPr>
                <w:color w:val="000000"/>
              </w:rPr>
            </w:pPr>
            <w:r>
              <w:rPr>
                <w:color w:val="000000"/>
              </w:rPr>
              <w:t>Temperature Path (</w:t>
            </w:r>
            <w:r>
              <w:rPr>
                <w:color w:val="000000"/>
                <w:vertAlign w:val="superscript"/>
              </w:rPr>
              <w:t>o</w:t>
            </w:r>
            <w:r>
              <w:rPr>
                <w:color w:val="000000"/>
              </w:rPr>
              <w:t>C)</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14:paraId="6D89AFE3" w14:textId="77777777" w:rsidR="00B42724" w:rsidRDefault="00B42724">
            <w:pPr>
              <w:jc w:val="center"/>
              <w:rPr>
                <w:color w:val="000000"/>
              </w:rPr>
            </w:pPr>
            <w:r>
              <w:rPr>
                <w:color w:val="000000"/>
              </w:rPr>
              <w:t>Run Products</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562D7E1E" w14:textId="77777777" w:rsidR="00B42724" w:rsidRDefault="00B42724">
            <w:pPr>
              <w:jc w:val="center"/>
              <w:rPr>
                <w:color w:val="000000"/>
              </w:rPr>
            </w:pPr>
            <w:r>
              <w:rPr>
                <w:color w:val="000000"/>
              </w:rPr>
              <w:t>Assimilation</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2A4C190B" w14:textId="77777777" w:rsidR="00B42724" w:rsidRDefault="00B42724">
            <w:pPr>
              <w:jc w:val="center"/>
              <w:rPr>
                <w:color w:val="000000"/>
              </w:rPr>
            </w:pPr>
            <w:r>
              <w:rPr>
                <w:color w:val="000000"/>
              </w:rPr>
              <w:t>Group</w:t>
            </w:r>
          </w:p>
        </w:tc>
      </w:tr>
      <w:tr w:rsidR="00B42724" w14:paraId="1C7A578F" w14:textId="77777777" w:rsidTr="00B42724">
        <w:trPr>
          <w:trHeight w:val="740"/>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2165C895" w14:textId="77777777" w:rsidR="00B42724" w:rsidRDefault="00B42724">
            <w:pPr>
              <w:jc w:val="center"/>
              <w:rPr>
                <w:color w:val="000000"/>
              </w:rPr>
            </w:pPr>
            <w:r>
              <w:rPr>
                <w:color w:val="000000"/>
              </w:rPr>
              <w:t>MRx#12</w:t>
            </w:r>
          </w:p>
        </w:tc>
        <w:tc>
          <w:tcPr>
            <w:tcW w:w="1520" w:type="dxa"/>
            <w:tcBorders>
              <w:top w:val="nil"/>
              <w:left w:val="nil"/>
              <w:bottom w:val="single" w:sz="4" w:space="0" w:color="auto"/>
              <w:right w:val="single" w:sz="4" w:space="0" w:color="auto"/>
            </w:tcBorders>
            <w:shd w:val="clear" w:color="auto" w:fill="auto"/>
            <w:noWrap/>
            <w:vAlign w:val="center"/>
            <w:hideMark/>
          </w:tcPr>
          <w:p w14:paraId="58CCADE1" w14:textId="77777777" w:rsidR="00B42724" w:rsidRDefault="00B42724">
            <w:pPr>
              <w:jc w:val="center"/>
              <w:rPr>
                <w:color w:val="000000"/>
              </w:rPr>
            </w:pPr>
            <w:r>
              <w:rPr>
                <w:color w:val="000000"/>
              </w:rPr>
              <w:t>IBC+Dunite</w:t>
            </w:r>
          </w:p>
        </w:tc>
        <w:tc>
          <w:tcPr>
            <w:tcW w:w="880" w:type="dxa"/>
            <w:tcBorders>
              <w:top w:val="nil"/>
              <w:left w:val="nil"/>
              <w:bottom w:val="single" w:sz="4" w:space="0" w:color="auto"/>
              <w:right w:val="single" w:sz="4" w:space="0" w:color="auto"/>
            </w:tcBorders>
            <w:shd w:val="clear" w:color="auto" w:fill="auto"/>
            <w:noWrap/>
            <w:vAlign w:val="center"/>
            <w:hideMark/>
          </w:tcPr>
          <w:p w14:paraId="3F3781F5" w14:textId="77777777" w:rsidR="00B42724" w:rsidRDefault="00B42724">
            <w:pPr>
              <w:jc w:val="center"/>
              <w:rPr>
                <w:color w:val="000000"/>
              </w:rPr>
            </w:pPr>
            <w:r>
              <w:rPr>
                <w:color w:val="000000"/>
              </w:rPr>
              <w:t>2.02</w:t>
            </w:r>
          </w:p>
        </w:tc>
        <w:tc>
          <w:tcPr>
            <w:tcW w:w="820" w:type="dxa"/>
            <w:tcBorders>
              <w:top w:val="nil"/>
              <w:left w:val="nil"/>
              <w:bottom w:val="single" w:sz="4" w:space="0" w:color="auto"/>
              <w:right w:val="single" w:sz="4" w:space="0" w:color="auto"/>
            </w:tcBorders>
            <w:shd w:val="clear" w:color="auto" w:fill="auto"/>
            <w:noWrap/>
            <w:vAlign w:val="center"/>
            <w:hideMark/>
          </w:tcPr>
          <w:p w14:paraId="4F815916" w14:textId="77777777" w:rsidR="00B42724" w:rsidRDefault="00B42724">
            <w:pPr>
              <w:jc w:val="center"/>
              <w:rPr>
                <w:color w:val="000000"/>
              </w:rPr>
            </w:pPr>
            <w:r>
              <w:rPr>
                <w:color w:val="000000"/>
              </w:rPr>
              <w:t>1300</w:t>
            </w:r>
          </w:p>
        </w:tc>
        <w:tc>
          <w:tcPr>
            <w:tcW w:w="960" w:type="dxa"/>
            <w:tcBorders>
              <w:top w:val="nil"/>
              <w:left w:val="nil"/>
              <w:bottom w:val="single" w:sz="4" w:space="0" w:color="auto"/>
              <w:right w:val="single" w:sz="4" w:space="0" w:color="auto"/>
            </w:tcBorders>
            <w:shd w:val="clear" w:color="auto" w:fill="auto"/>
            <w:noWrap/>
            <w:vAlign w:val="center"/>
            <w:hideMark/>
          </w:tcPr>
          <w:p w14:paraId="30438CF7" w14:textId="77777777" w:rsidR="00B42724" w:rsidRDefault="00B42724">
            <w:pPr>
              <w:jc w:val="center"/>
              <w:rPr>
                <w:color w:val="000000"/>
              </w:rPr>
            </w:pPr>
            <w:r>
              <w:rPr>
                <w:color w:val="000000"/>
              </w:rPr>
              <w:t>1</w:t>
            </w:r>
          </w:p>
        </w:tc>
        <w:tc>
          <w:tcPr>
            <w:tcW w:w="3260" w:type="dxa"/>
            <w:tcBorders>
              <w:top w:val="nil"/>
              <w:left w:val="nil"/>
              <w:bottom w:val="single" w:sz="4" w:space="0" w:color="auto"/>
              <w:right w:val="single" w:sz="4" w:space="0" w:color="auto"/>
            </w:tcBorders>
            <w:shd w:val="clear" w:color="auto" w:fill="auto"/>
            <w:vAlign w:val="center"/>
            <w:hideMark/>
          </w:tcPr>
          <w:p w14:paraId="2A83AFC1" w14:textId="77777777" w:rsidR="00B42724" w:rsidRDefault="00B42724">
            <w:pPr>
              <w:jc w:val="center"/>
              <w:rPr>
                <w:color w:val="000000"/>
              </w:rPr>
            </w:pPr>
            <w:r>
              <w:rPr>
                <w:color w:val="000000"/>
              </w:rPr>
              <w:t>0 (70</w:t>
            </w:r>
            <w:r>
              <w:rPr>
                <w:color w:val="000000"/>
                <w:vertAlign w:val="superscript"/>
              </w:rPr>
              <w:t>o</w:t>
            </w:r>
            <w:r>
              <w:rPr>
                <w:color w:val="000000"/>
              </w:rPr>
              <w:t xml:space="preserve">C/min) </w:t>
            </w:r>
            <w:r>
              <w:rPr>
                <w:rFonts w:ascii="Segoe UI Symbol" w:hAnsi="Segoe UI Symbol" w:cs="Segoe UI Symbol"/>
                <w:color w:val="000000"/>
              </w:rPr>
              <w:t>➔</w:t>
            </w:r>
            <w:r>
              <w:rPr>
                <w:color w:val="000000"/>
              </w:rPr>
              <w:t xml:space="preserve"> 1300 (1 hr) </w:t>
            </w:r>
            <w:r>
              <w:rPr>
                <w:rFonts w:ascii="Segoe UI Symbol" w:hAnsi="Segoe UI Symbol" w:cs="Segoe UI Symbol"/>
                <w:color w:val="000000"/>
              </w:rPr>
              <w:t>➔</w:t>
            </w:r>
            <w:r>
              <w:rPr>
                <w:color w:val="000000"/>
              </w:rPr>
              <w:t xml:space="preserve"> Quench</w:t>
            </w:r>
          </w:p>
        </w:tc>
        <w:tc>
          <w:tcPr>
            <w:tcW w:w="1700" w:type="dxa"/>
            <w:tcBorders>
              <w:top w:val="nil"/>
              <w:left w:val="nil"/>
              <w:bottom w:val="single" w:sz="4" w:space="0" w:color="auto"/>
              <w:right w:val="single" w:sz="4" w:space="0" w:color="auto"/>
            </w:tcBorders>
            <w:shd w:val="clear" w:color="auto" w:fill="auto"/>
            <w:vAlign w:val="center"/>
            <w:hideMark/>
          </w:tcPr>
          <w:p w14:paraId="18FA58A8" w14:textId="77777777" w:rsidR="00B42724" w:rsidRDefault="00B42724">
            <w:pPr>
              <w:jc w:val="center"/>
              <w:rPr>
                <w:color w:val="000000"/>
              </w:rPr>
            </w:pPr>
            <w:r>
              <w:rPr>
                <w:color w:val="000000"/>
              </w:rPr>
              <w:t>Cpx+Fe-Ti Oxide^</w:t>
            </w:r>
          </w:p>
        </w:tc>
        <w:tc>
          <w:tcPr>
            <w:tcW w:w="1480" w:type="dxa"/>
            <w:tcBorders>
              <w:top w:val="nil"/>
              <w:left w:val="nil"/>
              <w:bottom w:val="single" w:sz="4" w:space="0" w:color="auto"/>
              <w:right w:val="single" w:sz="4" w:space="0" w:color="auto"/>
            </w:tcBorders>
            <w:shd w:val="clear" w:color="auto" w:fill="auto"/>
            <w:noWrap/>
            <w:vAlign w:val="center"/>
            <w:hideMark/>
          </w:tcPr>
          <w:p w14:paraId="5727DAD4" w14:textId="77777777" w:rsidR="00B42724" w:rsidRDefault="00B42724">
            <w:pPr>
              <w:jc w:val="center"/>
              <w:rPr>
                <w:color w:val="000000"/>
              </w:rPr>
            </w:pPr>
            <w:r>
              <w:rPr>
                <w:color w:val="000000"/>
              </w:rPr>
              <w:t>Yes</w:t>
            </w:r>
          </w:p>
        </w:tc>
        <w:tc>
          <w:tcPr>
            <w:tcW w:w="820" w:type="dxa"/>
            <w:tcBorders>
              <w:top w:val="nil"/>
              <w:left w:val="nil"/>
              <w:bottom w:val="single" w:sz="4" w:space="0" w:color="auto"/>
              <w:right w:val="single" w:sz="4" w:space="0" w:color="auto"/>
            </w:tcBorders>
            <w:shd w:val="clear" w:color="auto" w:fill="auto"/>
            <w:noWrap/>
            <w:vAlign w:val="center"/>
            <w:hideMark/>
          </w:tcPr>
          <w:p w14:paraId="2F02E0E4" w14:textId="77777777" w:rsidR="00B42724" w:rsidRDefault="00B42724">
            <w:pPr>
              <w:jc w:val="center"/>
              <w:rPr>
                <w:color w:val="000000"/>
              </w:rPr>
            </w:pPr>
            <w:r>
              <w:rPr>
                <w:color w:val="000000"/>
              </w:rPr>
              <w:t>A</w:t>
            </w:r>
          </w:p>
        </w:tc>
      </w:tr>
      <w:tr w:rsidR="00B42724" w14:paraId="756BAE4D" w14:textId="77777777" w:rsidTr="00B42724">
        <w:trPr>
          <w:trHeight w:val="1060"/>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1C7DBC6D" w14:textId="77777777" w:rsidR="00B42724" w:rsidRDefault="00B42724">
            <w:pPr>
              <w:jc w:val="center"/>
              <w:rPr>
                <w:color w:val="000000"/>
              </w:rPr>
            </w:pPr>
            <w:r>
              <w:rPr>
                <w:color w:val="000000"/>
              </w:rPr>
              <w:t>MRx#13</w:t>
            </w:r>
          </w:p>
        </w:tc>
        <w:tc>
          <w:tcPr>
            <w:tcW w:w="1520" w:type="dxa"/>
            <w:tcBorders>
              <w:top w:val="nil"/>
              <w:left w:val="nil"/>
              <w:bottom w:val="single" w:sz="4" w:space="0" w:color="auto"/>
              <w:right w:val="single" w:sz="4" w:space="0" w:color="auto"/>
            </w:tcBorders>
            <w:shd w:val="clear" w:color="auto" w:fill="auto"/>
            <w:noWrap/>
            <w:vAlign w:val="center"/>
            <w:hideMark/>
          </w:tcPr>
          <w:p w14:paraId="1EB27346" w14:textId="77777777" w:rsidR="00B42724" w:rsidRDefault="00B42724">
            <w:pPr>
              <w:jc w:val="center"/>
              <w:rPr>
                <w:color w:val="000000"/>
              </w:rPr>
            </w:pPr>
            <w:r>
              <w:rPr>
                <w:color w:val="000000"/>
              </w:rPr>
              <w:t>IBC+Dunite</w:t>
            </w:r>
          </w:p>
        </w:tc>
        <w:tc>
          <w:tcPr>
            <w:tcW w:w="880" w:type="dxa"/>
            <w:tcBorders>
              <w:top w:val="nil"/>
              <w:left w:val="nil"/>
              <w:bottom w:val="single" w:sz="4" w:space="0" w:color="auto"/>
              <w:right w:val="single" w:sz="4" w:space="0" w:color="auto"/>
            </w:tcBorders>
            <w:shd w:val="clear" w:color="auto" w:fill="auto"/>
            <w:noWrap/>
            <w:vAlign w:val="center"/>
            <w:hideMark/>
          </w:tcPr>
          <w:p w14:paraId="3EFCF775" w14:textId="77777777" w:rsidR="00B42724" w:rsidRDefault="00B42724">
            <w:pPr>
              <w:jc w:val="center"/>
              <w:rPr>
                <w:color w:val="000000"/>
              </w:rPr>
            </w:pPr>
            <w:r>
              <w:rPr>
                <w:color w:val="000000"/>
              </w:rPr>
              <w:t>2.02</w:t>
            </w:r>
          </w:p>
        </w:tc>
        <w:tc>
          <w:tcPr>
            <w:tcW w:w="820" w:type="dxa"/>
            <w:tcBorders>
              <w:top w:val="nil"/>
              <w:left w:val="nil"/>
              <w:bottom w:val="single" w:sz="4" w:space="0" w:color="auto"/>
              <w:right w:val="single" w:sz="4" w:space="0" w:color="auto"/>
            </w:tcBorders>
            <w:shd w:val="clear" w:color="auto" w:fill="auto"/>
            <w:vAlign w:val="center"/>
            <w:hideMark/>
          </w:tcPr>
          <w:p w14:paraId="09AE11BC" w14:textId="77777777" w:rsidR="00B42724" w:rsidRDefault="00B42724">
            <w:pPr>
              <w:jc w:val="center"/>
              <w:rPr>
                <w:color w:val="000000"/>
              </w:rPr>
            </w:pPr>
            <w:r>
              <w:rPr>
                <w:color w:val="000000"/>
              </w:rPr>
              <w:t>1300-1200</w:t>
            </w:r>
          </w:p>
        </w:tc>
        <w:tc>
          <w:tcPr>
            <w:tcW w:w="960" w:type="dxa"/>
            <w:tcBorders>
              <w:top w:val="nil"/>
              <w:left w:val="nil"/>
              <w:bottom w:val="single" w:sz="4" w:space="0" w:color="auto"/>
              <w:right w:val="single" w:sz="4" w:space="0" w:color="auto"/>
            </w:tcBorders>
            <w:shd w:val="clear" w:color="auto" w:fill="auto"/>
            <w:noWrap/>
            <w:vAlign w:val="center"/>
            <w:hideMark/>
          </w:tcPr>
          <w:p w14:paraId="75EAFEAF" w14:textId="77777777" w:rsidR="00B42724" w:rsidRDefault="00B42724">
            <w:pPr>
              <w:jc w:val="center"/>
              <w:rPr>
                <w:color w:val="000000"/>
              </w:rPr>
            </w:pPr>
            <w:r>
              <w:rPr>
                <w:color w:val="000000"/>
              </w:rPr>
              <w:t>31.66</w:t>
            </w:r>
          </w:p>
        </w:tc>
        <w:tc>
          <w:tcPr>
            <w:tcW w:w="3260" w:type="dxa"/>
            <w:tcBorders>
              <w:top w:val="nil"/>
              <w:left w:val="nil"/>
              <w:bottom w:val="single" w:sz="4" w:space="0" w:color="auto"/>
              <w:right w:val="single" w:sz="4" w:space="0" w:color="auto"/>
            </w:tcBorders>
            <w:shd w:val="clear" w:color="auto" w:fill="auto"/>
            <w:vAlign w:val="center"/>
            <w:hideMark/>
          </w:tcPr>
          <w:p w14:paraId="533971EA" w14:textId="77777777" w:rsidR="00B42724" w:rsidRDefault="00B42724">
            <w:pPr>
              <w:jc w:val="center"/>
              <w:rPr>
                <w:color w:val="000000"/>
              </w:rPr>
            </w:pPr>
            <w:r>
              <w:rPr>
                <w:color w:val="000000"/>
              </w:rPr>
              <w:t>0 (70</w:t>
            </w:r>
            <w:r>
              <w:rPr>
                <w:color w:val="000000"/>
                <w:vertAlign w:val="superscript"/>
              </w:rPr>
              <w:t>o</w:t>
            </w:r>
            <w:r>
              <w:rPr>
                <w:color w:val="000000"/>
              </w:rPr>
              <w:t xml:space="preserve">C/min) </w:t>
            </w:r>
            <w:r>
              <w:rPr>
                <w:rFonts w:ascii="Segoe UI Symbol" w:hAnsi="Segoe UI Symbol" w:cs="Segoe UI Symbol"/>
                <w:color w:val="000000"/>
              </w:rPr>
              <w:t>➔</w:t>
            </w:r>
            <w:r>
              <w:rPr>
                <w:color w:val="000000"/>
              </w:rPr>
              <w:t xml:space="preserve"> 1300 (6 hr) </w:t>
            </w:r>
            <w:r>
              <w:rPr>
                <w:rFonts w:ascii="Segoe UI Symbol" w:hAnsi="Segoe UI Symbol" w:cs="Segoe UI Symbol"/>
                <w:color w:val="000000"/>
              </w:rPr>
              <w:t>➔</w:t>
            </w:r>
            <w:r>
              <w:rPr>
                <w:color w:val="000000"/>
              </w:rPr>
              <w:t xml:space="preserve"> (-1</w:t>
            </w:r>
            <w:r>
              <w:rPr>
                <w:color w:val="000000"/>
                <w:vertAlign w:val="superscript"/>
              </w:rPr>
              <w:t>o</w:t>
            </w:r>
            <w:r>
              <w:rPr>
                <w:color w:val="000000"/>
              </w:rPr>
              <w:t>C/min)</w:t>
            </w:r>
            <w:r>
              <w:rPr>
                <w:rFonts w:ascii="Segoe UI Symbol" w:hAnsi="Segoe UI Symbol" w:cs="Segoe UI Symbol"/>
                <w:color w:val="000000"/>
              </w:rPr>
              <w:t>➔</w:t>
            </w:r>
            <w:r>
              <w:rPr>
                <w:color w:val="000000"/>
              </w:rPr>
              <w:t xml:space="preserve"> 1200 (24 hr) </w:t>
            </w:r>
            <w:r>
              <w:rPr>
                <w:rFonts w:ascii="Segoe UI Symbol" w:hAnsi="Segoe UI Symbol" w:cs="Segoe UI Symbol"/>
                <w:color w:val="000000"/>
              </w:rPr>
              <w:t>➔</w:t>
            </w:r>
            <w:r>
              <w:rPr>
                <w:color w:val="000000"/>
              </w:rPr>
              <w:t xml:space="preserve"> Quench</w:t>
            </w:r>
          </w:p>
        </w:tc>
        <w:tc>
          <w:tcPr>
            <w:tcW w:w="1700" w:type="dxa"/>
            <w:tcBorders>
              <w:top w:val="nil"/>
              <w:left w:val="nil"/>
              <w:bottom w:val="single" w:sz="4" w:space="0" w:color="auto"/>
              <w:right w:val="single" w:sz="4" w:space="0" w:color="auto"/>
            </w:tcBorders>
            <w:shd w:val="clear" w:color="auto" w:fill="auto"/>
            <w:vAlign w:val="center"/>
            <w:hideMark/>
          </w:tcPr>
          <w:p w14:paraId="5DD3FF0A" w14:textId="77777777" w:rsidR="00B42724" w:rsidRDefault="00B42724">
            <w:pPr>
              <w:jc w:val="center"/>
              <w:rPr>
                <w:color w:val="000000"/>
              </w:rPr>
            </w:pPr>
            <w:r>
              <w:rPr>
                <w:color w:val="000000"/>
              </w:rPr>
              <w:t>Glass+Cpx</w:t>
            </w:r>
          </w:p>
        </w:tc>
        <w:tc>
          <w:tcPr>
            <w:tcW w:w="1480" w:type="dxa"/>
            <w:tcBorders>
              <w:top w:val="nil"/>
              <w:left w:val="nil"/>
              <w:bottom w:val="single" w:sz="4" w:space="0" w:color="auto"/>
              <w:right w:val="single" w:sz="4" w:space="0" w:color="auto"/>
            </w:tcBorders>
            <w:shd w:val="clear" w:color="auto" w:fill="auto"/>
            <w:noWrap/>
            <w:vAlign w:val="center"/>
            <w:hideMark/>
          </w:tcPr>
          <w:p w14:paraId="28EC0517" w14:textId="77777777" w:rsidR="00B42724" w:rsidRDefault="00B42724">
            <w:pPr>
              <w:jc w:val="center"/>
              <w:rPr>
                <w:color w:val="000000"/>
              </w:rPr>
            </w:pPr>
            <w:r>
              <w:rPr>
                <w:color w:val="000000"/>
              </w:rPr>
              <w:t>Yes</w:t>
            </w:r>
          </w:p>
        </w:tc>
        <w:tc>
          <w:tcPr>
            <w:tcW w:w="820" w:type="dxa"/>
            <w:tcBorders>
              <w:top w:val="nil"/>
              <w:left w:val="nil"/>
              <w:bottom w:val="single" w:sz="4" w:space="0" w:color="auto"/>
              <w:right w:val="single" w:sz="4" w:space="0" w:color="auto"/>
            </w:tcBorders>
            <w:shd w:val="clear" w:color="auto" w:fill="auto"/>
            <w:noWrap/>
            <w:vAlign w:val="center"/>
            <w:hideMark/>
          </w:tcPr>
          <w:p w14:paraId="018C10C3" w14:textId="77777777" w:rsidR="00B42724" w:rsidRDefault="00B42724">
            <w:pPr>
              <w:jc w:val="center"/>
              <w:rPr>
                <w:color w:val="000000"/>
              </w:rPr>
            </w:pPr>
            <w:r>
              <w:rPr>
                <w:color w:val="000000"/>
              </w:rPr>
              <w:t>N/A</w:t>
            </w:r>
          </w:p>
        </w:tc>
      </w:tr>
    </w:tbl>
    <w:p w14:paraId="16358A8F" w14:textId="77777777" w:rsidR="00B60E1C" w:rsidRPr="00B60E1C" w:rsidRDefault="00B60E1C" w:rsidP="00B60E1C">
      <w:pPr>
        <w:rPr>
          <w:color w:val="000000"/>
        </w:rPr>
      </w:pPr>
      <w:r w:rsidRPr="00B60E1C">
        <w:rPr>
          <w:color w:val="000000"/>
        </w:rPr>
        <w:t>^FeTi-Oxide indicates that High-Z phases were present in the reaction products; however, the grain size of the phases made analysis impossible.</w:t>
      </w:r>
    </w:p>
    <w:p w14:paraId="1F114B12" w14:textId="20F20942" w:rsidR="00B60E1C" w:rsidRDefault="00B60E1C" w:rsidP="00B60E1C">
      <w:pPr>
        <w:rPr>
          <w:color w:val="000000"/>
        </w:rPr>
      </w:pPr>
      <w:r w:rsidRPr="00B60E1C">
        <w:rPr>
          <w:color w:val="000000"/>
        </w:rPr>
        <w:t xml:space="preserve">*Cpx indicates that </w:t>
      </w:r>
      <w:r w:rsidR="000A76FF" w:rsidRPr="00B60E1C">
        <w:rPr>
          <w:color w:val="000000"/>
        </w:rPr>
        <w:t>silicate crystals</w:t>
      </w:r>
      <w:r w:rsidRPr="00B60E1C">
        <w:rPr>
          <w:color w:val="000000"/>
        </w:rPr>
        <w:t xml:space="preserve"> were present in the reaction products; however, the grain size of the crystals made analysis impossible.</w:t>
      </w:r>
    </w:p>
    <w:p w14:paraId="4FE8BD9C" w14:textId="0FE8F188" w:rsidR="00B42724" w:rsidRPr="00B60E1C" w:rsidRDefault="0041266F" w:rsidP="00B60E1C">
      <w:pPr>
        <w:rPr>
          <w:color w:val="000000"/>
        </w:rPr>
      </w:pPr>
      <w:r w:rsidRPr="00EC79D2">
        <w:t>Olivine (Ol), Orthopyroxene (Opx), Clinopyroxene (Cpx), Garnet (Grnt), Ilmenite (Ilm), Ulvöspinel (Usp)</w:t>
      </w:r>
    </w:p>
    <w:p w14:paraId="7579B113" w14:textId="77777777" w:rsidR="00B60E1C" w:rsidRPr="00B60E1C" w:rsidRDefault="00B60E1C" w:rsidP="00B60E1C">
      <w:pPr>
        <w:rPr>
          <w:color w:val="000000"/>
        </w:rPr>
      </w:pPr>
      <w:r w:rsidRPr="00B60E1C">
        <w:rPr>
          <w:color w:val="000000"/>
        </w:rPr>
        <w:t>Group A supersolidus experiements exhibit significant evidence of dunite dissolution.</w:t>
      </w:r>
    </w:p>
    <w:p w14:paraId="588B274D" w14:textId="77777777" w:rsidR="00B60E1C" w:rsidRPr="00B60E1C" w:rsidRDefault="00B60E1C" w:rsidP="00B60E1C">
      <w:pPr>
        <w:rPr>
          <w:color w:val="000000"/>
        </w:rPr>
      </w:pPr>
      <w:r w:rsidRPr="00B60E1C">
        <w:rPr>
          <w:color w:val="000000"/>
        </w:rPr>
        <w:t>Group B supersolidus experiments lacked clear evidence of dissolution.</w:t>
      </w:r>
    </w:p>
    <w:p w14:paraId="4A66E053" w14:textId="77777777" w:rsidR="00B60E1C" w:rsidRDefault="00B60E1C">
      <w:pPr>
        <w:rPr>
          <w:color w:val="000000" w:themeColor="text1"/>
        </w:rPr>
      </w:pPr>
    </w:p>
    <w:p w14:paraId="359F1BCD" w14:textId="77777777" w:rsidR="00B60E1C" w:rsidRDefault="00B60E1C">
      <w:pPr>
        <w:rPr>
          <w:color w:val="000000" w:themeColor="text1"/>
        </w:rPr>
      </w:pPr>
    </w:p>
    <w:p w14:paraId="6FC5E531" w14:textId="77777777" w:rsidR="00B60E1C" w:rsidRDefault="00B60E1C">
      <w:pPr>
        <w:rPr>
          <w:color w:val="000000" w:themeColor="text1"/>
        </w:rPr>
      </w:pPr>
    </w:p>
    <w:p w14:paraId="2C82CDAA" w14:textId="77777777" w:rsidR="00B60E1C" w:rsidRPr="00B60E1C" w:rsidRDefault="00B60E1C" w:rsidP="00B60E1C"/>
    <w:p w14:paraId="1EF8008F" w14:textId="77777777" w:rsidR="00B60E1C" w:rsidRPr="00B60E1C" w:rsidRDefault="00B60E1C" w:rsidP="00B60E1C"/>
    <w:p w14:paraId="7262EA46" w14:textId="77777777" w:rsidR="00B60E1C" w:rsidRPr="00B60E1C" w:rsidRDefault="00B60E1C" w:rsidP="00B60E1C"/>
    <w:p w14:paraId="582F03A2" w14:textId="77777777" w:rsidR="00B60E1C" w:rsidRPr="00B60E1C" w:rsidRDefault="00B60E1C" w:rsidP="00B60E1C"/>
    <w:p w14:paraId="2CA64EE4" w14:textId="77777777" w:rsidR="00B60E1C" w:rsidRPr="00B60E1C" w:rsidRDefault="00B60E1C" w:rsidP="00B60E1C"/>
    <w:p w14:paraId="7E1602A0" w14:textId="77777777" w:rsidR="00B60E1C" w:rsidRPr="00B60E1C" w:rsidRDefault="00B60E1C" w:rsidP="00B60E1C"/>
    <w:p w14:paraId="318581D8" w14:textId="77777777" w:rsidR="00B60E1C" w:rsidRPr="00B60E1C" w:rsidRDefault="00B60E1C" w:rsidP="00B60E1C"/>
    <w:p w14:paraId="607839CB" w14:textId="77777777" w:rsidR="00B60E1C" w:rsidRPr="00B60E1C" w:rsidRDefault="00B60E1C" w:rsidP="00B60E1C"/>
    <w:p w14:paraId="71339464" w14:textId="77777777" w:rsidR="00B60E1C" w:rsidRPr="00B60E1C" w:rsidRDefault="00B60E1C" w:rsidP="00B60E1C"/>
    <w:p w14:paraId="796661F7" w14:textId="77777777" w:rsidR="00B60E1C" w:rsidRPr="00B60E1C" w:rsidRDefault="00B60E1C" w:rsidP="00B60E1C"/>
    <w:p w14:paraId="78D8214B" w14:textId="7CE83324" w:rsidR="00B60E1C" w:rsidRPr="00B60E1C" w:rsidRDefault="00B60E1C" w:rsidP="00B60E1C">
      <w:pPr>
        <w:sectPr w:rsidR="00B60E1C" w:rsidRPr="00B60E1C" w:rsidSect="00B60E1C">
          <w:pgSz w:w="15840" w:h="12240" w:orient="landscape" w:code="1"/>
          <w:pgMar w:top="1800" w:right="1872" w:bottom="1800" w:left="1440" w:header="720" w:footer="1440" w:gutter="0"/>
          <w:cols w:space="720"/>
          <w:noEndnote/>
          <w:docGrid w:linePitch="360"/>
        </w:sectPr>
      </w:pPr>
    </w:p>
    <w:p w14:paraId="3565B0A6" w14:textId="7354507A" w:rsidR="00B60E1C" w:rsidRDefault="00B60E1C">
      <w:pPr>
        <w:rPr>
          <w:color w:val="000000" w:themeColor="text1"/>
        </w:rPr>
      </w:pPr>
    </w:p>
    <w:p w14:paraId="56A47292" w14:textId="4FD92C05" w:rsidR="00B60E1C" w:rsidRDefault="00B60E1C">
      <w:pPr>
        <w:rPr>
          <w:color w:val="000000" w:themeColor="text1"/>
        </w:rPr>
      </w:pPr>
    </w:p>
    <w:p w14:paraId="24CF61A2" w14:textId="37A1D63B" w:rsidR="00FB01B2" w:rsidRDefault="00FB01B2" w:rsidP="001F1158">
      <w:pPr>
        <w:jc w:val="center"/>
        <w:rPr>
          <w:color w:val="000000" w:themeColor="text1"/>
        </w:rPr>
      </w:pPr>
      <w:r>
        <w:rPr>
          <w:noProof/>
          <w:color w:val="000000" w:themeColor="text1"/>
        </w:rPr>
        <w:drawing>
          <wp:inline distT="0" distB="0" distL="0" distR="0" wp14:anchorId="330D8450" wp14:editId="71B1BCBC">
            <wp:extent cx="2574592" cy="3949908"/>
            <wp:effectExtent l="0" t="0" r="3810" b="0"/>
            <wp:docPr id="307816026" name="Picture 13" descr="A graph of graphite with different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16026" name="Picture 13" descr="A graph of graphite with different text&#10;&#10;Description automatically generated with medium confidenc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574592" cy="3949908"/>
                    </a:xfrm>
                    <a:prstGeom prst="rect">
                      <a:avLst/>
                    </a:prstGeom>
                  </pic:spPr>
                </pic:pic>
              </a:graphicData>
            </a:graphic>
          </wp:inline>
        </w:drawing>
      </w:r>
    </w:p>
    <w:p w14:paraId="13AAEE54" w14:textId="0C3BCB3D" w:rsidR="00FB01B2" w:rsidRPr="00FB01B2" w:rsidRDefault="00FB01B2" w:rsidP="00F2382E">
      <w:pPr>
        <w:pStyle w:val="FigureCaption"/>
      </w:pPr>
      <w:bookmarkStart w:id="58" w:name="_Toc178246914"/>
      <w:bookmarkStart w:id="59" w:name="_Toc182944849"/>
      <w:bookmarkStart w:id="60" w:name="_Toc183019396"/>
      <w:bookmarkStart w:id="61" w:name="_Toc185263406"/>
      <w:r w:rsidRPr="00F2382E">
        <w:rPr>
          <w:b/>
          <w:bCs/>
        </w:rPr>
        <w:t xml:space="preserve">Figure </w:t>
      </w:r>
      <w:r w:rsidR="008F5CFC" w:rsidRPr="00F2382E">
        <w:rPr>
          <w:b/>
          <w:bCs/>
        </w:rPr>
        <w:t>1.</w:t>
      </w:r>
      <w:r w:rsidRPr="00F2382E">
        <w:rPr>
          <w:b/>
          <w:bCs/>
        </w:rPr>
        <w:t>1.</w:t>
      </w:r>
      <w:r w:rsidRPr="00FB01B2">
        <w:t xml:space="preserve"> </w:t>
      </w:r>
      <w:r w:rsidRPr="00AF2F85">
        <w:t>Schematic illustrating assemblies used in near solidus and melt-rock reaction experiments utilized in this work. IBC refers to half of the reaction couple with the ilmenite bearing cumulate composition.</w:t>
      </w:r>
      <w:bookmarkEnd w:id="58"/>
      <w:bookmarkEnd w:id="59"/>
      <w:bookmarkEnd w:id="60"/>
      <w:bookmarkEnd w:id="61"/>
    </w:p>
    <w:p w14:paraId="6FFB86FD" w14:textId="24CB42D3" w:rsidR="00FB01B2" w:rsidRDefault="00FB01B2" w:rsidP="00F2382E">
      <w:pPr>
        <w:pStyle w:val="FigureCaption"/>
      </w:pPr>
      <w:r>
        <w:br w:type="page"/>
      </w:r>
    </w:p>
    <w:p w14:paraId="22902BFF" w14:textId="43E143CA" w:rsidR="00A278A8" w:rsidRPr="007F2D9E" w:rsidRDefault="007C7E9D" w:rsidP="007C7E9D">
      <w:pPr>
        <w:spacing w:line="480" w:lineRule="auto"/>
        <w:rPr>
          <w:color w:val="000000" w:themeColor="text1"/>
        </w:rPr>
      </w:pPr>
      <w:r w:rsidRPr="007F2D9E">
        <w:rPr>
          <w:color w:val="000000" w:themeColor="text1"/>
        </w:rPr>
        <w:lastRenderedPageBreak/>
        <w:t>For quantitative wavelength dispersive spectroscopy (WDS) mineral analyses, operating conditions were 15kV and 30 nA, with a spot size of 1 µm.</w:t>
      </w:r>
      <w:r>
        <w:rPr>
          <w:color w:val="000000" w:themeColor="text1"/>
        </w:rPr>
        <w:t xml:space="preserve"> </w:t>
      </w:r>
      <w:r w:rsidR="00A278A8" w:rsidRPr="007F2D9E">
        <w:rPr>
          <w:color w:val="000000" w:themeColor="text1"/>
        </w:rPr>
        <w:t>For glass analysis, a defocused 10 µm beam was used, and operating conditions were 15kV and 20 nA. X-ray counts were measured for 30-40 seconds on the peak position of each element and 10 seconds on background. Natural and synthetic standards were used for calibration, and the ZAF matrix correction was applied. X-ray maps of the reaction interface were created with the Phenom XL at the University of Tennessee, Knoxville. For qualitative energy dispersive spectroscopy (EDS) mapping, operating conditions were 15kV and 30 nA, under a 1 Pa vacuum, with a spot size of 2 µm. The count time per spot was set to 20 ms for variably sized areas of interest with a resolution of 1024×1024 pixels. Since the mapping area and resolution determine the point density, the point density ranges from 0.1 µm to 2 µm among maps.</w:t>
      </w:r>
    </w:p>
    <w:p w14:paraId="0FF4A2BE" w14:textId="3A49A963" w:rsidR="00A278A8" w:rsidRPr="007F2D9E" w:rsidRDefault="0049022F" w:rsidP="002F7368">
      <w:pPr>
        <w:pStyle w:val="Heading2"/>
      </w:pPr>
      <w:r>
        <w:t xml:space="preserve"> </w:t>
      </w:r>
      <w:bookmarkStart w:id="62" w:name="_Toc182331729"/>
      <w:bookmarkStart w:id="63" w:name="_Toc182995455"/>
      <w:bookmarkStart w:id="64" w:name="_Toc183536556"/>
      <w:bookmarkStart w:id="65" w:name="_Toc184727359"/>
      <w:bookmarkStart w:id="66" w:name="_Toc185325607"/>
      <w:r w:rsidR="00A278A8" w:rsidRPr="007F2D9E">
        <w:t>Results</w:t>
      </w:r>
      <w:bookmarkEnd w:id="62"/>
      <w:bookmarkEnd w:id="63"/>
      <w:bookmarkEnd w:id="64"/>
      <w:bookmarkEnd w:id="65"/>
      <w:bookmarkEnd w:id="66"/>
    </w:p>
    <w:p w14:paraId="15C31441" w14:textId="5CC19E6D" w:rsidR="00A278A8" w:rsidRPr="007F2D9E" w:rsidRDefault="00A278A8" w:rsidP="00172F34">
      <w:pPr>
        <w:spacing w:line="480" w:lineRule="auto"/>
        <w:ind w:firstLine="720"/>
        <w:rPr>
          <w:color w:val="000000" w:themeColor="text1"/>
        </w:rPr>
      </w:pPr>
      <w:r w:rsidRPr="007F2D9E">
        <w:rPr>
          <w:color w:val="000000" w:themeColor="text1"/>
        </w:rPr>
        <w:t>Experiments juxtaposing the IBC glass and dunite in this study are presented in three groups: (1) near solidus experiments, (2) supersolidus dunite dissolution experiments, and (3) a dunite dissolution-solidification experiment. (</w:t>
      </w:r>
      <w:r w:rsidRPr="00D74F65">
        <w:rPr>
          <w:b/>
          <w:bCs/>
          <w:color w:val="000000" w:themeColor="text1"/>
        </w:rPr>
        <w:t xml:space="preserve">Table </w:t>
      </w:r>
      <w:r w:rsidR="0085500B" w:rsidRPr="00D74F65">
        <w:rPr>
          <w:b/>
          <w:bCs/>
          <w:color w:val="000000" w:themeColor="text1"/>
        </w:rPr>
        <w:t>1.</w:t>
      </w:r>
      <w:r w:rsidRPr="00D74F65">
        <w:rPr>
          <w:b/>
          <w:bCs/>
          <w:color w:val="000000" w:themeColor="text1"/>
        </w:rPr>
        <w:t>2</w:t>
      </w:r>
      <w:r w:rsidRPr="007F2D9E">
        <w:rPr>
          <w:color w:val="000000" w:themeColor="text1"/>
        </w:rPr>
        <w:t xml:space="preserve">). In all cases, the dunite half of the reaction couple was below its melting temperature; near solidus and supersolidus refer to the behavior of the IBC side of the reaction couple. Near solidus experiments are classified as experiments that contain </w:t>
      </w:r>
      <m:oMath>
        <m:r>
          <w:rPr>
            <w:rFonts w:ascii="Cambria Math" w:hAnsi="Cambria Math"/>
            <w:color w:val="000000" w:themeColor="text1"/>
          </w:rPr>
          <m:t>≤</m:t>
        </m:r>
      </m:oMath>
      <w:r w:rsidRPr="007F2D9E">
        <w:rPr>
          <w:rFonts w:eastAsiaTheme="minorEastAsia"/>
          <w:color w:val="000000" w:themeColor="text1"/>
        </w:rPr>
        <w:t xml:space="preserve">1% melt in the IBC half of the couple, while supersolidus </w:t>
      </w:r>
      <w:r w:rsidRPr="007F2D9E">
        <w:rPr>
          <w:color w:val="000000" w:themeColor="text1"/>
        </w:rPr>
        <w:t xml:space="preserve">experiments have </w:t>
      </w:r>
      <m:oMath>
        <m:r>
          <w:rPr>
            <w:rFonts w:ascii="Cambria Math" w:hAnsi="Cambria Math"/>
            <w:color w:val="000000" w:themeColor="text1"/>
          </w:rPr>
          <m:t>&gt;</m:t>
        </m:r>
      </m:oMath>
      <w:r w:rsidRPr="007F2D9E">
        <w:rPr>
          <w:rFonts w:eastAsiaTheme="minorEastAsia"/>
          <w:color w:val="000000" w:themeColor="text1"/>
        </w:rPr>
        <w:t>30% melt in the IBC half of the couple</w:t>
      </w:r>
      <w:r w:rsidRPr="007F2D9E">
        <w:rPr>
          <w:color w:val="000000" w:themeColor="text1"/>
        </w:rPr>
        <w:t xml:space="preserve">. The melt proportion was determined using volumetric estimates from chemical maps where the minerals and melt are easily distinguished. ImageJ was the image </w:t>
      </w:r>
      <w:r w:rsidRPr="007F2D9E">
        <w:rPr>
          <w:color w:val="000000" w:themeColor="text1"/>
        </w:rPr>
        <w:lastRenderedPageBreak/>
        <w:t>processing</w:t>
      </w:r>
      <w:r w:rsidRPr="007F2D9E">
        <w:rPr>
          <w:b/>
          <w:bCs/>
          <w:color w:val="000000" w:themeColor="text1"/>
        </w:rPr>
        <w:t xml:space="preserve"> </w:t>
      </w:r>
      <w:r w:rsidRPr="007F2D9E">
        <w:rPr>
          <w:color w:val="000000" w:themeColor="text1"/>
        </w:rPr>
        <w:t xml:space="preserve">software used for these calculations. Results for each experimental group are discussed separately. All chemical data collected from each experiment are reported in </w:t>
      </w:r>
      <w:r w:rsidR="008B7675" w:rsidRPr="008B7675">
        <w:rPr>
          <w:color w:val="000000" w:themeColor="text1"/>
        </w:rPr>
        <w:t>attached file</w:t>
      </w:r>
      <w:r w:rsidR="008B7675">
        <w:rPr>
          <w:color w:val="000000" w:themeColor="text1"/>
        </w:rPr>
        <w:t xml:space="preserve"> </w:t>
      </w:r>
      <w:r w:rsidR="008B7675">
        <w:t>Ch1SupportingTables.xlsx</w:t>
      </w:r>
      <w:r w:rsidRPr="007F2D9E">
        <w:rPr>
          <w:color w:val="000000" w:themeColor="text1"/>
        </w:rPr>
        <w:t>.</w:t>
      </w:r>
    </w:p>
    <w:p w14:paraId="6E697F4C" w14:textId="77777777" w:rsidR="003633EB" w:rsidRPr="00EA0B3E" w:rsidRDefault="003633EB" w:rsidP="003633EB">
      <w:pPr>
        <w:pStyle w:val="Heading3"/>
      </w:pPr>
      <w:bookmarkStart w:id="67" w:name="_Toc182331731"/>
      <w:bookmarkStart w:id="68" w:name="_Toc182995457"/>
      <w:bookmarkStart w:id="69" w:name="_Toc183536559"/>
      <w:bookmarkStart w:id="70" w:name="_Toc184727362"/>
      <w:bookmarkStart w:id="71" w:name="_Toc185325608"/>
      <w:r w:rsidRPr="00EA0B3E">
        <w:t>Near Solidus Experiments</w:t>
      </w:r>
      <w:bookmarkEnd w:id="67"/>
      <w:bookmarkEnd w:id="68"/>
      <w:bookmarkEnd w:id="69"/>
      <w:bookmarkEnd w:id="70"/>
      <w:bookmarkEnd w:id="71"/>
      <w:r w:rsidRPr="00EA0B3E">
        <w:t xml:space="preserve"> </w:t>
      </w:r>
    </w:p>
    <w:p w14:paraId="6045810A" w14:textId="77777777" w:rsidR="003633EB" w:rsidRPr="00E23121" w:rsidRDefault="003633EB" w:rsidP="003633EB">
      <w:pPr>
        <w:pStyle w:val="Heading4"/>
        <w:rPr>
          <w:rStyle w:val="Heading4Char"/>
          <w:b/>
          <w:bCs/>
          <w:i/>
          <w:iCs/>
        </w:rPr>
      </w:pPr>
      <w:bookmarkStart w:id="72" w:name="_Toc183536560"/>
      <w:bookmarkStart w:id="73" w:name="_Toc184727363"/>
      <w:bookmarkStart w:id="74" w:name="_Toc185325609"/>
      <w:r w:rsidRPr="00E23121">
        <w:rPr>
          <w:rStyle w:val="Heading4Char"/>
          <w:b/>
          <w:bCs/>
          <w:i/>
          <w:iCs/>
        </w:rPr>
        <w:t>Products and Growth Textures</w:t>
      </w:r>
      <w:bookmarkEnd w:id="72"/>
      <w:bookmarkEnd w:id="73"/>
      <w:bookmarkEnd w:id="74"/>
    </w:p>
    <w:p w14:paraId="65745557" w14:textId="77777777" w:rsidR="003633EB" w:rsidRPr="000F0099" w:rsidRDefault="003633EB" w:rsidP="003633EB">
      <w:pPr>
        <w:spacing w:line="480" w:lineRule="auto"/>
        <w:ind w:firstLine="720"/>
      </w:pPr>
      <w:r w:rsidRPr="0049022F">
        <w:t>Experiments</w:t>
      </w:r>
      <w:r w:rsidRPr="0049022F">
        <w:rPr>
          <w:b/>
          <w:bCs/>
        </w:rPr>
        <w:t xml:space="preserve"> </w:t>
      </w:r>
      <w:r w:rsidRPr="0049022F">
        <w:t>MRx#1, MRx#3, and MRx#8 were run under near solidus conditions (</w:t>
      </w:r>
      <w:r w:rsidRPr="00D74F65">
        <w:rPr>
          <w:b/>
          <w:bCs/>
        </w:rPr>
        <w:t>Table 1.2</w:t>
      </w:r>
      <w:r w:rsidRPr="0049022F">
        <w:t>), with trace amounts of a low-degree interstitial melt in the IBC side of the reaction couple.</w:t>
      </w:r>
      <w:r w:rsidRPr="0049022F">
        <w:rPr>
          <w:b/>
          <w:bCs/>
        </w:rPr>
        <w:t xml:space="preserve"> </w:t>
      </w:r>
      <w:r w:rsidRPr="0049022F">
        <w:t>These experiments produce Cpx and garnet with variable amounts of Fe-Ti oxides (i.e., ulvöspinel and ilmenite) throughout the IBC side of the reaction couple (</w:t>
      </w:r>
      <w:r w:rsidRPr="00D74F65">
        <w:rPr>
          <w:b/>
          <w:bCs/>
        </w:rPr>
        <w:t>Figure 1.2a</w:t>
      </w:r>
      <w:r w:rsidRPr="0049022F">
        <w:t>). Growth textures of Cpx and garnet crystals are often subhedral. Ilmenite and ulvöspinel exhibit subhedral and anhedral growth textures. Garnets often contain inclusions of Cpx and Fe-Ti oxides and are difficult to distinguish from Cpx in BSE</w:t>
      </w:r>
      <w:r>
        <w:t xml:space="preserve"> </w:t>
      </w:r>
      <w:r w:rsidRPr="0049022F">
        <w:t>images owing to the similar average atomic number of the minerals in this system (</w:t>
      </w:r>
      <w:r w:rsidRPr="00D74F65">
        <w:rPr>
          <w:b/>
          <w:bCs/>
        </w:rPr>
        <w:t>Figure 1.2b</w:t>
      </w:r>
      <w:r w:rsidRPr="0049022F">
        <w:t>). Ulvöspinel and ilmenite often form as inclusions within garnet and in the interstitial space between garnet and Cpx crystals. Trace amounts of low-degree interstitial melt are present along the edge of the IBC material (MRx#8) (</w:t>
      </w:r>
      <w:r w:rsidRPr="00D74F65">
        <w:rPr>
          <w:b/>
          <w:bCs/>
        </w:rPr>
        <w:t>Figure 1.2a</w:t>
      </w:r>
      <w:r w:rsidRPr="0049022F">
        <w:t>) and between crystals (MRx#1) (</w:t>
      </w:r>
      <w:r w:rsidRPr="00D74F65">
        <w:rPr>
          <w:b/>
          <w:bCs/>
        </w:rPr>
        <w:t>Figure 1.2d</w:t>
      </w:r>
      <w:r w:rsidRPr="0049022F">
        <w:t>). Garnet represents ~19% of the IBC half of the reaction couple in these high-pressure experiments, while Cpx and Fe-Ti oxides represent ~78% and ~3% respectively. Low-degree interstitial melt makes up &lt;</w:t>
      </w:r>
      <w:r w:rsidRPr="0049022F">
        <w:rPr>
          <w:rFonts w:eastAsiaTheme="minorEastAsia"/>
        </w:rPr>
        <w:t xml:space="preserve">1% of the material in the IBC side of experiments </w:t>
      </w:r>
      <w:r w:rsidRPr="0049022F">
        <w:t>MRx#1 and</w:t>
      </w:r>
      <w:r w:rsidRPr="0049022F">
        <w:rPr>
          <w:rFonts w:eastAsiaTheme="minorEastAsia"/>
        </w:rPr>
        <w:t xml:space="preserve"> </w:t>
      </w:r>
      <w:r w:rsidRPr="0049022F">
        <w:t xml:space="preserve">MRx#8, while MRx#3 appears to be free of interstitial melt. </w:t>
      </w:r>
    </w:p>
    <w:p w14:paraId="30242F8B" w14:textId="075A738B" w:rsidR="00FB01B2" w:rsidRDefault="00FB01B2">
      <w:r>
        <w:br w:type="page"/>
      </w:r>
      <w:r>
        <w:rPr>
          <w:noProof/>
        </w:rPr>
        <w:lastRenderedPageBreak/>
        <w:drawing>
          <wp:inline distT="0" distB="0" distL="0" distR="0" wp14:anchorId="340F4BFA" wp14:editId="73BFA7A5">
            <wp:extent cx="5486400" cy="4822825"/>
            <wp:effectExtent l="0" t="0" r="0" b="3175"/>
            <wp:docPr id="759063545" name="Picture 14" descr="A collage of different images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063545" name="Picture 14" descr="A collage of different images of different colors&#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486400" cy="4822825"/>
                    </a:xfrm>
                    <a:prstGeom prst="rect">
                      <a:avLst/>
                    </a:prstGeom>
                  </pic:spPr>
                </pic:pic>
              </a:graphicData>
            </a:graphic>
          </wp:inline>
        </w:drawing>
      </w:r>
    </w:p>
    <w:p w14:paraId="68CD7B9D" w14:textId="77777777" w:rsidR="000F0099" w:rsidRDefault="00E1241F" w:rsidP="005507E1">
      <w:pPr>
        <w:pStyle w:val="FigureCaption"/>
      </w:pPr>
      <w:bookmarkStart w:id="75" w:name="_Toc178246915"/>
      <w:bookmarkStart w:id="76" w:name="_Toc182944850"/>
      <w:bookmarkStart w:id="77" w:name="_Toc183004995"/>
      <w:bookmarkStart w:id="78" w:name="_Toc183019397"/>
      <w:bookmarkStart w:id="79" w:name="_Toc185263407"/>
      <w:r w:rsidRPr="005507E1">
        <w:rPr>
          <w:b/>
          <w:bCs/>
        </w:rPr>
        <w:t xml:space="preserve">Figure </w:t>
      </w:r>
      <w:r w:rsidR="008F5CFC" w:rsidRPr="005507E1">
        <w:rPr>
          <w:b/>
          <w:bCs/>
        </w:rPr>
        <w:t>1.</w:t>
      </w:r>
      <w:r w:rsidRPr="005507E1">
        <w:rPr>
          <w:b/>
          <w:bCs/>
        </w:rPr>
        <w:t>2.</w:t>
      </w:r>
      <w:r w:rsidRPr="00971536">
        <w:t xml:space="preserve"> </w:t>
      </w:r>
      <w:r w:rsidRPr="00D570DC">
        <w:t xml:space="preserve">Representative BSE images and elemental maps highlighting minerals and reactions produced in near solidus experiments. (a) False color image of the IBC half of the reaction couple in MRx#8, showing garnet (red), clinopyroxene (dark blue), Fe-Ti oxides (green), and Ti- and Fe-rich low degree interstitial melt on the left side of the experiment (lighter blue). (b) Backscatter electron image of near solidus experiment MRx#3 showing crystalline features in IBC half of the reaction couple, and diffusive exchange boundary at the IBC-dunite interface. The IBC formed Al-rich hedenbergite, garnet (Grnt) (outlined in red), and Fe-Ti oxides. Boundary reactions observed in MRx#1 are shown in (c) and (d). (c) Backscatter electron image of the IBC-dunite reaction interface (orange dashed line). Augitic Cpx that formed via diffusive exchange is labeled. (d) Combined Fe (green) and Mg (blue) false color elemental map of the interface showing the diffusive exchange of Fe and Mg. This chemical exchange resulted in the formation of fayalitic olivine and augitic Cpx (light blue and gray-blue respectively in the elemental </w:t>
      </w:r>
      <w:r w:rsidR="003E68D4" w:rsidRPr="00D570DC">
        <w:t>maps</w:t>
      </w:r>
      <w:r w:rsidR="003E68D4">
        <w:t>.</w:t>
      </w:r>
      <w:bookmarkEnd w:id="75"/>
      <w:bookmarkEnd w:id="76"/>
      <w:bookmarkEnd w:id="77"/>
      <w:bookmarkEnd w:id="78"/>
      <w:bookmarkEnd w:id="79"/>
    </w:p>
    <w:p w14:paraId="3DEA067D" w14:textId="5607D0BC" w:rsidR="00384890" w:rsidRDefault="00384890">
      <w:pPr>
        <w:rPr>
          <w:color w:val="000000" w:themeColor="text1"/>
        </w:rPr>
      </w:pPr>
      <w:r>
        <w:br w:type="page"/>
      </w:r>
    </w:p>
    <w:p w14:paraId="13558E72" w14:textId="368D8488" w:rsidR="00384890" w:rsidRPr="007F2D9E" w:rsidRDefault="00384890" w:rsidP="003F2B21">
      <w:pPr>
        <w:spacing w:line="480" w:lineRule="auto"/>
        <w:ind w:firstLine="720"/>
        <w:rPr>
          <w:color w:val="000000" w:themeColor="text1"/>
        </w:rPr>
      </w:pPr>
      <w:r w:rsidRPr="007F2D9E">
        <w:rPr>
          <w:color w:val="000000" w:themeColor="text1"/>
        </w:rPr>
        <w:lastRenderedPageBreak/>
        <w:t>A diffusive exchange layer ~10-60 µ</w:t>
      </w:r>
      <w:r w:rsidRPr="007F2D9E">
        <w:rPr>
          <w:rFonts w:eastAsiaTheme="minorEastAsia"/>
          <w:color w:val="000000" w:themeColor="text1"/>
        </w:rPr>
        <w:t>m thick is present around the original interface (</w:t>
      </w:r>
      <w:r w:rsidRPr="00D74F65">
        <w:rPr>
          <w:rFonts w:eastAsiaTheme="minorEastAsia"/>
          <w:b/>
          <w:bCs/>
          <w:color w:val="000000" w:themeColor="text1"/>
        </w:rPr>
        <w:t>Figure 1.2d, A1, and A2</w:t>
      </w:r>
      <w:r w:rsidRPr="007F2D9E">
        <w:rPr>
          <w:rFonts w:eastAsiaTheme="minorEastAsia"/>
          <w:color w:val="000000" w:themeColor="text1"/>
        </w:rPr>
        <w:t xml:space="preserve">). </w:t>
      </w:r>
      <w:r w:rsidRPr="007F2D9E">
        <w:rPr>
          <w:color w:val="000000" w:themeColor="text1"/>
        </w:rPr>
        <w:t>The thickness of the reactive layer interface appears to increase with time (</w:t>
      </w:r>
      <w:r w:rsidRPr="00D74F65">
        <w:rPr>
          <w:rFonts w:eastAsiaTheme="minorEastAsia"/>
          <w:b/>
          <w:bCs/>
          <w:color w:val="000000" w:themeColor="text1"/>
        </w:rPr>
        <w:t>Table 1.3</w:t>
      </w:r>
      <w:r w:rsidRPr="007F2D9E">
        <w:rPr>
          <w:color w:val="000000" w:themeColor="text1"/>
        </w:rPr>
        <w:t xml:space="preserve">). It should be noted that fractures often form at the interface between halves of the experimental reaction couples, making accurate measurements difficult within and near the reaction boundary. Thus, the dunite boundary thicknesses for MRx#3 and MRx#8 reported in </w:t>
      </w:r>
      <w:r w:rsidRPr="00D74F65">
        <w:rPr>
          <w:b/>
          <w:bCs/>
          <w:color w:val="000000" w:themeColor="text1"/>
        </w:rPr>
        <w:t>Table 1.3</w:t>
      </w:r>
      <w:r w:rsidRPr="007F2D9E">
        <w:rPr>
          <w:color w:val="000000" w:themeColor="text1"/>
        </w:rPr>
        <w:t xml:space="preserve"> represent minimum estimates as material may have been lost during fracture formation, mounting, and polishing.</w:t>
      </w:r>
    </w:p>
    <w:p w14:paraId="54467059" w14:textId="77777777" w:rsidR="00384890" w:rsidRPr="00903E8A" w:rsidRDefault="00384890" w:rsidP="00384890">
      <w:pPr>
        <w:pStyle w:val="Heading4"/>
      </w:pPr>
      <w:bookmarkStart w:id="80" w:name="_Toc183536561"/>
      <w:bookmarkStart w:id="81" w:name="_Toc184727364"/>
      <w:bookmarkStart w:id="82" w:name="_Toc185325610"/>
      <w:r w:rsidRPr="00903E8A">
        <w:t>Phase Chemistry</w:t>
      </w:r>
      <w:bookmarkEnd w:id="80"/>
      <w:bookmarkEnd w:id="81"/>
      <w:bookmarkEnd w:id="82"/>
    </w:p>
    <w:p w14:paraId="04DFA8A6" w14:textId="2D50E45E" w:rsidR="00384890" w:rsidRDefault="00384890" w:rsidP="00381DFA">
      <w:pPr>
        <w:spacing w:line="480" w:lineRule="auto"/>
        <w:ind w:firstLine="720"/>
      </w:pPr>
      <w:r w:rsidRPr="007F2D9E">
        <w:t xml:space="preserve">Clinopyroxenes from near solidus experiments have Al </w:t>
      </w:r>
      <w:r>
        <w:t>and</w:t>
      </w:r>
      <w:r w:rsidRPr="007F2D9E">
        <w:t xml:space="preserve"> Ti-rich hedenbergitic compositions (</w:t>
      </w:r>
      <w:r w:rsidRPr="00D74F65">
        <w:rPr>
          <w:b/>
          <w:bCs/>
        </w:rPr>
        <w:t>Figure 1.3a</w:t>
      </w:r>
      <w:r w:rsidRPr="007F2D9E">
        <w:t>). Garnets produced in the experiments have high almandine (Alm) and grossular (Gro) components with almost no pyrope component (</w:t>
      </w:r>
      <w:r w:rsidRPr="00D74F65">
        <w:rPr>
          <w:b/>
          <w:bCs/>
        </w:rPr>
        <w:t>Figure 1.4</w:t>
      </w:r>
      <w:r w:rsidRPr="007F2D9E">
        <w:t>). Garnet from MRx#1 is more grossular normative than garnets from MRx#3 and MRx#8. This may be related to the higher temperature of the MRx#1 experiment. Ulvöspinel and ilmenite were observed in MRx#3; however, ulvöspinel was not observed in MRx#8. High-Z phases are present in MRx#1 and are likely Fe-Ti oxides; however, these phases are typically &lt;3 µ</w:t>
      </w:r>
      <w:r w:rsidRPr="007F2D9E">
        <w:rPr>
          <w:rFonts w:eastAsiaTheme="minorEastAsia"/>
        </w:rPr>
        <w:t>m</w:t>
      </w:r>
      <w:r w:rsidRPr="007F2D9E">
        <w:t xml:space="preserve"> across, so single-phase analysis was impossible. Low-degree interstitial melt in MRx#1 and MRx#8 is TiO</w:t>
      </w:r>
      <w:r w:rsidRPr="007F2D9E">
        <w:rPr>
          <w:vertAlign w:val="subscript"/>
        </w:rPr>
        <w:t>2</w:t>
      </w:r>
      <w:r w:rsidRPr="007F2D9E">
        <w:t xml:space="preserve"> and FeO enriched, but SiO</w:t>
      </w:r>
      <w:r w:rsidRPr="007F2D9E">
        <w:rPr>
          <w:vertAlign w:val="subscript"/>
        </w:rPr>
        <w:t>2</w:t>
      </w:r>
      <w:r w:rsidRPr="007F2D9E">
        <w:t>, Al</w:t>
      </w:r>
      <w:r w:rsidRPr="007F2D9E">
        <w:rPr>
          <w:vertAlign w:val="subscript"/>
        </w:rPr>
        <w:t>2</w:t>
      </w:r>
      <w:r w:rsidRPr="007F2D9E">
        <w:t>O</w:t>
      </w:r>
      <w:r w:rsidRPr="007F2D9E">
        <w:rPr>
          <w:vertAlign w:val="subscript"/>
        </w:rPr>
        <w:t>3</w:t>
      </w:r>
      <w:r w:rsidRPr="007F2D9E">
        <w:t>, Cr</w:t>
      </w:r>
      <w:r w:rsidRPr="007F2D9E">
        <w:rPr>
          <w:vertAlign w:val="subscript"/>
        </w:rPr>
        <w:t>2</w:t>
      </w:r>
      <w:r w:rsidRPr="007F2D9E">
        <w:t>O</w:t>
      </w:r>
      <w:r w:rsidRPr="007F2D9E">
        <w:rPr>
          <w:vertAlign w:val="subscript"/>
        </w:rPr>
        <w:t>3</w:t>
      </w:r>
      <w:r w:rsidRPr="007F2D9E">
        <w:t>, and MgO depleted relative to the initial IBC composition (</w:t>
      </w:r>
      <w:r w:rsidRPr="00D74F65">
        <w:rPr>
          <w:b/>
          <w:bCs/>
        </w:rPr>
        <w:t>Table 1.4</w:t>
      </w:r>
      <w:r w:rsidRPr="007F2D9E">
        <w:t>).</w:t>
      </w:r>
    </w:p>
    <w:p w14:paraId="76CF0965" w14:textId="4A68C44D" w:rsidR="00384890" w:rsidRDefault="00557A77" w:rsidP="00381DFA">
      <w:pPr>
        <w:spacing w:line="480" w:lineRule="auto"/>
        <w:ind w:firstLine="720"/>
      </w:pPr>
      <w:r w:rsidRPr="007F2D9E">
        <w:t>Clinopyroxene crystals that form on the boundary between the dunite and IBC sides of the reaction couple typically have more augitic compositions and plot separately from Cpx that form within the IBC side and far from the boundary (</w:t>
      </w:r>
      <w:r w:rsidRPr="00D74F65">
        <w:rPr>
          <w:b/>
          <w:bCs/>
        </w:rPr>
        <w:t>Figures 1.2c, 1.2d, and 1.3a</w:t>
      </w:r>
      <w:r w:rsidRPr="007F2D9E">
        <w:t>).</w:t>
      </w:r>
    </w:p>
    <w:p w14:paraId="71D4AA16" w14:textId="3A7BD66A" w:rsidR="005507E1" w:rsidRPr="005507E1" w:rsidRDefault="005507E1" w:rsidP="005507E1">
      <w:pPr>
        <w:sectPr w:rsidR="005507E1" w:rsidRPr="005507E1" w:rsidSect="00B60E1C">
          <w:pgSz w:w="12240" w:h="15840" w:code="1"/>
          <w:pgMar w:top="1440" w:right="1800" w:bottom="1872" w:left="1800" w:header="720" w:footer="1440" w:gutter="0"/>
          <w:cols w:space="720"/>
          <w:noEndnote/>
          <w:docGrid w:linePitch="360"/>
        </w:sectPr>
      </w:pPr>
    </w:p>
    <w:p w14:paraId="5785E450" w14:textId="70CC9357" w:rsidR="000F0099" w:rsidRPr="000F0099" w:rsidRDefault="000F0099" w:rsidP="003D44AF">
      <w:pPr>
        <w:pStyle w:val="Tables"/>
      </w:pPr>
      <w:bookmarkStart w:id="83" w:name="_Toc178246847"/>
      <w:bookmarkStart w:id="84" w:name="_Toc185263588"/>
      <w:r w:rsidRPr="000F0099">
        <w:rPr>
          <w:b/>
          <w:bCs/>
        </w:rPr>
        <w:lastRenderedPageBreak/>
        <w:t>Table 1.3.</w:t>
      </w:r>
      <w:r>
        <w:t xml:space="preserve"> </w:t>
      </w:r>
      <w:r w:rsidRPr="000F0099">
        <w:t>Interface dissolution and exchange measurements from melt-rock reaction experiments.</w:t>
      </w:r>
      <w:bookmarkEnd w:id="83"/>
      <w:bookmarkEnd w:id="84"/>
      <w:r w:rsidRPr="000F0099">
        <w:t xml:space="preserve"> </w:t>
      </w:r>
    </w:p>
    <w:tbl>
      <w:tblPr>
        <w:tblW w:w="12860" w:type="dxa"/>
        <w:tblLook w:val="04A0" w:firstRow="1" w:lastRow="0" w:firstColumn="1" w:lastColumn="0" w:noHBand="0" w:noVBand="1"/>
      </w:tblPr>
      <w:tblGrid>
        <w:gridCol w:w="1480"/>
        <w:gridCol w:w="1000"/>
        <w:gridCol w:w="1260"/>
        <w:gridCol w:w="1080"/>
        <w:gridCol w:w="720"/>
        <w:gridCol w:w="1340"/>
        <w:gridCol w:w="720"/>
        <w:gridCol w:w="357"/>
        <w:gridCol w:w="1346"/>
        <w:gridCol w:w="857"/>
        <w:gridCol w:w="1540"/>
        <w:gridCol w:w="1160"/>
      </w:tblGrid>
      <w:tr w:rsidR="000F0099" w14:paraId="32E71155" w14:textId="77777777" w:rsidTr="000F0099">
        <w:trPr>
          <w:trHeight w:val="960"/>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CB8B1E" w14:textId="77777777" w:rsidR="000F0099" w:rsidRDefault="000F0099">
            <w:pPr>
              <w:jc w:val="center"/>
              <w:rPr>
                <w:color w:val="000000"/>
              </w:rPr>
            </w:pPr>
            <w:r>
              <w:rPr>
                <w:color w:val="000000"/>
              </w:rPr>
              <w:t>Experiment</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A4B798" w14:textId="77777777" w:rsidR="000F0099" w:rsidRDefault="000F0099">
            <w:pPr>
              <w:jc w:val="center"/>
              <w:rPr>
                <w:color w:val="000000"/>
              </w:rPr>
            </w:pPr>
            <w:r>
              <w:rPr>
                <w:color w:val="000000"/>
              </w:rPr>
              <w:t xml:space="preserve">P (GPa)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416D0" w14:textId="77777777" w:rsidR="000F0099" w:rsidRDefault="000F0099">
            <w:pPr>
              <w:jc w:val="center"/>
              <w:rPr>
                <w:color w:val="000000"/>
              </w:rPr>
            </w:pPr>
            <w:r>
              <w:rPr>
                <w:color w:val="000000"/>
              </w:rPr>
              <w:t>T (</w:t>
            </w:r>
            <w:r>
              <w:rPr>
                <w:color w:val="000000"/>
                <w:vertAlign w:val="superscript"/>
              </w:rPr>
              <w:t>o</w:t>
            </w:r>
            <w:r>
              <w:rPr>
                <w:color w:val="000000"/>
              </w:rPr>
              <w:t>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8C062C" w14:textId="77777777" w:rsidR="000F0099" w:rsidRDefault="000F0099">
            <w:pPr>
              <w:jc w:val="center"/>
              <w:rPr>
                <w:color w:val="000000"/>
              </w:rPr>
            </w:pPr>
            <w:r>
              <w:rPr>
                <w:color w:val="000000"/>
              </w:rPr>
              <w:t>Duration (hr)</w:t>
            </w:r>
          </w:p>
        </w:tc>
        <w:tc>
          <w:tcPr>
            <w:tcW w:w="27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9D5B34D" w14:textId="77777777" w:rsidR="000F0099" w:rsidRDefault="000F0099">
            <w:pPr>
              <w:jc w:val="center"/>
              <w:rPr>
                <w:color w:val="000000"/>
              </w:rPr>
            </w:pPr>
            <w:r>
              <w:rPr>
                <w:color w:val="000000"/>
              </w:rPr>
              <w:t>Dunite Diffusion Boundary Thickness (μm)</w:t>
            </w:r>
          </w:p>
        </w:tc>
        <w:tc>
          <w:tcPr>
            <w:tcW w:w="25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64C91C6" w14:textId="77777777" w:rsidR="000F0099" w:rsidRDefault="000F0099">
            <w:pPr>
              <w:jc w:val="center"/>
              <w:rPr>
                <w:color w:val="000000"/>
              </w:rPr>
            </w:pPr>
            <w:r>
              <w:rPr>
                <w:color w:val="000000"/>
              </w:rPr>
              <w:t>Dissolution distance (μm)</w:t>
            </w: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2813BFD" w14:textId="32528A9C" w:rsidR="000F0099" w:rsidRDefault="000F0099">
            <w:pPr>
              <w:jc w:val="center"/>
              <w:rPr>
                <w:color w:val="000000"/>
              </w:rPr>
            </w:pPr>
            <w:r>
              <w:rPr>
                <w:color w:val="000000"/>
              </w:rPr>
              <w:t xml:space="preserve">Estimated Dissolution </w:t>
            </w:r>
            <w:r w:rsidR="00092DAA">
              <w:rPr>
                <w:color w:val="000000"/>
              </w:rPr>
              <w:t>Propagation</w:t>
            </w:r>
            <w:r>
              <w:rPr>
                <w:color w:val="000000"/>
              </w:rPr>
              <w:t xml:space="preserve"> (m</w:t>
            </w:r>
            <w:r>
              <w:rPr>
                <w:color w:val="000000"/>
                <w:vertAlign w:val="superscript"/>
              </w:rPr>
              <w:t>2</w:t>
            </w:r>
            <w:r>
              <w:rPr>
                <w:color w:val="000000"/>
              </w:rPr>
              <w:t>/s)</w:t>
            </w:r>
          </w:p>
        </w:tc>
      </w:tr>
      <w:tr w:rsidR="000F0099" w14:paraId="17B42B06" w14:textId="77777777" w:rsidTr="000F0099">
        <w:trPr>
          <w:trHeight w:val="360"/>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90BB1A" w14:textId="77777777" w:rsidR="000F0099" w:rsidRDefault="000F0099">
            <w:pPr>
              <w:jc w:val="center"/>
              <w:rPr>
                <w:color w:val="00000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66C163" w14:textId="77777777" w:rsidR="000F0099" w:rsidRDefault="000F0099">
            <w:pPr>
              <w:jc w:val="center"/>
              <w:rPr>
                <w:sz w:val="20"/>
                <w:szCs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15F737" w14:textId="77777777" w:rsidR="000F0099" w:rsidRDefault="000F0099">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B9C363" w14:textId="77777777" w:rsidR="000F0099" w:rsidRDefault="000F0099">
            <w:pPr>
              <w:jc w:val="center"/>
              <w:rPr>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896E9A" w14:textId="77777777" w:rsidR="000F0099" w:rsidRDefault="000F0099">
            <w:pPr>
              <w:jc w:val="right"/>
              <w:rPr>
                <w:color w:val="000000"/>
              </w:rPr>
            </w:pPr>
            <w:r>
              <w:rPr>
                <w:color w:val="000000"/>
              </w:rPr>
              <w:t>n</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4E848" w14:textId="77777777" w:rsidR="000F0099" w:rsidRDefault="000F0099">
            <w:pPr>
              <w:jc w:val="center"/>
              <w:rPr>
                <w:color w:val="000000"/>
              </w:rPr>
            </w:pPr>
            <w:r>
              <w:rPr>
                <w:color w:val="000000"/>
              </w:rPr>
              <w:t>Avg.</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FDFEF" w14:textId="77777777" w:rsidR="000F0099" w:rsidRDefault="000F0099">
            <w:pPr>
              <w:rPr>
                <w:color w:val="000000"/>
              </w:rPr>
            </w:pPr>
            <w:r>
              <w:rPr>
                <w:rFonts w:ascii="Cambria Math" w:hAnsi="Cambria Math" w:cs="Cambria Math"/>
                <w:color w:val="000000"/>
              </w:rPr>
              <w:t>𝝈</w:t>
            </w:r>
          </w:p>
        </w:tc>
        <w:tc>
          <w:tcPr>
            <w:tcW w:w="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E9C22" w14:textId="77777777" w:rsidR="000F0099" w:rsidRDefault="000F0099">
            <w:pPr>
              <w:jc w:val="right"/>
              <w:rPr>
                <w:color w:val="000000"/>
              </w:rPr>
            </w:pPr>
            <w:r>
              <w:rPr>
                <w:color w:val="000000"/>
              </w:rPr>
              <w:t>n</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A882B2" w14:textId="77777777" w:rsidR="000F0099" w:rsidRDefault="000F0099">
            <w:pPr>
              <w:jc w:val="center"/>
              <w:rPr>
                <w:color w:val="000000"/>
              </w:rPr>
            </w:pPr>
            <w:r>
              <w:rPr>
                <w:color w:val="000000"/>
              </w:rPr>
              <w:t>Avg.</w:t>
            </w:r>
          </w:p>
        </w:tc>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A9EEF" w14:textId="77777777" w:rsidR="000F0099" w:rsidRDefault="000F0099">
            <w:pPr>
              <w:rPr>
                <w:color w:val="000000"/>
              </w:rPr>
            </w:pPr>
            <w:r>
              <w:rPr>
                <w:rFonts w:ascii="Cambria Math" w:hAnsi="Cambria Math" w:cs="Cambria Math"/>
                <w:color w:val="000000"/>
              </w:rPr>
              <w:t>𝝈</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A02079" w14:textId="77777777" w:rsidR="000F0099" w:rsidRDefault="000F0099">
            <w:pPr>
              <w:jc w:val="center"/>
              <w:rPr>
                <w:color w:val="000000"/>
              </w:rPr>
            </w:pPr>
            <w:r>
              <w:rPr>
                <w:color w:val="000000"/>
              </w:rPr>
              <w:t>Est.</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0AA04B" w14:textId="77777777" w:rsidR="000F0099" w:rsidRDefault="000F0099">
            <w:pPr>
              <w:rPr>
                <w:color w:val="000000"/>
              </w:rPr>
            </w:pPr>
            <w:r>
              <w:rPr>
                <w:rFonts w:ascii="Cambria Math" w:hAnsi="Cambria Math" w:cs="Cambria Math"/>
                <w:color w:val="000000"/>
              </w:rPr>
              <w:t>𝝈</w:t>
            </w:r>
          </w:p>
        </w:tc>
      </w:tr>
      <w:tr w:rsidR="000F0099" w14:paraId="39737AA1" w14:textId="77777777" w:rsidTr="000F0099">
        <w:trPr>
          <w:trHeight w:val="36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34D7C" w14:textId="77777777" w:rsidR="000F0099" w:rsidRDefault="000F0099">
            <w:pPr>
              <w:jc w:val="center"/>
              <w:rPr>
                <w:color w:val="000000"/>
              </w:rPr>
            </w:pPr>
            <w:r>
              <w:rPr>
                <w:color w:val="000000"/>
              </w:rPr>
              <w:t>MRx#1</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072C1" w14:textId="77777777" w:rsidR="000F0099" w:rsidRDefault="000F0099">
            <w:pPr>
              <w:jc w:val="center"/>
              <w:rPr>
                <w:color w:val="000000"/>
              </w:rPr>
            </w:pPr>
            <w:r>
              <w:rPr>
                <w:color w:val="000000"/>
              </w:rPr>
              <w:t>2.02</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F0E62" w14:textId="77777777" w:rsidR="000F0099" w:rsidRDefault="000F0099">
            <w:pPr>
              <w:jc w:val="center"/>
              <w:rPr>
                <w:color w:val="000000"/>
              </w:rPr>
            </w:pPr>
            <w:r>
              <w:rPr>
                <w:color w:val="000000"/>
              </w:rPr>
              <w:t>1200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7AF40" w14:textId="77777777" w:rsidR="000F0099" w:rsidRDefault="000F0099">
            <w:pPr>
              <w:jc w:val="center"/>
              <w:rPr>
                <w:color w:val="000000"/>
              </w:rPr>
            </w:pPr>
            <w:r>
              <w:rPr>
                <w:color w:val="000000"/>
              </w:rPr>
              <w:t>6</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B0896" w14:textId="77777777" w:rsidR="000F0099" w:rsidRDefault="000F0099">
            <w:pPr>
              <w:jc w:val="right"/>
              <w:rPr>
                <w:color w:val="000000"/>
              </w:rPr>
            </w:pPr>
            <w:r>
              <w:rPr>
                <w:color w:val="000000"/>
              </w:rPr>
              <w:t>6</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953045" w14:textId="77777777" w:rsidR="000F0099" w:rsidRDefault="000F0099">
            <w:pPr>
              <w:jc w:val="center"/>
              <w:rPr>
                <w:color w:val="000000"/>
              </w:rPr>
            </w:pPr>
            <w:r>
              <w:rPr>
                <w:color w:val="000000"/>
              </w:rPr>
              <w:t>10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98F60" w14:textId="77777777" w:rsidR="000F0099" w:rsidRDefault="000F0099">
            <w:pPr>
              <w:rPr>
                <w:color w:val="000000"/>
              </w:rPr>
            </w:pPr>
            <w:r>
              <w:rPr>
                <w:color w:val="000000"/>
              </w:rPr>
              <w:t>0.36</w:t>
            </w:r>
          </w:p>
        </w:tc>
        <w:tc>
          <w:tcPr>
            <w:tcW w:w="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E1437" w14:textId="77777777" w:rsidR="000F0099" w:rsidRDefault="000F0099">
            <w:pPr>
              <w:jc w:val="right"/>
              <w:rPr>
                <w:rFonts w:ascii="Arial" w:hAnsi="Arial" w:cs="Arial"/>
                <w:color w:val="000000"/>
              </w:rPr>
            </w:pPr>
            <w:r>
              <w:rPr>
                <w:rFonts w:ascii="Arial" w:hAnsi="Arial" w:cs="Arial"/>
                <w:color w:val="000000"/>
              </w:rPr>
              <w:t>−</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4A609D" w14:textId="77777777" w:rsidR="000F0099" w:rsidRDefault="000F0099">
            <w:pPr>
              <w:jc w:val="center"/>
              <w:rPr>
                <w:color w:val="000000"/>
              </w:rPr>
            </w:pPr>
            <w:r>
              <w:rPr>
                <w:color w:val="000000"/>
              </w:rPr>
              <w:t>N/A</w:t>
            </w:r>
          </w:p>
        </w:tc>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950AE" w14:textId="77777777" w:rsidR="000F0099" w:rsidRDefault="000F0099">
            <w:pPr>
              <w:rPr>
                <w:rFonts w:ascii="Arial" w:hAnsi="Arial" w:cs="Arial"/>
                <w:color w:val="000000"/>
              </w:rPr>
            </w:pPr>
            <w:r>
              <w:rPr>
                <w:rFonts w:ascii="Arial" w:hAnsi="Arial" w:cs="Arial"/>
                <w:color w:val="000000"/>
              </w:rPr>
              <w:t>−</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4927C3" w14:textId="77777777" w:rsidR="000F0099" w:rsidRDefault="000F0099">
            <w:pPr>
              <w:jc w:val="center"/>
              <w:rPr>
                <w:color w:val="000000"/>
              </w:rPr>
            </w:pPr>
            <w:r>
              <w:rPr>
                <w:color w:val="000000"/>
              </w:rPr>
              <w:t>N/A</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723C0" w14:textId="77777777" w:rsidR="000F0099" w:rsidRDefault="000F0099">
            <w:pPr>
              <w:rPr>
                <w:rFonts w:ascii="Arial" w:hAnsi="Arial" w:cs="Arial"/>
                <w:color w:val="000000"/>
              </w:rPr>
            </w:pPr>
            <w:r>
              <w:rPr>
                <w:rFonts w:ascii="Arial" w:hAnsi="Arial" w:cs="Arial"/>
                <w:color w:val="000000"/>
              </w:rPr>
              <w:t>−</w:t>
            </w:r>
          </w:p>
        </w:tc>
      </w:tr>
      <w:tr w:rsidR="000F0099" w14:paraId="0DB5F585" w14:textId="77777777" w:rsidTr="000F0099">
        <w:trPr>
          <w:trHeight w:val="36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345253" w14:textId="77777777" w:rsidR="000F0099" w:rsidRDefault="000F0099">
            <w:pPr>
              <w:jc w:val="center"/>
              <w:rPr>
                <w:color w:val="000000"/>
              </w:rPr>
            </w:pPr>
            <w:r>
              <w:rPr>
                <w:color w:val="000000"/>
              </w:rPr>
              <w:t>MRx#3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6F9D7" w14:textId="77777777" w:rsidR="000F0099" w:rsidRDefault="000F0099">
            <w:pPr>
              <w:jc w:val="center"/>
              <w:rPr>
                <w:color w:val="000000"/>
              </w:rPr>
            </w:pPr>
            <w:r>
              <w:rPr>
                <w:color w:val="000000"/>
              </w:rPr>
              <w:t>1.99</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B9615" w14:textId="77777777" w:rsidR="000F0099" w:rsidRDefault="000F0099">
            <w:pPr>
              <w:jc w:val="center"/>
              <w:rPr>
                <w:color w:val="000000"/>
              </w:rPr>
            </w:pPr>
            <w:r>
              <w:rPr>
                <w:color w:val="000000"/>
              </w:rPr>
              <w:t>1100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96977" w14:textId="77777777" w:rsidR="000F0099" w:rsidRDefault="000F0099">
            <w:pPr>
              <w:jc w:val="center"/>
              <w:rPr>
                <w:color w:val="000000"/>
              </w:rPr>
            </w:pPr>
            <w:r>
              <w:rPr>
                <w:color w:val="000000"/>
              </w:rPr>
              <w:t>6</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FB8CB" w14:textId="77777777" w:rsidR="000F0099" w:rsidRDefault="000F0099">
            <w:pPr>
              <w:jc w:val="right"/>
              <w:rPr>
                <w:color w:val="000000"/>
              </w:rPr>
            </w:pPr>
            <w:r>
              <w:rPr>
                <w:color w:val="000000"/>
              </w:rPr>
              <w:t>6</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E1374A" w14:textId="77777777" w:rsidR="000F0099" w:rsidRDefault="000F0099">
            <w:pPr>
              <w:jc w:val="center"/>
              <w:rPr>
                <w:color w:val="000000"/>
              </w:rPr>
            </w:pPr>
            <w:r>
              <w:rPr>
                <w:color w:val="000000"/>
              </w:rPr>
              <w:t>10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2C8F5" w14:textId="77777777" w:rsidR="000F0099" w:rsidRDefault="000F0099">
            <w:pPr>
              <w:rPr>
                <w:color w:val="000000"/>
              </w:rPr>
            </w:pPr>
            <w:r>
              <w:rPr>
                <w:color w:val="000000"/>
              </w:rPr>
              <w:t>1.01</w:t>
            </w:r>
          </w:p>
        </w:tc>
        <w:tc>
          <w:tcPr>
            <w:tcW w:w="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425E4" w14:textId="77777777" w:rsidR="000F0099" w:rsidRDefault="000F0099">
            <w:pPr>
              <w:jc w:val="right"/>
              <w:rPr>
                <w:rFonts w:ascii="Arial" w:hAnsi="Arial" w:cs="Arial"/>
                <w:color w:val="000000"/>
              </w:rPr>
            </w:pPr>
            <w:r>
              <w:rPr>
                <w:rFonts w:ascii="Arial" w:hAnsi="Arial" w:cs="Arial"/>
                <w:color w:val="000000"/>
              </w:rPr>
              <w:t>−</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1E48DC" w14:textId="77777777" w:rsidR="000F0099" w:rsidRDefault="000F0099">
            <w:pPr>
              <w:jc w:val="center"/>
              <w:rPr>
                <w:color w:val="000000"/>
              </w:rPr>
            </w:pPr>
            <w:r>
              <w:rPr>
                <w:color w:val="000000"/>
              </w:rPr>
              <w:t>N/A</w:t>
            </w:r>
          </w:p>
        </w:tc>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E0021" w14:textId="77777777" w:rsidR="000F0099" w:rsidRDefault="000F0099">
            <w:pPr>
              <w:rPr>
                <w:rFonts w:ascii="Arial" w:hAnsi="Arial" w:cs="Arial"/>
                <w:color w:val="000000"/>
              </w:rPr>
            </w:pPr>
            <w:r>
              <w:rPr>
                <w:rFonts w:ascii="Arial" w:hAnsi="Arial" w:cs="Arial"/>
                <w:color w:val="000000"/>
              </w:rPr>
              <w:t>−</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7D486" w14:textId="77777777" w:rsidR="000F0099" w:rsidRDefault="000F0099">
            <w:pPr>
              <w:jc w:val="center"/>
              <w:rPr>
                <w:color w:val="000000"/>
              </w:rPr>
            </w:pPr>
            <w:r>
              <w:rPr>
                <w:color w:val="000000"/>
              </w:rPr>
              <w:t>N/A</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0C6C3" w14:textId="77777777" w:rsidR="000F0099" w:rsidRDefault="000F0099">
            <w:pPr>
              <w:rPr>
                <w:rFonts w:ascii="Arial" w:hAnsi="Arial" w:cs="Arial"/>
                <w:color w:val="000000"/>
              </w:rPr>
            </w:pPr>
            <w:r>
              <w:rPr>
                <w:rFonts w:ascii="Arial" w:hAnsi="Arial" w:cs="Arial"/>
                <w:color w:val="000000"/>
              </w:rPr>
              <w:t>−</w:t>
            </w:r>
          </w:p>
        </w:tc>
      </w:tr>
      <w:tr w:rsidR="000F0099" w14:paraId="02AAA49D" w14:textId="77777777" w:rsidTr="000F0099">
        <w:trPr>
          <w:trHeight w:val="36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989828" w14:textId="77777777" w:rsidR="000F0099" w:rsidRDefault="000F0099">
            <w:pPr>
              <w:jc w:val="center"/>
              <w:rPr>
                <w:color w:val="000000"/>
              </w:rPr>
            </w:pPr>
            <w:r>
              <w:rPr>
                <w:color w:val="000000"/>
              </w:rPr>
              <w:t>MRx#5</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1E9C9" w14:textId="77777777" w:rsidR="000F0099" w:rsidRDefault="000F0099">
            <w:pPr>
              <w:jc w:val="center"/>
              <w:rPr>
                <w:color w:val="000000"/>
              </w:rPr>
            </w:pPr>
            <w:r>
              <w:rPr>
                <w:color w:val="000000"/>
              </w:rPr>
              <w:t>0.55</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4280CA" w14:textId="77777777" w:rsidR="000F0099" w:rsidRDefault="000F0099">
            <w:pPr>
              <w:jc w:val="center"/>
              <w:rPr>
                <w:color w:val="000000"/>
              </w:rPr>
            </w:pPr>
            <w:r>
              <w:rPr>
                <w:color w:val="000000"/>
              </w:rPr>
              <w:t>1200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384C5" w14:textId="77777777" w:rsidR="000F0099" w:rsidRDefault="000F0099">
            <w:pPr>
              <w:jc w:val="center"/>
              <w:rPr>
                <w:color w:val="000000"/>
              </w:rPr>
            </w:pPr>
            <w:r>
              <w:rPr>
                <w:color w:val="000000"/>
              </w:rPr>
              <w:t>6</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96D08" w14:textId="77777777" w:rsidR="000F0099" w:rsidRDefault="000F0099">
            <w:pPr>
              <w:jc w:val="right"/>
              <w:rPr>
                <w:rFonts w:ascii="Arial" w:hAnsi="Arial" w:cs="Arial"/>
                <w:color w:val="000000"/>
              </w:rPr>
            </w:pPr>
            <w:r>
              <w:rPr>
                <w:rFonts w:ascii="Arial" w:hAnsi="Arial" w:cs="Arial"/>
                <w:color w:val="000000"/>
              </w:rPr>
              <w:t>−</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8A24C" w14:textId="77777777" w:rsidR="000F0099" w:rsidRDefault="000F0099">
            <w:pPr>
              <w:jc w:val="center"/>
              <w:rPr>
                <w:color w:val="000000"/>
              </w:rPr>
            </w:pPr>
            <w:r>
              <w:rPr>
                <w:color w:val="000000"/>
              </w:rPr>
              <w:t>N/A</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72802" w14:textId="77777777" w:rsidR="000F0099" w:rsidRDefault="000F0099">
            <w:pPr>
              <w:rPr>
                <w:rFonts w:ascii="Arial" w:hAnsi="Arial" w:cs="Arial"/>
                <w:color w:val="000000"/>
              </w:rPr>
            </w:pPr>
            <w:r>
              <w:rPr>
                <w:rFonts w:ascii="Arial" w:hAnsi="Arial" w:cs="Arial"/>
                <w:color w:val="000000"/>
              </w:rPr>
              <w:t>−</w:t>
            </w:r>
          </w:p>
        </w:tc>
        <w:tc>
          <w:tcPr>
            <w:tcW w:w="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6ABDF" w14:textId="77777777" w:rsidR="000F0099" w:rsidRDefault="000F0099">
            <w:pPr>
              <w:jc w:val="right"/>
              <w:rPr>
                <w:color w:val="000000"/>
              </w:rPr>
            </w:pPr>
            <w:r>
              <w:rPr>
                <w:color w:val="000000"/>
              </w:rPr>
              <w:t>6</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BC4700" w14:textId="77777777" w:rsidR="000F0099" w:rsidRDefault="000F0099">
            <w:pPr>
              <w:jc w:val="center"/>
              <w:rPr>
                <w:color w:val="000000"/>
              </w:rPr>
            </w:pPr>
            <w:r>
              <w:rPr>
                <w:color w:val="000000"/>
              </w:rPr>
              <w:t>313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CC5A8" w14:textId="77777777" w:rsidR="000F0099" w:rsidRDefault="000F0099">
            <w:pPr>
              <w:rPr>
                <w:color w:val="000000"/>
              </w:rPr>
            </w:pPr>
            <w:r>
              <w:rPr>
                <w:color w:val="000000"/>
              </w:rPr>
              <w:t>50.24</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7A522" w14:textId="77777777" w:rsidR="000F0099" w:rsidRDefault="000F0099">
            <w:pPr>
              <w:jc w:val="center"/>
              <w:rPr>
                <w:color w:val="000000"/>
              </w:rPr>
            </w:pPr>
            <w:r>
              <w:rPr>
                <w:color w:val="000000"/>
              </w:rPr>
              <w:t>1.45E-14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6E0CB" w14:textId="77777777" w:rsidR="000F0099" w:rsidRDefault="000F0099">
            <w:pPr>
              <w:rPr>
                <w:color w:val="000000"/>
              </w:rPr>
            </w:pPr>
            <w:r>
              <w:rPr>
                <w:color w:val="000000"/>
              </w:rPr>
              <w:t>2.33E-15</w:t>
            </w:r>
          </w:p>
        </w:tc>
      </w:tr>
      <w:tr w:rsidR="000F0099" w14:paraId="55F67D9E" w14:textId="77777777" w:rsidTr="000F0099">
        <w:trPr>
          <w:trHeight w:val="36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9DED8" w14:textId="77777777" w:rsidR="000F0099" w:rsidRDefault="000F0099">
            <w:pPr>
              <w:jc w:val="center"/>
              <w:rPr>
                <w:color w:val="000000"/>
              </w:rPr>
            </w:pPr>
            <w:r>
              <w:rPr>
                <w:color w:val="000000"/>
              </w:rPr>
              <w:t>MRx#8</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6ED12" w14:textId="77777777" w:rsidR="000F0099" w:rsidRDefault="000F0099">
            <w:pPr>
              <w:jc w:val="center"/>
              <w:rPr>
                <w:color w:val="000000"/>
              </w:rPr>
            </w:pPr>
            <w:r>
              <w:rPr>
                <w:color w:val="000000"/>
              </w:rPr>
              <w:t>2.02</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1ABE6" w14:textId="77777777" w:rsidR="000F0099" w:rsidRDefault="000F0099">
            <w:pPr>
              <w:jc w:val="center"/>
              <w:rPr>
                <w:color w:val="000000"/>
              </w:rPr>
            </w:pPr>
            <w:r>
              <w:rPr>
                <w:color w:val="000000"/>
              </w:rPr>
              <w:t>1150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C60A9" w14:textId="77777777" w:rsidR="000F0099" w:rsidRDefault="000F0099">
            <w:pPr>
              <w:jc w:val="center"/>
              <w:rPr>
                <w:color w:val="000000"/>
              </w:rPr>
            </w:pPr>
            <w:r>
              <w:rPr>
                <w:color w:val="000000"/>
              </w:rPr>
              <w:t>24</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4FF85" w14:textId="77777777" w:rsidR="000F0099" w:rsidRDefault="000F0099">
            <w:pPr>
              <w:jc w:val="right"/>
              <w:rPr>
                <w:color w:val="000000"/>
              </w:rPr>
            </w:pPr>
            <w:r>
              <w:rPr>
                <w:color w:val="000000"/>
              </w:rPr>
              <w:t>6</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6B8022" w14:textId="77777777" w:rsidR="000F0099" w:rsidRDefault="000F0099">
            <w:pPr>
              <w:jc w:val="center"/>
              <w:rPr>
                <w:color w:val="000000"/>
              </w:rPr>
            </w:pPr>
            <w:r>
              <w:rPr>
                <w:color w:val="000000"/>
              </w:rPr>
              <w:t>16</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F8AFE" w14:textId="77777777" w:rsidR="000F0099" w:rsidRDefault="000F0099">
            <w:pPr>
              <w:rPr>
                <w:color w:val="000000"/>
              </w:rPr>
            </w:pPr>
            <w:r>
              <w:rPr>
                <w:color w:val="000000"/>
              </w:rPr>
              <w:t>4.40</w:t>
            </w:r>
          </w:p>
        </w:tc>
        <w:tc>
          <w:tcPr>
            <w:tcW w:w="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408AA" w14:textId="77777777" w:rsidR="000F0099" w:rsidRDefault="000F0099">
            <w:pPr>
              <w:jc w:val="right"/>
              <w:rPr>
                <w:rFonts w:ascii="Arial" w:hAnsi="Arial" w:cs="Arial"/>
                <w:color w:val="000000"/>
              </w:rPr>
            </w:pPr>
            <w:r>
              <w:rPr>
                <w:rFonts w:ascii="Arial" w:hAnsi="Arial" w:cs="Arial"/>
                <w:color w:val="000000"/>
              </w:rPr>
              <w:t>−</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D4C28" w14:textId="77777777" w:rsidR="000F0099" w:rsidRDefault="000F0099">
            <w:pPr>
              <w:jc w:val="center"/>
              <w:rPr>
                <w:color w:val="000000"/>
              </w:rPr>
            </w:pPr>
            <w:r>
              <w:rPr>
                <w:color w:val="000000"/>
              </w:rPr>
              <w:t>N/A</w:t>
            </w:r>
          </w:p>
        </w:tc>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0F71AD" w14:textId="77777777" w:rsidR="000F0099" w:rsidRDefault="000F0099">
            <w:pPr>
              <w:rPr>
                <w:rFonts w:ascii="Arial" w:hAnsi="Arial" w:cs="Arial"/>
                <w:color w:val="000000"/>
              </w:rPr>
            </w:pPr>
            <w:r>
              <w:rPr>
                <w:rFonts w:ascii="Arial" w:hAnsi="Arial" w:cs="Arial"/>
                <w:color w:val="000000"/>
              </w:rPr>
              <w:t>−</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88B6D7" w14:textId="77777777" w:rsidR="000F0099" w:rsidRDefault="000F0099">
            <w:pPr>
              <w:jc w:val="center"/>
              <w:rPr>
                <w:color w:val="000000"/>
              </w:rPr>
            </w:pPr>
            <w:r>
              <w:rPr>
                <w:color w:val="000000"/>
              </w:rPr>
              <w:t>N/A</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B2A67" w14:textId="77777777" w:rsidR="000F0099" w:rsidRDefault="000F0099">
            <w:pPr>
              <w:rPr>
                <w:rFonts w:ascii="Arial" w:hAnsi="Arial" w:cs="Arial"/>
                <w:color w:val="000000"/>
              </w:rPr>
            </w:pPr>
            <w:r>
              <w:rPr>
                <w:rFonts w:ascii="Arial" w:hAnsi="Arial" w:cs="Arial"/>
                <w:color w:val="000000"/>
              </w:rPr>
              <w:t>−</w:t>
            </w:r>
          </w:p>
        </w:tc>
      </w:tr>
      <w:tr w:rsidR="000F0099" w14:paraId="74CFD79D" w14:textId="77777777" w:rsidTr="000F0099">
        <w:trPr>
          <w:trHeight w:val="36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E0C2F" w14:textId="77777777" w:rsidR="000F0099" w:rsidRDefault="000F0099">
            <w:pPr>
              <w:jc w:val="center"/>
              <w:rPr>
                <w:color w:val="000000"/>
              </w:rPr>
            </w:pPr>
            <w:r>
              <w:rPr>
                <w:color w:val="000000"/>
              </w:rPr>
              <w:t>MRx#9</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65598" w14:textId="77777777" w:rsidR="000F0099" w:rsidRDefault="000F0099">
            <w:pPr>
              <w:jc w:val="center"/>
              <w:rPr>
                <w:color w:val="000000"/>
              </w:rPr>
            </w:pPr>
            <w:r>
              <w:rPr>
                <w:color w:val="000000"/>
              </w:rPr>
              <w:t>0.55</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E7F10" w14:textId="77777777" w:rsidR="000F0099" w:rsidRDefault="000F0099">
            <w:pPr>
              <w:jc w:val="center"/>
              <w:rPr>
                <w:color w:val="000000"/>
              </w:rPr>
            </w:pPr>
            <w:r>
              <w:rPr>
                <w:color w:val="000000"/>
              </w:rPr>
              <w:t>1200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D504C" w14:textId="77777777" w:rsidR="000F0099" w:rsidRDefault="000F0099">
            <w:pPr>
              <w:jc w:val="center"/>
              <w:rPr>
                <w:color w:val="000000"/>
              </w:rPr>
            </w:pPr>
            <w:r>
              <w:rPr>
                <w:color w:val="000000"/>
              </w:rPr>
              <w:t>0.33</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E3206" w14:textId="77777777" w:rsidR="000F0099" w:rsidRDefault="000F0099">
            <w:pPr>
              <w:jc w:val="right"/>
              <w:rPr>
                <w:rFonts w:ascii="Arial" w:hAnsi="Arial" w:cs="Arial"/>
                <w:color w:val="000000"/>
              </w:rPr>
            </w:pPr>
            <w:r>
              <w:rPr>
                <w:rFonts w:ascii="Arial" w:hAnsi="Arial" w:cs="Arial"/>
                <w:color w:val="000000"/>
              </w:rPr>
              <w:t>−</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1F5C8" w14:textId="77777777" w:rsidR="000F0099" w:rsidRDefault="000F0099">
            <w:pPr>
              <w:jc w:val="center"/>
              <w:rPr>
                <w:color w:val="000000"/>
              </w:rPr>
            </w:pPr>
            <w:r>
              <w:rPr>
                <w:color w:val="000000"/>
              </w:rPr>
              <w:t>N/A</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EDF2F" w14:textId="77777777" w:rsidR="000F0099" w:rsidRDefault="000F0099">
            <w:pPr>
              <w:rPr>
                <w:rFonts w:ascii="Arial" w:hAnsi="Arial" w:cs="Arial"/>
                <w:color w:val="000000"/>
              </w:rPr>
            </w:pPr>
            <w:r>
              <w:rPr>
                <w:rFonts w:ascii="Arial" w:hAnsi="Arial" w:cs="Arial"/>
                <w:color w:val="000000"/>
              </w:rPr>
              <w:t>−</w:t>
            </w:r>
          </w:p>
        </w:tc>
        <w:tc>
          <w:tcPr>
            <w:tcW w:w="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E4ECA2" w14:textId="77777777" w:rsidR="000F0099" w:rsidRDefault="000F0099">
            <w:pPr>
              <w:jc w:val="right"/>
              <w:rPr>
                <w:color w:val="000000"/>
              </w:rPr>
            </w:pPr>
            <w:r>
              <w:rPr>
                <w:color w:val="000000"/>
              </w:rPr>
              <w:t>6</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56E589" w14:textId="77777777" w:rsidR="000F0099" w:rsidRDefault="000F0099">
            <w:pPr>
              <w:jc w:val="center"/>
              <w:rPr>
                <w:color w:val="000000"/>
              </w:rPr>
            </w:pPr>
            <w:r>
              <w:rPr>
                <w:color w:val="000000"/>
              </w:rPr>
              <w:t>30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074B6" w14:textId="77777777" w:rsidR="000F0099" w:rsidRDefault="000F0099">
            <w:pPr>
              <w:rPr>
                <w:color w:val="000000"/>
              </w:rPr>
            </w:pPr>
            <w:r>
              <w:rPr>
                <w:color w:val="000000"/>
              </w:rPr>
              <w:t>79.62</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7A4FF3" w14:textId="77777777" w:rsidR="000F0099" w:rsidRDefault="000F0099">
            <w:pPr>
              <w:jc w:val="center"/>
              <w:rPr>
                <w:color w:val="000000"/>
              </w:rPr>
            </w:pPr>
            <w:r>
              <w:rPr>
                <w:color w:val="000000"/>
              </w:rPr>
              <w:t>2.51E-14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9CB0F" w14:textId="77777777" w:rsidR="000F0099" w:rsidRDefault="000F0099">
            <w:pPr>
              <w:rPr>
                <w:color w:val="000000"/>
              </w:rPr>
            </w:pPr>
            <w:r>
              <w:rPr>
                <w:color w:val="000000"/>
              </w:rPr>
              <w:t>5.00E-15</w:t>
            </w:r>
          </w:p>
        </w:tc>
      </w:tr>
      <w:tr w:rsidR="000F0099" w14:paraId="7F308531" w14:textId="77777777" w:rsidTr="000F0099">
        <w:trPr>
          <w:trHeight w:val="36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F98B8" w14:textId="77777777" w:rsidR="000F0099" w:rsidRDefault="000F0099">
            <w:pPr>
              <w:jc w:val="center"/>
              <w:rPr>
                <w:color w:val="000000"/>
              </w:rPr>
            </w:pPr>
            <w:r>
              <w:rPr>
                <w:color w:val="000000"/>
              </w:rPr>
              <w:t>MRx#10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2C041" w14:textId="77777777" w:rsidR="000F0099" w:rsidRDefault="000F0099">
            <w:pPr>
              <w:jc w:val="center"/>
              <w:rPr>
                <w:color w:val="000000"/>
              </w:rPr>
            </w:pPr>
            <w:r>
              <w:rPr>
                <w:color w:val="000000"/>
              </w:rPr>
              <w:t>0.55</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66FA7" w14:textId="77777777" w:rsidR="000F0099" w:rsidRDefault="000F0099">
            <w:pPr>
              <w:jc w:val="center"/>
              <w:rPr>
                <w:color w:val="000000"/>
              </w:rPr>
            </w:pPr>
            <w:r>
              <w:rPr>
                <w:color w:val="000000"/>
              </w:rPr>
              <w:t>1200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64530" w14:textId="77777777" w:rsidR="000F0099" w:rsidRDefault="000F0099">
            <w:pPr>
              <w:jc w:val="center"/>
              <w:rPr>
                <w:color w:val="000000"/>
              </w:rPr>
            </w:pPr>
            <w:r>
              <w:rPr>
                <w:color w:val="000000"/>
              </w:rPr>
              <w:t>24</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93560" w14:textId="77777777" w:rsidR="000F0099" w:rsidRDefault="000F0099">
            <w:pPr>
              <w:jc w:val="right"/>
              <w:rPr>
                <w:color w:val="000000"/>
              </w:rPr>
            </w:pPr>
            <w:r>
              <w:rPr>
                <w:color w:val="000000"/>
              </w:rPr>
              <w:t>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1964B" w14:textId="77777777" w:rsidR="000F0099" w:rsidRDefault="000F0099">
            <w:pPr>
              <w:jc w:val="center"/>
              <w:rPr>
                <w:color w:val="000000"/>
              </w:rPr>
            </w:pPr>
            <w:r>
              <w:rPr>
                <w:color w:val="000000"/>
              </w:rPr>
              <w:t>14</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F7CBD" w14:textId="77777777" w:rsidR="000F0099" w:rsidRDefault="000F0099">
            <w:pPr>
              <w:rPr>
                <w:color w:val="000000"/>
              </w:rPr>
            </w:pPr>
            <w:r>
              <w:rPr>
                <w:color w:val="000000"/>
              </w:rPr>
              <w:t>7.67</w:t>
            </w:r>
          </w:p>
        </w:tc>
        <w:tc>
          <w:tcPr>
            <w:tcW w:w="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108B1" w14:textId="77777777" w:rsidR="000F0099" w:rsidRDefault="000F0099">
            <w:pPr>
              <w:jc w:val="right"/>
              <w:rPr>
                <w:color w:val="000000"/>
              </w:rPr>
            </w:pPr>
            <w:r>
              <w:rPr>
                <w:color w:val="000000"/>
              </w:rPr>
              <w:t>6</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C76AAF" w14:textId="77777777" w:rsidR="000F0099" w:rsidRDefault="000F0099">
            <w:pPr>
              <w:jc w:val="center"/>
              <w:rPr>
                <w:color w:val="000000"/>
              </w:rPr>
            </w:pPr>
            <w:r>
              <w:rPr>
                <w:color w:val="000000"/>
              </w:rPr>
              <w:t>394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48322" w14:textId="77777777" w:rsidR="000F0099" w:rsidRDefault="000F0099">
            <w:pPr>
              <w:rPr>
                <w:color w:val="000000"/>
              </w:rPr>
            </w:pPr>
            <w:r>
              <w:rPr>
                <w:color w:val="000000"/>
              </w:rPr>
              <w:t>6.00</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774BD" w14:textId="77777777" w:rsidR="000F0099" w:rsidRDefault="000F0099">
            <w:pPr>
              <w:jc w:val="center"/>
              <w:rPr>
                <w:color w:val="000000"/>
              </w:rPr>
            </w:pPr>
            <w:r>
              <w:rPr>
                <w:color w:val="000000"/>
              </w:rPr>
              <w:t>4.56E-15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631C7" w14:textId="77777777" w:rsidR="000F0099" w:rsidRDefault="000F0099">
            <w:pPr>
              <w:rPr>
                <w:color w:val="000000"/>
              </w:rPr>
            </w:pPr>
            <w:r>
              <w:rPr>
                <w:color w:val="000000"/>
              </w:rPr>
              <w:t>9.22E-16</w:t>
            </w:r>
          </w:p>
        </w:tc>
      </w:tr>
      <w:tr w:rsidR="000F0099" w14:paraId="5663D5B2" w14:textId="77777777" w:rsidTr="000F0099">
        <w:trPr>
          <w:trHeight w:val="36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72AA35" w14:textId="77777777" w:rsidR="000F0099" w:rsidRDefault="000F0099">
            <w:pPr>
              <w:jc w:val="center"/>
              <w:rPr>
                <w:color w:val="000000"/>
              </w:rPr>
            </w:pPr>
            <w:r>
              <w:rPr>
                <w:color w:val="000000"/>
              </w:rPr>
              <w:t>MRx#11</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85B0A" w14:textId="77777777" w:rsidR="000F0099" w:rsidRDefault="000F0099">
            <w:pPr>
              <w:jc w:val="center"/>
              <w:rPr>
                <w:color w:val="000000"/>
              </w:rPr>
            </w:pPr>
            <w:r>
              <w:rPr>
                <w:color w:val="000000"/>
              </w:rPr>
              <w:t>0.55</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979C8" w14:textId="77777777" w:rsidR="000F0099" w:rsidRDefault="000F0099">
            <w:pPr>
              <w:jc w:val="center"/>
              <w:rPr>
                <w:color w:val="000000"/>
              </w:rPr>
            </w:pPr>
            <w:r>
              <w:rPr>
                <w:color w:val="000000"/>
              </w:rPr>
              <w:t>1100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51BDC0" w14:textId="77777777" w:rsidR="000F0099" w:rsidRDefault="000F0099">
            <w:pPr>
              <w:jc w:val="center"/>
              <w:rPr>
                <w:color w:val="000000"/>
              </w:rPr>
            </w:pPr>
            <w:r>
              <w:rPr>
                <w:color w:val="000000"/>
              </w:rPr>
              <w:t>24</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E9759F" w14:textId="77777777" w:rsidR="000F0099" w:rsidRDefault="000F0099">
            <w:pPr>
              <w:jc w:val="right"/>
              <w:rPr>
                <w:color w:val="000000"/>
              </w:rPr>
            </w:pPr>
            <w:r>
              <w:rPr>
                <w:color w:val="000000"/>
              </w:rPr>
              <w:t>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22CCD" w14:textId="77777777" w:rsidR="000F0099" w:rsidRDefault="000F0099">
            <w:pPr>
              <w:jc w:val="center"/>
              <w:rPr>
                <w:color w:val="000000"/>
              </w:rPr>
            </w:pPr>
            <w:r>
              <w:rPr>
                <w:color w:val="000000"/>
              </w:rPr>
              <w:t>5</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D9EB9" w14:textId="77777777" w:rsidR="000F0099" w:rsidRDefault="000F0099">
            <w:pPr>
              <w:rPr>
                <w:color w:val="000000"/>
              </w:rPr>
            </w:pPr>
            <w:r>
              <w:rPr>
                <w:color w:val="000000"/>
              </w:rPr>
              <w:t>1.41</w:t>
            </w:r>
          </w:p>
        </w:tc>
        <w:tc>
          <w:tcPr>
            <w:tcW w:w="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EE890" w14:textId="77777777" w:rsidR="000F0099" w:rsidRDefault="000F0099">
            <w:pPr>
              <w:jc w:val="right"/>
              <w:rPr>
                <w:rFonts w:ascii="Arial" w:hAnsi="Arial" w:cs="Arial"/>
                <w:color w:val="000000"/>
              </w:rPr>
            </w:pPr>
            <w:r>
              <w:rPr>
                <w:rFonts w:ascii="Arial" w:hAnsi="Arial" w:cs="Arial"/>
                <w:color w:val="000000"/>
              </w:rPr>
              <w:t>−</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CAF7D" w14:textId="77777777" w:rsidR="000F0099" w:rsidRDefault="000F0099">
            <w:pPr>
              <w:jc w:val="center"/>
              <w:rPr>
                <w:color w:val="000000"/>
              </w:rPr>
            </w:pPr>
            <w:r>
              <w:rPr>
                <w:color w:val="000000"/>
              </w:rPr>
              <w:t>N/A</w:t>
            </w:r>
          </w:p>
        </w:tc>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4F359" w14:textId="77777777" w:rsidR="000F0099" w:rsidRDefault="000F0099">
            <w:pPr>
              <w:rPr>
                <w:rFonts w:ascii="Arial" w:hAnsi="Arial" w:cs="Arial"/>
                <w:color w:val="000000"/>
              </w:rPr>
            </w:pPr>
            <w:r>
              <w:rPr>
                <w:rFonts w:ascii="Arial" w:hAnsi="Arial" w:cs="Arial"/>
                <w:color w:val="000000"/>
              </w:rPr>
              <w:t>−</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588C3A" w14:textId="77777777" w:rsidR="000F0099" w:rsidRDefault="000F0099">
            <w:pPr>
              <w:jc w:val="center"/>
              <w:rPr>
                <w:color w:val="000000"/>
              </w:rPr>
            </w:pPr>
            <w:r>
              <w:rPr>
                <w:color w:val="000000"/>
              </w:rPr>
              <w:t>N/A</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086051" w14:textId="77777777" w:rsidR="000F0099" w:rsidRDefault="000F0099">
            <w:pPr>
              <w:rPr>
                <w:rFonts w:ascii="Arial" w:hAnsi="Arial" w:cs="Arial"/>
                <w:color w:val="000000"/>
              </w:rPr>
            </w:pPr>
            <w:r>
              <w:rPr>
                <w:rFonts w:ascii="Arial" w:hAnsi="Arial" w:cs="Arial"/>
                <w:color w:val="000000"/>
              </w:rPr>
              <w:t>−</w:t>
            </w:r>
          </w:p>
        </w:tc>
      </w:tr>
      <w:tr w:rsidR="000F0099" w14:paraId="160940AF" w14:textId="77777777" w:rsidTr="000F0099">
        <w:trPr>
          <w:trHeight w:val="36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9F870" w14:textId="77777777" w:rsidR="000F0099" w:rsidRDefault="000F0099">
            <w:pPr>
              <w:jc w:val="center"/>
              <w:rPr>
                <w:color w:val="000000"/>
              </w:rPr>
            </w:pPr>
            <w:r>
              <w:rPr>
                <w:color w:val="000000"/>
              </w:rPr>
              <w:t>MRx#12</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8CB44F" w14:textId="77777777" w:rsidR="000F0099" w:rsidRDefault="000F0099">
            <w:pPr>
              <w:jc w:val="center"/>
              <w:rPr>
                <w:color w:val="000000"/>
              </w:rPr>
            </w:pPr>
            <w:r>
              <w:rPr>
                <w:color w:val="000000"/>
              </w:rPr>
              <w:t>2.02</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E0973" w14:textId="77777777" w:rsidR="000F0099" w:rsidRDefault="000F0099">
            <w:pPr>
              <w:jc w:val="center"/>
              <w:rPr>
                <w:color w:val="000000"/>
              </w:rPr>
            </w:pPr>
            <w:r>
              <w:rPr>
                <w:color w:val="000000"/>
              </w:rPr>
              <w:t>1300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D56F1" w14:textId="77777777" w:rsidR="000F0099" w:rsidRDefault="000F0099">
            <w:pPr>
              <w:jc w:val="center"/>
              <w:rPr>
                <w:color w:val="000000"/>
              </w:rPr>
            </w:pPr>
            <w:r>
              <w:rPr>
                <w:color w:val="000000"/>
              </w:rPr>
              <w:t>1</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D5768" w14:textId="77777777" w:rsidR="000F0099" w:rsidRDefault="000F0099">
            <w:pPr>
              <w:jc w:val="right"/>
              <w:rPr>
                <w:color w:val="000000"/>
              </w:rPr>
            </w:pPr>
            <w:r>
              <w:rPr>
                <w:color w:val="000000"/>
              </w:rPr>
              <w:t>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F1449" w14:textId="77777777" w:rsidR="000F0099" w:rsidRDefault="000F0099">
            <w:pPr>
              <w:jc w:val="center"/>
              <w:rPr>
                <w:color w:val="000000"/>
              </w:rPr>
            </w:pPr>
            <w:r>
              <w:rPr>
                <w:color w:val="000000"/>
              </w:rPr>
              <w:t>6</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A16C1" w14:textId="77777777" w:rsidR="000F0099" w:rsidRDefault="000F0099">
            <w:pPr>
              <w:rPr>
                <w:color w:val="000000"/>
              </w:rPr>
            </w:pPr>
            <w:r>
              <w:rPr>
                <w:color w:val="000000"/>
              </w:rPr>
              <w:t>1.77</w:t>
            </w:r>
          </w:p>
        </w:tc>
        <w:tc>
          <w:tcPr>
            <w:tcW w:w="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7A29D" w14:textId="77777777" w:rsidR="000F0099" w:rsidRDefault="000F0099">
            <w:pPr>
              <w:jc w:val="right"/>
              <w:rPr>
                <w:color w:val="000000"/>
              </w:rPr>
            </w:pPr>
            <w:r>
              <w:rPr>
                <w:color w:val="000000"/>
              </w:rPr>
              <w:t>6</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7612DD" w14:textId="77777777" w:rsidR="000F0099" w:rsidRDefault="000F0099">
            <w:pPr>
              <w:jc w:val="center"/>
              <w:rPr>
                <w:color w:val="000000"/>
              </w:rPr>
            </w:pPr>
            <w:r>
              <w:rPr>
                <w:color w:val="000000"/>
              </w:rPr>
              <w:t>86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E7A1C" w14:textId="77777777" w:rsidR="000F0099" w:rsidRDefault="000F0099">
            <w:pPr>
              <w:rPr>
                <w:color w:val="000000"/>
              </w:rPr>
            </w:pPr>
            <w:r>
              <w:rPr>
                <w:color w:val="000000"/>
              </w:rPr>
              <w:t>15.83</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5F4522" w14:textId="77777777" w:rsidR="000F0099" w:rsidRDefault="000F0099">
            <w:pPr>
              <w:jc w:val="center"/>
              <w:rPr>
                <w:color w:val="000000"/>
              </w:rPr>
            </w:pPr>
            <w:r>
              <w:rPr>
                <w:color w:val="000000"/>
              </w:rPr>
              <w:t>2.38E-14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C15B2" w14:textId="77777777" w:rsidR="000F0099" w:rsidRDefault="000F0099">
            <w:pPr>
              <w:rPr>
                <w:color w:val="000000"/>
              </w:rPr>
            </w:pPr>
            <w:r>
              <w:rPr>
                <w:color w:val="000000"/>
              </w:rPr>
              <w:t>4.40E-15</w:t>
            </w:r>
          </w:p>
        </w:tc>
      </w:tr>
      <w:tr w:rsidR="000F0099" w14:paraId="3EAC7EDA" w14:textId="77777777" w:rsidTr="000F0099">
        <w:trPr>
          <w:trHeight w:val="36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32614" w14:textId="77777777" w:rsidR="000F0099" w:rsidRDefault="000F0099">
            <w:pPr>
              <w:jc w:val="center"/>
              <w:rPr>
                <w:color w:val="000000"/>
              </w:rPr>
            </w:pPr>
            <w:r>
              <w:rPr>
                <w:color w:val="000000"/>
              </w:rPr>
              <w:t>MRx#13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8C96D" w14:textId="77777777" w:rsidR="000F0099" w:rsidRDefault="000F0099">
            <w:pPr>
              <w:jc w:val="center"/>
              <w:rPr>
                <w:color w:val="000000"/>
              </w:rPr>
            </w:pPr>
            <w:r>
              <w:rPr>
                <w:color w:val="000000"/>
              </w:rPr>
              <w:t>2.02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B40D53" w14:textId="77777777" w:rsidR="000F0099" w:rsidRDefault="000F0099">
            <w:pPr>
              <w:jc w:val="center"/>
              <w:rPr>
                <w:color w:val="000000"/>
              </w:rPr>
            </w:pPr>
            <w:r>
              <w:rPr>
                <w:color w:val="000000"/>
              </w:rPr>
              <w:t>1300-1200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001DE" w14:textId="77777777" w:rsidR="000F0099" w:rsidRDefault="000F0099">
            <w:pPr>
              <w:jc w:val="center"/>
              <w:rPr>
                <w:color w:val="000000"/>
              </w:rPr>
            </w:pPr>
            <w:r>
              <w:rPr>
                <w:color w:val="000000"/>
              </w:rPr>
              <w:t>31.66</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47DE3" w14:textId="77777777" w:rsidR="000F0099" w:rsidRDefault="000F0099">
            <w:pPr>
              <w:jc w:val="right"/>
              <w:rPr>
                <w:color w:val="000000"/>
              </w:rPr>
            </w:pPr>
            <w:r>
              <w:rPr>
                <w:color w:val="000000"/>
              </w:rPr>
              <w:t>6</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5E37F2" w14:textId="77777777" w:rsidR="000F0099" w:rsidRDefault="000F0099">
            <w:pPr>
              <w:jc w:val="center"/>
              <w:rPr>
                <w:color w:val="000000"/>
              </w:rPr>
            </w:pPr>
            <w:r>
              <w:rPr>
                <w:color w:val="000000"/>
              </w:rPr>
              <w:t>24</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50784" w14:textId="77777777" w:rsidR="000F0099" w:rsidRDefault="000F0099">
            <w:pPr>
              <w:rPr>
                <w:color w:val="000000"/>
              </w:rPr>
            </w:pPr>
            <w:r>
              <w:rPr>
                <w:color w:val="000000"/>
              </w:rPr>
              <w:t>4.28</w:t>
            </w:r>
          </w:p>
        </w:tc>
        <w:tc>
          <w:tcPr>
            <w:tcW w:w="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4E5388" w14:textId="77777777" w:rsidR="000F0099" w:rsidRDefault="000F0099">
            <w:pPr>
              <w:jc w:val="right"/>
              <w:rPr>
                <w:color w:val="000000"/>
              </w:rPr>
            </w:pPr>
            <w:r>
              <w:rPr>
                <w:color w:val="000000"/>
              </w:rPr>
              <w:t>7</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E7568E" w14:textId="77777777" w:rsidR="000F0099" w:rsidRDefault="000F0099">
            <w:pPr>
              <w:jc w:val="center"/>
              <w:rPr>
                <w:color w:val="000000"/>
              </w:rPr>
            </w:pPr>
            <w:r>
              <w:rPr>
                <w:color w:val="000000"/>
              </w:rPr>
              <w:t>201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070BD" w14:textId="77777777" w:rsidR="000F0099" w:rsidRDefault="000F0099">
            <w:pPr>
              <w:rPr>
                <w:color w:val="000000"/>
              </w:rPr>
            </w:pPr>
            <w:r>
              <w:rPr>
                <w:color w:val="000000"/>
              </w:rPr>
              <w:t>18.97</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21AC8C" w14:textId="77777777" w:rsidR="000F0099" w:rsidRDefault="000F0099">
            <w:pPr>
              <w:jc w:val="center"/>
              <w:rPr>
                <w:color w:val="000000"/>
              </w:rPr>
            </w:pPr>
            <w:r>
              <w:rPr>
                <w:color w:val="000000"/>
              </w:rPr>
              <w:t>N/A</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53EF1" w14:textId="77777777" w:rsidR="000F0099" w:rsidRDefault="000F0099">
            <w:pPr>
              <w:rPr>
                <w:rFonts w:ascii="Arial" w:hAnsi="Arial" w:cs="Arial"/>
                <w:color w:val="000000"/>
              </w:rPr>
            </w:pPr>
            <w:r>
              <w:rPr>
                <w:rFonts w:ascii="Arial" w:hAnsi="Arial" w:cs="Arial"/>
                <w:color w:val="000000"/>
              </w:rPr>
              <w:t>−</w:t>
            </w:r>
          </w:p>
        </w:tc>
      </w:tr>
    </w:tbl>
    <w:p w14:paraId="162EF7C2" w14:textId="77777777" w:rsidR="000F0099" w:rsidRDefault="000F0099">
      <w:pPr>
        <w:rPr>
          <w:color w:val="000000"/>
        </w:rPr>
      </w:pPr>
    </w:p>
    <w:p w14:paraId="0ED9822B" w14:textId="77777777" w:rsidR="00384890" w:rsidRDefault="00384890">
      <w:pPr>
        <w:rPr>
          <w:color w:val="000000"/>
        </w:rPr>
      </w:pPr>
    </w:p>
    <w:p w14:paraId="07467119" w14:textId="77777777" w:rsidR="00384890" w:rsidRDefault="00384890">
      <w:pPr>
        <w:rPr>
          <w:color w:val="000000"/>
        </w:rPr>
      </w:pPr>
    </w:p>
    <w:p w14:paraId="68E8956D" w14:textId="77777777" w:rsidR="00384890" w:rsidRDefault="00384890">
      <w:pPr>
        <w:rPr>
          <w:color w:val="000000"/>
        </w:rPr>
      </w:pPr>
    </w:p>
    <w:p w14:paraId="0F3D6614" w14:textId="77777777" w:rsidR="00384890" w:rsidRDefault="00384890">
      <w:pPr>
        <w:rPr>
          <w:color w:val="000000"/>
        </w:rPr>
      </w:pPr>
    </w:p>
    <w:p w14:paraId="2B58B8DA" w14:textId="77777777" w:rsidR="00384890" w:rsidRDefault="00384890">
      <w:pPr>
        <w:rPr>
          <w:color w:val="000000"/>
        </w:rPr>
      </w:pPr>
    </w:p>
    <w:p w14:paraId="0807AB4C" w14:textId="77777777" w:rsidR="00384890" w:rsidRDefault="00384890">
      <w:pPr>
        <w:rPr>
          <w:color w:val="000000"/>
        </w:rPr>
      </w:pPr>
    </w:p>
    <w:p w14:paraId="124AFDFF" w14:textId="77777777" w:rsidR="00384890" w:rsidRDefault="00384890">
      <w:pPr>
        <w:rPr>
          <w:color w:val="000000"/>
        </w:rPr>
      </w:pPr>
    </w:p>
    <w:p w14:paraId="0782D662" w14:textId="77777777" w:rsidR="00384890" w:rsidRDefault="00384890">
      <w:pPr>
        <w:rPr>
          <w:color w:val="000000"/>
        </w:rPr>
      </w:pPr>
    </w:p>
    <w:p w14:paraId="2E107B0F" w14:textId="77777777" w:rsidR="00384890" w:rsidRDefault="00384890">
      <w:pPr>
        <w:rPr>
          <w:color w:val="000000"/>
        </w:rPr>
      </w:pPr>
    </w:p>
    <w:p w14:paraId="440A3E98" w14:textId="77777777" w:rsidR="00384890" w:rsidRDefault="00384890">
      <w:pPr>
        <w:rPr>
          <w:color w:val="000000"/>
        </w:rPr>
      </w:pPr>
    </w:p>
    <w:p w14:paraId="000A6CDD" w14:textId="77777777" w:rsidR="00384890" w:rsidRDefault="00384890">
      <w:pPr>
        <w:rPr>
          <w:color w:val="000000"/>
        </w:rPr>
      </w:pPr>
    </w:p>
    <w:p w14:paraId="64BE8E1F" w14:textId="77777777" w:rsidR="00384890" w:rsidRDefault="00384890" w:rsidP="00384890">
      <w:pPr>
        <w:pStyle w:val="Tables"/>
      </w:pPr>
      <w:bookmarkStart w:id="85" w:name="_Toc178246848"/>
      <w:bookmarkStart w:id="86" w:name="_Toc185263589"/>
      <w:r w:rsidRPr="00BB273A">
        <w:rPr>
          <w:b/>
          <w:bCs/>
        </w:rPr>
        <w:lastRenderedPageBreak/>
        <w:t>Table 1.4.</w:t>
      </w:r>
      <w:r>
        <w:t xml:space="preserve"> </w:t>
      </w:r>
      <w:r w:rsidRPr="00F33A46">
        <w:t>Pre-reaction IBC composition compared with post-reaction melt compositions averaged from data collected across the entire IBC half of the diffusion couple.</w:t>
      </w:r>
      <w:bookmarkEnd w:id="85"/>
      <w:bookmarkEnd w:id="86"/>
    </w:p>
    <w:tbl>
      <w:tblPr>
        <w:tblW w:w="11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
        <w:gridCol w:w="900"/>
        <w:gridCol w:w="900"/>
        <w:gridCol w:w="900"/>
        <w:gridCol w:w="900"/>
        <w:gridCol w:w="900"/>
        <w:gridCol w:w="900"/>
        <w:gridCol w:w="900"/>
        <w:gridCol w:w="900"/>
        <w:gridCol w:w="900"/>
        <w:gridCol w:w="900"/>
        <w:gridCol w:w="900"/>
        <w:gridCol w:w="900"/>
      </w:tblGrid>
      <w:tr w:rsidR="00384890" w14:paraId="44A14BE9" w14:textId="77777777" w:rsidTr="003B3C51">
        <w:trPr>
          <w:trHeight w:val="360"/>
        </w:trPr>
        <w:tc>
          <w:tcPr>
            <w:tcW w:w="920" w:type="dxa"/>
            <w:shd w:val="clear" w:color="auto" w:fill="auto"/>
            <w:noWrap/>
            <w:vAlign w:val="center"/>
            <w:hideMark/>
          </w:tcPr>
          <w:p w14:paraId="7D5F2150" w14:textId="77777777" w:rsidR="00384890" w:rsidRDefault="00384890" w:rsidP="003B3C51">
            <w:pPr>
              <w:jc w:val="center"/>
              <w:rPr>
                <w:color w:val="000000"/>
              </w:rPr>
            </w:pPr>
            <w:r>
              <w:rPr>
                <w:color w:val="000000"/>
              </w:rPr>
              <w:t> </w:t>
            </w:r>
          </w:p>
        </w:tc>
        <w:tc>
          <w:tcPr>
            <w:tcW w:w="1800" w:type="dxa"/>
            <w:gridSpan w:val="2"/>
            <w:shd w:val="clear" w:color="auto" w:fill="auto"/>
            <w:vAlign w:val="center"/>
            <w:hideMark/>
          </w:tcPr>
          <w:p w14:paraId="458DE309" w14:textId="77777777" w:rsidR="00384890" w:rsidRDefault="00384890" w:rsidP="003B3C51">
            <w:pPr>
              <w:jc w:val="center"/>
              <w:rPr>
                <w:color w:val="000000"/>
              </w:rPr>
            </w:pPr>
            <w:r>
              <w:rPr>
                <w:color w:val="000000"/>
              </w:rPr>
              <w:t xml:space="preserve">Initial IBC </w:t>
            </w:r>
          </w:p>
        </w:tc>
        <w:tc>
          <w:tcPr>
            <w:tcW w:w="1800" w:type="dxa"/>
            <w:gridSpan w:val="2"/>
            <w:shd w:val="clear" w:color="auto" w:fill="auto"/>
            <w:noWrap/>
            <w:vAlign w:val="center"/>
            <w:hideMark/>
          </w:tcPr>
          <w:p w14:paraId="6F4BBC8A" w14:textId="77777777" w:rsidR="00384890" w:rsidRDefault="00384890" w:rsidP="003B3C51">
            <w:pPr>
              <w:jc w:val="center"/>
              <w:rPr>
                <w:color w:val="000000"/>
              </w:rPr>
            </w:pPr>
            <w:r>
              <w:rPr>
                <w:color w:val="000000"/>
              </w:rPr>
              <w:t>MRx#1</w:t>
            </w:r>
          </w:p>
        </w:tc>
        <w:tc>
          <w:tcPr>
            <w:tcW w:w="1800" w:type="dxa"/>
            <w:gridSpan w:val="2"/>
            <w:shd w:val="clear" w:color="auto" w:fill="auto"/>
            <w:noWrap/>
            <w:vAlign w:val="center"/>
            <w:hideMark/>
          </w:tcPr>
          <w:p w14:paraId="478CE608" w14:textId="77777777" w:rsidR="00384890" w:rsidRDefault="00384890" w:rsidP="003B3C51">
            <w:pPr>
              <w:jc w:val="center"/>
              <w:rPr>
                <w:color w:val="000000"/>
              </w:rPr>
            </w:pPr>
            <w:r>
              <w:rPr>
                <w:color w:val="000000"/>
              </w:rPr>
              <w:t>MRx#5</w:t>
            </w:r>
          </w:p>
        </w:tc>
        <w:tc>
          <w:tcPr>
            <w:tcW w:w="1800" w:type="dxa"/>
            <w:gridSpan w:val="2"/>
            <w:shd w:val="clear" w:color="auto" w:fill="auto"/>
            <w:noWrap/>
            <w:vAlign w:val="center"/>
            <w:hideMark/>
          </w:tcPr>
          <w:p w14:paraId="036189F7" w14:textId="77777777" w:rsidR="00384890" w:rsidRDefault="00384890" w:rsidP="003B3C51">
            <w:pPr>
              <w:jc w:val="center"/>
              <w:rPr>
                <w:color w:val="000000"/>
              </w:rPr>
            </w:pPr>
            <w:r>
              <w:rPr>
                <w:color w:val="000000"/>
              </w:rPr>
              <w:t>MRx#8</w:t>
            </w:r>
          </w:p>
        </w:tc>
        <w:tc>
          <w:tcPr>
            <w:tcW w:w="1800" w:type="dxa"/>
            <w:gridSpan w:val="2"/>
            <w:shd w:val="clear" w:color="auto" w:fill="auto"/>
            <w:noWrap/>
            <w:vAlign w:val="center"/>
            <w:hideMark/>
          </w:tcPr>
          <w:p w14:paraId="4FF68007" w14:textId="77777777" w:rsidR="00384890" w:rsidRDefault="00384890" w:rsidP="003B3C51">
            <w:pPr>
              <w:jc w:val="center"/>
              <w:rPr>
                <w:color w:val="000000"/>
              </w:rPr>
            </w:pPr>
            <w:r>
              <w:rPr>
                <w:color w:val="000000"/>
              </w:rPr>
              <w:t>MRx#9</w:t>
            </w:r>
          </w:p>
        </w:tc>
        <w:tc>
          <w:tcPr>
            <w:tcW w:w="1800" w:type="dxa"/>
            <w:gridSpan w:val="2"/>
            <w:shd w:val="clear" w:color="auto" w:fill="auto"/>
            <w:noWrap/>
            <w:vAlign w:val="center"/>
            <w:hideMark/>
          </w:tcPr>
          <w:p w14:paraId="3E9A6855" w14:textId="77777777" w:rsidR="00384890" w:rsidRDefault="00384890" w:rsidP="003B3C51">
            <w:pPr>
              <w:jc w:val="center"/>
              <w:rPr>
                <w:color w:val="000000"/>
              </w:rPr>
            </w:pPr>
            <w:r>
              <w:rPr>
                <w:color w:val="000000"/>
              </w:rPr>
              <w:t>MRx#10</w:t>
            </w:r>
          </w:p>
        </w:tc>
      </w:tr>
      <w:tr w:rsidR="00384890" w14:paraId="50DC50EA" w14:textId="77777777" w:rsidTr="003B3C51">
        <w:trPr>
          <w:trHeight w:val="340"/>
        </w:trPr>
        <w:tc>
          <w:tcPr>
            <w:tcW w:w="920" w:type="dxa"/>
            <w:shd w:val="clear" w:color="auto" w:fill="auto"/>
            <w:noWrap/>
            <w:vAlign w:val="center"/>
            <w:hideMark/>
          </w:tcPr>
          <w:p w14:paraId="7AEA0AF9" w14:textId="77777777" w:rsidR="00384890" w:rsidRDefault="00384890" w:rsidP="003B3C51">
            <w:pPr>
              <w:jc w:val="center"/>
              <w:rPr>
                <w:color w:val="000000"/>
              </w:rPr>
            </w:pPr>
          </w:p>
        </w:tc>
        <w:tc>
          <w:tcPr>
            <w:tcW w:w="900" w:type="dxa"/>
            <w:shd w:val="clear" w:color="auto" w:fill="auto"/>
            <w:vAlign w:val="center"/>
            <w:hideMark/>
          </w:tcPr>
          <w:p w14:paraId="7FB3F0C8" w14:textId="77777777" w:rsidR="00384890" w:rsidRDefault="00384890" w:rsidP="003B3C51">
            <w:pPr>
              <w:jc w:val="right"/>
              <w:rPr>
                <w:color w:val="000000"/>
              </w:rPr>
            </w:pPr>
            <w:r>
              <w:rPr>
                <w:color w:val="000000"/>
              </w:rPr>
              <w:t>Avg</w:t>
            </w:r>
          </w:p>
        </w:tc>
        <w:tc>
          <w:tcPr>
            <w:tcW w:w="900" w:type="dxa"/>
            <w:shd w:val="clear" w:color="auto" w:fill="auto"/>
            <w:noWrap/>
            <w:vAlign w:val="center"/>
            <w:hideMark/>
          </w:tcPr>
          <w:p w14:paraId="35293273" w14:textId="77777777" w:rsidR="00384890" w:rsidRDefault="00384890" w:rsidP="003B3C51">
            <w:pPr>
              <w:jc w:val="center"/>
              <w:rPr>
                <w:color w:val="000000"/>
              </w:rPr>
            </w:pPr>
            <w:r>
              <w:rPr>
                <w:rFonts w:ascii="Cambria Math" w:hAnsi="Cambria Math" w:cs="Cambria Math"/>
                <w:color w:val="000000"/>
              </w:rPr>
              <w:t>𝝈</w:t>
            </w:r>
          </w:p>
        </w:tc>
        <w:tc>
          <w:tcPr>
            <w:tcW w:w="900" w:type="dxa"/>
            <w:shd w:val="clear" w:color="auto" w:fill="auto"/>
            <w:vAlign w:val="center"/>
            <w:hideMark/>
          </w:tcPr>
          <w:p w14:paraId="0881411E" w14:textId="77777777" w:rsidR="00384890" w:rsidRDefault="00384890" w:rsidP="003B3C51">
            <w:pPr>
              <w:jc w:val="right"/>
              <w:rPr>
                <w:color w:val="000000"/>
              </w:rPr>
            </w:pPr>
            <w:r>
              <w:rPr>
                <w:color w:val="000000"/>
              </w:rPr>
              <w:t>Avg</w:t>
            </w:r>
          </w:p>
        </w:tc>
        <w:tc>
          <w:tcPr>
            <w:tcW w:w="900" w:type="dxa"/>
            <w:shd w:val="clear" w:color="auto" w:fill="auto"/>
            <w:noWrap/>
            <w:vAlign w:val="center"/>
            <w:hideMark/>
          </w:tcPr>
          <w:p w14:paraId="61ABDF7B" w14:textId="77777777" w:rsidR="00384890" w:rsidRDefault="00384890" w:rsidP="003B3C51">
            <w:pPr>
              <w:jc w:val="center"/>
              <w:rPr>
                <w:color w:val="000000"/>
              </w:rPr>
            </w:pPr>
            <w:r>
              <w:rPr>
                <w:rFonts w:ascii="Cambria Math" w:hAnsi="Cambria Math" w:cs="Cambria Math"/>
                <w:color w:val="000000"/>
              </w:rPr>
              <w:t>𝝈</w:t>
            </w:r>
          </w:p>
        </w:tc>
        <w:tc>
          <w:tcPr>
            <w:tcW w:w="900" w:type="dxa"/>
            <w:shd w:val="clear" w:color="auto" w:fill="auto"/>
            <w:vAlign w:val="center"/>
            <w:hideMark/>
          </w:tcPr>
          <w:p w14:paraId="19A96BBF" w14:textId="77777777" w:rsidR="00384890" w:rsidRDefault="00384890" w:rsidP="003B3C51">
            <w:pPr>
              <w:jc w:val="right"/>
              <w:rPr>
                <w:color w:val="000000"/>
              </w:rPr>
            </w:pPr>
            <w:r>
              <w:rPr>
                <w:color w:val="000000"/>
              </w:rPr>
              <w:t>Avg</w:t>
            </w:r>
          </w:p>
        </w:tc>
        <w:tc>
          <w:tcPr>
            <w:tcW w:w="900" w:type="dxa"/>
            <w:shd w:val="clear" w:color="auto" w:fill="auto"/>
            <w:noWrap/>
            <w:vAlign w:val="center"/>
            <w:hideMark/>
          </w:tcPr>
          <w:p w14:paraId="13972DBF" w14:textId="77777777" w:rsidR="00384890" w:rsidRDefault="00384890" w:rsidP="003B3C51">
            <w:pPr>
              <w:jc w:val="center"/>
              <w:rPr>
                <w:color w:val="000000"/>
              </w:rPr>
            </w:pPr>
            <w:r>
              <w:rPr>
                <w:rFonts w:ascii="Cambria Math" w:hAnsi="Cambria Math" w:cs="Cambria Math"/>
                <w:color w:val="000000"/>
              </w:rPr>
              <w:t>𝝈</w:t>
            </w:r>
          </w:p>
        </w:tc>
        <w:tc>
          <w:tcPr>
            <w:tcW w:w="900" w:type="dxa"/>
            <w:shd w:val="clear" w:color="auto" w:fill="auto"/>
            <w:vAlign w:val="center"/>
            <w:hideMark/>
          </w:tcPr>
          <w:p w14:paraId="29C2A412" w14:textId="77777777" w:rsidR="00384890" w:rsidRDefault="00384890" w:rsidP="003B3C51">
            <w:pPr>
              <w:jc w:val="right"/>
              <w:rPr>
                <w:color w:val="000000"/>
              </w:rPr>
            </w:pPr>
            <w:r>
              <w:rPr>
                <w:color w:val="000000"/>
              </w:rPr>
              <w:t>Avg</w:t>
            </w:r>
          </w:p>
        </w:tc>
        <w:tc>
          <w:tcPr>
            <w:tcW w:w="900" w:type="dxa"/>
            <w:shd w:val="clear" w:color="auto" w:fill="auto"/>
            <w:noWrap/>
            <w:vAlign w:val="center"/>
            <w:hideMark/>
          </w:tcPr>
          <w:p w14:paraId="2B1D1C69" w14:textId="77777777" w:rsidR="00384890" w:rsidRDefault="00384890" w:rsidP="003B3C51">
            <w:pPr>
              <w:jc w:val="center"/>
              <w:rPr>
                <w:color w:val="000000"/>
              </w:rPr>
            </w:pPr>
            <w:r>
              <w:rPr>
                <w:rFonts w:ascii="Cambria Math" w:hAnsi="Cambria Math" w:cs="Cambria Math"/>
                <w:color w:val="000000"/>
              </w:rPr>
              <w:t>𝝈</w:t>
            </w:r>
          </w:p>
        </w:tc>
        <w:tc>
          <w:tcPr>
            <w:tcW w:w="900" w:type="dxa"/>
            <w:shd w:val="clear" w:color="auto" w:fill="auto"/>
            <w:vAlign w:val="center"/>
            <w:hideMark/>
          </w:tcPr>
          <w:p w14:paraId="16D7A1C4" w14:textId="77777777" w:rsidR="00384890" w:rsidRDefault="00384890" w:rsidP="003B3C51">
            <w:pPr>
              <w:jc w:val="right"/>
              <w:rPr>
                <w:color w:val="000000"/>
              </w:rPr>
            </w:pPr>
            <w:r>
              <w:rPr>
                <w:color w:val="000000"/>
              </w:rPr>
              <w:t>Avg</w:t>
            </w:r>
          </w:p>
        </w:tc>
        <w:tc>
          <w:tcPr>
            <w:tcW w:w="900" w:type="dxa"/>
            <w:shd w:val="clear" w:color="auto" w:fill="auto"/>
            <w:noWrap/>
            <w:vAlign w:val="center"/>
            <w:hideMark/>
          </w:tcPr>
          <w:p w14:paraId="6965A9D4" w14:textId="77777777" w:rsidR="00384890" w:rsidRDefault="00384890" w:rsidP="003B3C51">
            <w:pPr>
              <w:jc w:val="center"/>
              <w:rPr>
                <w:color w:val="000000"/>
              </w:rPr>
            </w:pPr>
            <w:r>
              <w:rPr>
                <w:rFonts w:ascii="Cambria Math" w:hAnsi="Cambria Math" w:cs="Cambria Math"/>
                <w:color w:val="000000"/>
              </w:rPr>
              <w:t>𝝈</w:t>
            </w:r>
          </w:p>
        </w:tc>
        <w:tc>
          <w:tcPr>
            <w:tcW w:w="900" w:type="dxa"/>
            <w:shd w:val="clear" w:color="auto" w:fill="auto"/>
            <w:vAlign w:val="center"/>
            <w:hideMark/>
          </w:tcPr>
          <w:p w14:paraId="7C310ABF" w14:textId="77777777" w:rsidR="00384890" w:rsidRDefault="00384890" w:rsidP="003B3C51">
            <w:pPr>
              <w:jc w:val="right"/>
              <w:rPr>
                <w:color w:val="000000"/>
              </w:rPr>
            </w:pPr>
            <w:r>
              <w:rPr>
                <w:color w:val="000000"/>
              </w:rPr>
              <w:t>Avg</w:t>
            </w:r>
          </w:p>
        </w:tc>
        <w:tc>
          <w:tcPr>
            <w:tcW w:w="900" w:type="dxa"/>
            <w:shd w:val="clear" w:color="auto" w:fill="auto"/>
            <w:noWrap/>
            <w:vAlign w:val="center"/>
            <w:hideMark/>
          </w:tcPr>
          <w:p w14:paraId="00762E56" w14:textId="77777777" w:rsidR="00384890" w:rsidRDefault="00384890" w:rsidP="003B3C51">
            <w:pPr>
              <w:jc w:val="center"/>
              <w:rPr>
                <w:color w:val="000000"/>
              </w:rPr>
            </w:pPr>
            <w:r>
              <w:rPr>
                <w:rFonts w:ascii="Cambria Math" w:hAnsi="Cambria Math" w:cs="Cambria Math"/>
                <w:color w:val="000000"/>
              </w:rPr>
              <w:t>𝝈</w:t>
            </w:r>
          </w:p>
        </w:tc>
      </w:tr>
      <w:tr w:rsidR="00384890" w14:paraId="5FB6294B" w14:textId="77777777" w:rsidTr="003B3C51">
        <w:trPr>
          <w:trHeight w:val="360"/>
        </w:trPr>
        <w:tc>
          <w:tcPr>
            <w:tcW w:w="920" w:type="dxa"/>
            <w:shd w:val="clear" w:color="auto" w:fill="auto"/>
            <w:noWrap/>
            <w:vAlign w:val="center"/>
            <w:hideMark/>
          </w:tcPr>
          <w:p w14:paraId="2F18F947" w14:textId="77777777" w:rsidR="00384890" w:rsidRDefault="00384890" w:rsidP="003B3C51">
            <w:pPr>
              <w:jc w:val="center"/>
              <w:rPr>
                <w:color w:val="000000"/>
              </w:rPr>
            </w:pPr>
            <w:r>
              <w:rPr>
                <w:color w:val="000000"/>
              </w:rPr>
              <w:t>SiO</w:t>
            </w:r>
            <w:r>
              <w:rPr>
                <w:color w:val="000000"/>
                <w:vertAlign w:val="subscript"/>
              </w:rPr>
              <w:t>2</w:t>
            </w:r>
          </w:p>
        </w:tc>
        <w:tc>
          <w:tcPr>
            <w:tcW w:w="900" w:type="dxa"/>
            <w:shd w:val="clear" w:color="auto" w:fill="auto"/>
            <w:noWrap/>
            <w:vAlign w:val="center"/>
            <w:hideMark/>
          </w:tcPr>
          <w:p w14:paraId="6C1FD6AE" w14:textId="77777777" w:rsidR="00384890" w:rsidRDefault="00384890" w:rsidP="003B3C51">
            <w:pPr>
              <w:jc w:val="right"/>
              <w:rPr>
                <w:color w:val="000000"/>
              </w:rPr>
            </w:pPr>
            <w:r>
              <w:rPr>
                <w:color w:val="000000"/>
              </w:rPr>
              <w:t>38.03</w:t>
            </w:r>
          </w:p>
        </w:tc>
        <w:tc>
          <w:tcPr>
            <w:tcW w:w="900" w:type="dxa"/>
            <w:shd w:val="clear" w:color="auto" w:fill="auto"/>
            <w:noWrap/>
            <w:vAlign w:val="center"/>
            <w:hideMark/>
          </w:tcPr>
          <w:p w14:paraId="1C7BD2C4" w14:textId="77777777" w:rsidR="00384890" w:rsidRDefault="00384890" w:rsidP="003B3C51">
            <w:pPr>
              <w:jc w:val="center"/>
              <w:rPr>
                <w:color w:val="000000"/>
              </w:rPr>
            </w:pPr>
            <w:r>
              <w:rPr>
                <w:color w:val="000000"/>
              </w:rPr>
              <w:t>0.15</w:t>
            </w:r>
          </w:p>
        </w:tc>
        <w:tc>
          <w:tcPr>
            <w:tcW w:w="900" w:type="dxa"/>
            <w:shd w:val="clear" w:color="auto" w:fill="auto"/>
            <w:noWrap/>
            <w:vAlign w:val="center"/>
            <w:hideMark/>
          </w:tcPr>
          <w:p w14:paraId="55515EED" w14:textId="77777777" w:rsidR="00384890" w:rsidRDefault="00384890" w:rsidP="003B3C51">
            <w:pPr>
              <w:jc w:val="right"/>
              <w:rPr>
                <w:color w:val="000000"/>
              </w:rPr>
            </w:pPr>
            <w:r>
              <w:rPr>
                <w:color w:val="000000"/>
              </w:rPr>
              <w:t>34.57</w:t>
            </w:r>
          </w:p>
        </w:tc>
        <w:tc>
          <w:tcPr>
            <w:tcW w:w="900" w:type="dxa"/>
            <w:shd w:val="clear" w:color="auto" w:fill="auto"/>
            <w:noWrap/>
            <w:vAlign w:val="center"/>
            <w:hideMark/>
          </w:tcPr>
          <w:p w14:paraId="2DB38D01" w14:textId="77777777" w:rsidR="00384890" w:rsidRDefault="00384890" w:rsidP="003B3C51">
            <w:pPr>
              <w:jc w:val="center"/>
              <w:rPr>
                <w:color w:val="000000"/>
              </w:rPr>
            </w:pPr>
            <w:r>
              <w:rPr>
                <w:color w:val="000000"/>
              </w:rPr>
              <w:t>3.67</w:t>
            </w:r>
          </w:p>
        </w:tc>
        <w:tc>
          <w:tcPr>
            <w:tcW w:w="900" w:type="dxa"/>
            <w:shd w:val="clear" w:color="auto" w:fill="auto"/>
            <w:noWrap/>
            <w:vAlign w:val="center"/>
            <w:hideMark/>
          </w:tcPr>
          <w:p w14:paraId="5C353036" w14:textId="77777777" w:rsidR="00384890" w:rsidRDefault="00384890" w:rsidP="003B3C51">
            <w:pPr>
              <w:jc w:val="right"/>
              <w:rPr>
                <w:color w:val="000000"/>
              </w:rPr>
            </w:pPr>
            <w:r>
              <w:rPr>
                <w:color w:val="000000"/>
              </w:rPr>
              <w:t>39.05</w:t>
            </w:r>
          </w:p>
        </w:tc>
        <w:tc>
          <w:tcPr>
            <w:tcW w:w="900" w:type="dxa"/>
            <w:shd w:val="clear" w:color="auto" w:fill="auto"/>
            <w:noWrap/>
            <w:vAlign w:val="center"/>
            <w:hideMark/>
          </w:tcPr>
          <w:p w14:paraId="7F876114" w14:textId="77777777" w:rsidR="00384890" w:rsidRDefault="00384890" w:rsidP="003B3C51">
            <w:pPr>
              <w:jc w:val="center"/>
              <w:rPr>
                <w:color w:val="000000"/>
              </w:rPr>
            </w:pPr>
            <w:r>
              <w:rPr>
                <w:color w:val="000000"/>
              </w:rPr>
              <w:t>0.31</w:t>
            </w:r>
          </w:p>
        </w:tc>
        <w:tc>
          <w:tcPr>
            <w:tcW w:w="900" w:type="dxa"/>
            <w:shd w:val="clear" w:color="auto" w:fill="auto"/>
            <w:noWrap/>
            <w:vAlign w:val="center"/>
            <w:hideMark/>
          </w:tcPr>
          <w:p w14:paraId="07A437D3" w14:textId="77777777" w:rsidR="00384890" w:rsidRDefault="00384890" w:rsidP="003B3C51">
            <w:pPr>
              <w:jc w:val="right"/>
              <w:rPr>
                <w:color w:val="000000"/>
              </w:rPr>
            </w:pPr>
            <w:r>
              <w:rPr>
                <w:color w:val="000000"/>
              </w:rPr>
              <w:t>36.31</w:t>
            </w:r>
          </w:p>
        </w:tc>
        <w:tc>
          <w:tcPr>
            <w:tcW w:w="900" w:type="dxa"/>
            <w:shd w:val="clear" w:color="auto" w:fill="auto"/>
            <w:noWrap/>
            <w:vAlign w:val="center"/>
            <w:hideMark/>
          </w:tcPr>
          <w:p w14:paraId="41FE615C" w14:textId="77777777" w:rsidR="00384890" w:rsidRDefault="00384890" w:rsidP="003B3C51">
            <w:pPr>
              <w:jc w:val="center"/>
              <w:rPr>
                <w:color w:val="000000"/>
              </w:rPr>
            </w:pPr>
            <w:r>
              <w:rPr>
                <w:color w:val="000000"/>
              </w:rPr>
              <w:t>1.08</w:t>
            </w:r>
          </w:p>
        </w:tc>
        <w:tc>
          <w:tcPr>
            <w:tcW w:w="900" w:type="dxa"/>
            <w:shd w:val="clear" w:color="auto" w:fill="auto"/>
            <w:noWrap/>
            <w:vAlign w:val="center"/>
            <w:hideMark/>
          </w:tcPr>
          <w:p w14:paraId="56E9D9BE" w14:textId="77777777" w:rsidR="00384890" w:rsidRDefault="00384890" w:rsidP="003B3C51">
            <w:pPr>
              <w:jc w:val="right"/>
              <w:rPr>
                <w:color w:val="000000"/>
              </w:rPr>
            </w:pPr>
            <w:r>
              <w:rPr>
                <w:color w:val="000000"/>
              </w:rPr>
              <w:t>38.58</w:t>
            </w:r>
          </w:p>
        </w:tc>
        <w:tc>
          <w:tcPr>
            <w:tcW w:w="900" w:type="dxa"/>
            <w:shd w:val="clear" w:color="auto" w:fill="auto"/>
            <w:noWrap/>
            <w:vAlign w:val="center"/>
            <w:hideMark/>
          </w:tcPr>
          <w:p w14:paraId="64532743" w14:textId="77777777" w:rsidR="00384890" w:rsidRDefault="00384890" w:rsidP="003B3C51">
            <w:pPr>
              <w:jc w:val="center"/>
              <w:rPr>
                <w:color w:val="000000"/>
              </w:rPr>
            </w:pPr>
            <w:r>
              <w:rPr>
                <w:color w:val="000000"/>
              </w:rPr>
              <w:t>0.58</w:t>
            </w:r>
          </w:p>
        </w:tc>
        <w:tc>
          <w:tcPr>
            <w:tcW w:w="900" w:type="dxa"/>
            <w:shd w:val="clear" w:color="auto" w:fill="auto"/>
            <w:noWrap/>
            <w:vAlign w:val="center"/>
            <w:hideMark/>
          </w:tcPr>
          <w:p w14:paraId="65161BFD" w14:textId="77777777" w:rsidR="00384890" w:rsidRDefault="00384890" w:rsidP="003B3C51">
            <w:pPr>
              <w:jc w:val="right"/>
              <w:rPr>
                <w:color w:val="000000"/>
              </w:rPr>
            </w:pPr>
            <w:r>
              <w:rPr>
                <w:color w:val="000000"/>
              </w:rPr>
              <w:t>39.17</w:t>
            </w:r>
          </w:p>
        </w:tc>
        <w:tc>
          <w:tcPr>
            <w:tcW w:w="900" w:type="dxa"/>
            <w:shd w:val="clear" w:color="auto" w:fill="auto"/>
            <w:noWrap/>
            <w:vAlign w:val="center"/>
            <w:hideMark/>
          </w:tcPr>
          <w:p w14:paraId="1C3CB345" w14:textId="77777777" w:rsidR="00384890" w:rsidRDefault="00384890" w:rsidP="003B3C51">
            <w:pPr>
              <w:jc w:val="center"/>
              <w:rPr>
                <w:color w:val="000000"/>
              </w:rPr>
            </w:pPr>
            <w:r>
              <w:rPr>
                <w:color w:val="000000"/>
              </w:rPr>
              <w:t>0.19</w:t>
            </w:r>
          </w:p>
        </w:tc>
      </w:tr>
      <w:tr w:rsidR="00384890" w14:paraId="5FA19C96" w14:textId="77777777" w:rsidTr="003B3C51">
        <w:trPr>
          <w:trHeight w:val="360"/>
        </w:trPr>
        <w:tc>
          <w:tcPr>
            <w:tcW w:w="920" w:type="dxa"/>
            <w:shd w:val="clear" w:color="auto" w:fill="auto"/>
            <w:noWrap/>
            <w:vAlign w:val="center"/>
            <w:hideMark/>
          </w:tcPr>
          <w:p w14:paraId="6A5B0A2B" w14:textId="77777777" w:rsidR="00384890" w:rsidRDefault="00384890" w:rsidP="003B3C51">
            <w:pPr>
              <w:jc w:val="center"/>
              <w:rPr>
                <w:color w:val="000000"/>
              </w:rPr>
            </w:pPr>
            <w:r>
              <w:rPr>
                <w:color w:val="000000"/>
              </w:rPr>
              <w:t>TiO</w:t>
            </w:r>
            <w:r>
              <w:rPr>
                <w:color w:val="000000"/>
                <w:vertAlign w:val="subscript"/>
              </w:rPr>
              <w:t>2</w:t>
            </w:r>
          </w:p>
        </w:tc>
        <w:tc>
          <w:tcPr>
            <w:tcW w:w="900" w:type="dxa"/>
            <w:shd w:val="clear" w:color="auto" w:fill="auto"/>
            <w:noWrap/>
            <w:vAlign w:val="center"/>
            <w:hideMark/>
          </w:tcPr>
          <w:p w14:paraId="41A2115A" w14:textId="77777777" w:rsidR="00384890" w:rsidRDefault="00384890" w:rsidP="003B3C51">
            <w:pPr>
              <w:jc w:val="right"/>
              <w:rPr>
                <w:color w:val="000000"/>
              </w:rPr>
            </w:pPr>
            <w:r>
              <w:rPr>
                <w:color w:val="000000"/>
              </w:rPr>
              <w:t>6.83</w:t>
            </w:r>
          </w:p>
        </w:tc>
        <w:tc>
          <w:tcPr>
            <w:tcW w:w="900" w:type="dxa"/>
            <w:shd w:val="clear" w:color="auto" w:fill="auto"/>
            <w:noWrap/>
            <w:vAlign w:val="center"/>
            <w:hideMark/>
          </w:tcPr>
          <w:p w14:paraId="01807B99" w14:textId="77777777" w:rsidR="00384890" w:rsidRDefault="00384890" w:rsidP="003B3C51">
            <w:pPr>
              <w:jc w:val="center"/>
              <w:rPr>
                <w:color w:val="000000"/>
              </w:rPr>
            </w:pPr>
            <w:r>
              <w:rPr>
                <w:color w:val="000000"/>
              </w:rPr>
              <w:t>0.10</w:t>
            </w:r>
          </w:p>
        </w:tc>
        <w:tc>
          <w:tcPr>
            <w:tcW w:w="900" w:type="dxa"/>
            <w:shd w:val="clear" w:color="auto" w:fill="auto"/>
            <w:noWrap/>
            <w:vAlign w:val="center"/>
            <w:hideMark/>
          </w:tcPr>
          <w:p w14:paraId="39123E27" w14:textId="77777777" w:rsidR="00384890" w:rsidRDefault="00384890" w:rsidP="003B3C51">
            <w:pPr>
              <w:jc w:val="right"/>
              <w:rPr>
                <w:color w:val="000000"/>
              </w:rPr>
            </w:pPr>
            <w:r>
              <w:rPr>
                <w:color w:val="000000"/>
              </w:rPr>
              <w:t>11.84</w:t>
            </w:r>
          </w:p>
        </w:tc>
        <w:tc>
          <w:tcPr>
            <w:tcW w:w="900" w:type="dxa"/>
            <w:shd w:val="clear" w:color="auto" w:fill="auto"/>
            <w:noWrap/>
            <w:vAlign w:val="center"/>
            <w:hideMark/>
          </w:tcPr>
          <w:p w14:paraId="0BE72009" w14:textId="77777777" w:rsidR="00384890" w:rsidRDefault="00384890" w:rsidP="003B3C51">
            <w:pPr>
              <w:jc w:val="center"/>
              <w:rPr>
                <w:color w:val="000000"/>
              </w:rPr>
            </w:pPr>
            <w:r>
              <w:rPr>
                <w:color w:val="000000"/>
              </w:rPr>
              <w:t>0.39</w:t>
            </w:r>
          </w:p>
        </w:tc>
        <w:tc>
          <w:tcPr>
            <w:tcW w:w="900" w:type="dxa"/>
            <w:shd w:val="clear" w:color="auto" w:fill="auto"/>
            <w:noWrap/>
            <w:vAlign w:val="center"/>
            <w:hideMark/>
          </w:tcPr>
          <w:p w14:paraId="3CC4AB3F" w14:textId="77777777" w:rsidR="00384890" w:rsidRDefault="00384890" w:rsidP="003B3C51">
            <w:pPr>
              <w:jc w:val="right"/>
              <w:rPr>
                <w:color w:val="000000"/>
              </w:rPr>
            </w:pPr>
            <w:r>
              <w:rPr>
                <w:color w:val="000000"/>
              </w:rPr>
              <w:t>5.41</w:t>
            </w:r>
          </w:p>
        </w:tc>
        <w:tc>
          <w:tcPr>
            <w:tcW w:w="900" w:type="dxa"/>
            <w:shd w:val="clear" w:color="auto" w:fill="auto"/>
            <w:noWrap/>
            <w:vAlign w:val="center"/>
            <w:hideMark/>
          </w:tcPr>
          <w:p w14:paraId="5FEA6FA5" w14:textId="77777777" w:rsidR="00384890" w:rsidRDefault="00384890" w:rsidP="003B3C51">
            <w:pPr>
              <w:jc w:val="center"/>
              <w:rPr>
                <w:color w:val="000000"/>
              </w:rPr>
            </w:pPr>
            <w:r>
              <w:rPr>
                <w:color w:val="000000"/>
              </w:rPr>
              <w:t>0.22</w:t>
            </w:r>
          </w:p>
        </w:tc>
        <w:tc>
          <w:tcPr>
            <w:tcW w:w="900" w:type="dxa"/>
            <w:shd w:val="clear" w:color="auto" w:fill="auto"/>
            <w:noWrap/>
            <w:vAlign w:val="center"/>
            <w:hideMark/>
          </w:tcPr>
          <w:p w14:paraId="3FC9EC07" w14:textId="77777777" w:rsidR="00384890" w:rsidRDefault="00384890" w:rsidP="003B3C51">
            <w:pPr>
              <w:jc w:val="right"/>
              <w:rPr>
                <w:color w:val="000000"/>
              </w:rPr>
            </w:pPr>
            <w:r>
              <w:rPr>
                <w:color w:val="000000"/>
              </w:rPr>
              <w:t>9.57</w:t>
            </w:r>
          </w:p>
        </w:tc>
        <w:tc>
          <w:tcPr>
            <w:tcW w:w="900" w:type="dxa"/>
            <w:shd w:val="clear" w:color="auto" w:fill="auto"/>
            <w:noWrap/>
            <w:vAlign w:val="center"/>
            <w:hideMark/>
          </w:tcPr>
          <w:p w14:paraId="40708F47" w14:textId="77777777" w:rsidR="00384890" w:rsidRDefault="00384890" w:rsidP="003B3C51">
            <w:pPr>
              <w:jc w:val="center"/>
              <w:rPr>
                <w:color w:val="000000"/>
              </w:rPr>
            </w:pPr>
            <w:r>
              <w:rPr>
                <w:color w:val="000000"/>
              </w:rPr>
              <w:t>0.55</w:t>
            </w:r>
          </w:p>
        </w:tc>
        <w:tc>
          <w:tcPr>
            <w:tcW w:w="900" w:type="dxa"/>
            <w:shd w:val="clear" w:color="auto" w:fill="auto"/>
            <w:noWrap/>
            <w:vAlign w:val="center"/>
            <w:hideMark/>
          </w:tcPr>
          <w:p w14:paraId="39355C41" w14:textId="77777777" w:rsidR="00384890" w:rsidRDefault="00384890" w:rsidP="003B3C51">
            <w:pPr>
              <w:jc w:val="right"/>
              <w:rPr>
                <w:color w:val="000000"/>
              </w:rPr>
            </w:pPr>
            <w:r>
              <w:rPr>
                <w:color w:val="000000"/>
              </w:rPr>
              <w:t>6.83</w:t>
            </w:r>
          </w:p>
        </w:tc>
        <w:tc>
          <w:tcPr>
            <w:tcW w:w="900" w:type="dxa"/>
            <w:shd w:val="clear" w:color="auto" w:fill="auto"/>
            <w:noWrap/>
            <w:vAlign w:val="center"/>
            <w:hideMark/>
          </w:tcPr>
          <w:p w14:paraId="4F20EBB3" w14:textId="77777777" w:rsidR="00384890" w:rsidRDefault="00384890" w:rsidP="003B3C51">
            <w:pPr>
              <w:jc w:val="center"/>
              <w:rPr>
                <w:color w:val="000000"/>
              </w:rPr>
            </w:pPr>
            <w:r>
              <w:rPr>
                <w:color w:val="000000"/>
              </w:rPr>
              <w:t>0.22</w:t>
            </w:r>
          </w:p>
        </w:tc>
        <w:tc>
          <w:tcPr>
            <w:tcW w:w="900" w:type="dxa"/>
            <w:shd w:val="clear" w:color="auto" w:fill="auto"/>
            <w:noWrap/>
            <w:vAlign w:val="center"/>
            <w:hideMark/>
          </w:tcPr>
          <w:p w14:paraId="3CFF13CF" w14:textId="77777777" w:rsidR="00384890" w:rsidRDefault="00384890" w:rsidP="003B3C51">
            <w:pPr>
              <w:jc w:val="right"/>
              <w:rPr>
                <w:color w:val="000000"/>
              </w:rPr>
            </w:pPr>
            <w:r>
              <w:rPr>
                <w:color w:val="000000"/>
              </w:rPr>
              <w:t>5.89</w:t>
            </w:r>
          </w:p>
        </w:tc>
        <w:tc>
          <w:tcPr>
            <w:tcW w:w="900" w:type="dxa"/>
            <w:shd w:val="clear" w:color="auto" w:fill="auto"/>
            <w:noWrap/>
            <w:vAlign w:val="center"/>
            <w:hideMark/>
          </w:tcPr>
          <w:p w14:paraId="20A7C79D" w14:textId="77777777" w:rsidR="00384890" w:rsidRDefault="00384890" w:rsidP="003B3C51">
            <w:pPr>
              <w:jc w:val="center"/>
              <w:rPr>
                <w:color w:val="000000"/>
              </w:rPr>
            </w:pPr>
            <w:r>
              <w:rPr>
                <w:color w:val="000000"/>
              </w:rPr>
              <w:t>0.13</w:t>
            </w:r>
          </w:p>
        </w:tc>
      </w:tr>
      <w:tr w:rsidR="00384890" w14:paraId="274CE67A" w14:textId="77777777" w:rsidTr="003B3C51">
        <w:trPr>
          <w:trHeight w:val="360"/>
        </w:trPr>
        <w:tc>
          <w:tcPr>
            <w:tcW w:w="920" w:type="dxa"/>
            <w:shd w:val="clear" w:color="auto" w:fill="auto"/>
            <w:noWrap/>
            <w:vAlign w:val="center"/>
            <w:hideMark/>
          </w:tcPr>
          <w:p w14:paraId="56011C6E" w14:textId="77777777" w:rsidR="00384890" w:rsidRDefault="00384890" w:rsidP="003B3C51">
            <w:pPr>
              <w:jc w:val="center"/>
              <w:rPr>
                <w:color w:val="000000"/>
              </w:rPr>
            </w:pPr>
            <w:r>
              <w:rPr>
                <w:color w:val="000000"/>
              </w:rPr>
              <w:t>Al</w:t>
            </w:r>
            <w:r>
              <w:rPr>
                <w:color w:val="000000"/>
                <w:vertAlign w:val="subscript"/>
              </w:rPr>
              <w:t>2</w:t>
            </w:r>
            <w:r>
              <w:rPr>
                <w:color w:val="000000"/>
              </w:rPr>
              <w:t>O</w:t>
            </w:r>
            <w:r>
              <w:rPr>
                <w:color w:val="000000"/>
                <w:vertAlign w:val="subscript"/>
              </w:rPr>
              <w:t>3</w:t>
            </w:r>
          </w:p>
        </w:tc>
        <w:tc>
          <w:tcPr>
            <w:tcW w:w="900" w:type="dxa"/>
            <w:shd w:val="clear" w:color="auto" w:fill="auto"/>
            <w:noWrap/>
            <w:vAlign w:val="center"/>
            <w:hideMark/>
          </w:tcPr>
          <w:p w14:paraId="03AC7E0F" w14:textId="77777777" w:rsidR="00384890" w:rsidRDefault="00384890" w:rsidP="003B3C51">
            <w:pPr>
              <w:jc w:val="right"/>
              <w:rPr>
                <w:color w:val="000000"/>
              </w:rPr>
            </w:pPr>
            <w:r>
              <w:rPr>
                <w:color w:val="000000"/>
              </w:rPr>
              <w:t>6.26</w:t>
            </w:r>
          </w:p>
        </w:tc>
        <w:tc>
          <w:tcPr>
            <w:tcW w:w="900" w:type="dxa"/>
            <w:shd w:val="clear" w:color="auto" w:fill="auto"/>
            <w:noWrap/>
            <w:vAlign w:val="center"/>
            <w:hideMark/>
          </w:tcPr>
          <w:p w14:paraId="0B6CAD9D" w14:textId="77777777" w:rsidR="00384890" w:rsidRDefault="00384890" w:rsidP="003B3C51">
            <w:pPr>
              <w:jc w:val="center"/>
              <w:rPr>
                <w:color w:val="000000"/>
              </w:rPr>
            </w:pPr>
            <w:r>
              <w:rPr>
                <w:color w:val="000000"/>
              </w:rPr>
              <w:t>0.08</w:t>
            </w:r>
          </w:p>
        </w:tc>
        <w:tc>
          <w:tcPr>
            <w:tcW w:w="900" w:type="dxa"/>
            <w:shd w:val="clear" w:color="auto" w:fill="auto"/>
            <w:noWrap/>
            <w:vAlign w:val="center"/>
            <w:hideMark/>
          </w:tcPr>
          <w:p w14:paraId="634D214C" w14:textId="77777777" w:rsidR="00384890" w:rsidRDefault="00384890" w:rsidP="003B3C51">
            <w:pPr>
              <w:jc w:val="right"/>
              <w:rPr>
                <w:color w:val="000000"/>
              </w:rPr>
            </w:pPr>
            <w:r>
              <w:rPr>
                <w:color w:val="000000"/>
              </w:rPr>
              <w:t>5.59</w:t>
            </w:r>
          </w:p>
        </w:tc>
        <w:tc>
          <w:tcPr>
            <w:tcW w:w="900" w:type="dxa"/>
            <w:shd w:val="clear" w:color="auto" w:fill="auto"/>
            <w:noWrap/>
            <w:vAlign w:val="center"/>
            <w:hideMark/>
          </w:tcPr>
          <w:p w14:paraId="21034278" w14:textId="77777777" w:rsidR="00384890" w:rsidRDefault="00384890" w:rsidP="003B3C51">
            <w:pPr>
              <w:jc w:val="center"/>
              <w:rPr>
                <w:color w:val="000000"/>
              </w:rPr>
            </w:pPr>
            <w:r>
              <w:rPr>
                <w:color w:val="000000"/>
              </w:rPr>
              <w:t>0.52</w:t>
            </w:r>
          </w:p>
        </w:tc>
        <w:tc>
          <w:tcPr>
            <w:tcW w:w="900" w:type="dxa"/>
            <w:shd w:val="clear" w:color="auto" w:fill="auto"/>
            <w:noWrap/>
            <w:vAlign w:val="center"/>
            <w:hideMark/>
          </w:tcPr>
          <w:p w14:paraId="1519B19D" w14:textId="77777777" w:rsidR="00384890" w:rsidRDefault="00384890" w:rsidP="003B3C51">
            <w:pPr>
              <w:jc w:val="right"/>
              <w:rPr>
                <w:color w:val="000000"/>
              </w:rPr>
            </w:pPr>
            <w:r>
              <w:rPr>
                <w:color w:val="000000"/>
              </w:rPr>
              <w:t>5.16</w:t>
            </w:r>
          </w:p>
        </w:tc>
        <w:tc>
          <w:tcPr>
            <w:tcW w:w="900" w:type="dxa"/>
            <w:shd w:val="clear" w:color="auto" w:fill="auto"/>
            <w:noWrap/>
            <w:vAlign w:val="center"/>
            <w:hideMark/>
          </w:tcPr>
          <w:p w14:paraId="15BF9A78" w14:textId="77777777" w:rsidR="00384890" w:rsidRDefault="00384890" w:rsidP="003B3C51">
            <w:pPr>
              <w:jc w:val="center"/>
              <w:rPr>
                <w:color w:val="000000"/>
              </w:rPr>
            </w:pPr>
            <w:r>
              <w:rPr>
                <w:color w:val="000000"/>
              </w:rPr>
              <w:t>0.28</w:t>
            </w:r>
          </w:p>
        </w:tc>
        <w:tc>
          <w:tcPr>
            <w:tcW w:w="900" w:type="dxa"/>
            <w:shd w:val="clear" w:color="auto" w:fill="auto"/>
            <w:noWrap/>
            <w:vAlign w:val="center"/>
            <w:hideMark/>
          </w:tcPr>
          <w:p w14:paraId="7295BD8A" w14:textId="77777777" w:rsidR="00384890" w:rsidRDefault="00384890" w:rsidP="003B3C51">
            <w:pPr>
              <w:jc w:val="right"/>
              <w:rPr>
                <w:color w:val="000000"/>
              </w:rPr>
            </w:pPr>
            <w:r>
              <w:rPr>
                <w:color w:val="000000"/>
              </w:rPr>
              <w:t>3.66</w:t>
            </w:r>
          </w:p>
        </w:tc>
        <w:tc>
          <w:tcPr>
            <w:tcW w:w="900" w:type="dxa"/>
            <w:shd w:val="clear" w:color="auto" w:fill="auto"/>
            <w:noWrap/>
            <w:vAlign w:val="center"/>
            <w:hideMark/>
          </w:tcPr>
          <w:p w14:paraId="75955010" w14:textId="77777777" w:rsidR="00384890" w:rsidRDefault="00384890" w:rsidP="003B3C51">
            <w:pPr>
              <w:jc w:val="center"/>
              <w:rPr>
                <w:color w:val="000000"/>
              </w:rPr>
            </w:pPr>
            <w:r>
              <w:rPr>
                <w:color w:val="000000"/>
              </w:rPr>
              <w:t>1.20</w:t>
            </w:r>
          </w:p>
        </w:tc>
        <w:tc>
          <w:tcPr>
            <w:tcW w:w="900" w:type="dxa"/>
            <w:shd w:val="clear" w:color="auto" w:fill="auto"/>
            <w:noWrap/>
            <w:vAlign w:val="center"/>
            <w:hideMark/>
          </w:tcPr>
          <w:p w14:paraId="7C2D7C9B" w14:textId="77777777" w:rsidR="00384890" w:rsidRDefault="00384890" w:rsidP="003B3C51">
            <w:pPr>
              <w:jc w:val="right"/>
              <w:rPr>
                <w:color w:val="000000"/>
              </w:rPr>
            </w:pPr>
            <w:r>
              <w:rPr>
                <w:color w:val="000000"/>
              </w:rPr>
              <w:t>6.21</w:t>
            </w:r>
          </w:p>
        </w:tc>
        <w:tc>
          <w:tcPr>
            <w:tcW w:w="900" w:type="dxa"/>
            <w:shd w:val="clear" w:color="auto" w:fill="auto"/>
            <w:noWrap/>
            <w:vAlign w:val="center"/>
            <w:hideMark/>
          </w:tcPr>
          <w:p w14:paraId="78123DD1" w14:textId="77777777" w:rsidR="00384890" w:rsidRDefault="00384890" w:rsidP="003B3C51">
            <w:pPr>
              <w:jc w:val="center"/>
              <w:rPr>
                <w:color w:val="000000"/>
              </w:rPr>
            </w:pPr>
            <w:r>
              <w:rPr>
                <w:color w:val="000000"/>
              </w:rPr>
              <w:t>0.11</w:t>
            </w:r>
          </w:p>
        </w:tc>
        <w:tc>
          <w:tcPr>
            <w:tcW w:w="900" w:type="dxa"/>
            <w:shd w:val="clear" w:color="auto" w:fill="auto"/>
            <w:noWrap/>
            <w:vAlign w:val="center"/>
            <w:hideMark/>
          </w:tcPr>
          <w:p w14:paraId="6EDA7056" w14:textId="77777777" w:rsidR="00384890" w:rsidRDefault="00384890" w:rsidP="003B3C51">
            <w:pPr>
              <w:jc w:val="right"/>
              <w:rPr>
                <w:color w:val="000000"/>
              </w:rPr>
            </w:pPr>
            <w:r>
              <w:rPr>
                <w:color w:val="000000"/>
              </w:rPr>
              <w:t>5.50</w:t>
            </w:r>
          </w:p>
        </w:tc>
        <w:tc>
          <w:tcPr>
            <w:tcW w:w="900" w:type="dxa"/>
            <w:shd w:val="clear" w:color="auto" w:fill="auto"/>
            <w:noWrap/>
            <w:vAlign w:val="center"/>
            <w:hideMark/>
          </w:tcPr>
          <w:p w14:paraId="4D14855C" w14:textId="77777777" w:rsidR="00384890" w:rsidRDefault="00384890" w:rsidP="003B3C51">
            <w:pPr>
              <w:jc w:val="center"/>
              <w:rPr>
                <w:color w:val="000000"/>
              </w:rPr>
            </w:pPr>
            <w:r>
              <w:rPr>
                <w:color w:val="000000"/>
              </w:rPr>
              <w:t>0.18</w:t>
            </w:r>
          </w:p>
        </w:tc>
      </w:tr>
      <w:tr w:rsidR="00384890" w14:paraId="0B34A6C8" w14:textId="77777777" w:rsidTr="003B3C51">
        <w:trPr>
          <w:trHeight w:val="360"/>
        </w:trPr>
        <w:tc>
          <w:tcPr>
            <w:tcW w:w="920" w:type="dxa"/>
            <w:shd w:val="clear" w:color="auto" w:fill="auto"/>
            <w:noWrap/>
            <w:vAlign w:val="center"/>
            <w:hideMark/>
          </w:tcPr>
          <w:p w14:paraId="4C3297CF" w14:textId="77777777" w:rsidR="00384890" w:rsidRDefault="00384890" w:rsidP="003B3C51">
            <w:pPr>
              <w:jc w:val="center"/>
              <w:rPr>
                <w:color w:val="000000"/>
              </w:rPr>
            </w:pPr>
            <w:r>
              <w:rPr>
                <w:color w:val="000000"/>
              </w:rPr>
              <w:t>Cr</w:t>
            </w:r>
            <w:r>
              <w:rPr>
                <w:color w:val="000000"/>
                <w:vertAlign w:val="subscript"/>
              </w:rPr>
              <w:t>2</w:t>
            </w:r>
            <w:r>
              <w:rPr>
                <w:color w:val="000000"/>
              </w:rPr>
              <w:t>O</w:t>
            </w:r>
            <w:r>
              <w:rPr>
                <w:color w:val="000000"/>
                <w:vertAlign w:val="subscript"/>
              </w:rPr>
              <w:t>3</w:t>
            </w:r>
          </w:p>
        </w:tc>
        <w:tc>
          <w:tcPr>
            <w:tcW w:w="900" w:type="dxa"/>
            <w:shd w:val="clear" w:color="auto" w:fill="auto"/>
            <w:noWrap/>
            <w:vAlign w:val="center"/>
            <w:hideMark/>
          </w:tcPr>
          <w:p w14:paraId="4BF6B099" w14:textId="77777777" w:rsidR="00384890" w:rsidRDefault="00384890" w:rsidP="003B3C51">
            <w:pPr>
              <w:jc w:val="right"/>
              <w:rPr>
                <w:color w:val="000000"/>
              </w:rPr>
            </w:pPr>
            <w:r>
              <w:rPr>
                <w:color w:val="000000"/>
              </w:rPr>
              <w:t>0.26</w:t>
            </w:r>
          </w:p>
        </w:tc>
        <w:tc>
          <w:tcPr>
            <w:tcW w:w="900" w:type="dxa"/>
            <w:shd w:val="clear" w:color="auto" w:fill="auto"/>
            <w:noWrap/>
            <w:vAlign w:val="center"/>
            <w:hideMark/>
          </w:tcPr>
          <w:p w14:paraId="51E1B399" w14:textId="77777777" w:rsidR="00384890" w:rsidRDefault="00384890" w:rsidP="003B3C51">
            <w:pPr>
              <w:jc w:val="center"/>
              <w:rPr>
                <w:color w:val="000000"/>
              </w:rPr>
            </w:pPr>
            <w:r>
              <w:rPr>
                <w:color w:val="000000"/>
              </w:rPr>
              <w:t>0.01</w:t>
            </w:r>
          </w:p>
        </w:tc>
        <w:tc>
          <w:tcPr>
            <w:tcW w:w="900" w:type="dxa"/>
            <w:shd w:val="clear" w:color="auto" w:fill="auto"/>
            <w:noWrap/>
            <w:vAlign w:val="center"/>
            <w:hideMark/>
          </w:tcPr>
          <w:p w14:paraId="5AB3E280" w14:textId="77777777" w:rsidR="00384890" w:rsidRDefault="00384890" w:rsidP="003B3C51">
            <w:pPr>
              <w:jc w:val="right"/>
              <w:rPr>
                <w:color w:val="000000"/>
              </w:rPr>
            </w:pPr>
            <w:r>
              <w:rPr>
                <w:color w:val="000000"/>
              </w:rPr>
              <w:t>0.07</w:t>
            </w:r>
          </w:p>
        </w:tc>
        <w:tc>
          <w:tcPr>
            <w:tcW w:w="900" w:type="dxa"/>
            <w:shd w:val="clear" w:color="auto" w:fill="auto"/>
            <w:noWrap/>
            <w:vAlign w:val="center"/>
            <w:hideMark/>
          </w:tcPr>
          <w:p w14:paraId="4205343F" w14:textId="77777777" w:rsidR="00384890" w:rsidRDefault="00384890" w:rsidP="003B3C51">
            <w:pPr>
              <w:jc w:val="center"/>
              <w:rPr>
                <w:color w:val="000000"/>
              </w:rPr>
            </w:pPr>
            <w:r>
              <w:rPr>
                <w:color w:val="000000"/>
              </w:rPr>
              <w:t>0.03</w:t>
            </w:r>
          </w:p>
        </w:tc>
        <w:tc>
          <w:tcPr>
            <w:tcW w:w="900" w:type="dxa"/>
            <w:shd w:val="clear" w:color="auto" w:fill="auto"/>
            <w:noWrap/>
            <w:vAlign w:val="center"/>
            <w:hideMark/>
          </w:tcPr>
          <w:p w14:paraId="5CB2365E" w14:textId="77777777" w:rsidR="00384890" w:rsidRDefault="00384890" w:rsidP="003B3C51">
            <w:pPr>
              <w:jc w:val="right"/>
              <w:rPr>
                <w:color w:val="000000"/>
              </w:rPr>
            </w:pPr>
            <w:r>
              <w:rPr>
                <w:color w:val="000000"/>
              </w:rPr>
              <w:t>0.25</w:t>
            </w:r>
          </w:p>
        </w:tc>
        <w:tc>
          <w:tcPr>
            <w:tcW w:w="900" w:type="dxa"/>
            <w:shd w:val="clear" w:color="auto" w:fill="auto"/>
            <w:noWrap/>
            <w:vAlign w:val="center"/>
            <w:hideMark/>
          </w:tcPr>
          <w:p w14:paraId="3BDC9A0D" w14:textId="77777777" w:rsidR="00384890" w:rsidRDefault="00384890" w:rsidP="003B3C51">
            <w:pPr>
              <w:jc w:val="center"/>
              <w:rPr>
                <w:color w:val="000000"/>
              </w:rPr>
            </w:pPr>
            <w:r>
              <w:rPr>
                <w:color w:val="000000"/>
              </w:rPr>
              <w:t>0.02</w:t>
            </w:r>
          </w:p>
        </w:tc>
        <w:tc>
          <w:tcPr>
            <w:tcW w:w="900" w:type="dxa"/>
            <w:shd w:val="clear" w:color="auto" w:fill="auto"/>
            <w:noWrap/>
            <w:vAlign w:val="center"/>
            <w:hideMark/>
          </w:tcPr>
          <w:p w14:paraId="190EBFC3" w14:textId="77777777" w:rsidR="00384890" w:rsidRDefault="00384890" w:rsidP="003B3C51">
            <w:pPr>
              <w:jc w:val="right"/>
              <w:rPr>
                <w:color w:val="000000"/>
              </w:rPr>
            </w:pPr>
            <w:r>
              <w:rPr>
                <w:color w:val="000000"/>
              </w:rPr>
              <w:t>0.04</w:t>
            </w:r>
          </w:p>
        </w:tc>
        <w:tc>
          <w:tcPr>
            <w:tcW w:w="900" w:type="dxa"/>
            <w:shd w:val="clear" w:color="auto" w:fill="auto"/>
            <w:noWrap/>
            <w:vAlign w:val="center"/>
            <w:hideMark/>
          </w:tcPr>
          <w:p w14:paraId="65DF69EA" w14:textId="77777777" w:rsidR="00384890" w:rsidRDefault="00384890" w:rsidP="003B3C51">
            <w:pPr>
              <w:jc w:val="center"/>
              <w:rPr>
                <w:color w:val="000000"/>
              </w:rPr>
            </w:pPr>
            <w:r>
              <w:rPr>
                <w:color w:val="000000"/>
              </w:rPr>
              <w:t>0.02</w:t>
            </w:r>
          </w:p>
        </w:tc>
        <w:tc>
          <w:tcPr>
            <w:tcW w:w="900" w:type="dxa"/>
            <w:shd w:val="clear" w:color="auto" w:fill="auto"/>
            <w:noWrap/>
            <w:vAlign w:val="center"/>
            <w:hideMark/>
          </w:tcPr>
          <w:p w14:paraId="46EF1A30" w14:textId="77777777" w:rsidR="00384890" w:rsidRDefault="00384890" w:rsidP="003B3C51">
            <w:pPr>
              <w:jc w:val="right"/>
              <w:rPr>
                <w:color w:val="000000"/>
              </w:rPr>
            </w:pPr>
            <w:r>
              <w:rPr>
                <w:color w:val="000000"/>
              </w:rPr>
              <w:t>0.27</w:t>
            </w:r>
          </w:p>
        </w:tc>
        <w:tc>
          <w:tcPr>
            <w:tcW w:w="900" w:type="dxa"/>
            <w:shd w:val="clear" w:color="auto" w:fill="auto"/>
            <w:noWrap/>
            <w:vAlign w:val="center"/>
            <w:hideMark/>
          </w:tcPr>
          <w:p w14:paraId="5DCC77A8" w14:textId="77777777" w:rsidR="00384890" w:rsidRDefault="00384890" w:rsidP="003B3C51">
            <w:pPr>
              <w:jc w:val="center"/>
              <w:rPr>
                <w:color w:val="000000"/>
              </w:rPr>
            </w:pPr>
            <w:r>
              <w:rPr>
                <w:color w:val="000000"/>
              </w:rPr>
              <w:t>0.02</w:t>
            </w:r>
          </w:p>
        </w:tc>
        <w:tc>
          <w:tcPr>
            <w:tcW w:w="900" w:type="dxa"/>
            <w:shd w:val="clear" w:color="auto" w:fill="auto"/>
            <w:noWrap/>
            <w:vAlign w:val="center"/>
            <w:hideMark/>
          </w:tcPr>
          <w:p w14:paraId="0817482B" w14:textId="77777777" w:rsidR="00384890" w:rsidRDefault="00384890" w:rsidP="003B3C51">
            <w:pPr>
              <w:jc w:val="right"/>
              <w:rPr>
                <w:color w:val="000000"/>
              </w:rPr>
            </w:pPr>
            <w:r>
              <w:rPr>
                <w:color w:val="000000"/>
              </w:rPr>
              <w:t>0.25</w:t>
            </w:r>
          </w:p>
        </w:tc>
        <w:tc>
          <w:tcPr>
            <w:tcW w:w="900" w:type="dxa"/>
            <w:shd w:val="clear" w:color="auto" w:fill="auto"/>
            <w:noWrap/>
            <w:vAlign w:val="center"/>
            <w:hideMark/>
          </w:tcPr>
          <w:p w14:paraId="00384ED3" w14:textId="77777777" w:rsidR="00384890" w:rsidRDefault="00384890" w:rsidP="003B3C51">
            <w:pPr>
              <w:jc w:val="center"/>
              <w:rPr>
                <w:color w:val="000000"/>
              </w:rPr>
            </w:pPr>
            <w:r>
              <w:rPr>
                <w:color w:val="000000"/>
              </w:rPr>
              <w:t>0.02</w:t>
            </w:r>
          </w:p>
        </w:tc>
      </w:tr>
      <w:tr w:rsidR="00384890" w14:paraId="1389F491" w14:textId="77777777" w:rsidTr="003B3C51">
        <w:trPr>
          <w:trHeight w:val="320"/>
        </w:trPr>
        <w:tc>
          <w:tcPr>
            <w:tcW w:w="920" w:type="dxa"/>
            <w:shd w:val="clear" w:color="auto" w:fill="auto"/>
            <w:noWrap/>
            <w:vAlign w:val="center"/>
            <w:hideMark/>
          </w:tcPr>
          <w:p w14:paraId="7DEF0DFC" w14:textId="77777777" w:rsidR="00384890" w:rsidRDefault="00384890" w:rsidP="003B3C51">
            <w:pPr>
              <w:jc w:val="center"/>
              <w:rPr>
                <w:color w:val="000000"/>
              </w:rPr>
            </w:pPr>
            <w:r>
              <w:rPr>
                <w:color w:val="000000"/>
              </w:rPr>
              <w:t>MgO</w:t>
            </w:r>
          </w:p>
        </w:tc>
        <w:tc>
          <w:tcPr>
            <w:tcW w:w="900" w:type="dxa"/>
            <w:shd w:val="clear" w:color="auto" w:fill="auto"/>
            <w:noWrap/>
            <w:vAlign w:val="center"/>
            <w:hideMark/>
          </w:tcPr>
          <w:p w14:paraId="56F88821" w14:textId="77777777" w:rsidR="00384890" w:rsidRDefault="00384890" w:rsidP="003B3C51">
            <w:pPr>
              <w:jc w:val="right"/>
              <w:rPr>
                <w:color w:val="000000"/>
              </w:rPr>
            </w:pPr>
            <w:r>
              <w:rPr>
                <w:color w:val="000000"/>
              </w:rPr>
              <w:t>0.91</w:t>
            </w:r>
          </w:p>
        </w:tc>
        <w:tc>
          <w:tcPr>
            <w:tcW w:w="900" w:type="dxa"/>
            <w:shd w:val="clear" w:color="auto" w:fill="auto"/>
            <w:noWrap/>
            <w:vAlign w:val="center"/>
            <w:hideMark/>
          </w:tcPr>
          <w:p w14:paraId="178B33D5" w14:textId="77777777" w:rsidR="00384890" w:rsidRDefault="00384890" w:rsidP="003B3C51">
            <w:pPr>
              <w:jc w:val="center"/>
              <w:rPr>
                <w:color w:val="000000"/>
              </w:rPr>
            </w:pPr>
            <w:r>
              <w:rPr>
                <w:color w:val="000000"/>
              </w:rPr>
              <w:t>0.02</w:t>
            </w:r>
          </w:p>
        </w:tc>
        <w:tc>
          <w:tcPr>
            <w:tcW w:w="900" w:type="dxa"/>
            <w:shd w:val="clear" w:color="auto" w:fill="auto"/>
            <w:noWrap/>
            <w:vAlign w:val="center"/>
            <w:hideMark/>
          </w:tcPr>
          <w:p w14:paraId="52501DB0" w14:textId="77777777" w:rsidR="00384890" w:rsidRDefault="00384890" w:rsidP="003B3C51">
            <w:pPr>
              <w:jc w:val="right"/>
              <w:rPr>
                <w:color w:val="000000"/>
              </w:rPr>
            </w:pPr>
            <w:r>
              <w:rPr>
                <w:color w:val="000000"/>
              </w:rPr>
              <w:t>0.48</w:t>
            </w:r>
          </w:p>
        </w:tc>
        <w:tc>
          <w:tcPr>
            <w:tcW w:w="900" w:type="dxa"/>
            <w:shd w:val="clear" w:color="auto" w:fill="auto"/>
            <w:noWrap/>
            <w:vAlign w:val="center"/>
            <w:hideMark/>
          </w:tcPr>
          <w:p w14:paraId="668FC253" w14:textId="77777777" w:rsidR="00384890" w:rsidRDefault="00384890" w:rsidP="003B3C51">
            <w:pPr>
              <w:jc w:val="center"/>
              <w:rPr>
                <w:color w:val="000000"/>
              </w:rPr>
            </w:pPr>
            <w:r>
              <w:rPr>
                <w:color w:val="000000"/>
              </w:rPr>
              <w:t>0.19</w:t>
            </w:r>
          </w:p>
        </w:tc>
        <w:tc>
          <w:tcPr>
            <w:tcW w:w="900" w:type="dxa"/>
            <w:shd w:val="clear" w:color="auto" w:fill="auto"/>
            <w:noWrap/>
            <w:vAlign w:val="center"/>
            <w:hideMark/>
          </w:tcPr>
          <w:p w14:paraId="341EDEBE" w14:textId="77777777" w:rsidR="00384890" w:rsidRDefault="00384890" w:rsidP="003B3C51">
            <w:pPr>
              <w:jc w:val="right"/>
              <w:rPr>
                <w:color w:val="000000"/>
              </w:rPr>
            </w:pPr>
            <w:r>
              <w:rPr>
                <w:color w:val="000000"/>
              </w:rPr>
              <w:t>7.28</w:t>
            </w:r>
          </w:p>
        </w:tc>
        <w:tc>
          <w:tcPr>
            <w:tcW w:w="900" w:type="dxa"/>
            <w:shd w:val="clear" w:color="auto" w:fill="auto"/>
            <w:noWrap/>
            <w:vAlign w:val="center"/>
            <w:hideMark/>
          </w:tcPr>
          <w:p w14:paraId="1F53EAC7" w14:textId="77777777" w:rsidR="00384890" w:rsidRDefault="00384890" w:rsidP="003B3C51">
            <w:pPr>
              <w:jc w:val="center"/>
              <w:rPr>
                <w:color w:val="000000"/>
              </w:rPr>
            </w:pPr>
            <w:r>
              <w:rPr>
                <w:color w:val="000000"/>
              </w:rPr>
              <w:t>0.65</w:t>
            </w:r>
          </w:p>
        </w:tc>
        <w:tc>
          <w:tcPr>
            <w:tcW w:w="900" w:type="dxa"/>
            <w:shd w:val="clear" w:color="auto" w:fill="auto"/>
            <w:noWrap/>
            <w:vAlign w:val="center"/>
            <w:hideMark/>
          </w:tcPr>
          <w:p w14:paraId="7162A044" w14:textId="77777777" w:rsidR="00384890" w:rsidRDefault="00384890" w:rsidP="003B3C51">
            <w:pPr>
              <w:jc w:val="right"/>
              <w:rPr>
                <w:color w:val="000000"/>
              </w:rPr>
            </w:pPr>
            <w:r>
              <w:rPr>
                <w:color w:val="000000"/>
              </w:rPr>
              <w:t>0.33</w:t>
            </w:r>
          </w:p>
        </w:tc>
        <w:tc>
          <w:tcPr>
            <w:tcW w:w="900" w:type="dxa"/>
            <w:shd w:val="clear" w:color="auto" w:fill="auto"/>
            <w:noWrap/>
            <w:vAlign w:val="center"/>
            <w:hideMark/>
          </w:tcPr>
          <w:p w14:paraId="6FAB57F2" w14:textId="77777777" w:rsidR="00384890" w:rsidRDefault="00384890" w:rsidP="003B3C51">
            <w:pPr>
              <w:jc w:val="center"/>
              <w:rPr>
                <w:color w:val="000000"/>
              </w:rPr>
            </w:pPr>
            <w:r>
              <w:rPr>
                <w:color w:val="000000"/>
              </w:rPr>
              <w:t>0.02</w:t>
            </w:r>
          </w:p>
        </w:tc>
        <w:tc>
          <w:tcPr>
            <w:tcW w:w="900" w:type="dxa"/>
            <w:shd w:val="clear" w:color="auto" w:fill="auto"/>
            <w:noWrap/>
            <w:vAlign w:val="center"/>
            <w:hideMark/>
          </w:tcPr>
          <w:p w14:paraId="1B59D9E0" w14:textId="77777777" w:rsidR="00384890" w:rsidRDefault="00384890" w:rsidP="003B3C51">
            <w:pPr>
              <w:jc w:val="right"/>
              <w:rPr>
                <w:color w:val="000000"/>
              </w:rPr>
            </w:pPr>
            <w:r>
              <w:rPr>
                <w:color w:val="000000"/>
              </w:rPr>
              <w:t>1.22</w:t>
            </w:r>
          </w:p>
        </w:tc>
        <w:tc>
          <w:tcPr>
            <w:tcW w:w="900" w:type="dxa"/>
            <w:shd w:val="clear" w:color="auto" w:fill="auto"/>
            <w:noWrap/>
            <w:vAlign w:val="center"/>
            <w:hideMark/>
          </w:tcPr>
          <w:p w14:paraId="61081CB2" w14:textId="77777777" w:rsidR="00384890" w:rsidRDefault="00384890" w:rsidP="003B3C51">
            <w:pPr>
              <w:jc w:val="center"/>
              <w:rPr>
                <w:color w:val="000000"/>
              </w:rPr>
            </w:pPr>
            <w:r>
              <w:rPr>
                <w:color w:val="000000"/>
              </w:rPr>
              <w:t>0.85</w:t>
            </w:r>
          </w:p>
        </w:tc>
        <w:tc>
          <w:tcPr>
            <w:tcW w:w="900" w:type="dxa"/>
            <w:shd w:val="clear" w:color="auto" w:fill="auto"/>
            <w:noWrap/>
            <w:vAlign w:val="center"/>
            <w:hideMark/>
          </w:tcPr>
          <w:p w14:paraId="0F41CCF5" w14:textId="77777777" w:rsidR="00384890" w:rsidRDefault="00384890" w:rsidP="003B3C51">
            <w:pPr>
              <w:jc w:val="right"/>
              <w:rPr>
                <w:color w:val="000000"/>
              </w:rPr>
            </w:pPr>
            <w:r>
              <w:rPr>
                <w:color w:val="000000"/>
              </w:rPr>
              <w:t>6.85</w:t>
            </w:r>
          </w:p>
        </w:tc>
        <w:tc>
          <w:tcPr>
            <w:tcW w:w="900" w:type="dxa"/>
            <w:shd w:val="clear" w:color="auto" w:fill="auto"/>
            <w:noWrap/>
            <w:vAlign w:val="center"/>
            <w:hideMark/>
          </w:tcPr>
          <w:p w14:paraId="6A6082E1" w14:textId="77777777" w:rsidR="00384890" w:rsidRDefault="00384890" w:rsidP="003B3C51">
            <w:pPr>
              <w:jc w:val="center"/>
              <w:rPr>
                <w:color w:val="000000"/>
              </w:rPr>
            </w:pPr>
            <w:r>
              <w:rPr>
                <w:color w:val="000000"/>
              </w:rPr>
              <w:t>0.32</w:t>
            </w:r>
          </w:p>
        </w:tc>
      </w:tr>
      <w:tr w:rsidR="00384890" w14:paraId="72234139" w14:textId="77777777" w:rsidTr="003B3C51">
        <w:trPr>
          <w:trHeight w:val="320"/>
        </w:trPr>
        <w:tc>
          <w:tcPr>
            <w:tcW w:w="920" w:type="dxa"/>
            <w:shd w:val="clear" w:color="auto" w:fill="auto"/>
            <w:noWrap/>
            <w:vAlign w:val="center"/>
            <w:hideMark/>
          </w:tcPr>
          <w:p w14:paraId="2E7817B3" w14:textId="77777777" w:rsidR="00384890" w:rsidRDefault="00384890" w:rsidP="003B3C51">
            <w:pPr>
              <w:jc w:val="center"/>
              <w:rPr>
                <w:color w:val="000000"/>
              </w:rPr>
            </w:pPr>
            <w:r>
              <w:rPr>
                <w:color w:val="000000"/>
              </w:rPr>
              <w:t>CaO</w:t>
            </w:r>
          </w:p>
        </w:tc>
        <w:tc>
          <w:tcPr>
            <w:tcW w:w="900" w:type="dxa"/>
            <w:shd w:val="clear" w:color="auto" w:fill="auto"/>
            <w:noWrap/>
            <w:vAlign w:val="center"/>
            <w:hideMark/>
          </w:tcPr>
          <w:p w14:paraId="5031EA45" w14:textId="77777777" w:rsidR="00384890" w:rsidRDefault="00384890" w:rsidP="003B3C51">
            <w:pPr>
              <w:jc w:val="right"/>
              <w:rPr>
                <w:color w:val="000000"/>
              </w:rPr>
            </w:pPr>
            <w:r>
              <w:rPr>
                <w:color w:val="000000"/>
              </w:rPr>
              <w:t>13.91</w:t>
            </w:r>
          </w:p>
        </w:tc>
        <w:tc>
          <w:tcPr>
            <w:tcW w:w="900" w:type="dxa"/>
            <w:shd w:val="clear" w:color="auto" w:fill="auto"/>
            <w:noWrap/>
            <w:vAlign w:val="center"/>
            <w:hideMark/>
          </w:tcPr>
          <w:p w14:paraId="25F53468" w14:textId="77777777" w:rsidR="00384890" w:rsidRDefault="00384890" w:rsidP="003B3C51">
            <w:pPr>
              <w:jc w:val="center"/>
              <w:rPr>
                <w:color w:val="000000"/>
              </w:rPr>
            </w:pPr>
            <w:r>
              <w:rPr>
                <w:color w:val="000000"/>
              </w:rPr>
              <w:t>0.10</w:t>
            </w:r>
          </w:p>
        </w:tc>
        <w:tc>
          <w:tcPr>
            <w:tcW w:w="900" w:type="dxa"/>
            <w:shd w:val="clear" w:color="auto" w:fill="auto"/>
            <w:noWrap/>
            <w:vAlign w:val="center"/>
            <w:hideMark/>
          </w:tcPr>
          <w:p w14:paraId="4AE83D5E" w14:textId="77777777" w:rsidR="00384890" w:rsidRDefault="00384890" w:rsidP="003B3C51">
            <w:pPr>
              <w:jc w:val="right"/>
              <w:rPr>
                <w:color w:val="000000"/>
              </w:rPr>
            </w:pPr>
            <w:r>
              <w:rPr>
                <w:color w:val="000000"/>
              </w:rPr>
              <w:t>10.38</w:t>
            </w:r>
          </w:p>
        </w:tc>
        <w:tc>
          <w:tcPr>
            <w:tcW w:w="900" w:type="dxa"/>
            <w:shd w:val="clear" w:color="auto" w:fill="auto"/>
            <w:noWrap/>
            <w:vAlign w:val="center"/>
            <w:hideMark/>
          </w:tcPr>
          <w:p w14:paraId="4A8712D8" w14:textId="77777777" w:rsidR="00384890" w:rsidRDefault="00384890" w:rsidP="003B3C51">
            <w:pPr>
              <w:jc w:val="center"/>
              <w:rPr>
                <w:color w:val="000000"/>
              </w:rPr>
            </w:pPr>
            <w:r>
              <w:rPr>
                <w:color w:val="000000"/>
              </w:rPr>
              <w:t>1.96</w:t>
            </w:r>
          </w:p>
        </w:tc>
        <w:tc>
          <w:tcPr>
            <w:tcW w:w="900" w:type="dxa"/>
            <w:shd w:val="clear" w:color="auto" w:fill="auto"/>
            <w:noWrap/>
            <w:vAlign w:val="center"/>
            <w:hideMark/>
          </w:tcPr>
          <w:p w14:paraId="3AEABE30" w14:textId="77777777" w:rsidR="00384890" w:rsidRDefault="00384890" w:rsidP="003B3C51">
            <w:pPr>
              <w:jc w:val="right"/>
              <w:rPr>
                <w:color w:val="000000"/>
              </w:rPr>
            </w:pPr>
            <w:r>
              <w:rPr>
                <w:color w:val="000000"/>
              </w:rPr>
              <w:t>12.48</w:t>
            </w:r>
          </w:p>
        </w:tc>
        <w:tc>
          <w:tcPr>
            <w:tcW w:w="900" w:type="dxa"/>
            <w:shd w:val="clear" w:color="auto" w:fill="auto"/>
            <w:noWrap/>
            <w:vAlign w:val="center"/>
            <w:hideMark/>
          </w:tcPr>
          <w:p w14:paraId="5A8F097C" w14:textId="77777777" w:rsidR="00384890" w:rsidRDefault="00384890" w:rsidP="003B3C51">
            <w:pPr>
              <w:jc w:val="center"/>
              <w:rPr>
                <w:color w:val="000000"/>
              </w:rPr>
            </w:pPr>
            <w:r>
              <w:rPr>
                <w:color w:val="000000"/>
              </w:rPr>
              <w:t>0.32</w:t>
            </w:r>
          </w:p>
        </w:tc>
        <w:tc>
          <w:tcPr>
            <w:tcW w:w="900" w:type="dxa"/>
            <w:shd w:val="clear" w:color="auto" w:fill="auto"/>
            <w:noWrap/>
            <w:vAlign w:val="center"/>
            <w:hideMark/>
          </w:tcPr>
          <w:p w14:paraId="3C6BAFEA" w14:textId="77777777" w:rsidR="00384890" w:rsidRDefault="00384890" w:rsidP="003B3C51">
            <w:pPr>
              <w:jc w:val="right"/>
              <w:rPr>
                <w:color w:val="000000"/>
              </w:rPr>
            </w:pPr>
            <w:r>
              <w:rPr>
                <w:color w:val="000000"/>
              </w:rPr>
              <w:t>9.59</w:t>
            </w:r>
          </w:p>
        </w:tc>
        <w:tc>
          <w:tcPr>
            <w:tcW w:w="900" w:type="dxa"/>
            <w:shd w:val="clear" w:color="auto" w:fill="auto"/>
            <w:noWrap/>
            <w:vAlign w:val="center"/>
            <w:hideMark/>
          </w:tcPr>
          <w:p w14:paraId="0A4883FF" w14:textId="77777777" w:rsidR="00384890" w:rsidRDefault="00384890" w:rsidP="003B3C51">
            <w:pPr>
              <w:jc w:val="center"/>
              <w:rPr>
                <w:color w:val="000000"/>
              </w:rPr>
            </w:pPr>
            <w:r>
              <w:rPr>
                <w:color w:val="000000"/>
              </w:rPr>
              <w:t>2.07</w:t>
            </w:r>
          </w:p>
        </w:tc>
        <w:tc>
          <w:tcPr>
            <w:tcW w:w="900" w:type="dxa"/>
            <w:shd w:val="clear" w:color="auto" w:fill="auto"/>
            <w:noWrap/>
            <w:vAlign w:val="center"/>
            <w:hideMark/>
          </w:tcPr>
          <w:p w14:paraId="1AFC74E7" w14:textId="77777777" w:rsidR="00384890" w:rsidRDefault="00384890" w:rsidP="003B3C51">
            <w:pPr>
              <w:jc w:val="right"/>
              <w:rPr>
                <w:color w:val="000000"/>
              </w:rPr>
            </w:pPr>
            <w:r>
              <w:rPr>
                <w:color w:val="000000"/>
              </w:rPr>
              <w:t>14.39</w:t>
            </w:r>
          </w:p>
        </w:tc>
        <w:tc>
          <w:tcPr>
            <w:tcW w:w="900" w:type="dxa"/>
            <w:shd w:val="clear" w:color="auto" w:fill="auto"/>
            <w:noWrap/>
            <w:vAlign w:val="center"/>
            <w:hideMark/>
          </w:tcPr>
          <w:p w14:paraId="621D7C49" w14:textId="77777777" w:rsidR="00384890" w:rsidRDefault="00384890" w:rsidP="003B3C51">
            <w:pPr>
              <w:jc w:val="center"/>
              <w:rPr>
                <w:color w:val="000000"/>
              </w:rPr>
            </w:pPr>
            <w:r>
              <w:rPr>
                <w:color w:val="000000"/>
              </w:rPr>
              <w:t>0.43</w:t>
            </w:r>
          </w:p>
        </w:tc>
        <w:tc>
          <w:tcPr>
            <w:tcW w:w="900" w:type="dxa"/>
            <w:shd w:val="clear" w:color="auto" w:fill="auto"/>
            <w:noWrap/>
            <w:vAlign w:val="center"/>
            <w:hideMark/>
          </w:tcPr>
          <w:p w14:paraId="2035E978" w14:textId="77777777" w:rsidR="00384890" w:rsidRDefault="00384890" w:rsidP="003B3C51">
            <w:pPr>
              <w:jc w:val="right"/>
              <w:rPr>
                <w:color w:val="000000"/>
              </w:rPr>
            </w:pPr>
            <w:r>
              <w:rPr>
                <w:color w:val="000000"/>
              </w:rPr>
              <w:t>12.65</w:t>
            </w:r>
          </w:p>
        </w:tc>
        <w:tc>
          <w:tcPr>
            <w:tcW w:w="900" w:type="dxa"/>
            <w:shd w:val="clear" w:color="auto" w:fill="auto"/>
            <w:noWrap/>
            <w:vAlign w:val="center"/>
            <w:hideMark/>
          </w:tcPr>
          <w:p w14:paraId="4F4A581D" w14:textId="77777777" w:rsidR="00384890" w:rsidRDefault="00384890" w:rsidP="003B3C51">
            <w:pPr>
              <w:jc w:val="center"/>
              <w:rPr>
                <w:color w:val="000000"/>
              </w:rPr>
            </w:pPr>
            <w:r>
              <w:rPr>
                <w:color w:val="000000"/>
              </w:rPr>
              <w:t>0.15</w:t>
            </w:r>
          </w:p>
        </w:tc>
      </w:tr>
      <w:tr w:rsidR="00384890" w14:paraId="6147409D" w14:textId="77777777" w:rsidTr="003B3C51">
        <w:trPr>
          <w:trHeight w:val="320"/>
        </w:trPr>
        <w:tc>
          <w:tcPr>
            <w:tcW w:w="920" w:type="dxa"/>
            <w:shd w:val="clear" w:color="auto" w:fill="auto"/>
            <w:noWrap/>
            <w:vAlign w:val="center"/>
            <w:hideMark/>
          </w:tcPr>
          <w:p w14:paraId="4D8A2F1A" w14:textId="77777777" w:rsidR="00384890" w:rsidRDefault="00384890" w:rsidP="003B3C51">
            <w:pPr>
              <w:jc w:val="center"/>
              <w:rPr>
                <w:color w:val="000000"/>
              </w:rPr>
            </w:pPr>
            <w:r>
              <w:rPr>
                <w:color w:val="000000"/>
              </w:rPr>
              <w:t>MnO</w:t>
            </w:r>
          </w:p>
        </w:tc>
        <w:tc>
          <w:tcPr>
            <w:tcW w:w="900" w:type="dxa"/>
            <w:shd w:val="clear" w:color="auto" w:fill="auto"/>
            <w:noWrap/>
            <w:vAlign w:val="center"/>
            <w:hideMark/>
          </w:tcPr>
          <w:p w14:paraId="493DDAFA" w14:textId="77777777" w:rsidR="00384890" w:rsidRDefault="00384890" w:rsidP="003B3C51">
            <w:pPr>
              <w:jc w:val="right"/>
              <w:rPr>
                <w:color w:val="000000"/>
              </w:rPr>
            </w:pPr>
            <w:r>
              <w:rPr>
                <w:color w:val="000000"/>
              </w:rPr>
              <w:t>1.05</w:t>
            </w:r>
          </w:p>
        </w:tc>
        <w:tc>
          <w:tcPr>
            <w:tcW w:w="900" w:type="dxa"/>
            <w:shd w:val="clear" w:color="auto" w:fill="auto"/>
            <w:noWrap/>
            <w:vAlign w:val="center"/>
            <w:hideMark/>
          </w:tcPr>
          <w:p w14:paraId="65067D30" w14:textId="77777777" w:rsidR="00384890" w:rsidRDefault="00384890" w:rsidP="003B3C51">
            <w:pPr>
              <w:jc w:val="center"/>
              <w:rPr>
                <w:color w:val="000000"/>
              </w:rPr>
            </w:pPr>
            <w:r>
              <w:rPr>
                <w:color w:val="000000"/>
              </w:rPr>
              <w:t>0.02</w:t>
            </w:r>
          </w:p>
        </w:tc>
        <w:tc>
          <w:tcPr>
            <w:tcW w:w="900" w:type="dxa"/>
            <w:shd w:val="clear" w:color="auto" w:fill="auto"/>
            <w:noWrap/>
            <w:vAlign w:val="center"/>
            <w:hideMark/>
          </w:tcPr>
          <w:p w14:paraId="44FD8882" w14:textId="77777777" w:rsidR="00384890" w:rsidRDefault="00384890" w:rsidP="003B3C51">
            <w:pPr>
              <w:jc w:val="right"/>
              <w:rPr>
                <w:color w:val="000000"/>
              </w:rPr>
            </w:pPr>
            <w:r>
              <w:rPr>
                <w:color w:val="000000"/>
              </w:rPr>
              <w:t>1.09</w:t>
            </w:r>
          </w:p>
        </w:tc>
        <w:tc>
          <w:tcPr>
            <w:tcW w:w="900" w:type="dxa"/>
            <w:shd w:val="clear" w:color="auto" w:fill="auto"/>
            <w:noWrap/>
            <w:vAlign w:val="center"/>
            <w:hideMark/>
          </w:tcPr>
          <w:p w14:paraId="4D6AB68C" w14:textId="77777777" w:rsidR="00384890" w:rsidRDefault="00384890" w:rsidP="003B3C51">
            <w:pPr>
              <w:jc w:val="center"/>
              <w:rPr>
                <w:color w:val="000000"/>
              </w:rPr>
            </w:pPr>
            <w:r>
              <w:rPr>
                <w:color w:val="000000"/>
              </w:rPr>
              <w:t>0.15</w:t>
            </w:r>
          </w:p>
        </w:tc>
        <w:tc>
          <w:tcPr>
            <w:tcW w:w="900" w:type="dxa"/>
            <w:shd w:val="clear" w:color="auto" w:fill="auto"/>
            <w:noWrap/>
            <w:vAlign w:val="center"/>
            <w:hideMark/>
          </w:tcPr>
          <w:p w14:paraId="11E9F21A" w14:textId="77777777" w:rsidR="00384890" w:rsidRDefault="00384890" w:rsidP="003B3C51">
            <w:pPr>
              <w:jc w:val="right"/>
              <w:rPr>
                <w:color w:val="000000"/>
              </w:rPr>
            </w:pPr>
            <w:r>
              <w:rPr>
                <w:color w:val="000000"/>
              </w:rPr>
              <w:t>0.94</w:t>
            </w:r>
          </w:p>
        </w:tc>
        <w:tc>
          <w:tcPr>
            <w:tcW w:w="900" w:type="dxa"/>
            <w:shd w:val="clear" w:color="auto" w:fill="auto"/>
            <w:noWrap/>
            <w:vAlign w:val="center"/>
            <w:hideMark/>
          </w:tcPr>
          <w:p w14:paraId="56F98FBC" w14:textId="77777777" w:rsidR="00384890" w:rsidRDefault="00384890" w:rsidP="003B3C51">
            <w:pPr>
              <w:jc w:val="center"/>
              <w:rPr>
                <w:color w:val="000000"/>
              </w:rPr>
            </w:pPr>
            <w:r>
              <w:rPr>
                <w:color w:val="000000"/>
              </w:rPr>
              <w:t>0.03</w:t>
            </w:r>
          </w:p>
        </w:tc>
        <w:tc>
          <w:tcPr>
            <w:tcW w:w="900" w:type="dxa"/>
            <w:shd w:val="clear" w:color="auto" w:fill="auto"/>
            <w:noWrap/>
            <w:vAlign w:val="center"/>
            <w:hideMark/>
          </w:tcPr>
          <w:p w14:paraId="3F0BF34B" w14:textId="77777777" w:rsidR="00384890" w:rsidRDefault="00384890" w:rsidP="003B3C51">
            <w:pPr>
              <w:jc w:val="right"/>
              <w:rPr>
                <w:color w:val="000000"/>
              </w:rPr>
            </w:pPr>
            <w:r>
              <w:rPr>
                <w:color w:val="000000"/>
              </w:rPr>
              <w:t>1.01</w:t>
            </w:r>
          </w:p>
        </w:tc>
        <w:tc>
          <w:tcPr>
            <w:tcW w:w="900" w:type="dxa"/>
            <w:shd w:val="clear" w:color="auto" w:fill="auto"/>
            <w:noWrap/>
            <w:vAlign w:val="center"/>
            <w:hideMark/>
          </w:tcPr>
          <w:p w14:paraId="48814F79" w14:textId="77777777" w:rsidR="00384890" w:rsidRDefault="00384890" w:rsidP="003B3C51">
            <w:pPr>
              <w:jc w:val="center"/>
              <w:rPr>
                <w:color w:val="000000"/>
              </w:rPr>
            </w:pPr>
            <w:r>
              <w:rPr>
                <w:color w:val="000000"/>
              </w:rPr>
              <w:t>0.04</w:t>
            </w:r>
          </w:p>
        </w:tc>
        <w:tc>
          <w:tcPr>
            <w:tcW w:w="900" w:type="dxa"/>
            <w:shd w:val="clear" w:color="auto" w:fill="auto"/>
            <w:noWrap/>
            <w:vAlign w:val="center"/>
            <w:hideMark/>
          </w:tcPr>
          <w:p w14:paraId="23D2BCE2" w14:textId="77777777" w:rsidR="00384890" w:rsidRDefault="00384890" w:rsidP="003B3C51">
            <w:pPr>
              <w:jc w:val="right"/>
              <w:rPr>
                <w:color w:val="000000"/>
              </w:rPr>
            </w:pPr>
            <w:r>
              <w:rPr>
                <w:color w:val="000000"/>
              </w:rPr>
              <w:t>1.03</w:t>
            </w:r>
          </w:p>
        </w:tc>
        <w:tc>
          <w:tcPr>
            <w:tcW w:w="900" w:type="dxa"/>
            <w:shd w:val="clear" w:color="auto" w:fill="auto"/>
            <w:noWrap/>
            <w:vAlign w:val="center"/>
            <w:hideMark/>
          </w:tcPr>
          <w:p w14:paraId="66A50177" w14:textId="77777777" w:rsidR="00384890" w:rsidRDefault="00384890" w:rsidP="003B3C51">
            <w:pPr>
              <w:jc w:val="center"/>
              <w:rPr>
                <w:color w:val="000000"/>
              </w:rPr>
            </w:pPr>
            <w:r>
              <w:rPr>
                <w:color w:val="000000"/>
              </w:rPr>
              <w:t>0.04</w:t>
            </w:r>
          </w:p>
        </w:tc>
        <w:tc>
          <w:tcPr>
            <w:tcW w:w="900" w:type="dxa"/>
            <w:shd w:val="clear" w:color="auto" w:fill="auto"/>
            <w:noWrap/>
            <w:vAlign w:val="center"/>
            <w:hideMark/>
          </w:tcPr>
          <w:p w14:paraId="63362A7D" w14:textId="77777777" w:rsidR="00384890" w:rsidRDefault="00384890" w:rsidP="003B3C51">
            <w:pPr>
              <w:jc w:val="right"/>
              <w:rPr>
                <w:color w:val="000000"/>
              </w:rPr>
            </w:pPr>
            <w:r>
              <w:rPr>
                <w:color w:val="000000"/>
              </w:rPr>
              <w:t>0.92</w:t>
            </w:r>
          </w:p>
        </w:tc>
        <w:tc>
          <w:tcPr>
            <w:tcW w:w="900" w:type="dxa"/>
            <w:shd w:val="clear" w:color="auto" w:fill="auto"/>
            <w:noWrap/>
            <w:vAlign w:val="center"/>
            <w:hideMark/>
          </w:tcPr>
          <w:p w14:paraId="3008EBB5" w14:textId="77777777" w:rsidR="00384890" w:rsidRDefault="00384890" w:rsidP="003B3C51">
            <w:pPr>
              <w:jc w:val="center"/>
              <w:rPr>
                <w:color w:val="000000"/>
              </w:rPr>
            </w:pPr>
            <w:r>
              <w:rPr>
                <w:color w:val="000000"/>
              </w:rPr>
              <w:t>0.02</w:t>
            </w:r>
          </w:p>
        </w:tc>
      </w:tr>
      <w:tr w:rsidR="00384890" w14:paraId="4FA16C9E" w14:textId="77777777" w:rsidTr="003B3C51">
        <w:trPr>
          <w:trHeight w:val="320"/>
        </w:trPr>
        <w:tc>
          <w:tcPr>
            <w:tcW w:w="920" w:type="dxa"/>
            <w:shd w:val="clear" w:color="auto" w:fill="auto"/>
            <w:noWrap/>
            <w:vAlign w:val="center"/>
            <w:hideMark/>
          </w:tcPr>
          <w:p w14:paraId="0586BA47" w14:textId="77777777" w:rsidR="00384890" w:rsidRDefault="00384890" w:rsidP="003B3C51">
            <w:pPr>
              <w:jc w:val="center"/>
              <w:rPr>
                <w:color w:val="000000"/>
              </w:rPr>
            </w:pPr>
            <w:r>
              <w:rPr>
                <w:color w:val="000000"/>
              </w:rPr>
              <w:t>FeO</w:t>
            </w:r>
          </w:p>
        </w:tc>
        <w:tc>
          <w:tcPr>
            <w:tcW w:w="900" w:type="dxa"/>
            <w:shd w:val="clear" w:color="auto" w:fill="auto"/>
            <w:noWrap/>
            <w:vAlign w:val="center"/>
            <w:hideMark/>
          </w:tcPr>
          <w:p w14:paraId="1CA4F735" w14:textId="77777777" w:rsidR="00384890" w:rsidRDefault="00384890" w:rsidP="003B3C51">
            <w:pPr>
              <w:jc w:val="right"/>
              <w:rPr>
                <w:color w:val="000000"/>
              </w:rPr>
            </w:pPr>
            <w:r>
              <w:rPr>
                <w:color w:val="000000"/>
              </w:rPr>
              <w:t>31.21</w:t>
            </w:r>
          </w:p>
        </w:tc>
        <w:tc>
          <w:tcPr>
            <w:tcW w:w="900" w:type="dxa"/>
            <w:shd w:val="clear" w:color="auto" w:fill="auto"/>
            <w:noWrap/>
            <w:vAlign w:val="center"/>
            <w:hideMark/>
          </w:tcPr>
          <w:p w14:paraId="7FAC75AE" w14:textId="77777777" w:rsidR="00384890" w:rsidRDefault="00384890" w:rsidP="003B3C51">
            <w:pPr>
              <w:jc w:val="center"/>
              <w:rPr>
                <w:color w:val="000000"/>
              </w:rPr>
            </w:pPr>
            <w:r>
              <w:rPr>
                <w:color w:val="000000"/>
              </w:rPr>
              <w:t>0.09</w:t>
            </w:r>
          </w:p>
        </w:tc>
        <w:tc>
          <w:tcPr>
            <w:tcW w:w="900" w:type="dxa"/>
            <w:shd w:val="clear" w:color="auto" w:fill="auto"/>
            <w:noWrap/>
            <w:vAlign w:val="center"/>
            <w:hideMark/>
          </w:tcPr>
          <w:p w14:paraId="162B94B7" w14:textId="77777777" w:rsidR="00384890" w:rsidRDefault="00384890" w:rsidP="003B3C51">
            <w:pPr>
              <w:jc w:val="right"/>
              <w:rPr>
                <w:color w:val="000000"/>
              </w:rPr>
            </w:pPr>
            <w:r>
              <w:rPr>
                <w:color w:val="000000"/>
              </w:rPr>
              <w:t>34.07</w:t>
            </w:r>
          </w:p>
        </w:tc>
        <w:tc>
          <w:tcPr>
            <w:tcW w:w="900" w:type="dxa"/>
            <w:shd w:val="clear" w:color="auto" w:fill="auto"/>
            <w:noWrap/>
            <w:vAlign w:val="center"/>
            <w:hideMark/>
          </w:tcPr>
          <w:p w14:paraId="20F4F7BD" w14:textId="77777777" w:rsidR="00384890" w:rsidRDefault="00384890" w:rsidP="003B3C51">
            <w:pPr>
              <w:jc w:val="center"/>
              <w:rPr>
                <w:color w:val="000000"/>
              </w:rPr>
            </w:pPr>
            <w:r>
              <w:rPr>
                <w:color w:val="000000"/>
              </w:rPr>
              <w:t>2.06</w:t>
            </w:r>
          </w:p>
        </w:tc>
        <w:tc>
          <w:tcPr>
            <w:tcW w:w="900" w:type="dxa"/>
            <w:shd w:val="clear" w:color="auto" w:fill="auto"/>
            <w:noWrap/>
            <w:vAlign w:val="center"/>
            <w:hideMark/>
          </w:tcPr>
          <w:p w14:paraId="70D0DD88" w14:textId="77777777" w:rsidR="00384890" w:rsidRDefault="00384890" w:rsidP="003B3C51">
            <w:pPr>
              <w:jc w:val="right"/>
              <w:rPr>
                <w:color w:val="000000"/>
              </w:rPr>
            </w:pPr>
            <w:r>
              <w:rPr>
                <w:color w:val="000000"/>
              </w:rPr>
              <w:t>28.55</w:t>
            </w:r>
          </w:p>
        </w:tc>
        <w:tc>
          <w:tcPr>
            <w:tcW w:w="900" w:type="dxa"/>
            <w:shd w:val="clear" w:color="auto" w:fill="auto"/>
            <w:noWrap/>
            <w:vAlign w:val="center"/>
            <w:hideMark/>
          </w:tcPr>
          <w:p w14:paraId="17CF9C60" w14:textId="77777777" w:rsidR="00384890" w:rsidRDefault="00384890" w:rsidP="003B3C51">
            <w:pPr>
              <w:jc w:val="center"/>
              <w:rPr>
                <w:color w:val="000000"/>
              </w:rPr>
            </w:pPr>
            <w:r>
              <w:rPr>
                <w:color w:val="000000"/>
              </w:rPr>
              <w:t>0.35</w:t>
            </w:r>
          </w:p>
        </w:tc>
        <w:tc>
          <w:tcPr>
            <w:tcW w:w="900" w:type="dxa"/>
            <w:shd w:val="clear" w:color="auto" w:fill="auto"/>
            <w:noWrap/>
            <w:vAlign w:val="center"/>
            <w:hideMark/>
          </w:tcPr>
          <w:p w14:paraId="12AECCFE" w14:textId="77777777" w:rsidR="00384890" w:rsidRDefault="00384890" w:rsidP="003B3C51">
            <w:pPr>
              <w:jc w:val="right"/>
              <w:rPr>
                <w:color w:val="000000"/>
              </w:rPr>
            </w:pPr>
            <w:r>
              <w:rPr>
                <w:color w:val="000000"/>
              </w:rPr>
              <w:t>38.84</w:t>
            </w:r>
          </w:p>
        </w:tc>
        <w:tc>
          <w:tcPr>
            <w:tcW w:w="900" w:type="dxa"/>
            <w:shd w:val="clear" w:color="auto" w:fill="auto"/>
            <w:noWrap/>
            <w:vAlign w:val="center"/>
            <w:hideMark/>
          </w:tcPr>
          <w:p w14:paraId="56FAF600" w14:textId="77777777" w:rsidR="00384890" w:rsidRDefault="00384890" w:rsidP="003B3C51">
            <w:pPr>
              <w:jc w:val="center"/>
              <w:rPr>
                <w:color w:val="000000"/>
              </w:rPr>
            </w:pPr>
            <w:r>
              <w:rPr>
                <w:color w:val="000000"/>
              </w:rPr>
              <w:t>3.15</w:t>
            </w:r>
          </w:p>
        </w:tc>
        <w:tc>
          <w:tcPr>
            <w:tcW w:w="900" w:type="dxa"/>
            <w:shd w:val="clear" w:color="auto" w:fill="auto"/>
            <w:noWrap/>
            <w:vAlign w:val="center"/>
            <w:hideMark/>
          </w:tcPr>
          <w:p w14:paraId="74BC5402" w14:textId="77777777" w:rsidR="00384890" w:rsidRDefault="00384890" w:rsidP="003B3C51">
            <w:pPr>
              <w:jc w:val="right"/>
              <w:rPr>
                <w:color w:val="000000"/>
              </w:rPr>
            </w:pPr>
            <w:r>
              <w:rPr>
                <w:color w:val="000000"/>
              </w:rPr>
              <w:t>30.97</w:t>
            </w:r>
          </w:p>
        </w:tc>
        <w:tc>
          <w:tcPr>
            <w:tcW w:w="900" w:type="dxa"/>
            <w:shd w:val="clear" w:color="auto" w:fill="auto"/>
            <w:noWrap/>
            <w:vAlign w:val="center"/>
            <w:hideMark/>
          </w:tcPr>
          <w:p w14:paraId="77EFD426" w14:textId="77777777" w:rsidR="00384890" w:rsidRDefault="00384890" w:rsidP="003B3C51">
            <w:pPr>
              <w:jc w:val="center"/>
              <w:rPr>
                <w:color w:val="000000"/>
              </w:rPr>
            </w:pPr>
            <w:r>
              <w:rPr>
                <w:color w:val="000000"/>
              </w:rPr>
              <w:t>1.36</w:t>
            </w:r>
          </w:p>
        </w:tc>
        <w:tc>
          <w:tcPr>
            <w:tcW w:w="900" w:type="dxa"/>
            <w:shd w:val="clear" w:color="auto" w:fill="auto"/>
            <w:noWrap/>
            <w:vAlign w:val="center"/>
            <w:hideMark/>
          </w:tcPr>
          <w:p w14:paraId="46AAA6B9" w14:textId="77777777" w:rsidR="00384890" w:rsidRDefault="00384890" w:rsidP="003B3C51">
            <w:pPr>
              <w:jc w:val="right"/>
              <w:rPr>
                <w:color w:val="000000"/>
              </w:rPr>
            </w:pPr>
            <w:r>
              <w:rPr>
                <w:color w:val="000000"/>
              </w:rPr>
              <w:t>28.01</w:t>
            </w:r>
          </w:p>
        </w:tc>
        <w:tc>
          <w:tcPr>
            <w:tcW w:w="900" w:type="dxa"/>
            <w:shd w:val="clear" w:color="auto" w:fill="auto"/>
            <w:noWrap/>
            <w:vAlign w:val="center"/>
            <w:hideMark/>
          </w:tcPr>
          <w:p w14:paraId="1BCAD6DC" w14:textId="77777777" w:rsidR="00384890" w:rsidRDefault="00384890" w:rsidP="003B3C51">
            <w:pPr>
              <w:jc w:val="center"/>
              <w:rPr>
                <w:color w:val="000000"/>
              </w:rPr>
            </w:pPr>
            <w:r>
              <w:rPr>
                <w:color w:val="000000"/>
              </w:rPr>
              <w:t>0.19</w:t>
            </w:r>
          </w:p>
        </w:tc>
      </w:tr>
      <w:tr w:rsidR="00384890" w14:paraId="38C81956" w14:textId="77777777" w:rsidTr="003B3C51">
        <w:trPr>
          <w:trHeight w:val="320"/>
        </w:trPr>
        <w:tc>
          <w:tcPr>
            <w:tcW w:w="920" w:type="dxa"/>
            <w:shd w:val="clear" w:color="auto" w:fill="auto"/>
            <w:noWrap/>
            <w:vAlign w:val="center"/>
            <w:hideMark/>
          </w:tcPr>
          <w:p w14:paraId="7ED0DA29" w14:textId="77777777" w:rsidR="00384890" w:rsidRDefault="00384890" w:rsidP="003B3C51">
            <w:pPr>
              <w:jc w:val="center"/>
              <w:rPr>
                <w:color w:val="000000"/>
              </w:rPr>
            </w:pPr>
            <w:r>
              <w:rPr>
                <w:color w:val="000000"/>
              </w:rPr>
              <w:t>NiO</w:t>
            </w:r>
          </w:p>
        </w:tc>
        <w:tc>
          <w:tcPr>
            <w:tcW w:w="900" w:type="dxa"/>
            <w:shd w:val="clear" w:color="auto" w:fill="auto"/>
            <w:noWrap/>
            <w:vAlign w:val="center"/>
            <w:hideMark/>
          </w:tcPr>
          <w:p w14:paraId="2D4E6542" w14:textId="77777777" w:rsidR="00384890" w:rsidRDefault="00384890" w:rsidP="003B3C51">
            <w:pPr>
              <w:jc w:val="right"/>
              <w:rPr>
                <w:color w:val="000000"/>
              </w:rPr>
            </w:pPr>
            <w:r>
              <w:rPr>
                <w:color w:val="000000"/>
              </w:rPr>
              <w:t>0.00</w:t>
            </w:r>
          </w:p>
        </w:tc>
        <w:tc>
          <w:tcPr>
            <w:tcW w:w="900" w:type="dxa"/>
            <w:shd w:val="clear" w:color="auto" w:fill="auto"/>
            <w:noWrap/>
            <w:vAlign w:val="center"/>
            <w:hideMark/>
          </w:tcPr>
          <w:p w14:paraId="338F7350" w14:textId="77777777" w:rsidR="00384890" w:rsidRDefault="00384890" w:rsidP="003B3C51">
            <w:pPr>
              <w:jc w:val="center"/>
              <w:rPr>
                <w:color w:val="000000"/>
              </w:rPr>
            </w:pPr>
            <w:r>
              <w:rPr>
                <w:color w:val="000000"/>
              </w:rPr>
              <w:t>0.00</w:t>
            </w:r>
          </w:p>
        </w:tc>
        <w:tc>
          <w:tcPr>
            <w:tcW w:w="900" w:type="dxa"/>
            <w:shd w:val="clear" w:color="auto" w:fill="auto"/>
            <w:noWrap/>
            <w:vAlign w:val="center"/>
            <w:hideMark/>
          </w:tcPr>
          <w:p w14:paraId="214791D7" w14:textId="77777777" w:rsidR="00384890" w:rsidRDefault="00384890" w:rsidP="003B3C51">
            <w:pPr>
              <w:jc w:val="right"/>
              <w:rPr>
                <w:color w:val="000000"/>
              </w:rPr>
            </w:pPr>
            <w:r>
              <w:rPr>
                <w:color w:val="000000"/>
              </w:rPr>
              <w:t>0.04</w:t>
            </w:r>
          </w:p>
        </w:tc>
        <w:tc>
          <w:tcPr>
            <w:tcW w:w="900" w:type="dxa"/>
            <w:shd w:val="clear" w:color="auto" w:fill="auto"/>
            <w:noWrap/>
            <w:vAlign w:val="center"/>
            <w:hideMark/>
          </w:tcPr>
          <w:p w14:paraId="51B2AD69" w14:textId="77777777" w:rsidR="00384890" w:rsidRDefault="00384890" w:rsidP="003B3C51">
            <w:pPr>
              <w:jc w:val="center"/>
              <w:rPr>
                <w:color w:val="000000"/>
              </w:rPr>
            </w:pPr>
            <w:r>
              <w:rPr>
                <w:color w:val="000000"/>
              </w:rPr>
              <w:t>0.06</w:t>
            </w:r>
          </w:p>
        </w:tc>
        <w:tc>
          <w:tcPr>
            <w:tcW w:w="900" w:type="dxa"/>
            <w:shd w:val="clear" w:color="auto" w:fill="auto"/>
            <w:noWrap/>
            <w:vAlign w:val="center"/>
            <w:hideMark/>
          </w:tcPr>
          <w:p w14:paraId="4EB379D9" w14:textId="77777777" w:rsidR="00384890" w:rsidRDefault="00384890" w:rsidP="003B3C51">
            <w:pPr>
              <w:jc w:val="right"/>
              <w:rPr>
                <w:color w:val="000000"/>
              </w:rPr>
            </w:pPr>
            <w:r>
              <w:rPr>
                <w:color w:val="000000"/>
              </w:rPr>
              <w:t>0.03</w:t>
            </w:r>
          </w:p>
        </w:tc>
        <w:tc>
          <w:tcPr>
            <w:tcW w:w="900" w:type="dxa"/>
            <w:shd w:val="clear" w:color="auto" w:fill="auto"/>
            <w:noWrap/>
            <w:vAlign w:val="center"/>
            <w:hideMark/>
          </w:tcPr>
          <w:p w14:paraId="56565877" w14:textId="77777777" w:rsidR="00384890" w:rsidRDefault="00384890" w:rsidP="003B3C51">
            <w:pPr>
              <w:jc w:val="center"/>
              <w:rPr>
                <w:color w:val="000000"/>
              </w:rPr>
            </w:pPr>
            <w:r>
              <w:rPr>
                <w:color w:val="000000"/>
              </w:rPr>
              <w:t>0.02</w:t>
            </w:r>
          </w:p>
        </w:tc>
        <w:tc>
          <w:tcPr>
            <w:tcW w:w="900" w:type="dxa"/>
            <w:shd w:val="clear" w:color="auto" w:fill="auto"/>
            <w:noWrap/>
            <w:vAlign w:val="center"/>
            <w:hideMark/>
          </w:tcPr>
          <w:p w14:paraId="498CB6E1" w14:textId="77777777" w:rsidR="00384890" w:rsidRDefault="00384890" w:rsidP="003B3C51">
            <w:pPr>
              <w:jc w:val="right"/>
              <w:rPr>
                <w:color w:val="000000"/>
              </w:rPr>
            </w:pPr>
            <w:r>
              <w:rPr>
                <w:color w:val="000000"/>
              </w:rPr>
              <w:t>0.01</w:t>
            </w:r>
          </w:p>
        </w:tc>
        <w:tc>
          <w:tcPr>
            <w:tcW w:w="900" w:type="dxa"/>
            <w:shd w:val="clear" w:color="auto" w:fill="auto"/>
            <w:noWrap/>
            <w:vAlign w:val="center"/>
            <w:hideMark/>
          </w:tcPr>
          <w:p w14:paraId="3650B3ED" w14:textId="77777777" w:rsidR="00384890" w:rsidRDefault="00384890" w:rsidP="003B3C51">
            <w:pPr>
              <w:jc w:val="center"/>
              <w:rPr>
                <w:color w:val="000000"/>
              </w:rPr>
            </w:pPr>
            <w:r>
              <w:rPr>
                <w:color w:val="000000"/>
              </w:rPr>
              <w:t>0.01</w:t>
            </w:r>
          </w:p>
        </w:tc>
        <w:tc>
          <w:tcPr>
            <w:tcW w:w="900" w:type="dxa"/>
            <w:shd w:val="clear" w:color="auto" w:fill="auto"/>
            <w:noWrap/>
            <w:vAlign w:val="center"/>
            <w:hideMark/>
          </w:tcPr>
          <w:p w14:paraId="51134AF0" w14:textId="77777777" w:rsidR="00384890" w:rsidRDefault="00384890" w:rsidP="003B3C51">
            <w:pPr>
              <w:jc w:val="right"/>
              <w:rPr>
                <w:color w:val="000000"/>
              </w:rPr>
            </w:pPr>
            <w:r>
              <w:rPr>
                <w:color w:val="000000"/>
              </w:rPr>
              <w:t>0.01</w:t>
            </w:r>
          </w:p>
        </w:tc>
        <w:tc>
          <w:tcPr>
            <w:tcW w:w="900" w:type="dxa"/>
            <w:shd w:val="clear" w:color="auto" w:fill="auto"/>
            <w:noWrap/>
            <w:vAlign w:val="center"/>
            <w:hideMark/>
          </w:tcPr>
          <w:p w14:paraId="6C2EA9BC" w14:textId="77777777" w:rsidR="00384890" w:rsidRDefault="00384890" w:rsidP="003B3C51">
            <w:pPr>
              <w:jc w:val="center"/>
              <w:rPr>
                <w:color w:val="000000"/>
              </w:rPr>
            </w:pPr>
            <w:r>
              <w:rPr>
                <w:color w:val="000000"/>
              </w:rPr>
              <w:t>0.01</w:t>
            </w:r>
          </w:p>
        </w:tc>
        <w:tc>
          <w:tcPr>
            <w:tcW w:w="900" w:type="dxa"/>
            <w:shd w:val="clear" w:color="auto" w:fill="auto"/>
            <w:noWrap/>
            <w:vAlign w:val="center"/>
            <w:hideMark/>
          </w:tcPr>
          <w:p w14:paraId="55327540" w14:textId="77777777" w:rsidR="00384890" w:rsidRDefault="00384890" w:rsidP="003B3C51">
            <w:pPr>
              <w:jc w:val="right"/>
              <w:rPr>
                <w:color w:val="000000"/>
              </w:rPr>
            </w:pPr>
            <w:r>
              <w:rPr>
                <w:color w:val="000000"/>
              </w:rPr>
              <w:t>0.01</w:t>
            </w:r>
          </w:p>
        </w:tc>
        <w:tc>
          <w:tcPr>
            <w:tcW w:w="900" w:type="dxa"/>
            <w:shd w:val="clear" w:color="auto" w:fill="auto"/>
            <w:noWrap/>
            <w:vAlign w:val="center"/>
            <w:hideMark/>
          </w:tcPr>
          <w:p w14:paraId="0BC8FE15" w14:textId="77777777" w:rsidR="00384890" w:rsidRDefault="00384890" w:rsidP="003B3C51">
            <w:pPr>
              <w:jc w:val="center"/>
              <w:rPr>
                <w:color w:val="000000"/>
              </w:rPr>
            </w:pPr>
            <w:r>
              <w:rPr>
                <w:color w:val="000000"/>
              </w:rPr>
              <w:t>0.01</w:t>
            </w:r>
          </w:p>
        </w:tc>
      </w:tr>
      <w:tr w:rsidR="00384890" w14:paraId="44A3F6F5" w14:textId="77777777" w:rsidTr="003B3C51">
        <w:trPr>
          <w:trHeight w:val="360"/>
        </w:trPr>
        <w:tc>
          <w:tcPr>
            <w:tcW w:w="920" w:type="dxa"/>
            <w:shd w:val="clear" w:color="auto" w:fill="auto"/>
            <w:noWrap/>
            <w:vAlign w:val="center"/>
            <w:hideMark/>
          </w:tcPr>
          <w:p w14:paraId="6F80CA70" w14:textId="77777777" w:rsidR="00384890" w:rsidRDefault="00384890" w:rsidP="003B3C51">
            <w:pPr>
              <w:jc w:val="center"/>
              <w:rPr>
                <w:color w:val="000000"/>
              </w:rPr>
            </w:pPr>
            <w:r>
              <w:rPr>
                <w:color w:val="000000"/>
              </w:rPr>
              <w:t>Na</w:t>
            </w:r>
            <w:r>
              <w:rPr>
                <w:color w:val="000000"/>
                <w:vertAlign w:val="subscript"/>
              </w:rPr>
              <w:t>2</w:t>
            </w:r>
            <w:r>
              <w:rPr>
                <w:color w:val="000000"/>
              </w:rPr>
              <w:t>O</w:t>
            </w:r>
          </w:p>
        </w:tc>
        <w:tc>
          <w:tcPr>
            <w:tcW w:w="900" w:type="dxa"/>
            <w:shd w:val="clear" w:color="auto" w:fill="auto"/>
            <w:noWrap/>
            <w:vAlign w:val="center"/>
            <w:hideMark/>
          </w:tcPr>
          <w:p w14:paraId="3AE30E7E" w14:textId="77777777" w:rsidR="00384890" w:rsidRDefault="00384890" w:rsidP="003B3C51">
            <w:pPr>
              <w:jc w:val="right"/>
              <w:rPr>
                <w:color w:val="000000"/>
              </w:rPr>
            </w:pPr>
            <w:r>
              <w:rPr>
                <w:color w:val="000000"/>
              </w:rPr>
              <w:t>0.29</w:t>
            </w:r>
          </w:p>
        </w:tc>
        <w:tc>
          <w:tcPr>
            <w:tcW w:w="900" w:type="dxa"/>
            <w:shd w:val="clear" w:color="auto" w:fill="auto"/>
            <w:noWrap/>
            <w:vAlign w:val="center"/>
            <w:hideMark/>
          </w:tcPr>
          <w:p w14:paraId="33AFCF84" w14:textId="77777777" w:rsidR="00384890" w:rsidRDefault="00384890" w:rsidP="003B3C51">
            <w:pPr>
              <w:jc w:val="center"/>
              <w:rPr>
                <w:color w:val="000000"/>
              </w:rPr>
            </w:pPr>
            <w:r>
              <w:rPr>
                <w:color w:val="000000"/>
              </w:rPr>
              <w:t>0.02</w:t>
            </w:r>
          </w:p>
        </w:tc>
        <w:tc>
          <w:tcPr>
            <w:tcW w:w="900" w:type="dxa"/>
            <w:shd w:val="clear" w:color="auto" w:fill="auto"/>
            <w:noWrap/>
            <w:vAlign w:val="center"/>
            <w:hideMark/>
          </w:tcPr>
          <w:p w14:paraId="7AB8C953" w14:textId="77777777" w:rsidR="00384890" w:rsidRDefault="00384890" w:rsidP="003B3C51">
            <w:pPr>
              <w:jc w:val="right"/>
              <w:rPr>
                <w:color w:val="000000"/>
              </w:rPr>
            </w:pPr>
            <w:r>
              <w:rPr>
                <w:color w:val="000000"/>
              </w:rPr>
              <w:t>0.49</w:t>
            </w:r>
          </w:p>
        </w:tc>
        <w:tc>
          <w:tcPr>
            <w:tcW w:w="900" w:type="dxa"/>
            <w:shd w:val="clear" w:color="auto" w:fill="auto"/>
            <w:noWrap/>
            <w:vAlign w:val="center"/>
            <w:hideMark/>
          </w:tcPr>
          <w:p w14:paraId="1E107535" w14:textId="77777777" w:rsidR="00384890" w:rsidRDefault="00384890" w:rsidP="003B3C51">
            <w:pPr>
              <w:jc w:val="center"/>
              <w:rPr>
                <w:color w:val="000000"/>
              </w:rPr>
            </w:pPr>
            <w:r>
              <w:rPr>
                <w:color w:val="000000"/>
              </w:rPr>
              <w:t>0.25</w:t>
            </w:r>
          </w:p>
        </w:tc>
        <w:tc>
          <w:tcPr>
            <w:tcW w:w="900" w:type="dxa"/>
            <w:shd w:val="clear" w:color="auto" w:fill="auto"/>
            <w:noWrap/>
            <w:vAlign w:val="center"/>
            <w:hideMark/>
          </w:tcPr>
          <w:p w14:paraId="786D3610" w14:textId="77777777" w:rsidR="00384890" w:rsidRDefault="00384890" w:rsidP="003B3C51">
            <w:pPr>
              <w:jc w:val="right"/>
              <w:rPr>
                <w:color w:val="000000"/>
              </w:rPr>
            </w:pPr>
            <w:r>
              <w:rPr>
                <w:color w:val="000000"/>
              </w:rPr>
              <w:t>0.28</w:t>
            </w:r>
          </w:p>
        </w:tc>
        <w:tc>
          <w:tcPr>
            <w:tcW w:w="900" w:type="dxa"/>
            <w:shd w:val="clear" w:color="auto" w:fill="auto"/>
            <w:noWrap/>
            <w:vAlign w:val="center"/>
            <w:hideMark/>
          </w:tcPr>
          <w:p w14:paraId="10BFEC6A" w14:textId="77777777" w:rsidR="00384890" w:rsidRDefault="00384890" w:rsidP="003B3C51">
            <w:pPr>
              <w:jc w:val="center"/>
              <w:rPr>
                <w:color w:val="000000"/>
              </w:rPr>
            </w:pPr>
            <w:r>
              <w:rPr>
                <w:color w:val="000000"/>
              </w:rPr>
              <w:t>0.03</w:t>
            </w:r>
          </w:p>
        </w:tc>
        <w:tc>
          <w:tcPr>
            <w:tcW w:w="900" w:type="dxa"/>
            <w:shd w:val="clear" w:color="auto" w:fill="auto"/>
            <w:noWrap/>
            <w:vAlign w:val="center"/>
            <w:hideMark/>
          </w:tcPr>
          <w:p w14:paraId="2DDD67DD" w14:textId="77777777" w:rsidR="00384890" w:rsidRDefault="00384890" w:rsidP="003B3C51">
            <w:pPr>
              <w:jc w:val="right"/>
              <w:rPr>
                <w:color w:val="000000"/>
              </w:rPr>
            </w:pPr>
            <w:r>
              <w:rPr>
                <w:color w:val="000000"/>
              </w:rPr>
              <w:t>0.29</w:t>
            </w:r>
          </w:p>
        </w:tc>
        <w:tc>
          <w:tcPr>
            <w:tcW w:w="900" w:type="dxa"/>
            <w:shd w:val="clear" w:color="auto" w:fill="auto"/>
            <w:noWrap/>
            <w:vAlign w:val="center"/>
            <w:hideMark/>
          </w:tcPr>
          <w:p w14:paraId="21E65C75" w14:textId="77777777" w:rsidR="00384890" w:rsidRDefault="00384890" w:rsidP="003B3C51">
            <w:pPr>
              <w:jc w:val="center"/>
              <w:rPr>
                <w:color w:val="000000"/>
              </w:rPr>
            </w:pPr>
            <w:r>
              <w:rPr>
                <w:color w:val="000000"/>
              </w:rPr>
              <w:t>0.09</w:t>
            </w:r>
          </w:p>
        </w:tc>
        <w:tc>
          <w:tcPr>
            <w:tcW w:w="900" w:type="dxa"/>
            <w:shd w:val="clear" w:color="auto" w:fill="auto"/>
            <w:noWrap/>
            <w:vAlign w:val="center"/>
            <w:hideMark/>
          </w:tcPr>
          <w:p w14:paraId="1D75BFCF" w14:textId="77777777" w:rsidR="00384890" w:rsidRDefault="00384890" w:rsidP="003B3C51">
            <w:pPr>
              <w:jc w:val="right"/>
              <w:rPr>
                <w:color w:val="000000"/>
              </w:rPr>
            </w:pPr>
            <w:r>
              <w:rPr>
                <w:color w:val="000000"/>
              </w:rPr>
              <w:t>0.30</w:t>
            </w:r>
          </w:p>
        </w:tc>
        <w:tc>
          <w:tcPr>
            <w:tcW w:w="900" w:type="dxa"/>
            <w:shd w:val="clear" w:color="auto" w:fill="auto"/>
            <w:noWrap/>
            <w:vAlign w:val="center"/>
            <w:hideMark/>
          </w:tcPr>
          <w:p w14:paraId="494C30BB" w14:textId="77777777" w:rsidR="00384890" w:rsidRDefault="00384890" w:rsidP="003B3C51">
            <w:pPr>
              <w:jc w:val="center"/>
              <w:rPr>
                <w:color w:val="000000"/>
              </w:rPr>
            </w:pPr>
            <w:r>
              <w:rPr>
                <w:color w:val="000000"/>
              </w:rPr>
              <w:t>0.07</w:t>
            </w:r>
          </w:p>
        </w:tc>
        <w:tc>
          <w:tcPr>
            <w:tcW w:w="900" w:type="dxa"/>
            <w:shd w:val="clear" w:color="auto" w:fill="auto"/>
            <w:noWrap/>
            <w:vAlign w:val="center"/>
            <w:hideMark/>
          </w:tcPr>
          <w:p w14:paraId="0AF6492F" w14:textId="77777777" w:rsidR="00384890" w:rsidRDefault="00384890" w:rsidP="003B3C51">
            <w:pPr>
              <w:jc w:val="right"/>
              <w:rPr>
                <w:color w:val="000000"/>
              </w:rPr>
            </w:pPr>
            <w:r>
              <w:rPr>
                <w:color w:val="000000"/>
              </w:rPr>
              <w:t>0.32</w:t>
            </w:r>
          </w:p>
        </w:tc>
        <w:tc>
          <w:tcPr>
            <w:tcW w:w="900" w:type="dxa"/>
            <w:shd w:val="clear" w:color="auto" w:fill="auto"/>
            <w:noWrap/>
            <w:vAlign w:val="center"/>
            <w:hideMark/>
          </w:tcPr>
          <w:p w14:paraId="25623BFC" w14:textId="77777777" w:rsidR="00384890" w:rsidRDefault="00384890" w:rsidP="003B3C51">
            <w:pPr>
              <w:jc w:val="center"/>
              <w:rPr>
                <w:color w:val="000000"/>
              </w:rPr>
            </w:pPr>
            <w:r>
              <w:rPr>
                <w:color w:val="000000"/>
              </w:rPr>
              <w:t>0.05</w:t>
            </w:r>
          </w:p>
        </w:tc>
      </w:tr>
      <w:tr w:rsidR="00384890" w14:paraId="2A33B05E" w14:textId="77777777" w:rsidTr="003B3C51">
        <w:trPr>
          <w:trHeight w:val="320"/>
        </w:trPr>
        <w:tc>
          <w:tcPr>
            <w:tcW w:w="920" w:type="dxa"/>
            <w:shd w:val="clear" w:color="auto" w:fill="auto"/>
            <w:noWrap/>
            <w:vAlign w:val="center"/>
            <w:hideMark/>
          </w:tcPr>
          <w:p w14:paraId="6145E89F" w14:textId="77777777" w:rsidR="00384890" w:rsidRDefault="00384890" w:rsidP="003B3C51">
            <w:pPr>
              <w:jc w:val="center"/>
              <w:rPr>
                <w:color w:val="000000"/>
              </w:rPr>
            </w:pPr>
            <w:r>
              <w:rPr>
                <w:color w:val="000000"/>
              </w:rPr>
              <w:t>Total</w:t>
            </w:r>
          </w:p>
        </w:tc>
        <w:tc>
          <w:tcPr>
            <w:tcW w:w="900" w:type="dxa"/>
            <w:shd w:val="clear" w:color="auto" w:fill="auto"/>
            <w:noWrap/>
            <w:vAlign w:val="center"/>
            <w:hideMark/>
          </w:tcPr>
          <w:p w14:paraId="51FA10E0" w14:textId="77777777" w:rsidR="00384890" w:rsidRDefault="00384890" w:rsidP="003B3C51">
            <w:pPr>
              <w:jc w:val="right"/>
              <w:rPr>
                <w:color w:val="000000"/>
              </w:rPr>
            </w:pPr>
            <w:r>
              <w:rPr>
                <w:color w:val="000000"/>
              </w:rPr>
              <w:t>98.75</w:t>
            </w:r>
          </w:p>
        </w:tc>
        <w:tc>
          <w:tcPr>
            <w:tcW w:w="900" w:type="dxa"/>
            <w:shd w:val="clear" w:color="auto" w:fill="auto"/>
            <w:noWrap/>
            <w:vAlign w:val="center"/>
            <w:hideMark/>
          </w:tcPr>
          <w:p w14:paraId="0166378C" w14:textId="77777777" w:rsidR="00384890" w:rsidRDefault="00384890" w:rsidP="003B3C51">
            <w:pPr>
              <w:jc w:val="center"/>
              <w:rPr>
                <w:color w:val="000000"/>
              </w:rPr>
            </w:pPr>
            <w:r>
              <w:rPr>
                <w:color w:val="000000"/>
              </w:rPr>
              <w:t>0.23</w:t>
            </w:r>
          </w:p>
        </w:tc>
        <w:tc>
          <w:tcPr>
            <w:tcW w:w="900" w:type="dxa"/>
            <w:shd w:val="clear" w:color="auto" w:fill="auto"/>
            <w:noWrap/>
            <w:vAlign w:val="center"/>
            <w:hideMark/>
          </w:tcPr>
          <w:p w14:paraId="496DA4FD" w14:textId="77777777" w:rsidR="00384890" w:rsidRDefault="00384890" w:rsidP="003B3C51">
            <w:pPr>
              <w:jc w:val="right"/>
              <w:rPr>
                <w:color w:val="000000"/>
              </w:rPr>
            </w:pPr>
            <w:r>
              <w:rPr>
                <w:color w:val="000000"/>
              </w:rPr>
              <w:t>98.62</w:t>
            </w:r>
          </w:p>
        </w:tc>
        <w:tc>
          <w:tcPr>
            <w:tcW w:w="900" w:type="dxa"/>
            <w:shd w:val="clear" w:color="auto" w:fill="auto"/>
            <w:noWrap/>
            <w:vAlign w:val="center"/>
            <w:hideMark/>
          </w:tcPr>
          <w:p w14:paraId="0E5F616B" w14:textId="77777777" w:rsidR="00384890" w:rsidRDefault="00384890" w:rsidP="003B3C51">
            <w:pPr>
              <w:jc w:val="center"/>
              <w:rPr>
                <w:color w:val="000000"/>
              </w:rPr>
            </w:pPr>
            <w:r>
              <w:rPr>
                <w:color w:val="000000"/>
              </w:rPr>
              <w:t>0.02</w:t>
            </w:r>
          </w:p>
        </w:tc>
        <w:tc>
          <w:tcPr>
            <w:tcW w:w="900" w:type="dxa"/>
            <w:shd w:val="clear" w:color="auto" w:fill="auto"/>
            <w:noWrap/>
            <w:vAlign w:val="center"/>
            <w:hideMark/>
          </w:tcPr>
          <w:p w14:paraId="7C290D33" w14:textId="77777777" w:rsidR="00384890" w:rsidRDefault="00384890" w:rsidP="003B3C51">
            <w:pPr>
              <w:jc w:val="right"/>
              <w:rPr>
                <w:color w:val="000000"/>
              </w:rPr>
            </w:pPr>
            <w:r>
              <w:rPr>
                <w:color w:val="000000"/>
              </w:rPr>
              <w:t>99.43</w:t>
            </w:r>
          </w:p>
        </w:tc>
        <w:tc>
          <w:tcPr>
            <w:tcW w:w="900" w:type="dxa"/>
            <w:shd w:val="clear" w:color="auto" w:fill="auto"/>
            <w:noWrap/>
            <w:vAlign w:val="center"/>
            <w:hideMark/>
          </w:tcPr>
          <w:p w14:paraId="4DEC5ABB" w14:textId="77777777" w:rsidR="00384890" w:rsidRDefault="00384890" w:rsidP="003B3C51">
            <w:pPr>
              <w:jc w:val="center"/>
              <w:rPr>
                <w:color w:val="000000"/>
              </w:rPr>
            </w:pPr>
            <w:r>
              <w:rPr>
                <w:color w:val="000000"/>
              </w:rPr>
              <w:t>0.31</w:t>
            </w:r>
          </w:p>
        </w:tc>
        <w:tc>
          <w:tcPr>
            <w:tcW w:w="900" w:type="dxa"/>
            <w:shd w:val="clear" w:color="auto" w:fill="auto"/>
            <w:noWrap/>
            <w:vAlign w:val="center"/>
            <w:hideMark/>
          </w:tcPr>
          <w:p w14:paraId="7F61A5DA" w14:textId="77777777" w:rsidR="00384890" w:rsidRDefault="00384890" w:rsidP="003B3C51">
            <w:pPr>
              <w:jc w:val="right"/>
              <w:rPr>
                <w:color w:val="000000"/>
              </w:rPr>
            </w:pPr>
            <w:r>
              <w:rPr>
                <w:color w:val="000000"/>
              </w:rPr>
              <w:t>99.63</w:t>
            </w:r>
          </w:p>
        </w:tc>
        <w:tc>
          <w:tcPr>
            <w:tcW w:w="900" w:type="dxa"/>
            <w:shd w:val="clear" w:color="auto" w:fill="auto"/>
            <w:noWrap/>
            <w:vAlign w:val="center"/>
            <w:hideMark/>
          </w:tcPr>
          <w:p w14:paraId="602487F1" w14:textId="77777777" w:rsidR="00384890" w:rsidRDefault="00384890" w:rsidP="003B3C51">
            <w:pPr>
              <w:jc w:val="center"/>
              <w:rPr>
                <w:color w:val="000000"/>
              </w:rPr>
            </w:pPr>
            <w:r>
              <w:rPr>
                <w:color w:val="000000"/>
              </w:rPr>
              <w:t>0.82</w:t>
            </w:r>
          </w:p>
        </w:tc>
        <w:tc>
          <w:tcPr>
            <w:tcW w:w="900" w:type="dxa"/>
            <w:shd w:val="clear" w:color="auto" w:fill="auto"/>
            <w:noWrap/>
            <w:vAlign w:val="center"/>
            <w:hideMark/>
          </w:tcPr>
          <w:p w14:paraId="74800A2E" w14:textId="77777777" w:rsidR="00384890" w:rsidRDefault="00384890" w:rsidP="003B3C51">
            <w:pPr>
              <w:jc w:val="right"/>
              <w:rPr>
                <w:color w:val="000000"/>
              </w:rPr>
            </w:pPr>
            <w:r>
              <w:rPr>
                <w:color w:val="000000"/>
              </w:rPr>
              <w:t>99.80</w:t>
            </w:r>
          </w:p>
        </w:tc>
        <w:tc>
          <w:tcPr>
            <w:tcW w:w="900" w:type="dxa"/>
            <w:shd w:val="clear" w:color="auto" w:fill="auto"/>
            <w:noWrap/>
            <w:vAlign w:val="center"/>
            <w:hideMark/>
          </w:tcPr>
          <w:p w14:paraId="6F137A8C" w14:textId="77777777" w:rsidR="00384890" w:rsidRDefault="00384890" w:rsidP="003B3C51">
            <w:pPr>
              <w:jc w:val="center"/>
              <w:rPr>
                <w:color w:val="000000"/>
              </w:rPr>
            </w:pPr>
            <w:r>
              <w:rPr>
                <w:color w:val="000000"/>
              </w:rPr>
              <w:t>0.50</w:t>
            </w:r>
          </w:p>
        </w:tc>
        <w:tc>
          <w:tcPr>
            <w:tcW w:w="900" w:type="dxa"/>
            <w:shd w:val="clear" w:color="auto" w:fill="auto"/>
            <w:noWrap/>
            <w:vAlign w:val="center"/>
            <w:hideMark/>
          </w:tcPr>
          <w:p w14:paraId="5951462B" w14:textId="77777777" w:rsidR="00384890" w:rsidRDefault="00384890" w:rsidP="003B3C51">
            <w:pPr>
              <w:jc w:val="right"/>
              <w:rPr>
                <w:color w:val="000000"/>
              </w:rPr>
            </w:pPr>
            <w:r>
              <w:rPr>
                <w:color w:val="000000"/>
              </w:rPr>
              <w:t>99.57</w:t>
            </w:r>
          </w:p>
        </w:tc>
        <w:tc>
          <w:tcPr>
            <w:tcW w:w="900" w:type="dxa"/>
            <w:shd w:val="clear" w:color="auto" w:fill="auto"/>
            <w:noWrap/>
            <w:vAlign w:val="center"/>
            <w:hideMark/>
          </w:tcPr>
          <w:p w14:paraId="1DFDBC76" w14:textId="77777777" w:rsidR="00384890" w:rsidRDefault="00384890" w:rsidP="003B3C51">
            <w:pPr>
              <w:jc w:val="center"/>
              <w:rPr>
                <w:color w:val="000000"/>
              </w:rPr>
            </w:pPr>
            <w:r>
              <w:rPr>
                <w:color w:val="000000"/>
              </w:rPr>
              <w:t>0.31</w:t>
            </w:r>
          </w:p>
        </w:tc>
      </w:tr>
      <w:tr w:rsidR="00384890" w14:paraId="3E52E9E8" w14:textId="77777777" w:rsidTr="003B3C51">
        <w:trPr>
          <w:trHeight w:val="340"/>
        </w:trPr>
        <w:tc>
          <w:tcPr>
            <w:tcW w:w="920" w:type="dxa"/>
            <w:shd w:val="clear" w:color="auto" w:fill="auto"/>
            <w:noWrap/>
            <w:vAlign w:val="center"/>
            <w:hideMark/>
          </w:tcPr>
          <w:p w14:paraId="1C01D427" w14:textId="77777777" w:rsidR="00384890" w:rsidRDefault="00384890" w:rsidP="003B3C51">
            <w:pPr>
              <w:jc w:val="center"/>
              <w:rPr>
                <w:color w:val="000000"/>
              </w:rPr>
            </w:pPr>
            <w:r>
              <w:rPr>
                <w:color w:val="000000"/>
              </w:rPr>
              <w:t>Mg#</w:t>
            </w:r>
          </w:p>
        </w:tc>
        <w:tc>
          <w:tcPr>
            <w:tcW w:w="900" w:type="dxa"/>
            <w:shd w:val="clear" w:color="auto" w:fill="auto"/>
            <w:noWrap/>
            <w:vAlign w:val="center"/>
            <w:hideMark/>
          </w:tcPr>
          <w:p w14:paraId="0D349305" w14:textId="77777777" w:rsidR="00384890" w:rsidRDefault="00384890" w:rsidP="003B3C51">
            <w:pPr>
              <w:jc w:val="right"/>
              <w:rPr>
                <w:color w:val="000000"/>
              </w:rPr>
            </w:pPr>
            <w:r>
              <w:rPr>
                <w:color w:val="000000"/>
              </w:rPr>
              <w:t>4.96</w:t>
            </w:r>
          </w:p>
        </w:tc>
        <w:tc>
          <w:tcPr>
            <w:tcW w:w="900" w:type="dxa"/>
            <w:shd w:val="clear" w:color="auto" w:fill="auto"/>
            <w:noWrap/>
            <w:vAlign w:val="center"/>
            <w:hideMark/>
          </w:tcPr>
          <w:p w14:paraId="34F8D8CB" w14:textId="77777777" w:rsidR="00384890" w:rsidRDefault="00384890" w:rsidP="003B3C51">
            <w:pPr>
              <w:jc w:val="center"/>
              <w:rPr>
                <w:color w:val="000000"/>
              </w:rPr>
            </w:pPr>
            <w:r>
              <w:rPr>
                <w:color w:val="000000"/>
              </w:rPr>
              <w:t>0.12</w:t>
            </w:r>
          </w:p>
        </w:tc>
        <w:tc>
          <w:tcPr>
            <w:tcW w:w="900" w:type="dxa"/>
            <w:shd w:val="clear" w:color="auto" w:fill="auto"/>
            <w:noWrap/>
            <w:vAlign w:val="center"/>
            <w:hideMark/>
          </w:tcPr>
          <w:p w14:paraId="49A1C381" w14:textId="77777777" w:rsidR="00384890" w:rsidRDefault="00384890" w:rsidP="003B3C51">
            <w:pPr>
              <w:jc w:val="right"/>
              <w:rPr>
                <w:color w:val="000000"/>
              </w:rPr>
            </w:pPr>
            <w:r>
              <w:rPr>
                <w:color w:val="000000"/>
              </w:rPr>
              <w:t>2.41</w:t>
            </w:r>
          </w:p>
        </w:tc>
        <w:tc>
          <w:tcPr>
            <w:tcW w:w="900" w:type="dxa"/>
            <w:shd w:val="clear" w:color="auto" w:fill="auto"/>
            <w:noWrap/>
            <w:vAlign w:val="center"/>
            <w:hideMark/>
          </w:tcPr>
          <w:p w14:paraId="5DD60AF2" w14:textId="77777777" w:rsidR="00384890" w:rsidRDefault="00384890" w:rsidP="003B3C51">
            <w:pPr>
              <w:jc w:val="center"/>
              <w:rPr>
                <w:color w:val="000000"/>
              </w:rPr>
            </w:pPr>
            <w:r>
              <w:rPr>
                <w:color w:val="000000"/>
              </w:rPr>
              <w:t>0.81</w:t>
            </w:r>
          </w:p>
        </w:tc>
        <w:tc>
          <w:tcPr>
            <w:tcW w:w="900" w:type="dxa"/>
            <w:shd w:val="clear" w:color="auto" w:fill="auto"/>
            <w:noWrap/>
            <w:vAlign w:val="center"/>
            <w:hideMark/>
          </w:tcPr>
          <w:p w14:paraId="776ED302" w14:textId="77777777" w:rsidR="00384890" w:rsidRDefault="00384890" w:rsidP="003B3C51">
            <w:pPr>
              <w:jc w:val="right"/>
              <w:rPr>
                <w:color w:val="000000"/>
              </w:rPr>
            </w:pPr>
            <w:r>
              <w:rPr>
                <w:color w:val="000000"/>
              </w:rPr>
              <w:t>31.20</w:t>
            </w:r>
          </w:p>
        </w:tc>
        <w:tc>
          <w:tcPr>
            <w:tcW w:w="900" w:type="dxa"/>
            <w:shd w:val="clear" w:color="auto" w:fill="auto"/>
            <w:noWrap/>
            <w:vAlign w:val="center"/>
            <w:hideMark/>
          </w:tcPr>
          <w:p w14:paraId="71A1DF8C" w14:textId="77777777" w:rsidR="00384890" w:rsidRDefault="00384890" w:rsidP="003B3C51">
            <w:pPr>
              <w:jc w:val="center"/>
              <w:rPr>
                <w:color w:val="000000"/>
              </w:rPr>
            </w:pPr>
            <w:r>
              <w:rPr>
                <w:color w:val="000000"/>
              </w:rPr>
              <w:t>1.88</w:t>
            </w:r>
          </w:p>
        </w:tc>
        <w:tc>
          <w:tcPr>
            <w:tcW w:w="900" w:type="dxa"/>
            <w:shd w:val="clear" w:color="auto" w:fill="auto"/>
            <w:noWrap/>
            <w:vAlign w:val="center"/>
            <w:hideMark/>
          </w:tcPr>
          <w:p w14:paraId="6A09E662" w14:textId="77777777" w:rsidR="00384890" w:rsidRDefault="00384890" w:rsidP="003B3C51">
            <w:pPr>
              <w:jc w:val="right"/>
              <w:rPr>
                <w:color w:val="000000"/>
              </w:rPr>
            </w:pPr>
            <w:r>
              <w:rPr>
                <w:color w:val="000000"/>
              </w:rPr>
              <w:t>1.48</w:t>
            </w:r>
          </w:p>
        </w:tc>
        <w:tc>
          <w:tcPr>
            <w:tcW w:w="900" w:type="dxa"/>
            <w:shd w:val="clear" w:color="auto" w:fill="auto"/>
            <w:noWrap/>
            <w:vAlign w:val="center"/>
            <w:hideMark/>
          </w:tcPr>
          <w:p w14:paraId="18D8266E" w14:textId="77777777" w:rsidR="00384890" w:rsidRDefault="00384890" w:rsidP="003B3C51">
            <w:pPr>
              <w:jc w:val="center"/>
              <w:rPr>
                <w:color w:val="000000"/>
              </w:rPr>
            </w:pPr>
            <w:r>
              <w:rPr>
                <w:color w:val="000000"/>
              </w:rPr>
              <w:t>0.20</w:t>
            </w:r>
          </w:p>
        </w:tc>
        <w:tc>
          <w:tcPr>
            <w:tcW w:w="900" w:type="dxa"/>
            <w:shd w:val="clear" w:color="auto" w:fill="auto"/>
            <w:noWrap/>
            <w:vAlign w:val="center"/>
            <w:hideMark/>
          </w:tcPr>
          <w:p w14:paraId="374701DC" w14:textId="77777777" w:rsidR="00384890" w:rsidRDefault="00384890" w:rsidP="003B3C51">
            <w:pPr>
              <w:jc w:val="right"/>
              <w:rPr>
                <w:color w:val="000000"/>
              </w:rPr>
            </w:pPr>
            <w:r>
              <w:rPr>
                <w:color w:val="000000"/>
              </w:rPr>
              <w:t>6.52</w:t>
            </w:r>
          </w:p>
        </w:tc>
        <w:tc>
          <w:tcPr>
            <w:tcW w:w="900" w:type="dxa"/>
            <w:shd w:val="clear" w:color="auto" w:fill="auto"/>
            <w:noWrap/>
            <w:vAlign w:val="center"/>
            <w:hideMark/>
          </w:tcPr>
          <w:p w14:paraId="3A1F1BBB" w14:textId="77777777" w:rsidR="00384890" w:rsidRDefault="00384890" w:rsidP="003B3C51">
            <w:pPr>
              <w:jc w:val="center"/>
              <w:rPr>
                <w:color w:val="000000"/>
              </w:rPr>
            </w:pPr>
            <w:r>
              <w:rPr>
                <w:color w:val="000000"/>
              </w:rPr>
              <w:t>4.50</w:t>
            </w:r>
          </w:p>
        </w:tc>
        <w:tc>
          <w:tcPr>
            <w:tcW w:w="900" w:type="dxa"/>
            <w:shd w:val="clear" w:color="auto" w:fill="auto"/>
            <w:noWrap/>
            <w:vAlign w:val="center"/>
            <w:hideMark/>
          </w:tcPr>
          <w:p w14:paraId="5677A15C" w14:textId="77777777" w:rsidR="00384890" w:rsidRDefault="00384890" w:rsidP="003B3C51">
            <w:pPr>
              <w:jc w:val="right"/>
              <w:rPr>
                <w:color w:val="000000"/>
              </w:rPr>
            </w:pPr>
            <w:r>
              <w:rPr>
                <w:color w:val="000000"/>
              </w:rPr>
              <w:t>30.34</w:t>
            </w:r>
          </w:p>
        </w:tc>
        <w:tc>
          <w:tcPr>
            <w:tcW w:w="900" w:type="dxa"/>
            <w:shd w:val="clear" w:color="auto" w:fill="auto"/>
            <w:noWrap/>
            <w:vAlign w:val="center"/>
            <w:hideMark/>
          </w:tcPr>
          <w:p w14:paraId="46762AC0" w14:textId="77777777" w:rsidR="00384890" w:rsidRDefault="00384890" w:rsidP="003B3C51">
            <w:pPr>
              <w:jc w:val="center"/>
              <w:rPr>
                <w:color w:val="000000"/>
              </w:rPr>
            </w:pPr>
            <w:r>
              <w:rPr>
                <w:color w:val="000000"/>
              </w:rPr>
              <w:t>0.97</w:t>
            </w:r>
          </w:p>
        </w:tc>
      </w:tr>
    </w:tbl>
    <w:p w14:paraId="0DE4412D" w14:textId="77777777" w:rsidR="00384890" w:rsidRDefault="00384890" w:rsidP="00384890">
      <w:pPr>
        <w:rPr>
          <w:color w:val="000000" w:themeColor="text1"/>
        </w:rPr>
      </w:pPr>
    </w:p>
    <w:p w14:paraId="08A5114D" w14:textId="77777777" w:rsidR="00384890" w:rsidRDefault="00384890" w:rsidP="00384890">
      <w:pPr>
        <w:rPr>
          <w:color w:val="000000" w:themeColor="text1"/>
        </w:rPr>
      </w:pPr>
    </w:p>
    <w:p w14:paraId="3F95620F" w14:textId="77777777" w:rsidR="00384890" w:rsidRDefault="00384890" w:rsidP="00384890">
      <w:pPr>
        <w:rPr>
          <w:color w:val="000000" w:themeColor="text1"/>
        </w:rPr>
      </w:pPr>
    </w:p>
    <w:p w14:paraId="60DF9DEF" w14:textId="77777777" w:rsidR="00384890" w:rsidRDefault="00384890" w:rsidP="00384890">
      <w:pPr>
        <w:rPr>
          <w:color w:val="000000" w:themeColor="text1"/>
        </w:rPr>
      </w:pPr>
    </w:p>
    <w:p w14:paraId="7DBAB469" w14:textId="77777777" w:rsidR="00384890" w:rsidRDefault="00384890" w:rsidP="00384890">
      <w:pPr>
        <w:rPr>
          <w:color w:val="000000" w:themeColor="text1"/>
        </w:rPr>
      </w:pPr>
    </w:p>
    <w:p w14:paraId="7EA81122" w14:textId="77777777" w:rsidR="00384890" w:rsidRDefault="00384890" w:rsidP="00384890">
      <w:pPr>
        <w:rPr>
          <w:color w:val="000000" w:themeColor="text1"/>
        </w:rPr>
      </w:pPr>
    </w:p>
    <w:p w14:paraId="10A64243" w14:textId="77777777" w:rsidR="00384890" w:rsidRDefault="00384890" w:rsidP="00384890">
      <w:pPr>
        <w:rPr>
          <w:color w:val="000000" w:themeColor="text1"/>
        </w:rPr>
      </w:pPr>
    </w:p>
    <w:p w14:paraId="5548B006" w14:textId="77777777" w:rsidR="00384890" w:rsidRDefault="00384890" w:rsidP="00384890">
      <w:pPr>
        <w:rPr>
          <w:color w:val="000000" w:themeColor="text1"/>
        </w:rPr>
      </w:pPr>
    </w:p>
    <w:p w14:paraId="6095AC0C" w14:textId="77777777" w:rsidR="00384890" w:rsidRDefault="00384890" w:rsidP="00384890">
      <w:pPr>
        <w:rPr>
          <w:color w:val="000000" w:themeColor="text1"/>
        </w:rPr>
      </w:pPr>
    </w:p>
    <w:p w14:paraId="46768598" w14:textId="77777777" w:rsidR="00384890" w:rsidRDefault="00384890" w:rsidP="00384890">
      <w:pPr>
        <w:rPr>
          <w:color w:val="000000" w:themeColor="text1"/>
        </w:rPr>
      </w:pPr>
    </w:p>
    <w:p w14:paraId="4BEFF8F3" w14:textId="77777777" w:rsidR="00384890" w:rsidRDefault="00384890" w:rsidP="00384890">
      <w:pPr>
        <w:rPr>
          <w:color w:val="000000" w:themeColor="text1"/>
        </w:rPr>
      </w:pPr>
      <w:r w:rsidRPr="00BB273A">
        <w:rPr>
          <w:b/>
          <w:bCs/>
          <w:color w:val="000000" w:themeColor="text1"/>
        </w:rPr>
        <w:lastRenderedPageBreak/>
        <w:t>Table 1.4.</w:t>
      </w:r>
      <w:r>
        <w:rPr>
          <w:color w:val="000000" w:themeColor="text1"/>
        </w:rPr>
        <w:t xml:space="preserve"> Continued.</w:t>
      </w:r>
    </w:p>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
        <w:gridCol w:w="900"/>
        <w:gridCol w:w="900"/>
        <w:gridCol w:w="900"/>
        <w:gridCol w:w="900"/>
      </w:tblGrid>
      <w:tr w:rsidR="00384890" w14:paraId="3CCA5BE4" w14:textId="77777777" w:rsidTr="003B3C51">
        <w:trPr>
          <w:trHeight w:val="360"/>
        </w:trPr>
        <w:tc>
          <w:tcPr>
            <w:tcW w:w="920" w:type="dxa"/>
            <w:shd w:val="clear" w:color="auto" w:fill="auto"/>
            <w:noWrap/>
            <w:vAlign w:val="center"/>
            <w:hideMark/>
          </w:tcPr>
          <w:p w14:paraId="502E6F39" w14:textId="77777777" w:rsidR="00384890" w:rsidRDefault="00384890" w:rsidP="003B3C51">
            <w:pPr>
              <w:jc w:val="center"/>
              <w:rPr>
                <w:color w:val="000000"/>
              </w:rPr>
            </w:pPr>
            <w:r>
              <w:rPr>
                <w:color w:val="000000"/>
              </w:rPr>
              <w:t> </w:t>
            </w:r>
          </w:p>
        </w:tc>
        <w:tc>
          <w:tcPr>
            <w:tcW w:w="1800" w:type="dxa"/>
            <w:gridSpan w:val="2"/>
            <w:shd w:val="clear" w:color="auto" w:fill="auto"/>
            <w:noWrap/>
            <w:vAlign w:val="center"/>
            <w:hideMark/>
          </w:tcPr>
          <w:p w14:paraId="206DBB98" w14:textId="77777777" w:rsidR="00384890" w:rsidRDefault="00384890" w:rsidP="003B3C51">
            <w:pPr>
              <w:jc w:val="center"/>
              <w:rPr>
                <w:color w:val="000000"/>
              </w:rPr>
            </w:pPr>
            <w:r>
              <w:rPr>
                <w:color w:val="000000"/>
              </w:rPr>
              <w:t>MRx#11</w:t>
            </w:r>
          </w:p>
        </w:tc>
        <w:tc>
          <w:tcPr>
            <w:tcW w:w="1800" w:type="dxa"/>
            <w:gridSpan w:val="2"/>
            <w:shd w:val="clear" w:color="auto" w:fill="auto"/>
            <w:noWrap/>
            <w:vAlign w:val="center"/>
            <w:hideMark/>
          </w:tcPr>
          <w:p w14:paraId="2CC2808D" w14:textId="77777777" w:rsidR="00384890" w:rsidRDefault="00384890" w:rsidP="003B3C51">
            <w:pPr>
              <w:jc w:val="center"/>
              <w:rPr>
                <w:color w:val="000000"/>
              </w:rPr>
            </w:pPr>
            <w:r>
              <w:rPr>
                <w:color w:val="000000"/>
              </w:rPr>
              <w:t>MRx#13</w:t>
            </w:r>
          </w:p>
        </w:tc>
      </w:tr>
      <w:tr w:rsidR="00384890" w14:paraId="4D2DCC8E" w14:textId="77777777" w:rsidTr="003B3C51">
        <w:trPr>
          <w:trHeight w:val="340"/>
        </w:trPr>
        <w:tc>
          <w:tcPr>
            <w:tcW w:w="920" w:type="dxa"/>
            <w:shd w:val="clear" w:color="auto" w:fill="auto"/>
            <w:noWrap/>
            <w:vAlign w:val="center"/>
            <w:hideMark/>
          </w:tcPr>
          <w:p w14:paraId="3A341C49" w14:textId="77777777" w:rsidR="00384890" w:rsidRDefault="00384890" w:rsidP="003B3C51">
            <w:pPr>
              <w:jc w:val="center"/>
              <w:rPr>
                <w:color w:val="000000"/>
              </w:rPr>
            </w:pPr>
          </w:p>
        </w:tc>
        <w:tc>
          <w:tcPr>
            <w:tcW w:w="900" w:type="dxa"/>
            <w:shd w:val="clear" w:color="auto" w:fill="auto"/>
            <w:vAlign w:val="center"/>
            <w:hideMark/>
          </w:tcPr>
          <w:p w14:paraId="7C2DE9EB" w14:textId="77777777" w:rsidR="00384890" w:rsidRDefault="00384890" w:rsidP="003B3C51">
            <w:pPr>
              <w:jc w:val="right"/>
              <w:rPr>
                <w:color w:val="000000"/>
              </w:rPr>
            </w:pPr>
            <w:r>
              <w:rPr>
                <w:color w:val="000000"/>
              </w:rPr>
              <w:t>Avg</w:t>
            </w:r>
          </w:p>
        </w:tc>
        <w:tc>
          <w:tcPr>
            <w:tcW w:w="900" w:type="dxa"/>
            <w:shd w:val="clear" w:color="auto" w:fill="auto"/>
            <w:noWrap/>
            <w:vAlign w:val="center"/>
            <w:hideMark/>
          </w:tcPr>
          <w:p w14:paraId="0873CE91" w14:textId="77777777" w:rsidR="00384890" w:rsidRDefault="00384890" w:rsidP="003B3C51">
            <w:pPr>
              <w:jc w:val="center"/>
              <w:rPr>
                <w:color w:val="000000"/>
              </w:rPr>
            </w:pPr>
            <w:r>
              <w:rPr>
                <w:rFonts w:ascii="Cambria Math" w:hAnsi="Cambria Math" w:cs="Cambria Math"/>
                <w:color w:val="000000"/>
              </w:rPr>
              <w:t>𝝈</w:t>
            </w:r>
          </w:p>
        </w:tc>
        <w:tc>
          <w:tcPr>
            <w:tcW w:w="900" w:type="dxa"/>
            <w:shd w:val="clear" w:color="auto" w:fill="auto"/>
            <w:vAlign w:val="center"/>
            <w:hideMark/>
          </w:tcPr>
          <w:p w14:paraId="5DC83D42" w14:textId="77777777" w:rsidR="00384890" w:rsidRDefault="00384890" w:rsidP="003B3C51">
            <w:pPr>
              <w:jc w:val="right"/>
              <w:rPr>
                <w:color w:val="000000"/>
              </w:rPr>
            </w:pPr>
            <w:r>
              <w:rPr>
                <w:color w:val="000000"/>
              </w:rPr>
              <w:t>Avg</w:t>
            </w:r>
          </w:p>
        </w:tc>
        <w:tc>
          <w:tcPr>
            <w:tcW w:w="900" w:type="dxa"/>
            <w:shd w:val="clear" w:color="auto" w:fill="auto"/>
            <w:noWrap/>
            <w:vAlign w:val="center"/>
            <w:hideMark/>
          </w:tcPr>
          <w:p w14:paraId="65E2E9BC" w14:textId="77777777" w:rsidR="00384890" w:rsidRDefault="00384890" w:rsidP="003B3C51">
            <w:pPr>
              <w:jc w:val="center"/>
              <w:rPr>
                <w:color w:val="000000"/>
              </w:rPr>
            </w:pPr>
            <w:r>
              <w:rPr>
                <w:rFonts w:ascii="Cambria Math" w:hAnsi="Cambria Math" w:cs="Cambria Math"/>
                <w:color w:val="000000"/>
              </w:rPr>
              <w:t>𝝈</w:t>
            </w:r>
          </w:p>
        </w:tc>
      </w:tr>
      <w:tr w:rsidR="00384890" w14:paraId="0EFD0380" w14:textId="77777777" w:rsidTr="003B3C51">
        <w:trPr>
          <w:trHeight w:val="360"/>
        </w:trPr>
        <w:tc>
          <w:tcPr>
            <w:tcW w:w="920" w:type="dxa"/>
            <w:shd w:val="clear" w:color="auto" w:fill="auto"/>
            <w:noWrap/>
            <w:vAlign w:val="center"/>
            <w:hideMark/>
          </w:tcPr>
          <w:p w14:paraId="710D35B4" w14:textId="77777777" w:rsidR="00384890" w:rsidRDefault="00384890" w:rsidP="003B3C51">
            <w:pPr>
              <w:jc w:val="center"/>
              <w:rPr>
                <w:color w:val="000000"/>
              </w:rPr>
            </w:pPr>
            <w:r>
              <w:rPr>
                <w:color w:val="000000"/>
              </w:rPr>
              <w:t>SiO</w:t>
            </w:r>
            <w:r>
              <w:rPr>
                <w:color w:val="000000"/>
                <w:vertAlign w:val="subscript"/>
              </w:rPr>
              <w:t>2</w:t>
            </w:r>
          </w:p>
        </w:tc>
        <w:tc>
          <w:tcPr>
            <w:tcW w:w="900" w:type="dxa"/>
            <w:shd w:val="clear" w:color="auto" w:fill="auto"/>
            <w:noWrap/>
            <w:vAlign w:val="center"/>
            <w:hideMark/>
          </w:tcPr>
          <w:p w14:paraId="22D23D98" w14:textId="77777777" w:rsidR="00384890" w:rsidRDefault="00384890" w:rsidP="003B3C51">
            <w:pPr>
              <w:jc w:val="right"/>
              <w:rPr>
                <w:color w:val="000000"/>
              </w:rPr>
            </w:pPr>
            <w:r>
              <w:rPr>
                <w:color w:val="000000"/>
              </w:rPr>
              <w:t>44.65</w:t>
            </w:r>
          </w:p>
        </w:tc>
        <w:tc>
          <w:tcPr>
            <w:tcW w:w="900" w:type="dxa"/>
            <w:shd w:val="clear" w:color="auto" w:fill="auto"/>
            <w:noWrap/>
            <w:vAlign w:val="center"/>
            <w:hideMark/>
          </w:tcPr>
          <w:p w14:paraId="7691A5CA" w14:textId="77777777" w:rsidR="00384890" w:rsidRDefault="00384890" w:rsidP="003B3C51">
            <w:pPr>
              <w:jc w:val="center"/>
              <w:rPr>
                <w:color w:val="000000"/>
              </w:rPr>
            </w:pPr>
            <w:r>
              <w:rPr>
                <w:color w:val="000000"/>
              </w:rPr>
              <w:t>0.33</w:t>
            </w:r>
          </w:p>
        </w:tc>
        <w:tc>
          <w:tcPr>
            <w:tcW w:w="900" w:type="dxa"/>
            <w:shd w:val="clear" w:color="auto" w:fill="auto"/>
            <w:noWrap/>
            <w:vAlign w:val="center"/>
            <w:hideMark/>
          </w:tcPr>
          <w:p w14:paraId="4C9231B7" w14:textId="77777777" w:rsidR="00384890" w:rsidRDefault="00384890" w:rsidP="003B3C51">
            <w:pPr>
              <w:jc w:val="right"/>
              <w:rPr>
                <w:color w:val="000000"/>
              </w:rPr>
            </w:pPr>
            <w:r>
              <w:rPr>
                <w:color w:val="000000"/>
              </w:rPr>
              <w:t>35.21</w:t>
            </w:r>
          </w:p>
        </w:tc>
        <w:tc>
          <w:tcPr>
            <w:tcW w:w="900" w:type="dxa"/>
            <w:shd w:val="clear" w:color="auto" w:fill="auto"/>
            <w:noWrap/>
            <w:vAlign w:val="center"/>
            <w:hideMark/>
          </w:tcPr>
          <w:p w14:paraId="1F8A12B9" w14:textId="77777777" w:rsidR="00384890" w:rsidRDefault="00384890" w:rsidP="003B3C51">
            <w:pPr>
              <w:jc w:val="center"/>
              <w:rPr>
                <w:color w:val="000000"/>
              </w:rPr>
            </w:pPr>
            <w:r>
              <w:rPr>
                <w:color w:val="000000"/>
              </w:rPr>
              <w:t>0.34</w:t>
            </w:r>
          </w:p>
        </w:tc>
      </w:tr>
      <w:tr w:rsidR="00384890" w14:paraId="6D05F382" w14:textId="77777777" w:rsidTr="003B3C51">
        <w:trPr>
          <w:trHeight w:val="360"/>
        </w:trPr>
        <w:tc>
          <w:tcPr>
            <w:tcW w:w="920" w:type="dxa"/>
            <w:shd w:val="clear" w:color="auto" w:fill="auto"/>
            <w:noWrap/>
            <w:vAlign w:val="center"/>
            <w:hideMark/>
          </w:tcPr>
          <w:p w14:paraId="1B7BF322" w14:textId="77777777" w:rsidR="00384890" w:rsidRDefault="00384890" w:rsidP="003B3C51">
            <w:pPr>
              <w:jc w:val="center"/>
              <w:rPr>
                <w:color w:val="000000"/>
              </w:rPr>
            </w:pPr>
            <w:r>
              <w:rPr>
                <w:color w:val="000000"/>
              </w:rPr>
              <w:t>TiO</w:t>
            </w:r>
            <w:r>
              <w:rPr>
                <w:color w:val="000000"/>
                <w:vertAlign w:val="subscript"/>
              </w:rPr>
              <w:t>2</w:t>
            </w:r>
          </w:p>
        </w:tc>
        <w:tc>
          <w:tcPr>
            <w:tcW w:w="900" w:type="dxa"/>
            <w:shd w:val="clear" w:color="auto" w:fill="auto"/>
            <w:noWrap/>
            <w:vAlign w:val="center"/>
            <w:hideMark/>
          </w:tcPr>
          <w:p w14:paraId="7D2B2A93" w14:textId="77777777" w:rsidR="00384890" w:rsidRDefault="00384890" w:rsidP="003B3C51">
            <w:pPr>
              <w:jc w:val="right"/>
              <w:rPr>
                <w:color w:val="000000"/>
              </w:rPr>
            </w:pPr>
            <w:r>
              <w:rPr>
                <w:color w:val="000000"/>
              </w:rPr>
              <w:t>3.81</w:t>
            </w:r>
          </w:p>
        </w:tc>
        <w:tc>
          <w:tcPr>
            <w:tcW w:w="900" w:type="dxa"/>
            <w:shd w:val="clear" w:color="auto" w:fill="auto"/>
            <w:noWrap/>
            <w:vAlign w:val="center"/>
            <w:hideMark/>
          </w:tcPr>
          <w:p w14:paraId="7C0D57B0" w14:textId="77777777" w:rsidR="00384890" w:rsidRDefault="00384890" w:rsidP="003B3C51">
            <w:pPr>
              <w:jc w:val="center"/>
              <w:rPr>
                <w:color w:val="000000"/>
              </w:rPr>
            </w:pPr>
            <w:r>
              <w:rPr>
                <w:color w:val="000000"/>
              </w:rPr>
              <w:t>0.15</w:t>
            </w:r>
          </w:p>
        </w:tc>
        <w:tc>
          <w:tcPr>
            <w:tcW w:w="900" w:type="dxa"/>
            <w:shd w:val="clear" w:color="auto" w:fill="auto"/>
            <w:noWrap/>
            <w:vAlign w:val="center"/>
            <w:hideMark/>
          </w:tcPr>
          <w:p w14:paraId="26E9F8BE" w14:textId="77777777" w:rsidR="00384890" w:rsidRDefault="00384890" w:rsidP="003B3C51">
            <w:pPr>
              <w:jc w:val="right"/>
              <w:rPr>
                <w:color w:val="000000"/>
              </w:rPr>
            </w:pPr>
            <w:r>
              <w:rPr>
                <w:color w:val="000000"/>
              </w:rPr>
              <w:t>8.72</w:t>
            </w:r>
          </w:p>
        </w:tc>
        <w:tc>
          <w:tcPr>
            <w:tcW w:w="900" w:type="dxa"/>
            <w:shd w:val="clear" w:color="auto" w:fill="auto"/>
            <w:noWrap/>
            <w:vAlign w:val="center"/>
            <w:hideMark/>
          </w:tcPr>
          <w:p w14:paraId="78F869F6" w14:textId="77777777" w:rsidR="00384890" w:rsidRDefault="00384890" w:rsidP="003B3C51">
            <w:pPr>
              <w:jc w:val="center"/>
              <w:rPr>
                <w:color w:val="000000"/>
              </w:rPr>
            </w:pPr>
            <w:r>
              <w:rPr>
                <w:color w:val="000000"/>
              </w:rPr>
              <w:t>0.25</w:t>
            </w:r>
          </w:p>
        </w:tc>
      </w:tr>
      <w:tr w:rsidR="00384890" w14:paraId="557C66A3" w14:textId="77777777" w:rsidTr="003B3C51">
        <w:trPr>
          <w:trHeight w:val="360"/>
        </w:trPr>
        <w:tc>
          <w:tcPr>
            <w:tcW w:w="920" w:type="dxa"/>
            <w:shd w:val="clear" w:color="auto" w:fill="auto"/>
            <w:noWrap/>
            <w:vAlign w:val="center"/>
            <w:hideMark/>
          </w:tcPr>
          <w:p w14:paraId="185BA6DC" w14:textId="77777777" w:rsidR="00384890" w:rsidRDefault="00384890" w:rsidP="003B3C51">
            <w:pPr>
              <w:jc w:val="center"/>
              <w:rPr>
                <w:color w:val="000000"/>
              </w:rPr>
            </w:pPr>
            <w:r>
              <w:rPr>
                <w:color w:val="000000"/>
              </w:rPr>
              <w:t>Al</w:t>
            </w:r>
            <w:r>
              <w:rPr>
                <w:color w:val="000000"/>
                <w:vertAlign w:val="subscript"/>
              </w:rPr>
              <w:t>2</w:t>
            </w:r>
            <w:r>
              <w:rPr>
                <w:color w:val="000000"/>
              </w:rPr>
              <w:t>O</w:t>
            </w:r>
            <w:r>
              <w:rPr>
                <w:color w:val="000000"/>
                <w:vertAlign w:val="subscript"/>
              </w:rPr>
              <w:t>3</w:t>
            </w:r>
          </w:p>
        </w:tc>
        <w:tc>
          <w:tcPr>
            <w:tcW w:w="900" w:type="dxa"/>
            <w:shd w:val="clear" w:color="auto" w:fill="auto"/>
            <w:noWrap/>
            <w:vAlign w:val="center"/>
            <w:hideMark/>
          </w:tcPr>
          <w:p w14:paraId="0F1CF74E" w14:textId="77777777" w:rsidR="00384890" w:rsidRDefault="00384890" w:rsidP="003B3C51">
            <w:pPr>
              <w:jc w:val="right"/>
              <w:rPr>
                <w:color w:val="000000"/>
              </w:rPr>
            </w:pPr>
            <w:r>
              <w:rPr>
                <w:color w:val="000000"/>
              </w:rPr>
              <w:t>9.39</w:t>
            </w:r>
          </w:p>
        </w:tc>
        <w:tc>
          <w:tcPr>
            <w:tcW w:w="900" w:type="dxa"/>
            <w:shd w:val="clear" w:color="auto" w:fill="auto"/>
            <w:noWrap/>
            <w:vAlign w:val="center"/>
            <w:hideMark/>
          </w:tcPr>
          <w:p w14:paraId="65481358" w14:textId="77777777" w:rsidR="00384890" w:rsidRDefault="00384890" w:rsidP="003B3C51">
            <w:pPr>
              <w:jc w:val="center"/>
              <w:rPr>
                <w:color w:val="000000"/>
              </w:rPr>
            </w:pPr>
            <w:r>
              <w:rPr>
                <w:color w:val="000000"/>
              </w:rPr>
              <w:t>0.26</w:t>
            </w:r>
          </w:p>
        </w:tc>
        <w:tc>
          <w:tcPr>
            <w:tcW w:w="900" w:type="dxa"/>
            <w:shd w:val="clear" w:color="auto" w:fill="auto"/>
            <w:noWrap/>
            <w:vAlign w:val="center"/>
            <w:hideMark/>
          </w:tcPr>
          <w:p w14:paraId="191B1706" w14:textId="77777777" w:rsidR="00384890" w:rsidRDefault="00384890" w:rsidP="003B3C51">
            <w:pPr>
              <w:jc w:val="right"/>
              <w:rPr>
                <w:color w:val="000000"/>
              </w:rPr>
            </w:pPr>
            <w:r>
              <w:rPr>
                <w:color w:val="000000"/>
              </w:rPr>
              <w:t>6.36</w:t>
            </w:r>
          </w:p>
        </w:tc>
        <w:tc>
          <w:tcPr>
            <w:tcW w:w="900" w:type="dxa"/>
            <w:shd w:val="clear" w:color="auto" w:fill="auto"/>
            <w:noWrap/>
            <w:vAlign w:val="center"/>
            <w:hideMark/>
          </w:tcPr>
          <w:p w14:paraId="3F4F04EA" w14:textId="77777777" w:rsidR="00384890" w:rsidRDefault="00384890" w:rsidP="003B3C51">
            <w:pPr>
              <w:jc w:val="center"/>
              <w:rPr>
                <w:color w:val="000000"/>
              </w:rPr>
            </w:pPr>
            <w:r>
              <w:rPr>
                <w:color w:val="000000"/>
              </w:rPr>
              <w:t>0.20</w:t>
            </w:r>
          </w:p>
        </w:tc>
      </w:tr>
      <w:tr w:rsidR="00384890" w14:paraId="4533AB80" w14:textId="77777777" w:rsidTr="003B3C51">
        <w:trPr>
          <w:trHeight w:val="360"/>
        </w:trPr>
        <w:tc>
          <w:tcPr>
            <w:tcW w:w="920" w:type="dxa"/>
            <w:shd w:val="clear" w:color="auto" w:fill="auto"/>
            <w:noWrap/>
            <w:vAlign w:val="center"/>
            <w:hideMark/>
          </w:tcPr>
          <w:p w14:paraId="207A6F0E" w14:textId="77777777" w:rsidR="00384890" w:rsidRDefault="00384890" w:rsidP="003B3C51">
            <w:pPr>
              <w:jc w:val="center"/>
              <w:rPr>
                <w:color w:val="000000"/>
              </w:rPr>
            </w:pPr>
            <w:r>
              <w:rPr>
                <w:color w:val="000000"/>
              </w:rPr>
              <w:t>Cr</w:t>
            </w:r>
            <w:r>
              <w:rPr>
                <w:color w:val="000000"/>
                <w:vertAlign w:val="subscript"/>
              </w:rPr>
              <w:t>2</w:t>
            </w:r>
            <w:r>
              <w:rPr>
                <w:color w:val="000000"/>
              </w:rPr>
              <w:t>O</w:t>
            </w:r>
            <w:r>
              <w:rPr>
                <w:color w:val="000000"/>
                <w:vertAlign w:val="subscript"/>
              </w:rPr>
              <w:t>3</w:t>
            </w:r>
          </w:p>
        </w:tc>
        <w:tc>
          <w:tcPr>
            <w:tcW w:w="900" w:type="dxa"/>
            <w:shd w:val="clear" w:color="auto" w:fill="auto"/>
            <w:noWrap/>
            <w:vAlign w:val="center"/>
            <w:hideMark/>
          </w:tcPr>
          <w:p w14:paraId="14033EE2" w14:textId="77777777" w:rsidR="00384890" w:rsidRDefault="00384890" w:rsidP="003B3C51">
            <w:pPr>
              <w:jc w:val="right"/>
              <w:rPr>
                <w:color w:val="000000"/>
              </w:rPr>
            </w:pPr>
            <w:r>
              <w:rPr>
                <w:color w:val="000000"/>
              </w:rPr>
              <w:t>0.01</w:t>
            </w:r>
          </w:p>
        </w:tc>
        <w:tc>
          <w:tcPr>
            <w:tcW w:w="900" w:type="dxa"/>
            <w:shd w:val="clear" w:color="auto" w:fill="auto"/>
            <w:noWrap/>
            <w:vAlign w:val="center"/>
            <w:hideMark/>
          </w:tcPr>
          <w:p w14:paraId="5B9032ED" w14:textId="77777777" w:rsidR="00384890" w:rsidRDefault="00384890" w:rsidP="003B3C51">
            <w:pPr>
              <w:jc w:val="center"/>
              <w:rPr>
                <w:color w:val="000000"/>
              </w:rPr>
            </w:pPr>
            <w:r>
              <w:rPr>
                <w:color w:val="000000"/>
              </w:rPr>
              <w:t>0.02</w:t>
            </w:r>
          </w:p>
        </w:tc>
        <w:tc>
          <w:tcPr>
            <w:tcW w:w="900" w:type="dxa"/>
            <w:shd w:val="clear" w:color="auto" w:fill="auto"/>
            <w:noWrap/>
            <w:vAlign w:val="center"/>
            <w:hideMark/>
          </w:tcPr>
          <w:p w14:paraId="45FE8B3C" w14:textId="77777777" w:rsidR="00384890" w:rsidRDefault="00384890" w:rsidP="003B3C51">
            <w:pPr>
              <w:jc w:val="right"/>
              <w:rPr>
                <w:color w:val="000000"/>
              </w:rPr>
            </w:pPr>
            <w:r>
              <w:rPr>
                <w:color w:val="000000"/>
              </w:rPr>
              <w:t>0.07</w:t>
            </w:r>
          </w:p>
        </w:tc>
        <w:tc>
          <w:tcPr>
            <w:tcW w:w="900" w:type="dxa"/>
            <w:shd w:val="clear" w:color="auto" w:fill="auto"/>
            <w:noWrap/>
            <w:vAlign w:val="center"/>
            <w:hideMark/>
          </w:tcPr>
          <w:p w14:paraId="51304E2B" w14:textId="77777777" w:rsidR="00384890" w:rsidRDefault="00384890" w:rsidP="003B3C51">
            <w:pPr>
              <w:jc w:val="center"/>
              <w:rPr>
                <w:color w:val="000000"/>
              </w:rPr>
            </w:pPr>
            <w:r>
              <w:rPr>
                <w:color w:val="000000"/>
              </w:rPr>
              <w:t>0.01</w:t>
            </w:r>
          </w:p>
        </w:tc>
      </w:tr>
      <w:tr w:rsidR="00384890" w14:paraId="38384178" w14:textId="77777777" w:rsidTr="003B3C51">
        <w:trPr>
          <w:trHeight w:val="320"/>
        </w:trPr>
        <w:tc>
          <w:tcPr>
            <w:tcW w:w="920" w:type="dxa"/>
            <w:shd w:val="clear" w:color="auto" w:fill="auto"/>
            <w:noWrap/>
            <w:vAlign w:val="center"/>
            <w:hideMark/>
          </w:tcPr>
          <w:p w14:paraId="6A472C35" w14:textId="77777777" w:rsidR="00384890" w:rsidRDefault="00384890" w:rsidP="003B3C51">
            <w:pPr>
              <w:jc w:val="center"/>
              <w:rPr>
                <w:color w:val="000000"/>
              </w:rPr>
            </w:pPr>
            <w:r>
              <w:rPr>
                <w:color w:val="000000"/>
              </w:rPr>
              <w:t>MgO</w:t>
            </w:r>
          </w:p>
        </w:tc>
        <w:tc>
          <w:tcPr>
            <w:tcW w:w="900" w:type="dxa"/>
            <w:shd w:val="clear" w:color="auto" w:fill="auto"/>
            <w:noWrap/>
            <w:vAlign w:val="center"/>
            <w:hideMark/>
          </w:tcPr>
          <w:p w14:paraId="4777DDDF" w14:textId="77777777" w:rsidR="00384890" w:rsidRDefault="00384890" w:rsidP="003B3C51">
            <w:pPr>
              <w:jc w:val="right"/>
              <w:rPr>
                <w:color w:val="000000"/>
              </w:rPr>
            </w:pPr>
            <w:r>
              <w:rPr>
                <w:color w:val="000000"/>
              </w:rPr>
              <w:t>0.09</w:t>
            </w:r>
          </w:p>
        </w:tc>
        <w:tc>
          <w:tcPr>
            <w:tcW w:w="900" w:type="dxa"/>
            <w:shd w:val="clear" w:color="auto" w:fill="auto"/>
            <w:noWrap/>
            <w:vAlign w:val="center"/>
            <w:hideMark/>
          </w:tcPr>
          <w:p w14:paraId="5C878E13" w14:textId="77777777" w:rsidR="00384890" w:rsidRDefault="00384890" w:rsidP="003B3C51">
            <w:pPr>
              <w:jc w:val="center"/>
              <w:rPr>
                <w:color w:val="000000"/>
              </w:rPr>
            </w:pPr>
            <w:r>
              <w:rPr>
                <w:color w:val="000000"/>
              </w:rPr>
              <w:t>0.01</w:t>
            </w:r>
          </w:p>
        </w:tc>
        <w:tc>
          <w:tcPr>
            <w:tcW w:w="900" w:type="dxa"/>
            <w:shd w:val="clear" w:color="auto" w:fill="auto"/>
            <w:noWrap/>
            <w:vAlign w:val="center"/>
            <w:hideMark/>
          </w:tcPr>
          <w:p w14:paraId="5762557A" w14:textId="77777777" w:rsidR="00384890" w:rsidRDefault="00384890" w:rsidP="003B3C51">
            <w:pPr>
              <w:jc w:val="right"/>
              <w:rPr>
                <w:color w:val="000000"/>
              </w:rPr>
            </w:pPr>
            <w:r>
              <w:rPr>
                <w:color w:val="000000"/>
              </w:rPr>
              <w:t>1.99</w:t>
            </w:r>
          </w:p>
        </w:tc>
        <w:tc>
          <w:tcPr>
            <w:tcW w:w="900" w:type="dxa"/>
            <w:shd w:val="clear" w:color="auto" w:fill="auto"/>
            <w:noWrap/>
            <w:vAlign w:val="center"/>
            <w:hideMark/>
          </w:tcPr>
          <w:p w14:paraId="72761CB5" w14:textId="77777777" w:rsidR="00384890" w:rsidRDefault="00384890" w:rsidP="003B3C51">
            <w:pPr>
              <w:jc w:val="center"/>
              <w:rPr>
                <w:color w:val="000000"/>
              </w:rPr>
            </w:pPr>
            <w:r>
              <w:rPr>
                <w:color w:val="000000"/>
              </w:rPr>
              <w:t>0.13</w:t>
            </w:r>
          </w:p>
        </w:tc>
      </w:tr>
      <w:tr w:rsidR="00384890" w14:paraId="125FB075" w14:textId="77777777" w:rsidTr="003B3C51">
        <w:trPr>
          <w:trHeight w:val="320"/>
        </w:trPr>
        <w:tc>
          <w:tcPr>
            <w:tcW w:w="920" w:type="dxa"/>
            <w:shd w:val="clear" w:color="auto" w:fill="auto"/>
            <w:noWrap/>
            <w:vAlign w:val="center"/>
            <w:hideMark/>
          </w:tcPr>
          <w:p w14:paraId="613459DB" w14:textId="77777777" w:rsidR="00384890" w:rsidRDefault="00384890" w:rsidP="003B3C51">
            <w:pPr>
              <w:jc w:val="center"/>
              <w:rPr>
                <w:color w:val="000000"/>
              </w:rPr>
            </w:pPr>
            <w:r>
              <w:rPr>
                <w:color w:val="000000"/>
              </w:rPr>
              <w:t>CaO</w:t>
            </w:r>
          </w:p>
        </w:tc>
        <w:tc>
          <w:tcPr>
            <w:tcW w:w="900" w:type="dxa"/>
            <w:shd w:val="clear" w:color="auto" w:fill="auto"/>
            <w:noWrap/>
            <w:vAlign w:val="center"/>
            <w:hideMark/>
          </w:tcPr>
          <w:p w14:paraId="3068086B" w14:textId="77777777" w:rsidR="00384890" w:rsidRDefault="00384890" w:rsidP="003B3C51">
            <w:pPr>
              <w:jc w:val="right"/>
              <w:rPr>
                <w:color w:val="000000"/>
              </w:rPr>
            </w:pPr>
            <w:r>
              <w:rPr>
                <w:color w:val="000000"/>
              </w:rPr>
              <w:t>11.47</w:t>
            </w:r>
          </w:p>
        </w:tc>
        <w:tc>
          <w:tcPr>
            <w:tcW w:w="900" w:type="dxa"/>
            <w:shd w:val="clear" w:color="auto" w:fill="auto"/>
            <w:noWrap/>
            <w:vAlign w:val="center"/>
            <w:hideMark/>
          </w:tcPr>
          <w:p w14:paraId="2217ACE4" w14:textId="77777777" w:rsidR="00384890" w:rsidRDefault="00384890" w:rsidP="003B3C51">
            <w:pPr>
              <w:jc w:val="center"/>
              <w:rPr>
                <w:color w:val="000000"/>
              </w:rPr>
            </w:pPr>
            <w:r>
              <w:rPr>
                <w:color w:val="000000"/>
              </w:rPr>
              <w:t>0.10</w:t>
            </w:r>
          </w:p>
        </w:tc>
        <w:tc>
          <w:tcPr>
            <w:tcW w:w="900" w:type="dxa"/>
            <w:shd w:val="clear" w:color="auto" w:fill="auto"/>
            <w:noWrap/>
            <w:vAlign w:val="center"/>
            <w:hideMark/>
          </w:tcPr>
          <w:p w14:paraId="01506D44" w14:textId="77777777" w:rsidR="00384890" w:rsidRDefault="00384890" w:rsidP="003B3C51">
            <w:pPr>
              <w:jc w:val="right"/>
              <w:rPr>
                <w:color w:val="000000"/>
              </w:rPr>
            </w:pPr>
            <w:r>
              <w:rPr>
                <w:color w:val="000000"/>
              </w:rPr>
              <w:t>11.28</w:t>
            </w:r>
          </w:p>
        </w:tc>
        <w:tc>
          <w:tcPr>
            <w:tcW w:w="900" w:type="dxa"/>
            <w:shd w:val="clear" w:color="auto" w:fill="auto"/>
            <w:noWrap/>
            <w:vAlign w:val="center"/>
            <w:hideMark/>
          </w:tcPr>
          <w:p w14:paraId="057C734B" w14:textId="77777777" w:rsidR="00384890" w:rsidRDefault="00384890" w:rsidP="003B3C51">
            <w:pPr>
              <w:jc w:val="center"/>
              <w:rPr>
                <w:color w:val="000000"/>
              </w:rPr>
            </w:pPr>
            <w:r>
              <w:rPr>
                <w:color w:val="000000"/>
              </w:rPr>
              <w:t>0.45</w:t>
            </w:r>
          </w:p>
        </w:tc>
      </w:tr>
      <w:tr w:rsidR="00384890" w14:paraId="620C65BE" w14:textId="77777777" w:rsidTr="003B3C51">
        <w:trPr>
          <w:trHeight w:val="320"/>
        </w:trPr>
        <w:tc>
          <w:tcPr>
            <w:tcW w:w="920" w:type="dxa"/>
            <w:shd w:val="clear" w:color="auto" w:fill="auto"/>
            <w:noWrap/>
            <w:vAlign w:val="center"/>
            <w:hideMark/>
          </w:tcPr>
          <w:p w14:paraId="7C013DEB" w14:textId="77777777" w:rsidR="00384890" w:rsidRDefault="00384890" w:rsidP="003B3C51">
            <w:pPr>
              <w:jc w:val="center"/>
              <w:rPr>
                <w:color w:val="000000"/>
              </w:rPr>
            </w:pPr>
            <w:r>
              <w:rPr>
                <w:color w:val="000000"/>
              </w:rPr>
              <w:t>MnO</w:t>
            </w:r>
          </w:p>
        </w:tc>
        <w:tc>
          <w:tcPr>
            <w:tcW w:w="900" w:type="dxa"/>
            <w:shd w:val="clear" w:color="auto" w:fill="auto"/>
            <w:noWrap/>
            <w:vAlign w:val="center"/>
            <w:hideMark/>
          </w:tcPr>
          <w:p w14:paraId="56B150E5" w14:textId="77777777" w:rsidR="00384890" w:rsidRDefault="00384890" w:rsidP="003B3C51">
            <w:pPr>
              <w:jc w:val="right"/>
              <w:rPr>
                <w:color w:val="000000"/>
              </w:rPr>
            </w:pPr>
            <w:r>
              <w:rPr>
                <w:color w:val="000000"/>
              </w:rPr>
              <w:t>1.18</w:t>
            </w:r>
          </w:p>
        </w:tc>
        <w:tc>
          <w:tcPr>
            <w:tcW w:w="900" w:type="dxa"/>
            <w:shd w:val="clear" w:color="auto" w:fill="auto"/>
            <w:noWrap/>
            <w:vAlign w:val="center"/>
            <w:hideMark/>
          </w:tcPr>
          <w:p w14:paraId="6B793C3A" w14:textId="77777777" w:rsidR="00384890" w:rsidRDefault="00384890" w:rsidP="003B3C51">
            <w:pPr>
              <w:jc w:val="center"/>
              <w:rPr>
                <w:color w:val="000000"/>
              </w:rPr>
            </w:pPr>
            <w:r>
              <w:rPr>
                <w:color w:val="000000"/>
              </w:rPr>
              <w:t>0.03</w:t>
            </w:r>
          </w:p>
        </w:tc>
        <w:tc>
          <w:tcPr>
            <w:tcW w:w="900" w:type="dxa"/>
            <w:shd w:val="clear" w:color="auto" w:fill="auto"/>
            <w:noWrap/>
            <w:vAlign w:val="center"/>
            <w:hideMark/>
          </w:tcPr>
          <w:p w14:paraId="25087183" w14:textId="77777777" w:rsidR="00384890" w:rsidRDefault="00384890" w:rsidP="003B3C51">
            <w:pPr>
              <w:jc w:val="right"/>
              <w:rPr>
                <w:color w:val="000000"/>
              </w:rPr>
            </w:pPr>
            <w:r>
              <w:rPr>
                <w:color w:val="000000"/>
              </w:rPr>
              <w:t>1.14</w:t>
            </w:r>
          </w:p>
        </w:tc>
        <w:tc>
          <w:tcPr>
            <w:tcW w:w="900" w:type="dxa"/>
            <w:shd w:val="clear" w:color="auto" w:fill="auto"/>
            <w:noWrap/>
            <w:vAlign w:val="center"/>
            <w:hideMark/>
          </w:tcPr>
          <w:p w14:paraId="4FF76C8E" w14:textId="77777777" w:rsidR="00384890" w:rsidRDefault="00384890" w:rsidP="003B3C51">
            <w:pPr>
              <w:jc w:val="center"/>
              <w:rPr>
                <w:color w:val="000000"/>
              </w:rPr>
            </w:pPr>
            <w:r>
              <w:rPr>
                <w:color w:val="000000"/>
              </w:rPr>
              <w:t>0.03</w:t>
            </w:r>
          </w:p>
        </w:tc>
      </w:tr>
      <w:tr w:rsidR="00384890" w14:paraId="0E96C8C8" w14:textId="77777777" w:rsidTr="003B3C51">
        <w:trPr>
          <w:trHeight w:val="320"/>
        </w:trPr>
        <w:tc>
          <w:tcPr>
            <w:tcW w:w="920" w:type="dxa"/>
            <w:shd w:val="clear" w:color="auto" w:fill="auto"/>
            <w:noWrap/>
            <w:vAlign w:val="center"/>
            <w:hideMark/>
          </w:tcPr>
          <w:p w14:paraId="10A801EB" w14:textId="77777777" w:rsidR="00384890" w:rsidRDefault="00384890" w:rsidP="003B3C51">
            <w:pPr>
              <w:jc w:val="center"/>
              <w:rPr>
                <w:color w:val="000000"/>
              </w:rPr>
            </w:pPr>
            <w:r>
              <w:rPr>
                <w:color w:val="000000"/>
              </w:rPr>
              <w:t>FeO</w:t>
            </w:r>
          </w:p>
        </w:tc>
        <w:tc>
          <w:tcPr>
            <w:tcW w:w="900" w:type="dxa"/>
            <w:shd w:val="clear" w:color="auto" w:fill="auto"/>
            <w:noWrap/>
            <w:vAlign w:val="center"/>
            <w:hideMark/>
          </w:tcPr>
          <w:p w14:paraId="185E4A52" w14:textId="77777777" w:rsidR="00384890" w:rsidRDefault="00384890" w:rsidP="003B3C51">
            <w:pPr>
              <w:jc w:val="right"/>
              <w:rPr>
                <w:color w:val="000000"/>
              </w:rPr>
            </w:pPr>
            <w:r>
              <w:rPr>
                <w:color w:val="000000"/>
              </w:rPr>
              <w:t>27.37</w:t>
            </w:r>
          </w:p>
        </w:tc>
        <w:tc>
          <w:tcPr>
            <w:tcW w:w="900" w:type="dxa"/>
            <w:shd w:val="clear" w:color="auto" w:fill="auto"/>
            <w:noWrap/>
            <w:vAlign w:val="center"/>
            <w:hideMark/>
          </w:tcPr>
          <w:p w14:paraId="7455FD3C" w14:textId="77777777" w:rsidR="00384890" w:rsidRDefault="00384890" w:rsidP="003B3C51">
            <w:pPr>
              <w:jc w:val="center"/>
              <w:rPr>
                <w:color w:val="000000"/>
              </w:rPr>
            </w:pPr>
            <w:r>
              <w:rPr>
                <w:color w:val="000000"/>
              </w:rPr>
              <w:t>0.37</w:t>
            </w:r>
          </w:p>
        </w:tc>
        <w:tc>
          <w:tcPr>
            <w:tcW w:w="900" w:type="dxa"/>
            <w:shd w:val="clear" w:color="auto" w:fill="auto"/>
            <w:noWrap/>
            <w:vAlign w:val="center"/>
            <w:hideMark/>
          </w:tcPr>
          <w:p w14:paraId="21E0D1A6" w14:textId="77777777" w:rsidR="00384890" w:rsidRDefault="00384890" w:rsidP="003B3C51">
            <w:pPr>
              <w:jc w:val="right"/>
              <w:rPr>
                <w:color w:val="000000"/>
              </w:rPr>
            </w:pPr>
            <w:r>
              <w:rPr>
                <w:color w:val="000000"/>
              </w:rPr>
              <w:t>35.55</w:t>
            </w:r>
          </w:p>
        </w:tc>
        <w:tc>
          <w:tcPr>
            <w:tcW w:w="900" w:type="dxa"/>
            <w:shd w:val="clear" w:color="auto" w:fill="auto"/>
            <w:noWrap/>
            <w:vAlign w:val="center"/>
            <w:hideMark/>
          </w:tcPr>
          <w:p w14:paraId="48D781AE" w14:textId="77777777" w:rsidR="00384890" w:rsidRDefault="00384890" w:rsidP="003B3C51">
            <w:pPr>
              <w:jc w:val="center"/>
              <w:rPr>
                <w:color w:val="000000"/>
              </w:rPr>
            </w:pPr>
            <w:r>
              <w:rPr>
                <w:color w:val="000000"/>
              </w:rPr>
              <w:t>0.98</w:t>
            </w:r>
          </w:p>
        </w:tc>
      </w:tr>
      <w:tr w:rsidR="00384890" w14:paraId="451790E4" w14:textId="77777777" w:rsidTr="003B3C51">
        <w:trPr>
          <w:trHeight w:val="320"/>
        </w:trPr>
        <w:tc>
          <w:tcPr>
            <w:tcW w:w="920" w:type="dxa"/>
            <w:shd w:val="clear" w:color="auto" w:fill="auto"/>
            <w:noWrap/>
            <w:vAlign w:val="center"/>
            <w:hideMark/>
          </w:tcPr>
          <w:p w14:paraId="49A14898" w14:textId="77777777" w:rsidR="00384890" w:rsidRDefault="00384890" w:rsidP="003B3C51">
            <w:pPr>
              <w:jc w:val="center"/>
              <w:rPr>
                <w:color w:val="000000"/>
              </w:rPr>
            </w:pPr>
            <w:r>
              <w:rPr>
                <w:color w:val="000000"/>
              </w:rPr>
              <w:t>NiO</w:t>
            </w:r>
          </w:p>
        </w:tc>
        <w:tc>
          <w:tcPr>
            <w:tcW w:w="900" w:type="dxa"/>
            <w:shd w:val="clear" w:color="auto" w:fill="auto"/>
            <w:noWrap/>
            <w:vAlign w:val="center"/>
            <w:hideMark/>
          </w:tcPr>
          <w:p w14:paraId="4B6AC1F0" w14:textId="77777777" w:rsidR="00384890" w:rsidRDefault="00384890" w:rsidP="003B3C51">
            <w:pPr>
              <w:jc w:val="right"/>
              <w:rPr>
                <w:color w:val="000000"/>
              </w:rPr>
            </w:pPr>
            <w:r>
              <w:rPr>
                <w:color w:val="000000"/>
              </w:rPr>
              <w:t>0.01</w:t>
            </w:r>
          </w:p>
        </w:tc>
        <w:tc>
          <w:tcPr>
            <w:tcW w:w="900" w:type="dxa"/>
            <w:shd w:val="clear" w:color="auto" w:fill="auto"/>
            <w:noWrap/>
            <w:vAlign w:val="center"/>
            <w:hideMark/>
          </w:tcPr>
          <w:p w14:paraId="599F0268" w14:textId="77777777" w:rsidR="00384890" w:rsidRDefault="00384890" w:rsidP="003B3C51">
            <w:pPr>
              <w:jc w:val="center"/>
              <w:rPr>
                <w:color w:val="000000"/>
              </w:rPr>
            </w:pPr>
            <w:r>
              <w:rPr>
                <w:color w:val="000000"/>
              </w:rPr>
              <w:t>0.01</w:t>
            </w:r>
          </w:p>
        </w:tc>
        <w:tc>
          <w:tcPr>
            <w:tcW w:w="900" w:type="dxa"/>
            <w:shd w:val="clear" w:color="auto" w:fill="auto"/>
            <w:noWrap/>
            <w:vAlign w:val="center"/>
            <w:hideMark/>
          </w:tcPr>
          <w:p w14:paraId="442C310A" w14:textId="77777777" w:rsidR="00384890" w:rsidRDefault="00384890" w:rsidP="003B3C51">
            <w:pPr>
              <w:jc w:val="right"/>
              <w:rPr>
                <w:color w:val="000000"/>
              </w:rPr>
            </w:pPr>
            <w:r>
              <w:rPr>
                <w:color w:val="000000"/>
              </w:rPr>
              <w:t>0.01</w:t>
            </w:r>
          </w:p>
        </w:tc>
        <w:tc>
          <w:tcPr>
            <w:tcW w:w="900" w:type="dxa"/>
            <w:shd w:val="clear" w:color="auto" w:fill="auto"/>
            <w:noWrap/>
            <w:vAlign w:val="center"/>
            <w:hideMark/>
          </w:tcPr>
          <w:p w14:paraId="6E621DA1" w14:textId="77777777" w:rsidR="00384890" w:rsidRDefault="00384890" w:rsidP="003B3C51">
            <w:pPr>
              <w:jc w:val="center"/>
              <w:rPr>
                <w:color w:val="000000"/>
              </w:rPr>
            </w:pPr>
            <w:r>
              <w:rPr>
                <w:color w:val="000000"/>
              </w:rPr>
              <w:t>0.01</w:t>
            </w:r>
          </w:p>
        </w:tc>
      </w:tr>
      <w:tr w:rsidR="00384890" w14:paraId="3622F768" w14:textId="77777777" w:rsidTr="003B3C51">
        <w:trPr>
          <w:trHeight w:val="360"/>
        </w:trPr>
        <w:tc>
          <w:tcPr>
            <w:tcW w:w="920" w:type="dxa"/>
            <w:shd w:val="clear" w:color="auto" w:fill="auto"/>
            <w:noWrap/>
            <w:vAlign w:val="center"/>
            <w:hideMark/>
          </w:tcPr>
          <w:p w14:paraId="341E47C8" w14:textId="77777777" w:rsidR="00384890" w:rsidRDefault="00384890" w:rsidP="003B3C51">
            <w:pPr>
              <w:jc w:val="center"/>
              <w:rPr>
                <w:color w:val="000000"/>
              </w:rPr>
            </w:pPr>
            <w:r>
              <w:rPr>
                <w:color w:val="000000"/>
              </w:rPr>
              <w:t>Na</w:t>
            </w:r>
            <w:r>
              <w:rPr>
                <w:color w:val="000000"/>
                <w:vertAlign w:val="subscript"/>
              </w:rPr>
              <w:t>2</w:t>
            </w:r>
            <w:r>
              <w:rPr>
                <w:color w:val="000000"/>
              </w:rPr>
              <w:t>O</w:t>
            </w:r>
          </w:p>
        </w:tc>
        <w:tc>
          <w:tcPr>
            <w:tcW w:w="900" w:type="dxa"/>
            <w:shd w:val="clear" w:color="auto" w:fill="auto"/>
            <w:noWrap/>
            <w:vAlign w:val="center"/>
            <w:hideMark/>
          </w:tcPr>
          <w:p w14:paraId="08B48C0A" w14:textId="77777777" w:rsidR="00384890" w:rsidRDefault="00384890" w:rsidP="003B3C51">
            <w:pPr>
              <w:jc w:val="right"/>
              <w:rPr>
                <w:color w:val="000000"/>
              </w:rPr>
            </w:pPr>
            <w:r>
              <w:rPr>
                <w:color w:val="000000"/>
              </w:rPr>
              <w:t>0.77</w:t>
            </w:r>
          </w:p>
        </w:tc>
        <w:tc>
          <w:tcPr>
            <w:tcW w:w="900" w:type="dxa"/>
            <w:shd w:val="clear" w:color="auto" w:fill="auto"/>
            <w:noWrap/>
            <w:vAlign w:val="center"/>
            <w:hideMark/>
          </w:tcPr>
          <w:p w14:paraId="116D20F2" w14:textId="77777777" w:rsidR="00384890" w:rsidRDefault="00384890" w:rsidP="003B3C51">
            <w:pPr>
              <w:jc w:val="center"/>
              <w:rPr>
                <w:color w:val="000000"/>
              </w:rPr>
            </w:pPr>
            <w:r>
              <w:rPr>
                <w:color w:val="000000"/>
              </w:rPr>
              <w:t>0.03</w:t>
            </w:r>
          </w:p>
        </w:tc>
        <w:tc>
          <w:tcPr>
            <w:tcW w:w="900" w:type="dxa"/>
            <w:shd w:val="clear" w:color="auto" w:fill="auto"/>
            <w:noWrap/>
            <w:vAlign w:val="center"/>
            <w:hideMark/>
          </w:tcPr>
          <w:p w14:paraId="22959811" w14:textId="77777777" w:rsidR="00384890" w:rsidRDefault="00384890" w:rsidP="003B3C51">
            <w:pPr>
              <w:jc w:val="right"/>
              <w:rPr>
                <w:color w:val="000000"/>
              </w:rPr>
            </w:pPr>
            <w:r>
              <w:rPr>
                <w:color w:val="000000"/>
              </w:rPr>
              <w:t>0.26</w:t>
            </w:r>
          </w:p>
        </w:tc>
        <w:tc>
          <w:tcPr>
            <w:tcW w:w="900" w:type="dxa"/>
            <w:shd w:val="clear" w:color="auto" w:fill="auto"/>
            <w:noWrap/>
            <w:vAlign w:val="center"/>
            <w:hideMark/>
          </w:tcPr>
          <w:p w14:paraId="5FF787D6" w14:textId="77777777" w:rsidR="00384890" w:rsidRDefault="00384890" w:rsidP="003B3C51">
            <w:pPr>
              <w:jc w:val="center"/>
              <w:rPr>
                <w:color w:val="000000"/>
              </w:rPr>
            </w:pPr>
            <w:r>
              <w:rPr>
                <w:color w:val="000000"/>
              </w:rPr>
              <w:t>0.05</w:t>
            </w:r>
          </w:p>
        </w:tc>
      </w:tr>
      <w:tr w:rsidR="00384890" w14:paraId="7EE36E7E" w14:textId="77777777" w:rsidTr="003B3C51">
        <w:trPr>
          <w:trHeight w:val="320"/>
        </w:trPr>
        <w:tc>
          <w:tcPr>
            <w:tcW w:w="920" w:type="dxa"/>
            <w:shd w:val="clear" w:color="auto" w:fill="auto"/>
            <w:noWrap/>
            <w:vAlign w:val="center"/>
            <w:hideMark/>
          </w:tcPr>
          <w:p w14:paraId="767A2260" w14:textId="77777777" w:rsidR="00384890" w:rsidRDefault="00384890" w:rsidP="003B3C51">
            <w:pPr>
              <w:jc w:val="center"/>
              <w:rPr>
                <w:color w:val="000000"/>
              </w:rPr>
            </w:pPr>
            <w:r>
              <w:rPr>
                <w:color w:val="000000"/>
              </w:rPr>
              <w:t>Total</w:t>
            </w:r>
          </w:p>
        </w:tc>
        <w:tc>
          <w:tcPr>
            <w:tcW w:w="900" w:type="dxa"/>
            <w:shd w:val="clear" w:color="auto" w:fill="auto"/>
            <w:noWrap/>
            <w:vAlign w:val="center"/>
            <w:hideMark/>
          </w:tcPr>
          <w:p w14:paraId="4685B5A9" w14:textId="77777777" w:rsidR="00384890" w:rsidRDefault="00384890" w:rsidP="003B3C51">
            <w:pPr>
              <w:jc w:val="right"/>
              <w:rPr>
                <w:color w:val="000000"/>
              </w:rPr>
            </w:pPr>
            <w:r>
              <w:rPr>
                <w:color w:val="000000"/>
              </w:rPr>
              <w:t>98.76</w:t>
            </w:r>
          </w:p>
        </w:tc>
        <w:tc>
          <w:tcPr>
            <w:tcW w:w="900" w:type="dxa"/>
            <w:shd w:val="clear" w:color="auto" w:fill="auto"/>
            <w:noWrap/>
            <w:vAlign w:val="center"/>
            <w:hideMark/>
          </w:tcPr>
          <w:p w14:paraId="1296E6BE" w14:textId="77777777" w:rsidR="00384890" w:rsidRDefault="00384890" w:rsidP="003B3C51">
            <w:pPr>
              <w:jc w:val="center"/>
              <w:rPr>
                <w:color w:val="000000"/>
              </w:rPr>
            </w:pPr>
            <w:r>
              <w:rPr>
                <w:color w:val="000000"/>
              </w:rPr>
              <w:t>0.24</w:t>
            </w:r>
          </w:p>
        </w:tc>
        <w:tc>
          <w:tcPr>
            <w:tcW w:w="900" w:type="dxa"/>
            <w:shd w:val="clear" w:color="auto" w:fill="auto"/>
            <w:noWrap/>
            <w:vAlign w:val="center"/>
            <w:hideMark/>
          </w:tcPr>
          <w:p w14:paraId="421ED267" w14:textId="77777777" w:rsidR="00384890" w:rsidRDefault="00384890" w:rsidP="003B3C51">
            <w:pPr>
              <w:jc w:val="right"/>
              <w:rPr>
                <w:color w:val="000000"/>
              </w:rPr>
            </w:pPr>
            <w:r>
              <w:rPr>
                <w:color w:val="000000"/>
              </w:rPr>
              <w:t>100.59</w:t>
            </w:r>
          </w:p>
        </w:tc>
        <w:tc>
          <w:tcPr>
            <w:tcW w:w="900" w:type="dxa"/>
            <w:shd w:val="clear" w:color="auto" w:fill="auto"/>
            <w:noWrap/>
            <w:vAlign w:val="center"/>
            <w:hideMark/>
          </w:tcPr>
          <w:p w14:paraId="337A88EB" w14:textId="77777777" w:rsidR="00384890" w:rsidRDefault="00384890" w:rsidP="003B3C51">
            <w:pPr>
              <w:jc w:val="center"/>
              <w:rPr>
                <w:color w:val="000000"/>
              </w:rPr>
            </w:pPr>
            <w:r>
              <w:rPr>
                <w:color w:val="000000"/>
              </w:rPr>
              <w:t>0.36</w:t>
            </w:r>
          </w:p>
        </w:tc>
      </w:tr>
      <w:tr w:rsidR="00384890" w14:paraId="2CE99001" w14:textId="77777777" w:rsidTr="003B3C51">
        <w:trPr>
          <w:trHeight w:val="340"/>
        </w:trPr>
        <w:tc>
          <w:tcPr>
            <w:tcW w:w="920" w:type="dxa"/>
            <w:shd w:val="clear" w:color="auto" w:fill="auto"/>
            <w:noWrap/>
            <w:vAlign w:val="center"/>
            <w:hideMark/>
          </w:tcPr>
          <w:p w14:paraId="7612D0C8" w14:textId="77777777" w:rsidR="00384890" w:rsidRDefault="00384890" w:rsidP="003B3C51">
            <w:pPr>
              <w:jc w:val="center"/>
              <w:rPr>
                <w:color w:val="000000"/>
              </w:rPr>
            </w:pPr>
            <w:r>
              <w:rPr>
                <w:color w:val="000000"/>
              </w:rPr>
              <w:t>Mg#</w:t>
            </w:r>
          </w:p>
        </w:tc>
        <w:tc>
          <w:tcPr>
            <w:tcW w:w="900" w:type="dxa"/>
            <w:shd w:val="clear" w:color="auto" w:fill="auto"/>
            <w:noWrap/>
            <w:vAlign w:val="center"/>
            <w:hideMark/>
          </w:tcPr>
          <w:p w14:paraId="4AE06FFB" w14:textId="77777777" w:rsidR="00384890" w:rsidRDefault="00384890" w:rsidP="003B3C51">
            <w:pPr>
              <w:jc w:val="right"/>
              <w:rPr>
                <w:color w:val="000000"/>
              </w:rPr>
            </w:pPr>
            <w:r>
              <w:rPr>
                <w:color w:val="000000"/>
              </w:rPr>
              <w:t>0.60</w:t>
            </w:r>
          </w:p>
        </w:tc>
        <w:tc>
          <w:tcPr>
            <w:tcW w:w="900" w:type="dxa"/>
            <w:shd w:val="clear" w:color="auto" w:fill="auto"/>
            <w:noWrap/>
            <w:vAlign w:val="center"/>
            <w:hideMark/>
          </w:tcPr>
          <w:p w14:paraId="1F34DC9B" w14:textId="77777777" w:rsidR="00384890" w:rsidRDefault="00384890" w:rsidP="003B3C51">
            <w:pPr>
              <w:jc w:val="center"/>
              <w:rPr>
                <w:color w:val="000000"/>
              </w:rPr>
            </w:pPr>
            <w:r>
              <w:rPr>
                <w:color w:val="000000"/>
              </w:rPr>
              <w:t>0.04</w:t>
            </w:r>
          </w:p>
        </w:tc>
        <w:tc>
          <w:tcPr>
            <w:tcW w:w="900" w:type="dxa"/>
            <w:shd w:val="clear" w:color="auto" w:fill="auto"/>
            <w:noWrap/>
            <w:vAlign w:val="center"/>
            <w:hideMark/>
          </w:tcPr>
          <w:p w14:paraId="49FFF9C7" w14:textId="77777777" w:rsidR="00384890" w:rsidRDefault="00384890" w:rsidP="003B3C51">
            <w:pPr>
              <w:jc w:val="right"/>
              <w:rPr>
                <w:color w:val="000000"/>
              </w:rPr>
            </w:pPr>
            <w:r>
              <w:rPr>
                <w:color w:val="000000"/>
              </w:rPr>
              <w:t>9.08</w:t>
            </w:r>
          </w:p>
        </w:tc>
        <w:tc>
          <w:tcPr>
            <w:tcW w:w="900" w:type="dxa"/>
            <w:shd w:val="clear" w:color="auto" w:fill="auto"/>
            <w:noWrap/>
            <w:vAlign w:val="center"/>
            <w:hideMark/>
          </w:tcPr>
          <w:p w14:paraId="7C1E2E77" w14:textId="77777777" w:rsidR="00384890" w:rsidRDefault="00384890" w:rsidP="003B3C51">
            <w:pPr>
              <w:jc w:val="center"/>
              <w:rPr>
                <w:color w:val="000000"/>
              </w:rPr>
            </w:pPr>
            <w:r>
              <w:rPr>
                <w:color w:val="000000"/>
              </w:rPr>
              <w:t>0.74</w:t>
            </w:r>
          </w:p>
        </w:tc>
      </w:tr>
    </w:tbl>
    <w:p w14:paraId="55E08279" w14:textId="3720FC17" w:rsidR="00384890" w:rsidRPr="000F0099" w:rsidRDefault="00384890">
      <w:pPr>
        <w:rPr>
          <w:color w:val="000000"/>
        </w:rPr>
        <w:sectPr w:rsidR="00384890" w:rsidRPr="000F0099" w:rsidSect="000F0099">
          <w:pgSz w:w="15840" w:h="12240" w:orient="landscape" w:code="1"/>
          <w:pgMar w:top="1800" w:right="1872" w:bottom="1800" w:left="1440" w:header="720" w:footer="1440" w:gutter="0"/>
          <w:cols w:space="720"/>
          <w:noEndnote/>
          <w:docGrid w:linePitch="360"/>
        </w:sectPr>
      </w:pPr>
    </w:p>
    <w:p w14:paraId="473181CC" w14:textId="56C7AA9C" w:rsidR="00A278A8" w:rsidRDefault="00350106" w:rsidP="00FB01B2">
      <w:pPr>
        <w:rPr>
          <w:color w:val="000000" w:themeColor="text1"/>
        </w:rPr>
      </w:pPr>
      <w:r>
        <w:rPr>
          <w:noProof/>
          <w:color w:val="000000" w:themeColor="text1"/>
        </w:rPr>
        <w:lastRenderedPageBreak/>
        <w:drawing>
          <wp:inline distT="0" distB="0" distL="0" distR="0" wp14:anchorId="7FB76E61" wp14:editId="732F1E7E">
            <wp:extent cx="5486400" cy="4419600"/>
            <wp:effectExtent l="0" t="0" r="0" b="0"/>
            <wp:docPr id="192719494" name="Picture 19" descr="A diagram of a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9494" name="Picture 19" descr="A diagram of a structure&#10;&#10;Description automatically generated with medium confidenc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486400" cy="4419600"/>
                    </a:xfrm>
                    <a:prstGeom prst="rect">
                      <a:avLst/>
                    </a:prstGeom>
                  </pic:spPr>
                </pic:pic>
              </a:graphicData>
            </a:graphic>
          </wp:inline>
        </w:drawing>
      </w:r>
    </w:p>
    <w:p w14:paraId="13D7F2B5" w14:textId="571CFECA" w:rsidR="00390972" w:rsidRDefault="00390972" w:rsidP="00227B90">
      <w:pPr>
        <w:pStyle w:val="FigureCaption"/>
      </w:pPr>
      <w:bookmarkStart w:id="87" w:name="_Toc178246916"/>
      <w:bookmarkStart w:id="88" w:name="_Toc182944851"/>
      <w:bookmarkStart w:id="89" w:name="_Toc183004996"/>
      <w:bookmarkStart w:id="90" w:name="_Toc183019398"/>
      <w:bookmarkStart w:id="91" w:name="_Toc185263408"/>
      <w:r w:rsidRPr="00227B90">
        <w:rPr>
          <w:b/>
          <w:bCs/>
        </w:rPr>
        <w:t xml:space="preserve">Figure </w:t>
      </w:r>
      <w:r w:rsidR="008F5CFC" w:rsidRPr="00227B90">
        <w:rPr>
          <w:b/>
          <w:bCs/>
        </w:rPr>
        <w:t>1.</w:t>
      </w:r>
      <w:r w:rsidRPr="00227B90">
        <w:rPr>
          <w:b/>
          <w:bCs/>
        </w:rPr>
        <w:t>3.</w:t>
      </w:r>
      <w:r w:rsidRPr="00971536">
        <w:t xml:space="preserve"> </w:t>
      </w:r>
      <w:r w:rsidRPr="00D570DC">
        <w:t>Pyroxene compositions from melt-rock reaction experiments projected as components. (a) Pyroxene compositions from near solidus experiments. (b) Pyroxene compositions from supersolidus and dissolution-precipitation experiments. Pyroxenes that formed at the interface plot in separated groups as noted for each experiment (except for IBC-MRx#11, as the interface pyroxenes have similar compositions to the most magnesian cores of euhedral pyroxenes). Mineral end-members: Enstatite (En), Ferrosilite (Fs), Diopside (Di), Hedenbergite (Hd).</w:t>
      </w:r>
      <w:bookmarkEnd w:id="87"/>
      <w:bookmarkEnd w:id="88"/>
      <w:bookmarkEnd w:id="89"/>
      <w:bookmarkEnd w:id="90"/>
      <w:bookmarkEnd w:id="91"/>
      <w:r w:rsidRPr="00971536">
        <w:t xml:space="preserve"> </w:t>
      </w:r>
    </w:p>
    <w:p w14:paraId="62C56937" w14:textId="77777777" w:rsidR="00FB01B2" w:rsidRDefault="00FB01B2" w:rsidP="00FB01B2">
      <w:pPr>
        <w:rPr>
          <w:color w:val="000000" w:themeColor="text1"/>
        </w:rPr>
      </w:pPr>
    </w:p>
    <w:p w14:paraId="564C55D6" w14:textId="77777777" w:rsidR="00FB01B2" w:rsidRDefault="00FB01B2">
      <w:pPr>
        <w:rPr>
          <w:color w:val="000000" w:themeColor="text1"/>
        </w:rPr>
      </w:pPr>
      <w:r>
        <w:rPr>
          <w:color w:val="000000" w:themeColor="text1"/>
        </w:rPr>
        <w:br w:type="page"/>
      </w:r>
    </w:p>
    <w:p w14:paraId="39226F2A" w14:textId="41E58D9A" w:rsidR="00FB01B2" w:rsidRPr="007F2D9E" w:rsidRDefault="00350106" w:rsidP="00FB01B2">
      <w:pPr>
        <w:rPr>
          <w:color w:val="000000" w:themeColor="text1"/>
        </w:rPr>
      </w:pPr>
      <w:r>
        <w:rPr>
          <w:noProof/>
          <w:color w:val="000000" w:themeColor="text1"/>
        </w:rPr>
        <w:lastRenderedPageBreak/>
        <w:drawing>
          <wp:inline distT="0" distB="0" distL="0" distR="0" wp14:anchorId="1E7630C1" wp14:editId="78D73592">
            <wp:extent cx="5486400" cy="2375535"/>
            <wp:effectExtent l="0" t="0" r="0" b="0"/>
            <wp:docPr id="735963267" name="Picture 20" descr="Diagram of a diagram of a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63267" name="Picture 20" descr="Diagram of a diagram of a human body&#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486400" cy="2375535"/>
                    </a:xfrm>
                    <a:prstGeom prst="rect">
                      <a:avLst/>
                    </a:prstGeom>
                  </pic:spPr>
                </pic:pic>
              </a:graphicData>
            </a:graphic>
          </wp:inline>
        </w:drawing>
      </w:r>
    </w:p>
    <w:p w14:paraId="498AFD92" w14:textId="780DC59A" w:rsidR="00350106" w:rsidRPr="00971536" w:rsidRDefault="00350106" w:rsidP="001529CA">
      <w:pPr>
        <w:pStyle w:val="FigureCaption"/>
      </w:pPr>
      <w:bookmarkStart w:id="92" w:name="_Toc178246917"/>
      <w:bookmarkStart w:id="93" w:name="_Toc182944852"/>
      <w:bookmarkStart w:id="94" w:name="_Toc183019399"/>
      <w:bookmarkStart w:id="95" w:name="_Toc185263409"/>
      <w:r w:rsidRPr="001529CA">
        <w:rPr>
          <w:b/>
          <w:bCs/>
        </w:rPr>
        <w:t xml:space="preserve">Figure </w:t>
      </w:r>
      <w:r w:rsidR="008F5CFC" w:rsidRPr="001529CA">
        <w:rPr>
          <w:b/>
          <w:bCs/>
        </w:rPr>
        <w:t>1.</w:t>
      </w:r>
      <w:r w:rsidRPr="001529CA">
        <w:rPr>
          <w:b/>
          <w:bCs/>
        </w:rPr>
        <w:t>4.</w:t>
      </w:r>
      <w:r w:rsidRPr="00971536">
        <w:t xml:space="preserve"> </w:t>
      </w:r>
      <w:r w:rsidRPr="00463A7F">
        <w:t xml:space="preserve">Garnet compositions from near solidus experiments conducted in this study compared to terrestrial and lunar relevant compositions. Gray shaded terrestrial garnet region represents data compiled by Sun and Liang (2015). Pink shaded lunar garnet region represents experimental garnets from picritic glass multi-saturation experiments, hybridized lunar mantle source experiments, and lunar magma ocean solidification studies (Elkins-Tanton </w:t>
      </w:r>
      <w:r w:rsidR="008F5CFC" w:rsidRPr="00463A7F">
        <w:t>et al., 20</w:t>
      </w:r>
      <w:r w:rsidRPr="00463A7F">
        <w:t xml:space="preserve">03; Draper </w:t>
      </w:r>
      <w:r w:rsidR="008F5CFC" w:rsidRPr="00463A7F">
        <w:t>et al., 20</w:t>
      </w:r>
      <w:r w:rsidRPr="00463A7F">
        <w:t xml:space="preserve">06; Elardo </w:t>
      </w:r>
      <w:r w:rsidR="008F5CFC" w:rsidRPr="00463A7F">
        <w:t>et al., 20</w:t>
      </w:r>
      <w:r w:rsidRPr="00463A7F">
        <w:t>11; Krawczynski and Grove</w:t>
      </w:r>
      <w:r w:rsidR="009B248F" w:rsidRPr="00463A7F">
        <w:t>,</w:t>
      </w:r>
      <w:r w:rsidRPr="00463A7F">
        <w:t xml:space="preserve"> 2012; Barr and Grove</w:t>
      </w:r>
      <w:r w:rsidR="009B248F" w:rsidRPr="00463A7F">
        <w:t>,</w:t>
      </w:r>
      <w:r w:rsidRPr="00463A7F">
        <w:t xml:space="preserve"> 2013; Mallik </w:t>
      </w:r>
      <w:r w:rsidR="008F5CFC" w:rsidRPr="00463A7F">
        <w:t>et al., 20</w:t>
      </w:r>
      <w:r w:rsidRPr="00463A7F">
        <w:t xml:space="preserve">19; Kraettli </w:t>
      </w:r>
      <w:r w:rsidR="008F5CFC" w:rsidRPr="00463A7F">
        <w:t>et al., 20</w:t>
      </w:r>
      <w:r w:rsidRPr="00463A7F">
        <w:t xml:space="preserve">22; Jing </w:t>
      </w:r>
      <w:r w:rsidR="008F5CFC" w:rsidRPr="00463A7F">
        <w:t>et al., 20</w:t>
      </w:r>
      <w:r w:rsidRPr="00463A7F">
        <w:t>22). Mineral end-members: Almandine (Alm), Spessartine (Sp), Grossular (Gro), Pyrope (Py).</w:t>
      </w:r>
      <w:bookmarkEnd w:id="92"/>
      <w:bookmarkEnd w:id="93"/>
      <w:bookmarkEnd w:id="94"/>
      <w:bookmarkEnd w:id="95"/>
    </w:p>
    <w:p w14:paraId="300E5EE2" w14:textId="77777777" w:rsidR="00FB01B2" w:rsidRDefault="00FB01B2">
      <w:pPr>
        <w:rPr>
          <w:b/>
          <w:bCs/>
          <w:i/>
          <w:szCs w:val="26"/>
        </w:rPr>
      </w:pPr>
      <w:r>
        <w:br w:type="page"/>
      </w:r>
    </w:p>
    <w:p w14:paraId="3112CC52" w14:textId="77777777" w:rsidR="00934970" w:rsidRDefault="00934970" w:rsidP="00934970">
      <w:pPr>
        <w:spacing w:line="480" w:lineRule="auto"/>
        <w:rPr>
          <w:color w:val="000000" w:themeColor="text1"/>
        </w:rPr>
      </w:pPr>
      <w:r w:rsidRPr="007F2D9E">
        <w:rPr>
          <w:color w:val="000000" w:themeColor="text1"/>
        </w:rPr>
        <w:lastRenderedPageBreak/>
        <w:t>Olivine within the dunite side is more fayalite (Fa) normative at the boundary (</w:t>
      </w:r>
      <w:r w:rsidRPr="00D74F65">
        <w:rPr>
          <w:b/>
          <w:bCs/>
          <w:color w:val="000000" w:themeColor="text1"/>
        </w:rPr>
        <w:t>Figures 1.2b-1.2c</w:t>
      </w:r>
      <w:r w:rsidRPr="007F2D9E">
        <w:rPr>
          <w:color w:val="000000" w:themeColor="text1"/>
        </w:rPr>
        <w:t>), consistent with diffusive chemical exchange between the dunite and IBC. Considering the width of the dunite boundary layer (~30 μm) and the fact that its width increases with experimental duration suggests that it is the product of solid-state diffusive exchange across the reaction couple. As the layer is relatively thin, it is unlikely that the dunite significantly influences the composition of minerals within the IBC side beyond a similarly thin boundary layer adjacent to the dunite. This also indicates that the average pyroxene and garnet compositions in near solidus experiments represent the equilibrium phase compositions within the IBC at the P-T conditions of the given experiment.</w:t>
      </w:r>
    </w:p>
    <w:p w14:paraId="39353B35" w14:textId="77777777" w:rsidR="00934970" w:rsidRPr="005552E2" w:rsidRDefault="00934970" w:rsidP="00934970">
      <w:pPr>
        <w:pStyle w:val="Heading3"/>
      </w:pPr>
      <w:bookmarkStart w:id="96" w:name="_Toc182331732"/>
      <w:bookmarkStart w:id="97" w:name="_Toc182995458"/>
      <w:bookmarkStart w:id="98" w:name="_Toc183536562"/>
      <w:bookmarkStart w:id="99" w:name="_Toc184727365"/>
      <w:bookmarkStart w:id="100" w:name="_Toc185325611"/>
      <w:r w:rsidRPr="005552E2">
        <w:t>Supersolidus Experiments</w:t>
      </w:r>
      <w:bookmarkEnd w:id="96"/>
      <w:bookmarkEnd w:id="97"/>
      <w:bookmarkEnd w:id="98"/>
      <w:bookmarkEnd w:id="99"/>
      <w:bookmarkEnd w:id="100"/>
    </w:p>
    <w:p w14:paraId="4A2D3CCA" w14:textId="77777777" w:rsidR="00934970" w:rsidRPr="00557A77" w:rsidRDefault="00934970" w:rsidP="00934970">
      <w:pPr>
        <w:spacing w:line="480" w:lineRule="auto"/>
        <w:ind w:firstLine="720"/>
        <w:rPr>
          <w:color w:val="000000" w:themeColor="text1"/>
        </w:rPr>
      </w:pPr>
      <w:r w:rsidRPr="007F2D9E">
        <w:rPr>
          <w:color w:val="000000" w:themeColor="text1"/>
        </w:rPr>
        <w:t>Supersolidus experiments</w:t>
      </w:r>
      <w:r w:rsidRPr="007F2D9E">
        <w:rPr>
          <w:b/>
          <w:bCs/>
          <w:color w:val="000000" w:themeColor="text1"/>
        </w:rPr>
        <w:t xml:space="preserve"> </w:t>
      </w:r>
      <w:r w:rsidRPr="007F2D9E">
        <w:rPr>
          <w:color w:val="000000" w:themeColor="text1"/>
        </w:rPr>
        <w:t>MRx#5, MRx#9, MRx#10, MRx#11, and MRx#12 are divided into group A (MRx#5, MRx#9, MRx#10, and MRx#12) and group B (MRx#11). Group A experiments were run at 0.55 GPa (1200</w:t>
      </w:r>
      <w:r w:rsidRPr="007F2D9E">
        <w:rPr>
          <w:color w:val="000000" w:themeColor="text1"/>
          <w:vertAlign w:val="superscript"/>
        </w:rPr>
        <w:t xml:space="preserve"> º</w:t>
      </w:r>
      <w:r w:rsidRPr="007F2D9E">
        <w:rPr>
          <w:color w:val="000000" w:themeColor="text1"/>
        </w:rPr>
        <w:t>C) and 2 GPa (1300</w:t>
      </w:r>
      <w:r w:rsidRPr="007F2D9E">
        <w:rPr>
          <w:color w:val="000000" w:themeColor="text1"/>
          <w:vertAlign w:val="superscript"/>
        </w:rPr>
        <w:t xml:space="preserve"> º</w:t>
      </w:r>
      <w:r w:rsidRPr="007F2D9E">
        <w:rPr>
          <w:color w:val="000000" w:themeColor="text1"/>
        </w:rPr>
        <w:t>C), and all exhibit significant evidence of dunite dissolution. The Group B experiment was run at 0.55GPa (1100</w:t>
      </w:r>
      <w:r w:rsidRPr="007F2D9E">
        <w:rPr>
          <w:color w:val="000000" w:themeColor="text1"/>
          <w:vertAlign w:val="superscript"/>
        </w:rPr>
        <w:t xml:space="preserve"> º</w:t>
      </w:r>
      <w:r w:rsidRPr="007F2D9E">
        <w:rPr>
          <w:color w:val="000000" w:themeColor="text1"/>
        </w:rPr>
        <w:t>C) and lacked clear evidence of dissolution (</w:t>
      </w:r>
      <w:r w:rsidRPr="009E1A2D">
        <w:rPr>
          <w:b/>
          <w:bCs/>
          <w:color w:val="000000" w:themeColor="text1"/>
        </w:rPr>
        <w:t>Table 1.2</w:t>
      </w:r>
      <w:r w:rsidRPr="007F2D9E">
        <w:rPr>
          <w:color w:val="000000" w:themeColor="text1"/>
        </w:rPr>
        <w:t>). These experimental groups are discussed separately below.</w:t>
      </w:r>
    </w:p>
    <w:p w14:paraId="4481F7BC" w14:textId="77777777" w:rsidR="00934970" w:rsidRPr="00903E8A" w:rsidRDefault="00934970" w:rsidP="00934970">
      <w:pPr>
        <w:pStyle w:val="Heading4"/>
      </w:pPr>
      <w:bookmarkStart w:id="101" w:name="_Toc183536563"/>
      <w:bookmarkStart w:id="102" w:name="_Toc184727366"/>
      <w:bookmarkStart w:id="103" w:name="_Toc185325612"/>
      <w:r w:rsidRPr="00903E8A">
        <w:t>Group A Products and Growth Textures</w:t>
      </w:r>
      <w:bookmarkEnd w:id="101"/>
      <w:bookmarkEnd w:id="102"/>
      <w:bookmarkEnd w:id="103"/>
    </w:p>
    <w:p w14:paraId="4909C5C8" w14:textId="0BF70449" w:rsidR="00934970" w:rsidRPr="007F2D9E" w:rsidRDefault="00934970" w:rsidP="00934970">
      <w:pPr>
        <w:spacing w:line="480" w:lineRule="auto"/>
        <w:rPr>
          <w:color w:val="000000" w:themeColor="text1"/>
        </w:rPr>
      </w:pPr>
      <w:r>
        <w:rPr>
          <w:b/>
          <w:bCs/>
          <w:color w:val="000000" w:themeColor="text1"/>
        </w:rPr>
        <w:tab/>
      </w:r>
      <w:r w:rsidRPr="007F2D9E">
        <w:rPr>
          <w:color w:val="000000" w:themeColor="text1"/>
        </w:rPr>
        <w:t>Both low-pressure (i.e., 0.55 GPa) and high-pressure (i.e., ~2 GPa) experiments produce dunite dissolution (assimilation). Evidence of dunite dissolution is evident in backscatter electron (BSE) images where the interface between the dunite and IBC halves of the reaction couple was always offset into the dunite (</w:t>
      </w:r>
      <w:r w:rsidRPr="009E1A2D">
        <w:rPr>
          <w:b/>
          <w:bCs/>
          <w:color w:val="000000" w:themeColor="text1"/>
        </w:rPr>
        <w:t>Figures 1.5a and 1.5c</w:t>
      </w:r>
      <w:r w:rsidRPr="007F2D9E">
        <w:rPr>
          <w:color w:val="000000" w:themeColor="text1"/>
        </w:rPr>
        <w:t xml:space="preserve">). The position of the original polished interface is shown in </w:t>
      </w:r>
      <w:r w:rsidRPr="00686387">
        <w:rPr>
          <w:b/>
          <w:bCs/>
          <w:color w:val="000000" w:themeColor="text1"/>
        </w:rPr>
        <w:t xml:space="preserve">Figure </w:t>
      </w:r>
      <w:r w:rsidR="00686387" w:rsidRPr="00686387">
        <w:rPr>
          <w:b/>
          <w:bCs/>
          <w:color w:val="000000" w:themeColor="text1"/>
        </w:rPr>
        <w:t>1.</w:t>
      </w:r>
      <w:r w:rsidRPr="00686387">
        <w:rPr>
          <w:b/>
          <w:bCs/>
          <w:color w:val="000000" w:themeColor="text1"/>
        </w:rPr>
        <w:t>5</w:t>
      </w:r>
      <w:r w:rsidRPr="007F2D9E">
        <w:rPr>
          <w:color w:val="000000" w:themeColor="text1"/>
        </w:rPr>
        <w:t xml:space="preserve"> by the blue line, and the </w:t>
      </w:r>
      <w:r w:rsidRPr="007F2D9E">
        <w:rPr>
          <w:color w:val="000000" w:themeColor="text1"/>
        </w:rPr>
        <w:lastRenderedPageBreak/>
        <w:t>orange line shows the final position of the interface. The IBC side of the reaction couple exhibits Cpx and/or hybridized melt (i.e., IBC melt that has assimilated dunite material) at the reaction boundary. The IBC side of the reaction couple remained glass-rich in the low-pressure experiments after the quenching process (</w:t>
      </w:r>
      <w:r w:rsidRPr="009E1A2D">
        <w:rPr>
          <w:b/>
          <w:bCs/>
          <w:color w:val="000000" w:themeColor="text1"/>
        </w:rPr>
        <w:t>Figures 1.5a and 1.5b</w:t>
      </w:r>
      <w:r w:rsidRPr="007F2D9E">
        <w:rPr>
          <w:color w:val="000000" w:themeColor="text1"/>
        </w:rPr>
        <w:t>). In contrast, the IBC side of the reaction couple in the high-pressure experiments completely crystallized during the quenching process, forming dendritic Cpx (</w:t>
      </w:r>
      <w:r w:rsidRPr="009E1A2D">
        <w:rPr>
          <w:b/>
          <w:bCs/>
          <w:color w:val="000000" w:themeColor="text1"/>
        </w:rPr>
        <w:t>Figure 1.5c and 1.5d</w:t>
      </w:r>
      <w:r w:rsidRPr="007F2D9E">
        <w:rPr>
          <w:color w:val="000000" w:themeColor="text1"/>
        </w:rPr>
        <w:t>). An exception is MRx#9 (0.55 GPa), where the IBC side of the reaction couple is almost entirely glassy with some nano-scale crystals throughout.</w:t>
      </w:r>
    </w:p>
    <w:p w14:paraId="13514D65" w14:textId="16F5655F" w:rsidR="00934970" w:rsidRDefault="00934970" w:rsidP="00934970">
      <w:pPr>
        <w:spacing w:line="480" w:lineRule="auto"/>
        <w:ind w:firstLine="720"/>
        <w:rPr>
          <w:color w:val="000000" w:themeColor="text1"/>
        </w:rPr>
      </w:pPr>
      <w:r w:rsidRPr="007F2D9E">
        <w:rPr>
          <w:color w:val="000000" w:themeColor="text1"/>
        </w:rPr>
        <w:t>The Cpx in the hybridized melt exhibits subhedral, anhedral, or dendritic morphologies. Clinopyroxenes in low-pressure experiments MRx#5 and MRx#10 often exhibit sector or patchy zoning and a bight rim around them (</w:t>
      </w:r>
      <w:r w:rsidRPr="009E1A2D">
        <w:rPr>
          <w:b/>
          <w:bCs/>
          <w:color w:val="000000" w:themeColor="text1"/>
        </w:rPr>
        <w:t>Figure A3</w:t>
      </w:r>
      <w:r w:rsidRPr="007F2D9E">
        <w:rPr>
          <w:color w:val="000000" w:themeColor="text1"/>
        </w:rPr>
        <w:t>). Clinopyroxene is the only crystallizing phase in MRx#5 and MRx#10. In high-pressure experiment MRx#12, a high-Z phase (presumably an Fe-Ti oxide) is present in the interstitial space between dendritic Cpx; however, crystals were too small to analyze.</w:t>
      </w:r>
    </w:p>
    <w:p w14:paraId="4290C3D5" w14:textId="37D22139" w:rsidR="00A278A8" w:rsidRPr="007F2D9E" w:rsidRDefault="00A278A8" w:rsidP="006A2FCD">
      <w:pPr>
        <w:spacing w:line="480" w:lineRule="auto"/>
        <w:ind w:firstLine="720"/>
        <w:rPr>
          <w:color w:val="000000" w:themeColor="text1"/>
        </w:rPr>
      </w:pPr>
      <w:r w:rsidRPr="007F2D9E">
        <w:rPr>
          <w:color w:val="000000" w:themeColor="text1"/>
        </w:rPr>
        <w:t>MRx#10 exhibits less Cpx crystallization on the IBC side of the reaction interface relative to MRx#5 (</w:t>
      </w:r>
      <w:r w:rsidRPr="009E1A2D">
        <w:rPr>
          <w:b/>
          <w:bCs/>
          <w:color w:val="000000" w:themeColor="text1"/>
        </w:rPr>
        <w:t xml:space="preserve">Figures </w:t>
      </w:r>
      <w:r w:rsidR="008F5CFC" w:rsidRPr="009E1A2D">
        <w:rPr>
          <w:b/>
          <w:bCs/>
          <w:color w:val="000000" w:themeColor="text1"/>
        </w:rPr>
        <w:t>A5</w:t>
      </w:r>
      <w:r w:rsidRPr="009E1A2D">
        <w:rPr>
          <w:b/>
          <w:bCs/>
          <w:color w:val="000000" w:themeColor="text1"/>
        </w:rPr>
        <w:t xml:space="preserve"> and </w:t>
      </w:r>
      <w:r w:rsidR="008F5CFC" w:rsidRPr="009E1A2D">
        <w:rPr>
          <w:b/>
          <w:bCs/>
          <w:color w:val="000000" w:themeColor="text1"/>
        </w:rPr>
        <w:t>A6</w:t>
      </w:r>
      <w:r w:rsidRPr="007F2D9E">
        <w:rPr>
          <w:color w:val="000000" w:themeColor="text1"/>
        </w:rPr>
        <w:t>). MRx#10 also lacks significant Cpx crystallization throughout the IBC side of the reaction couple (</w:t>
      </w:r>
      <w:r w:rsidRPr="009E1A2D">
        <w:rPr>
          <w:b/>
          <w:bCs/>
          <w:color w:val="000000" w:themeColor="text1"/>
        </w:rPr>
        <w:t xml:space="preserve">Figures </w:t>
      </w:r>
      <w:r w:rsidR="008F5CFC" w:rsidRPr="009E1A2D">
        <w:rPr>
          <w:b/>
          <w:bCs/>
          <w:color w:val="000000" w:themeColor="text1"/>
        </w:rPr>
        <w:t>1.</w:t>
      </w:r>
      <w:r w:rsidRPr="009E1A2D">
        <w:rPr>
          <w:b/>
          <w:bCs/>
          <w:color w:val="000000" w:themeColor="text1"/>
        </w:rPr>
        <w:t xml:space="preserve">5a and </w:t>
      </w:r>
      <w:r w:rsidR="008F5CFC" w:rsidRPr="009E1A2D">
        <w:rPr>
          <w:b/>
          <w:bCs/>
          <w:color w:val="000000" w:themeColor="text1"/>
        </w:rPr>
        <w:t>1.</w:t>
      </w:r>
      <w:r w:rsidRPr="009E1A2D">
        <w:rPr>
          <w:b/>
          <w:bCs/>
          <w:color w:val="000000" w:themeColor="text1"/>
        </w:rPr>
        <w:t>5b</w:t>
      </w:r>
      <w:r w:rsidRPr="007F2D9E">
        <w:rPr>
          <w:color w:val="000000" w:themeColor="text1"/>
        </w:rPr>
        <w:t>). Clinopyroxene crystals that form on the reaction interface in MRx#5 and MRx#10 are acicular, small, and bright in BSE images (</w:t>
      </w:r>
      <w:r w:rsidRPr="009E1A2D">
        <w:rPr>
          <w:b/>
          <w:bCs/>
          <w:color w:val="000000" w:themeColor="text1"/>
        </w:rPr>
        <w:t xml:space="preserve">Figures </w:t>
      </w:r>
      <w:r w:rsidR="008F5CFC" w:rsidRPr="009E1A2D">
        <w:rPr>
          <w:b/>
          <w:bCs/>
          <w:color w:val="000000" w:themeColor="text1"/>
        </w:rPr>
        <w:t>A3</w:t>
      </w:r>
      <w:r w:rsidRPr="009E1A2D">
        <w:rPr>
          <w:b/>
          <w:bCs/>
          <w:color w:val="000000" w:themeColor="text1"/>
        </w:rPr>
        <w:t xml:space="preserve"> and </w:t>
      </w:r>
      <w:r w:rsidR="008F5CFC" w:rsidRPr="009E1A2D">
        <w:rPr>
          <w:b/>
          <w:bCs/>
          <w:color w:val="000000" w:themeColor="text1"/>
        </w:rPr>
        <w:t>A4</w:t>
      </w:r>
      <w:r w:rsidRPr="007F2D9E">
        <w:rPr>
          <w:color w:val="000000" w:themeColor="text1"/>
        </w:rPr>
        <w:t>). High-pressure experiment MRx#12 contains abundant Cpx on the reaction interface, and the Cpx is dark in BSE images and pale blue in elemental maps (</w:t>
      </w:r>
      <w:r w:rsidRPr="009E1A2D">
        <w:rPr>
          <w:b/>
          <w:bCs/>
          <w:color w:val="000000" w:themeColor="text1"/>
        </w:rPr>
        <w:t xml:space="preserve">Figures </w:t>
      </w:r>
      <w:r w:rsidR="008F5CFC" w:rsidRPr="009E1A2D">
        <w:rPr>
          <w:b/>
          <w:bCs/>
          <w:color w:val="000000" w:themeColor="text1"/>
        </w:rPr>
        <w:t>1.</w:t>
      </w:r>
      <w:r w:rsidRPr="009E1A2D">
        <w:rPr>
          <w:b/>
          <w:bCs/>
          <w:color w:val="000000" w:themeColor="text1"/>
        </w:rPr>
        <w:t xml:space="preserve">5c and </w:t>
      </w:r>
      <w:r w:rsidR="008F5CFC" w:rsidRPr="009E1A2D">
        <w:rPr>
          <w:b/>
          <w:bCs/>
          <w:color w:val="000000" w:themeColor="text1"/>
        </w:rPr>
        <w:t>1.</w:t>
      </w:r>
      <w:r w:rsidRPr="009E1A2D">
        <w:rPr>
          <w:b/>
          <w:bCs/>
          <w:color w:val="000000" w:themeColor="text1"/>
        </w:rPr>
        <w:t>5d</w:t>
      </w:r>
      <w:r w:rsidRPr="007F2D9E">
        <w:rPr>
          <w:color w:val="000000" w:themeColor="text1"/>
        </w:rPr>
        <w:t xml:space="preserve">). </w:t>
      </w:r>
    </w:p>
    <w:p w14:paraId="46B5A283" w14:textId="7B67B583" w:rsidR="00A278A8" w:rsidRDefault="00A278A8" w:rsidP="006A2FCD">
      <w:pPr>
        <w:spacing w:line="480" w:lineRule="auto"/>
        <w:ind w:firstLine="720"/>
        <w:rPr>
          <w:color w:val="000000" w:themeColor="text1"/>
        </w:rPr>
      </w:pPr>
      <w:r w:rsidRPr="007F2D9E">
        <w:rPr>
          <w:color w:val="000000" w:themeColor="text1"/>
        </w:rPr>
        <w:lastRenderedPageBreak/>
        <w:t>In BSE images, a thin but noticeable diffusive exchange layer is present on the dunite side of the reaction interface in experiments MRx#10 and MRx#12 with a highly irregular thickness representing concentration gradients in Fe and Mg (</w:t>
      </w:r>
      <w:r w:rsidRPr="009E1A2D">
        <w:rPr>
          <w:b/>
          <w:bCs/>
          <w:color w:val="000000" w:themeColor="text1"/>
        </w:rPr>
        <w:t>Figure</w:t>
      </w:r>
      <w:r w:rsidR="00481C69" w:rsidRPr="009E1A2D">
        <w:rPr>
          <w:b/>
          <w:bCs/>
          <w:color w:val="000000" w:themeColor="text1"/>
        </w:rPr>
        <w:t>s</w:t>
      </w:r>
      <w:r w:rsidRPr="009E1A2D">
        <w:rPr>
          <w:b/>
          <w:bCs/>
          <w:color w:val="000000" w:themeColor="text1"/>
        </w:rPr>
        <w:t xml:space="preserve"> </w:t>
      </w:r>
      <w:r w:rsidR="008F5CFC" w:rsidRPr="009E1A2D">
        <w:rPr>
          <w:b/>
          <w:bCs/>
          <w:color w:val="000000" w:themeColor="text1"/>
        </w:rPr>
        <w:t>1.</w:t>
      </w:r>
      <w:r w:rsidRPr="009E1A2D">
        <w:rPr>
          <w:b/>
          <w:bCs/>
          <w:color w:val="000000" w:themeColor="text1"/>
        </w:rPr>
        <w:t>5b</w:t>
      </w:r>
      <w:r w:rsidR="00481C69" w:rsidRPr="009E1A2D">
        <w:rPr>
          <w:b/>
          <w:bCs/>
          <w:color w:val="000000" w:themeColor="text1"/>
        </w:rPr>
        <w:t>,</w:t>
      </w:r>
      <w:r w:rsidRPr="009E1A2D">
        <w:rPr>
          <w:b/>
          <w:bCs/>
          <w:color w:val="000000" w:themeColor="text1"/>
        </w:rPr>
        <w:t xml:space="preserve"> </w:t>
      </w:r>
      <w:r w:rsidR="008F5CFC" w:rsidRPr="009E1A2D">
        <w:rPr>
          <w:b/>
          <w:bCs/>
          <w:color w:val="000000" w:themeColor="text1"/>
        </w:rPr>
        <w:t>1.</w:t>
      </w:r>
      <w:r w:rsidRPr="009E1A2D">
        <w:rPr>
          <w:b/>
          <w:bCs/>
          <w:color w:val="000000" w:themeColor="text1"/>
        </w:rPr>
        <w:t>5d</w:t>
      </w:r>
      <w:r w:rsidR="00481C69" w:rsidRPr="009E1A2D">
        <w:rPr>
          <w:b/>
          <w:bCs/>
          <w:color w:val="000000" w:themeColor="text1"/>
        </w:rPr>
        <w:t xml:space="preserve">, and </w:t>
      </w:r>
      <w:r w:rsidR="008F5CFC" w:rsidRPr="009E1A2D">
        <w:rPr>
          <w:b/>
          <w:bCs/>
          <w:color w:val="000000" w:themeColor="text1"/>
        </w:rPr>
        <w:t>A4</w:t>
      </w:r>
      <w:r w:rsidRPr="007F2D9E">
        <w:rPr>
          <w:color w:val="000000" w:themeColor="text1"/>
        </w:rPr>
        <w:t>). MRx#5 and MRx#9 do not have analogous layers on the dunite side of the reaction interface (</w:t>
      </w:r>
      <w:r w:rsidRPr="009E1A2D">
        <w:rPr>
          <w:b/>
          <w:bCs/>
          <w:color w:val="000000" w:themeColor="text1"/>
        </w:rPr>
        <w:t xml:space="preserve">Figures </w:t>
      </w:r>
      <w:r w:rsidR="008F5CFC" w:rsidRPr="009E1A2D">
        <w:rPr>
          <w:b/>
          <w:bCs/>
          <w:color w:val="000000" w:themeColor="text1"/>
        </w:rPr>
        <w:t>A3</w:t>
      </w:r>
      <w:r w:rsidRPr="009E1A2D">
        <w:rPr>
          <w:b/>
          <w:bCs/>
          <w:color w:val="000000" w:themeColor="text1"/>
        </w:rPr>
        <w:t xml:space="preserve"> and </w:t>
      </w:r>
      <w:r w:rsidR="008F5CFC" w:rsidRPr="009E1A2D">
        <w:rPr>
          <w:b/>
          <w:bCs/>
          <w:color w:val="000000" w:themeColor="text1"/>
        </w:rPr>
        <w:t>A5</w:t>
      </w:r>
      <w:r w:rsidRPr="007F2D9E">
        <w:rPr>
          <w:color w:val="000000" w:themeColor="text1"/>
        </w:rPr>
        <w:t xml:space="preserve">). The lack of a diffusive exchange layer on the reaction interface may be related to the rate of dunite dissolution relative to solid-state diffusion and is discussed further in the kinetics of dunite dissolution </w:t>
      </w:r>
      <w:r w:rsidRPr="00C51807">
        <w:rPr>
          <w:color w:val="000000" w:themeColor="text1"/>
        </w:rPr>
        <w:t>section below (section</w:t>
      </w:r>
      <w:r w:rsidR="00784E6E">
        <w:rPr>
          <w:color w:val="000000" w:themeColor="text1"/>
        </w:rPr>
        <w:t xml:space="preserve"> 1.4.2</w:t>
      </w:r>
      <w:r w:rsidRPr="00C51807">
        <w:rPr>
          <w:color w:val="000000" w:themeColor="text1"/>
        </w:rPr>
        <w:t>).</w:t>
      </w:r>
    </w:p>
    <w:p w14:paraId="5A6B5AD5" w14:textId="6D30B8B1" w:rsidR="003E68D4" w:rsidRPr="007F2D9E" w:rsidRDefault="003E68D4" w:rsidP="006A2FCD">
      <w:pPr>
        <w:spacing w:line="480" w:lineRule="auto"/>
        <w:ind w:firstLine="720"/>
        <w:rPr>
          <w:color w:val="000000" w:themeColor="text1"/>
        </w:rPr>
      </w:pPr>
      <w:r w:rsidRPr="007F2D9E">
        <w:rPr>
          <w:color w:val="000000" w:themeColor="text1"/>
        </w:rPr>
        <w:t>Small IBC melt veins were observed along the reaction interface of MRx#5 and MRx#12 (</w:t>
      </w:r>
      <w:r w:rsidRPr="009E1A2D">
        <w:rPr>
          <w:b/>
          <w:bCs/>
          <w:color w:val="000000" w:themeColor="text1"/>
        </w:rPr>
        <w:t>Figures 1.5c, 1.5d, and A3</w:t>
      </w:r>
      <w:r w:rsidRPr="007F2D9E">
        <w:rPr>
          <w:color w:val="000000" w:themeColor="text1"/>
        </w:rPr>
        <w:t>), and some suspected melt infiltration veins were observed near the reaction interface in MRx#9 and MRx#10 (</w:t>
      </w:r>
      <w:r w:rsidRPr="009E1A2D">
        <w:rPr>
          <w:b/>
          <w:bCs/>
          <w:color w:val="000000" w:themeColor="text1"/>
        </w:rPr>
        <w:t>Figures A4 and A5</w:t>
      </w:r>
      <w:r w:rsidRPr="007F2D9E">
        <w:rPr>
          <w:color w:val="000000" w:themeColor="text1"/>
        </w:rPr>
        <w:t>). Veins of melt infiltration are short (&lt;100 µ</w:t>
      </w:r>
      <w:r w:rsidRPr="007F2D9E">
        <w:rPr>
          <w:rFonts w:eastAsiaTheme="minorEastAsia"/>
          <w:color w:val="000000" w:themeColor="text1"/>
        </w:rPr>
        <w:t>m</w:t>
      </w:r>
      <w:r w:rsidRPr="007F2D9E">
        <w:rPr>
          <w:color w:val="000000" w:themeColor="text1"/>
        </w:rPr>
        <w:t xml:space="preserve">), have highly irregular shapes, and are usually next to or in the middle of a thicker portion of the dunite interface layers mentioned above. All group A supersolidus experiments also have thin veins of IBC melt along the dunite-graphite interface of the assembly (i.e., the assembly walls) that often propagate to the bottom of the dunite half of the reaction couple. The effects of IBC-dunite interface vein formation on the reaction process are discussed </w:t>
      </w:r>
      <w:r w:rsidRPr="00C51807">
        <w:rPr>
          <w:color w:val="000000" w:themeColor="text1"/>
        </w:rPr>
        <w:t xml:space="preserve">further in </w:t>
      </w:r>
      <w:r w:rsidRPr="00740069">
        <w:rPr>
          <w:color w:val="000000" w:themeColor="text1"/>
        </w:rPr>
        <w:t>sections</w:t>
      </w:r>
      <w:r w:rsidRPr="00740069">
        <w:rPr>
          <w:b/>
          <w:bCs/>
          <w:color w:val="000000" w:themeColor="text1"/>
        </w:rPr>
        <w:t xml:space="preserve"> </w:t>
      </w:r>
      <w:r w:rsidRPr="00740069">
        <w:t xml:space="preserve">(1.4.2.2) and </w:t>
      </w:r>
      <w:r>
        <w:t>(1.4.2.3) below</w:t>
      </w:r>
      <w:r w:rsidRPr="00C51807">
        <w:rPr>
          <w:color w:val="000000" w:themeColor="text1"/>
        </w:rPr>
        <w:t>.</w:t>
      </w:r>
    </w:p>
    <w:p w14:paraId="140CA5B8" w14:textId="77777777" w:rsidR="0076745A" w:rsidRPr="005552E2" w:rsidRDefault="0076745A" w:rsidP="005552E2">
      <w:pPr>
        <w:pStyle w:val="Heading4"/>
      </w:pPr>
      <w:bookmarkStart w:id="104" w:name="_Toc183536564"/>
      <w:bookmarkStart w:id="105" w:name="_Toc184727367"/>
      <w:bookmarkStart w:id="106" w:name="_Toc185325613"/>
      <w:r w:rsidRPr="005552E2">
        <w:t>Group A Mineral and Melt Chemistry</w:t>
      </w:r>
      <w:bookmarkEnd w:id="104"/>
      <w:bookmarkEnd w:id="105"/>
      <w:bookmarkEnd w:id="106"/>
    </w:p>
    <w:p w14:paraId="443E4C39" w14:textId="77777777" w:rsidR="0076745A" w:rsidRPr="007F2D9E" w:rsidRDefault="0076745A" w:rsidP="006A2FCD">
      <w:pPr>
        <w:spacing w:line="480" w:lineRule="auto"/>
        <w:ind w:firstLine="720"/>
        <w:rPr>
          <w:color w:val="000000" w:themeColor="text1"/>
        </w:rPr>
      </w:pPr>
      <w:r w:rsidRPr="007F2D9E">
        <w:rPr>
          <w:color w:val="000000" w:themeColor="text1"/>
        </w:rPr>
        <w:t>Relative to near solidus experiments, most Cpx crystals in the supersolidus experiments have more enstatite (En) normative and less wollastonite (Wo) normative compositions (</w:t>
      </w:r>
      <w:r w:rsidRPr="009E1A2D">
        <w:rPr>
          <w:b/>
          <w:bCs/>
          <w:color w:val="000000" w:themeColor="text1"/>
        </w:rPr>
        <w:t>Figure 1.3b</w:t>
      </w:r>
      <w:r w:rsidRPr="007F2D9E">
        <w:rPr>
          <w:color w:val="000000" w:themeColor="text1"/>
        </w:rPr>
        <w:t xml:space="preserve">). High-pressure experiment MRx#12 contains Cpx that trend </w:t>
      </w:r>
      <w:r w:rsidRPr="007F2D9E">
        <w:rPr>
          <w:color w:val="000000" w:themeColor="text1"/>
        </w:rPr>
        <w:lastRenderedPageBreak/>
        <w:t>toward ferrosilite (Fs). These pyroxenes are exclusively found far from the reaction interface in the dendritic region of the experiment. Like the near solidus experiments, Cpx crystals that form on the reaction couple interface in MRx#12 have more augitic compositions and plot separately from Cpx that form within the IBC side and further from the boundary (</w:t>
      </w:r>
      <w:r w:rsidRPr="009E1A2D">
        <w:rPr>
          <w:b/>
          <w:bCs/>
          <w:color w:val="000000" w:themeColor="text1"/>
        </w:rPr>
        <w:t>Figure 1.5b</w:t>
      </w:r>
      <w:r w:rsidRPr="007F2D9E">
        <w:rPr>
          <w:color w:val="000000" w:themeColor="text1"/>
        </w:rPr>
        <w:t>). Clinopyroxene crystals that form on the reaction couple interface in experiments MRx#5 and MRx#10 were too small to analyze.</w:t>
      </w:r>
    </w:p>
    <w:p w14:paraId="6870EDC0" w14:textId="77777777" w:rsidR="0076745A" w:rsidRPr="007F2D9E" w:rsidRDefault="0076745A" w:rsidP="006A2FCD">
      <w:pPr>
        <w:spacing w:line="480" w:lineRule="auto"/>
        <w:ind w:firstLine="720"/>
        <w:rPr>
          <w:color w:val="000000" w:themeColor="text1"/>
        </w:rPr>
      </w:pPr>
      <w:r w:rsidRPr="007F2D9E">
        <w:rPr>
          <w:color w:val="000000" w:themeColor="text1"/>
        </w:rPr>
        <w:t>Melt hybridization in MRx#5 and MRx#10 is evidenced by the elevated melt Mg#s of ~30-31 relative to the Mg# of the pre-reaction IBC material (i.e., ~5). Similar melt Mg# elevation is observed near the reaction interface of MRx#9; however, the Mg enrichment is confined to the interface due to the shorter duration of the experiment The Mg#s of hybridized melts in MRx#5, MRx#9, and MRx#10 generally decrease with distance from the reaction interface (</w:t>
      </w:r>
      <w:r w:rsidRPr="00C51807">
        <w:rPr>
          <w:color w:val="000000" w:themeColor="text1"/>
        </w:rPr>
        <w:t xml:space="preserve">see </w:t>
      </w:r>
      <w:r>
        <w:rPr>
          <w:color w:val="000000" w:themeColor="text1"/>
        </w:rPr>
        <w:t>section</w:t>
      </w:r>
      <w:r w:rsidRPr="00C51807">
        <w:rPr>
          <w:color w:val="000000" w:themeColor="text1"/>
        </w:rPr>
        <w:t xml:space="preserve"> </w:t>
      </w:r>
      <w:r>
        <w:rPr>
          <w:color w:val="000000" w:themeColor="text1"/>
        </w:rPr>
        <w:t>(1.4.2.2.)</w:t>
      </w:r>
      <w:r w:rsidRPr="00C51807">
        <w:rPr>
          <w:color w:val="000000" w:themeColor="text1"/>
        </w:rPr>
        <w:t xml:space="preserve"> for further discussion</w:t>
      </w:r>
      <w:r w:rsidRPr="007F2D9E">
        <w:rPr>
          <w:color w:val="000000" w:themeColor="text1"/>
        </w:rPr>
        <w:t>).</w:t>
      </w:r>
    </w:p>
    <w:p w14:paraId="0B38F08E" w14:textId="77777777" w:rsidR="00B453F3" w:rsidRPr="00903E8A" w:rsidRDefault="00B453F3" w:rsidP="00B453F3">
      <w:pPr>
        <w:pStyle w:val="Heading4"/>
      </w:pPr>
      <w:bookmarkStart w:id="107" w:name="_Toc183536565"/>
      <w:bookmarkStart w:id="108" w:name="_Toc184727368"/>
      <w:bookmarkStart w:id="109" w:name="_Toc185325614"/>
      <w:r w:rsidRPr="00903E8A">
        <w:t>Group B Products and Growth Textures</w:t>
      </w:r>
      <w:bookmarkEnd w:id="107"/>
      <w:bookmarkEnd w:id="108"/>
      <w:bookmarkEnd w:id="109"/>
    </w:p>
    <w:p w14:paraId="14BBC7C1" w14:textId="3487A563" w:rsidR="00FF0150" w:rsidRDefault="00B453F3" w:rsidP="00B453F3">
      <w:pPr>
        <w:spacing w:line="480" w:lineRule="auto"/>
        <w:ind w:firstLine="720"/>
        <w:rPr>
          <w:color w:val="000000" w:themeColor="text1"/>
        </w:rPr>
      </w:pPr>
      <w:r w:rsidRPr="007F2D9E">
        <w:rPr>
          <w:rStyle w:val="Heading3Char"/>
        </w:rPr>
        <w:t xml:space="preserve"> </w:t>
      </w:r>
      <w:r w:rsidRPr="007F2D9E">
        <w:rPr>
          <w:color w:val="000000" w:themeColor="text1"/>
        </w:rPr>
        <w:t>In experiment MRx#11, large Cpx (200-1000 µ</w:t>
      </w:r>
      <w:r w:rsidRPr="007F2D9E">
        <w:rPr>
          <w:rFonts w:eastAsiaTheme="minorEastAsia"/>
          <w:color w:val="000000" w:themeColor="text1"/>
        </w:rPr>
        <w:t>m</w:t>
      </w:r>
      <w:r w:rsidRPr="007F2D9E">
        <w:rPr>
          <w:color w:val="000000" w:themeColor="text1"/>
        </w:rPr>
        <w:t>) are present throughout the IBC side of the reaction couple. All Cpx within this experiment exhibit skeletal and euhedral morphologies and core-to-rim zoning (</w:t>
      </w:r>
      <w:r w:rsidRPr="009E1A2D">
        <w:rPr>
          <w:b/>
          <w:bCs/>
          <w:color w:val="000000" w:themeColor="text1"/>
        </w:rPr>
        <w:t>Figure A5</w:t>
      </w:r>
      <w:r w:rsidRPr="007F2D9E">
        <w:rPr>
          <w:color w:val="000000" w:themeColor="text1"/>
        </w:rPr>
        <w:t xml:space="preserve">). Euhedral ulvöspinel crystals surround the Cpx and are the only Fe-Ti oxides present in the experiment. MRx#11 contains interstitial melt (i.e., IBC melt that has undergone crystallization and lacks evidence of dunite assimilation) in the form of glass throughout the IBC side of the couple. Glass within this experiment occupies the interstitial space between the large Cpx crystals. Clinopyroxene crystals are abundant at the reaction couple interface and appear to nucleate from the interface, isolating the interface from the evolved melt. </w:t>
      </w:r>
      <w:r w:rsidR="00FF0150">
        <w:rPr>
          <w:color w:val="000000" w:themeColor="text1"/>
        </w:rPr>
        <w:br w:type="page"/>
      </w:r>
    </w:p>
    <w:p w14:paraId="3098A2D5" w14:textId="77777777" w:rsidR="00FF0150" w:rsidRDefault="00FF0150" w:rsidP="00FF0150">
      <w:pPr>
        <w:rPr>
          <w:color w:val="000000" w:themeColor="text1"/>
        </w:rPr>
      </w:pPr>
      <w:r>
        <w:rPr>
          <w:noProof/>
          <w:color w:val="000000" w:themeColor="text1"/>
        </w:rPr>
        <w:lastRenderedPageBreak/>
        <w:drawing>
          <wp:inline distT="0" distB="0" distL="0" distR="0" wp14:anchorId="2A5FB7D3" wp14:editId="1437A861">
            <wp:extent cx="5486400" cy="4715510"/>
            <wp:effectExtent l="0" t="0" r="0" b="0"/>
            <wp:docPr id="2104051804" name="Picture 21" descr="A collage of different layers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51804" name="Picture 21" descr="A collage of different layers of wa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486400" cy="4715510"/>
                    </a:xfrm>
                    <a:prstGeom prst="rect">
                      <a:avLst/>
                    </a:prstGeom>
                  </pic:spPr>
                </pic:pic>
              </a:graphicData>
            </a:graphic>
          </wp:inline>
        </w:drawing>
      </w:r>
    </w:p>
    <w:p w14:paraId="56982428" w14:textId="3D768FE3" w:rsidR="004D3EFE" w:rsidRPr="00971536" w:rsidRDefault="004D3EFE" w:rsidP="00A01278">
      <w:pPr>
        <w:pStyle w:val="FigureCaption"/>
      </w:pPr>
      <w:bookmarkStart w:id="110" w:name="_Toc178246918"/>
      <w:bookmarkStart w:id="111" w:name="_Toc182944853"/>
      <w:bookmarkStart w:id="112" w:name="_Toc183019400"/>
      <w:bookmarkStart w:id="113" w:name="_Toc185263410"/>
      <w:r w:rsidRPr="00A01278">
        <w:rPr>
          <w:b/>
          <w:bCs/>
        </w:rPr>
        <w:t xml:space="preserve">Figure </w:t>
      </w:r>
      <w:r w:rsidR="008F5CFC" w:rsidRPr="00A01278">
        <w:rPr>
          <w:b/>
          <w:bCs/>
        </w:rPr>
        <w:t>1.</w:t>
      </w:r>
      <w:r w:rsidRPr="00A01278">
        <w:rPr>
          <w:b/>
          <w:bCs/>
        </w:rPr>
        <w:t>5.</w:t>
      </w:r>
      <w:r w:rsidRPr="00971536">
        <w:t xml:space="preserve"> </w:t>
      </w:r>
      <w:r w:rsidRPr="00463A7F">
        <w:t>Representative BSE images and elemental maps highlighting minerals and reaction features in supersolidus experiments. (a) Backscatter electron image of MRx#10 showing the pre-reaction interface, post-reaction interface, and Al-rich hedenbergite. (b) Combined Fe (green) and Mg (blue) false color elemental map of the reaction interface in MRx#10 with phases and reaction features labeled. (c) Backscatter electron image of MRx#12 showing the pre-reaction interface, post-reaction interface, and possible melt propagation into the dunite along grain boundaries. (d) Combined Fe (green) and Mg (blue) false color elemental map of the reaction interface in MRx#12 with phases and reaction features labeled. In all figures the blue dotted line represents the pre-reaction interface position and in figures (a) and (c) the orange dashed line represents the post-reaction interface position. In both experiments, the IBC-dunite interface has migrated into the dunite side of the reaction couple due to dunite dissolution. In MRx#12 the IBC melt appears to be exploiting grain boundaries to propagate into the dunite resulting in the light gray (c) and light blue (d) streaks indicated in the dunite.</w:t>
      </w:r>
      <w:bookmarkEnd w:id="110"/>
      <w:bookmarkEnd w:id="111"/>
      <w:bookmarkEnd w:id="112"/>
      <w:bookmarkEnd w:id="113"/>
      <w:r w:rsidRPr="00971536">
        <w:t xml:space="preserve"> </w:t>
      </w:r>
    </w:p>
    <w:p w14:paraId="541963C0" w14:textId="77777777" w:rsidR="00FF0150" w:rsidRDefault="00FF0150" w:rsidP="00FF0150">
      <w:pPr>
        <w:rPr>
          <w:color w:val="000000" w:themeColor="text1"/>
        </w:rPr>
      </w:pPr>
    </w:p>
    <w:p w14:paraId="495516DD" w14:textId="77777777" w:rsidR="00FF0150" w:rsidRDefault="00FF0150">
      <w:pPr>
        <w:rPr>
          <w:color w:val="000000" w:themeColor="text1"/>
        </w:rPr>
      </w:pPr>
      <w:r>
        <w:rPr>
          <w:color w:val="000000" w:themeColor="text1"/>
        </w:rPr>
        <w:br w:type="page"/>
      </w:r>
    </w:p>
    <w:p w14:paraId="14917E72" w14:textId="316B5B2D" w:rsidR="00A278A8" w:rsidRPr="007F2D9E" w:rsidRDefault="00A278A8" w:rsidP="006A2FCD">
      <w:pPr>
        <w:spacing w:line="480" w:lineRule="auto"/>
        <w:ind w:firstLine="720"/>
        <w:rPr>
          <w:color w:val="000000" w:themeColor="text1"/>
        </w:rPr>
      </w:pPr>
      <w:r w:rsidRPr="007F2D9E">
        <w:rPr>
          <w:color w:val="000000" w:themeColor="text1"/>
        </w:rPr>
        <w:lastRenderedPageBreak/>
        <w:t>As in the other experiments, there is a thin but obvious diffusive exchange layer on the dunite side of the reaction interface (</w:t>
      </w:r>
      <w:r w:rsidR="00EC5C57" w:rsidRPr="009E1A2D">
        <w:rPr>
          <w:b/>
          <w:bCs/>
          <w:color w:val="000000" w:themeColor="text1"/>
        </w:rPr>
        <w:t>Figure A</w:t>
      </w:r>
      <w:r w:rsidR="008F5CFC" w:rsidRPr="009E1A2D">
        <w:rPr>
          <w:b/>
          <w:bCs/>
          <w:color w:val="000000" w:themeColor="text1"/>
        </w:rPr>
        <w:t>5</w:t>
      </w:r>
      <w:r w:rsidRPr="007F2D9E">
        <w:rPr>
          <w:color w:val="000000" w:themeColor="text1"/>
        </w:rPr>
        <w:t>). This diffusive exchange layer is thinner (~5 µ</w:t>
      </w:r>
      <w:r w:rsidRPr="007F2D9E">
        <w:rPr>
          <w:rFonts w:eastAsiaTheme="minorEastAsia"/>
          <w:color w:val="000000" w:themeColor="text1"/>
        </w:rPr>
        <w:t>m</w:t>
      </w:r>
      <w:r w:rsidRPr="007F2D9E">
        <w:rPr>
          <w:color w:val="000000" w:themeColor="text1"/>
        </w:rPr>
        <w:t>) than those observed in 6 hr near solidus experiments (~10 µ</w:t>
      </w:r>
      <w:r w:rsidRPr="007F2D9E">
        <w:rPr>
          <w:rFonts w:eastAsiaTheme="minorEastAsia"/>
          <w:color w:val="000000" w:themeColor="text1"/>
        </w:rPr>
        <w:t>m</w:t>
      </w:r>
      <w:r w:rsidRPr="007F2D9E">
        <w:rPr>
          <w:color w:val="000000" w:themeColor="text1"/>
        </w:rPr>
        <w:t>) on the dunite side of the interface (</w:t>
      </w:r>
      <w:r w:rsidRPr="009E1A2D">
        <w:rPr>
          <w:b/>
          <w:bCs/>
          <w:color w:val="000000" w:themeColor="text1"/>
        </w:rPr>
        <w:t xml:space="preserve">Table </w:t>
      </w:r>
      <w:r w:rsidR="008F5CFC" w:rsidRPr="009E1A2D">
        <w:rPr>
          <w:b/>
          <w:bCs/>
          <w:color w:val="000000" w:themeColor="text1"/>
        </w:rPr>
        <w:t>1.</w:t>
      </w:r>
      <w:r w:rsidRPr="009E1A2D">
        <w:rPr>
          <w:b/>
          <w:bCs/>
          <w:color w:val="000000" w:themeColor="text1"/>
        </w:rPr>
        <w:t>3</w:t>
      </w:r>
      <w:r w:rsidRPr="007F2D9E">
        <w:rPr>
          <w:color w:val="000000" w:themeColor="text1"/>
        </w:rPr>
        <w:t xml:space="preserve">). IBC melt veins were not observed along the IBC-dunite reaction interface of MRx#11 as in the Group A experiments. </w:t>
      </w:r>
    </w:p>
    <w:p w14:paraId="52A1AC0A" w14:textId="7A9F5C5E" w:rsidR="0049022F" w:rsidRPr="00903E8A" w:rsidRDefault="00A278A8" w:rsidP="005552E2">
      <w:pPr>
        <w:pStyle w:val="Heading4"/>
      </w:pPr>
      <w:bookmarkStart w:id="114" w:name="_Toc183536566"/>
      <w:bookmarkStart w:id="115" w:name="_Toc184727369"/>
      <w:bookmarkStart w:id="116" w:name="_Toc185325615"/>
      <w:r w:rsidRPr="00903E8A">
        <w:t>Group B Mineral and Melt Chemistry</w:t>
      </w:r>
      <w:bookmarkEnd w:id="114"/>
      <w:bookmarkEnd w:id="115"/>
      <w:bookmarkEnd w:id="116"/>
    </w:p>
    <w:p w14:paraId="2CAC945C" w14:textId="3D2202FD" w:rsidR="00A278A8" w:rsidRPr="007F2D9E" w:rsidRDefault="00A278A8" w:rsidP="006A2FCD">
      <w:pPr>
        <w:spacing w:line="480" w:lineRule="auto"/>
        <w:ind w:firstLine="720"/>
        <w:rPr>
          <w:color w:val="000000" w:themeColor="text1"/>
        </w:rPr>
      </w:pPr>
      <w:r w:rsidRPr="007F2D9E">
        <w:rPr>
          <w:color w:val="000000" w:themeColor="text1"/>
        </w:rPr>
        <w:t>Clinopyroxene crystals in MRx#11 have more Wo normative compositions than all other experiments (</w:t>
      </w:r>
      <w:r w:rsidRPr="009E1A2D">
        <w:rPr>
          <w:b/>
          <w:bCs/>
          <w:color w:val="000000" w:themeColor="text1"/>
        </w:rPr>
        <w:t xml:space="preserve">Figure </w:t>
      </w:r>
      <w:r w:rsidR="008F5CFC" w:rsidRPr="009E1A2D">
        <w:rPr>
          <w:b/>
          <w:bCs/>
          <w:color w:val="000000" w:themeColor="text1"/>
        </w:rPr>
        <w:t>1.</w:t>
      </w:r>
      <w:r w:rsidRPr="009E1A2D">
        <w:rPr>
          <w:b/>
          <w:bCs/>
          <w:color w:val="000000" w:themeColor="text1"/>
        </w:rPr>
        <w:t>3b</w:t>
      </w:r>
      <w:r w:rsidRPr="007F2D9E">
        <w:rPr>
          <w:color w:val="000000" w:themeColor="text1"/>
        </w:rPr>
        <w:t>). Normal zoning occurs in all Cpx crystals with an average core Mg# of 22.5±4.7 and rim Mg# of 9.2±2.7, consistent with progressive Cpx crystallization in the IBC composition. Clinopyroxenes near the interface plot along a continuum with the core and rim compositions from elsewhere in the experiment but have slightly more En normative compositions closer to the interface (</w:t>
      </w:r>
      <w:r w:rsidRPr="009E1A2D">
        <w:rPr>
          <w:b/>
          <w:bCs/>
          <w:color w:val="000000" w:themeColor="text1"/>
        </w:rPr>
        <w:t xml:space="preserve">Figure </w:t>
      </w:r>
      <w:r w:rsidR="008F5CFC" w:rsidRPr="009E1A2D">
        <w:rPr>
          <w:b/>
          <w:bCs/>
          <w:color w:val="000000" w:themeColor="text1"/>
        </w:rPr>
        <w:t>1.</w:t>
      </w:r>
      <w:r w:rsidRPr="009E1A2D">
        <w:rPr>
          <w:b/>
          <w:bCs/>
          <w:color w:val="000000" w:themeColor="text1"/>
        </w:rPr>
        <w:t>3b</w:t>
      </w:r>
      <w:r w:rsidRPr="007F2D9E">
        <w:rPr>
          <w:color w:val="000000" w:themeColor="text1"/>
        </w:rPr>
        <w:t xml:space="preserve">). </w:t>
      </w:r>
    </w:p>
    <w:p w14:paraId="50FF43E8" w14:textId="5CD19416" w:rsidR="00A278A8" w:rsidRPr="007F2D9E" w:rsidRDefault="00A278A8" w:rsidP="006A2FCD">
      <w:pPr>
        <w:spacing w:line="480" w:lineRule="auto"/>
        <w:ind w:firstLine="720"/>
        <w:rPr>
          <w:color w:val="000000" w:themeColor="text1"/>
        </w:rPr>
      </w:pPr>
      <w:r w:rsidRPr="007F2D9E">
        <w:rPr>
          <w:color w:val="000000" w:themeColor="text1"/>
        </w:rPr>
        <w:t>Interstitial melt in MRx#11 lacks the TiO</w:t>
      </w:r>
      <w:r w:rsidRPr="007F2D9E">
        <w:rPr>
          <w:color w:val="000000" w:themeColor="text1"/>
          <w:vertAlign w:val="subscript"/>
        </w:rPr>
        <w:t>2</w:t>
      </w:r>
      <w:r w:rsidRPr="007F2D9E">
        <w:rPr>
          <w:color w:val="000000" w:themeColor="text1"/>
        </w:rPr>
        <w:t xml:space="preserve"> and FeO enrichment observed in the low-degree interstitial melt from MRx#8. This is likely due to the extensive crystallization of ulvöspinel in this experiment, which would keep the TiO</w:t>
      </w:r>
      <w:r w:rsidRPr="007F2D9E">
        <w:rPr>
          <w:color w:val="000000" w:themeColor="text1"/>
          <w:vertAlign w:val="subscript"/>
        </w:rPr>
        <w:t>2</w:t>
      </w:r>
      <w:r w:rsidRPr="007F2D9E">
        <w:rPr>
          <w:color w:val="000000" w:themeColor="text1"/>
        </w:rPr>
        <w:t xml:space="preserve"> and FeO concentrations lower relative to oxide-free experiments. Overall, melt within this experiment exhibits SiO</w:t>
      </w:r>
      <w:r w:rsidRPr="007F2D9E">
        <w:rPr>
          <w:color w:val="000000" w:themeColor="text1"/>
          <w:vertAlign w:val="subscript"/>
        </w:rPr>
        <w:t>2</w:t>
      </w:r>
      <w:r w:rsidRPr="007F2D9E">
        <w:rPr>
          <w:color w:val="000000" w:themeColor="text1"/>
        </w:rPr>
        <w:t>, Al</w:t>
      </w:r>
      <w:r w:rsidRPr="007F2D9E">
        <w:rPr>
          <w:color w:val="000000" w:themeColor="text1"/>
          <w:vertAlign w:val="subscript"/>
        </w:rPr>
        <w:t>2</w:t>
      </w:r>
      <w:r w:rsidRPr="007F2D9E">
        <w:rPr>
          <w:color w:val="000000" w:themeColor="text1"/>
        </w:rPr>
        <w:t>O</w:t>
      </w:r>
      <w:r w:rsidRPr="007F2D9E">
        <w:rPr>
          <w:color w:val="000000" w:themeColor="text1"/>
          <w:vertAlign w:val="subscript"/>
        </w:rPr>
        <w:t>3</w:t>
      </w:r>
      <w:r w:rsidRPr="007F2D9E">
        <w:rPr>
          <w:color w:val="000000" w:themeColor="text1"/>
        </w:rPr>
        <w:t>, Na</w:t>
      </w:r>
      <w:r w:rsidRPr="007F2D9E">
        <w:rPr>
          <w:color w:val="000000" w:themeColor="text1"/>
          <w:vertAlign w:val="subscript"/>
        </w:rPr>
        <w:t>2</w:t>
      </w:r>
      <w:r w:rsidRPr="007F2D9E">
        <w:rPr>
          <w:color w:val="000000" w:themeColor="text1"/>
        </w:rPr>
        <w:t>O enrichment and TiO</w:t>
      </w:r>
      <w:r w:rsidRPr="007F2D9E">
        <w:rPr>
          <w:color w:val="000000" w:themeColor="text1"/>
          <w:vertAlign w:val="subscript"/>
        </w:rPr>
        <w:t>2</w:t>
      </w:r>
      <w:r w:rsidRPr="007F2D9E">
        <w:rPr>
          <w:color w:val="000000" w:themeColor="text1"/>
        </w:rPr>
        <w:t>, Cr</w:t>
      </w:r>
      <w:r w:rsidRPr="007F2D9E">
        <w:rPr>
          <w:color w:val="000000" w:themeColor="text1"/>
          <w:vertAlign w:val="subscript"/>
        </w:rPr>
        <w:t>2</w:t>
      </w:r>
      <w:r w:rsidRPr="007F2D9E">
        <w:rPr>
          <w:color w:val="000000" w:themeColor="text1"/>
        </w:rPr>
        <w:t>O</w:t>
      </w:r>
      <w:r w:rsidRPr="007F2D9E">
        <w:rPr>
          <w:color w:val="000000" w:themeColor="text1"/>
          <w:vertAlign w:val="subscript"/>
        </w:rPr>
        <w:t>3</w:t>
      </w:r>
      <w:r w:rsidRPr="007F2D9E">
        <w:rPr>
          <w:color w:val="000000" w:themeColor="text1"/>
        </w:rPr>
        <w:t>, MgO, and FeO depletion relative to the initial IBC composition (</w:t>
      </w:r>
      <w:r w:rsidRPr="009E1A2D">
        <w:rPr>
          <w:b/>
          <w:bCs/>
          <w:color w:val="000000" w:themeColor="text1"/>
        </w:rPr>
        <w:t xml:space="preserve">Table </w:t>
      </w:r>
      <w:r w:rsidR="008F5CFC" w:rsidRPr="009E1A2D">
        <w:rPr>
          <w:b/>
          <w:bCs/>
          <w:color w:val="000000" w:themeColor="text1"/>
        </w:rPr>
        <w:t>1.</w:t>
      </w:r>
      <w:r w:rsidRPr="009E1A2D">
        <w:rPr>
          <w:b/>
          <w:bCs/>
          <w:color w:val="000000" w:themeColor="text1"/>
        </w:rPr>
        <w:t>4</w:t>
      </w:r>
      <w:r w:rsidRPr="007F2D9E">
        <w:rPr>
          <w:color w:val="000000" w:themeColor="text1"/>
        </w:rPr>
        <w:t xml:space="preserve">). </w:t>
      </w:r>
    </w:p>
    <w:p w14:paraId="6BDD0501" w14:textId="77777777" w:rsidR="00A278A8" w:rsidRPr="007F2D9E" w:rsidRDefault="00A278A8" w:rsidP="006E67B1">
      <w:pPr>
        <w:pStyle w:val="Heading3"/>
      </w:pPr>
      <w:bookmarkStart w:id="117" w:name="_Toc182331733"/>
      <w:bookmarkStart w:id="118" w:name="_Toc182995459"/>
      <w:bookmarkStart w:id="119" w:name="_Toc183536567"/>
      <w:bookmarkStart w:id="120" w:name="_Toc184727370"/>
      <w:bookmarkStart w:id="121" w:name="_Toc185325616"/>
      <w:r w:rsidRPr="007F2D9E">
        <w:t>Step-Cooled Experiment</w:t>
      </w:r>
      <w:bookmarkEnd w:id="117"/>
      <w:bookmarkEnd w:id="118"/>
      <w:bookmarkEnd w:id="119"/>
      <w:bookmarkEnd w:id="120"/>
      <w:bookmarkEnd w:id="121"/>
    </w:p>
    <w:p w14:paraId="294759E1" w14:textId="4EA78173" w:rsidR="0049022F" w:rsidRPr="00903E8A" w:rsidRDefault="00A278A8" w:rsidP="005552E2">
      <w:pPr>
        <w:pStyle w:val="Heading4"/>
      </w:pPr>
      <w:bookmarkStart w:id="122" w:name="_Toc183536568"/>
      <w:bookmarkStart w:id="123" w:name="_Toc184727371"/>
      <w:bookmarkStart w:id="124" w:name="_Toc185325617"/>
      <w:r w:rsidRPr="00903E8A">
        <w:t>Products and Growth Textures</w:t>
      </w:r>
      <w:bookmarkEnd w:id="122"/>
      <w:bookmarkEnd w:id="123"/>
      <w:bookmarkEnd w:id="124"/>
    </w:p>
    <w:p w14:paraId="1915DC85" w14:textId="5F89BD52" w:rsidR="00A278A8" w:rsidRPr="007F2D9E" w:rsidRDefault="00A278A8" w:rsidP="006A2FCD">
      <w:pPr>
        <w:spacing w:line="480" w:lineRule="auto"/>
        <w:ind w:firstLine="720"/>
        <w:rPr>
          <w:color w:val="000000" w:themeColor="text1"/>
        </w:rPr>
      </w:pPr>
      <w:r w:rsidRPr="007F2D9E">
        <w:rPr>
          <w:color w:val="000000" w:themeColor="text1"/>
        </w:rPr>
        <w:t>Experiment</w:t>
      </w:r>
      <w:r w:rsidRPr="007F2D9E">
        <w:rPr>
          <w:b/>
          <w:bCs/>
          <w:color w:val="000000" w:themeColor="text1"/>
        </w:rPr>
        <w:t xml:space="preserve"> </w:t>
      </w:r>
      <w:r w:rsidRPr="007F2D9E">
        <w:rPr>
          <w:color w:val="000000" w:themeColor="text1"/>
        </w:rPr>
        <w:t>MRx#13 is the only step-cooled experiment (</w:t>
      </w:r>
      <w:r w:rsidRPr="009E1A2D">
        <w:rPr>
          <w:b/>
          <w:bCs/>
          <w:color w:val="000000" w:themeColor="text1"/>
        </w:rPr>
        <w:t xml:space="preserve">Table </w:t>
      </w:r>
      <w:r w:rsidR="008F5CFC" w:rsidRPr="009E1A2D">
        <w:rPr>
          <w:b/>
          <w:bCs/>
          <w:color w:val="000000" w:themeColor="text1"/>
        </w:rPr>
        <w:t>1.</w:t>
      </w:r>
      <w:r w:rsidRPr="009E1A2D">
        <w:rPr>
          <w:b/>
          <w:bCs/>
          <w:color w:val="000000" w:themeColor="text1"/>
        </w:rPr>
        <w:t>2</w:t>
      </w:r>
      <w:r w:rsidRPr="007F2D9E">
        <w:rPr>
          <w:color w:val="000000" w:themeColor="text1"/>
        </w:rPr>
        <w:t xml:space="preserve">). Clinopyroxene is the only phase in the IBC side of the couple large enough to analyze. </w:t>
      </w:r>
      <w:r w:rsidRPr="007F2D9E">
        <w:rPr>
          <w:color w:val="000000" w:themeColor="text1"/>
        </w:rPr>
        <w:lastRenderedPageBreak/>
        <w:t>Clinopyroxenes are large (500-1500 µ</w:t>
      </w:r>
      <w:r w:rsidRPr="007F2D9E">
        <w:rPr>
          <w:rFonts w:eastAsiaTheme="minorEastAsia"/>
          <w:color w:val="000000" w:themeColor="text1"/>
        </w:rPr>
        <w:t>m</w:t>
      </w:r>
      <w:r w:rsidRPr="007F2D9E">
        <w:rPr>
          <w:color w:val="000000" w:themeColor="text1"/>
        </w:rPr>
        <w:t xml:space="preserve">) and exhibit skeletal and euhedral morphologies like those in MRx#11. Clinopyroxenes within the experiment exhibit pronounced core-to-rim zoning, similar to MRx#11. </w:t>
      </w:r>
    </w:p>
    <w:p w14:paraId="76B9962E" w14:textId="77777777" w:rsidR="00A278A8" w:rsidRPr="007F2D9E" w:rsidRDefault="00A278A8" w:rsidP="006A2FCD">
      <w:pPr>
        <w:spacing w:line="480" w:lineRule="auto"/>
        <w:ind w:firstLine="720"/>
        <w:rPr>
          <w:color w:val="000000" w:themeColor="text1"/>
        </w:rPr>
      </w:pPr>
      <w:r w:rsidRPr="007F2D9E">
        <w:rPr>
          <w:color w:val="000000" w:themeColor="text1"/>
        </w:rPr>
        <w:t xml:space="preserve">High-Z phases (presumably Fe-Ti oxides) are present in the interstitial region between large Cpx. The presence of these phases is most apparent near the IBC-dunite interface where Cpx crystals formed in close proximity to each other, and the hybridized interstitial melt (i.e., IBC melt that has assimilated dunite material and undergone crystallization) seems to have undergone more extensive crystallization. </w:t>
      </w:r>
    </w:p>
    <w:p w14:paraId="0B77142B" w14:textId="5D4222FB" w:rsidR="00A278A8" w:rsidRPr="007F2D9E" w:rsidRDefault="00A278A8" w:rsidP="006A2FCD">
      <w:pPr>
        <w:spacing w:line="480" w:lineRule="auto"/>
        <w:ind w:firstLine="720"/>
        <w:rPr>
          <w:color w:val="000000" w:themeColor="text1"/>
        </w:rPr>
      </w:pPr>
      <w:r w:rsidRPr="007F2D9E">
        <w:rPr>
          <w:color w:val="000000" w:themeColor="text1"/>
        </w:rPr>
        <w:t>BSE images show that the experiment resulted in extensive dunite dissolution as the IBC-dunite interface migrated into the dunite side of the reaction couple (</w:t>
      </w:r>
      <w:r w:rsidRPr="009E1A2D">
        <w:rPr>
          <w:b/>
          <w:bCs/>
          <w:color w:val="000000" w:themeColor="text1"/>
        </w:rPr>
        <w:t xml:space="preserve">Figures </w:t>
      </w:r>
      <w:r w:rsidR="008F5CFC" w:rsidRPr="009E1A2D">
        <w:rPr>
          <w:b/>
          <w:bCs/>
          <w:color w:val="000000" w:themeColor="text1"/>
        </w:rPr>
        <w:t>1.</w:t>
      </w:r>
      <w:r w:rsidRPr="009E1A2D">
        <w:rPr>
          <w:b/>
          <w:bCs/>
          <w:color w:val="000000" w:themeColor="text1"/>
        </w:rPr>
        <w:t xml:space="preserve">6a and </w:t>
      </w:r>
      <w:r w:rsidR="008F5CFC" w:rsidRPr="009E1A2D">
        <w:rPr>
          <w:b/>
          <w:bCs/>
          <w:color w:val="000000" w:themeColor="text1"/>
        </w:rPr>
        <w:t>1.</w:t>
      </w:r>
      <w:r w:rsidRPr="009E1A2D">
        <w:rPr>
          <w:b/>
          <w:bCs/>
          <w:color w:val="000000" w:themeColor="text1"/>
        </w:rPr>
        <w:t>6b</w:t>
      </w:r>
      <w:r w:rsidRPr="007F2D9E">
        <w:rPr>
          <w:color w:val="000000" w:themeColor="text1"/>
        </w:rPr>
        <w:t xml:space="preserve">). Hybridized interstitial melt is present throughout the IBC side of the experiment. Clinopyroxene crystals are abundant at the reaction couple interface and appear to nucleate from the interface, isolating the interface from the melt. Given the extensive dissolution observed in this experiment, the Cpx crystals likely formed during the cooling step of the experiment, significantly reducing IBC-dunite interaction. </w:t>
      </w:r>
    </w:p>
    <w:p w14:paraId="0BB22100" w14:textId="0B1E09FF" w:rsidR="0049022F" w:rsidRPr="00903E8A" w:rsidRDefault="00A278A8" w:rsidP="005552E2">
      <w:pPr>
        <w:pStyle w:val="Heading4"/>
      </w:pPr>
      <w:bookmarkStart w:id="125" w:name="_Toc183536569"/>
      <w:bookmarkStart w:id="126" w:name="_Toc184727372"/>
      <w:bookmarkStart w:id="127" w:name="_Toc185325618"/>
      <w:r w:rsidRPr="00903E8A">
        <w:t>Mineral and Melt Chemistry</w:t>
      </w:r>
      <w:bookmarkEnd w:id="125"/>
      <w:bookmarkEnd w:id="126"/>
      <w:bookmarkEnd w:id="127"/>
    </w:p>
    <w:p w14:paraId="1E16AA7D" w14:textId="214C809F" w:rsidR="00FF0150" w:rsidRDefault="00A278A8" w:rsidP="001E2BFA">
      <w:pPr>
        <w:spacing w:line="480" w:lineRule="auto"/>
        <w:ind w:firstLine="720"/>
        <w:rPr>
          <w:color w:val="000000" w:themeColor="text1"/>
        </w:rPr>
      </w:pPr>
      <w:r w:rsidRPr="007F2D9E">
        <w:rPr>
          <w:color w:val="000000" w:themeColor="text1"/>
        </w:rPr>
        <w:t>Clinopyroxene crystals in MRx#13 have unique compositions relative to the other experiments (</w:t>
      </w:r>
      <w:r w:rsidRPr="00686387">
        <w:rPr>
          <w:b/>
          <w:bCs/>
          <w:color w:val="000000" w:themeColor="text1"/>
        </w:rPr>
        <w:t xml:space="preserve">Figure </w:t>
      </w:r>
      <w:r w:rsidR="008F5CFC" w:rsidRPr="00686387">
        <w:rPr>
          <w:b/>
          <w:bCs/>
          <w:color w:val="000000" w:themeColor="text1"/>
        </w:rPr>
        <w:t>1.</w:t>
      </w:r>
      <w:r w:rsidRPr="00686387">
        <w:rPr>
          <w:b/>
          <w:bCs/>
          <w:color w:val="000000" w:themeColor="text1"/>
        </w:rPr>
        <w:t>3b</w:t>
      </w:r>
      <w:r w:rsidRPr="007F2D9E">
        <w:rPr>
          <w:color w:val="000000" w:themeColor="text1"/>
        </w:rPr>
        <w:t xml:space="preserve">). The Cpx are less Fs normative than those observed in the near solidus experiments and MRx#11. The pyroxenes exhibit a continuum of compositions ranging from augitic to hedenbergitic. Clinopyroxene cores have Mg#s of 48.2 ± 5.1, while clinopyroxene rims have Mg#s of 36.3 ± 2.3. </w:t>
      </w:r>
    </w:p>
    <w:p w14:paraId="4FD4CE19" w14:textId="77777777" w:rsidR="001E2BFA" w:rsidRDefault="001E2BFA">
      <w:pPr>
        <w:rPr>
          <w:color w:val="000000" w:themeColor="text1"/>
        </w:rPr>
      </w:pPr>
      <w:r>
        <w:rPr>
          <w:color w:val="000000" w:themeColor="text1"/>
        </w:rPr>
        <w:br w:type="page"/>
      </w:r>
    </w:p>
    <w:p w14:paraId="515DC496" w14:textId="45F47FBA" w:rsidR="00FF0150" w:rsidRDefault="00FF0150">
      <w:pPr>
        <w:rPr>
          <w:color w:val="000000" w:themeColor="text1"/>
        </w:rPr>
      </w:pPr>
      <w:r>
        <w:rPr>
          <w:noProof/>
          <w:color w:val="000000" w:themeColor="text1"/>
        </w:rPr>
        <w:lastRenderedPageBreak/>
        <w:drawing>
          <wp:inline distT="0" distB="0" distL="0" distR="0" wp14:anchorId="17374045" wp14:editId="056F26FF">
            <wp:extent cx="5486400" cy="2747645"/>
            <wp:effectExtent l="0" t="0" r="0" b="0"/>
            <wp:docPr id="1242855436" name="Picture 22" descr="A close-up of a geological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855436" name="Picture 22" descr="A close-up of a geological map&#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486400" cy="2747645"/>
                    </a:xfrm>
                    <a:prstGeom prst="rect">
                      <a:avLst/>
                    </a:prstGeom>
                  </pic:spPr>
                </pic:pic>
              </a:graphicData>
            </a:graphic>
          </wp:inline>
        </w:drawing>
      </w:r>
    </w:p>
    <w:p w14:paraId="764BF6C2" w14:textId="27C62A8B" w:rsidR="001D7522" w:rsidRPr="00971536" w:rsidRDefault="001D7522" w:rsidP="00A01278">
      <w:pPr>
        <w:pStyle w:val="FigureCaption"/>
      </w:pPr>
      <w:bookmarkStart w:id="128" w:name="_Toc178246919"/>
      <w:bookmarkStart w:id="129" w:name="_Toc182944854"/>
      <w:bookmarkStart w:id="130" w:name="_Toc183019401"/>
      <w:bookmarkStart w:id="131" w:name="_Toc185263411"/>
      <w:r w:rsidRPr="00A01278">
        <w:rPr>
          <w:b/>
          <w:bCs/>
        </w:rPr>
        <w:t xml:space="preserve">Figure </w:t>
      </w:r>
      <w:r w:rsidR="008F5CFC" w:rsidRPr="00A01278">
        <w:rPr>
          <w:b/>
          <w:bCs/>
        </w:rPr>
        <w:t>1.</w:t>
      </w:r>
      <w:r w:rsidRPr="00A01278">
        <w:rPr>
          <w:b/>
          <w:bCs/>
        </w:rPr>
        <w:t>6.</w:t>
      </w:r>
      <w:r w:rsidRPr="00971536">
        <w:t xml:space="preserve"> </w:t>
      </w:r>
      <w:r w:rsidRPr="00463A7F">
        <w:t>Representative BSE image and elemental map highlighting minerals and reaction features produced in step-cooled supersolidus experiment MRx#13. (a) Backscatter electron image of the reaction interface in showing the pre-reaction interface (blue dotted line) and post-reaction interface (orange dashed line). (b) Combined Fe (green) and Mg (blue) false color elemental map of the reaction interface with the pre-reaction interface, phases, and reaction features labeled. The IBC-dunite interface location has migrated into the dunite side of the reaction couple due to dunite dissolution. A rare enstatite crystal within the dunite side of the reaction couple is visible in the elemental map, this grain is unrelated to melt-rock reaction and originates from incomplete mineral separation in the starting material.</w:t>
      </w:r>
      <w:bookmarkEnd w:id="128"/>
      <w:bookmarkEnd w:id="129"/>
      <w:bookmarkEnd w:id="130"/>
      <w:bookmarkEnd w:id="131"/>
    </w:p>
    <w:p w14:paraId="0BFF4A78" w14:textId="41CF1BC7" w:rsidR="00FF0150" w:rsidRDefault="00FF0150">
      <w:pPr>
        <w:rPr>
          <w:color w:val="000000" w:themeColor="text1"/>
        </w:rPr>
      </w:pPr>
      <w:r>
        <w:rPr>
          <w:color w:val="000000" w:themeColor="text1"/>
        </w:rPr>
        <w:br w:type="page"/>
      </w:r>
    </w:p>
    <w:p w14:paraId="1526ADFD" w14:textId="77777777" w:rsidR="001E2BFA" w:rsidRPr="007F2D9E" w:rsidRDefault="001E2BFA" w:rsidP="001E2BFA">
      <w:pPr>
        <w:spacing w:line="480" w:lineRule="auto"/>
        <w:rPr>
          <w:color w:val="000000" w:themeColor="text1"/>
        </w:rPr>
      </w:pPr>
      <w:bookmarkStart w:id="132" w:name="_Toc182331734"/>
      <w:bookmarkStart w:id="133" w:name="_Toc182995460"/>
      <w:bookmarkStart w:id="134" w:name="_Toc183536570"/>
      <w:bookmarkStart w:id="135" w:name="_Toc184727373"/>
      <w:r w:rsidRPr="007F2D9E">
        <w:rPr>
          <w:color w:val="000000" w:themeColor="text1"/>
        </w:rPr>
        <w:lastRenderedPageBreak/>
        <w:t>Given the morphology and size of the crystals, the core-to-rim zoning perhaps reflects a shift in equilibrium pyroxene compositions as the melt composition evolved due to progressive crystallization.</w:t>
      </w:r>
    </w:p>
    <w:p w14:paraId="07ED7305" w14:textId="77777777" w:rsidR="001E2BFA" w:rsidRPr="007F2D9E" w:rsidRDefault="001E2BFA" w:rsidP="001E2BFA">
      <w:pPr>
        <w:spacing w:line="480" w:lineRule="auto"/>
        <w:ind w:firstLine="720"/>
        <w:rPr>
          <w:color w:val="000000" w:themeColor="text1"/>
        </w:rPr>
      </w:pPr>
      <w:r w:rsidRPr="007F2D9E">
        <w:rPr>
          <w:color w:val="000000" w:themeColor="text1"/>
        </w:rPr>
        <w:t>Hybridized interstitial melt in MRx#13 exhibits TiO</w:t>
      </w:r>
      <w:r w:rsidRPr="007F2D9E">
        <w:rPr>
          <w:color w:val="000000" w:themeColor="text1"/>
          <w:vertAlign w:val="subscript"/>
        </w:rPr>
        <w:t>2</w:t>
      </w:r>
      <w:r w:rsidRPr="007F2D9E">
        <w:rPr>
          <w:color w:val="000000" w:themeColor="text1"/>
        </w:rPr>
        <w:t>, MgO, and FeO enrichment and SiO</w:t>
      </w:r>
      <w:r w:rsidRPr="007F2D9E">
        <w:rPr>
          <w:color w:val="000000" w:themeColor="text1"/>
          <w:vertAlign w:val="subscript"/>
        </w:rPr>
        <w:t>2</w:t>
      </w:r>
      <w:r w:rsidRPr="007F2D9E">
        <w:rPr>
          <w:color w:val="000000" w:themeColor="text1"/>
        </w:rPr>
        <w:t>, Cr</w:t>
      </w:r>
      <w:r w:rsidRPr="007F2D9E">
        <w:rPr>
          <w:color w:val="000000" w:themeColor="text1"/>
          <w:vertAlign w:val="subscript"/>
        </w:rPr>
        <w:t>2</w:t>
      </w:r>
      <w:r w:rsidRPr="007F2D9E">
        <w:rPr>
          <w:color w:val="000000" w:themeColor="text1"/>
        </w:rPr>
        <w:t>O</w:t>
      </w:r>
      <w:r w:rsidRPr="007F2D9E">
        <w:rPr>
          <w:color w:val="000000" w:themeColor="text1"/>
          <w:vertAlign w:val="subscript"/>
        </w:rPr>
        <w:t>3</w:t>
      </w:r>
      <w:r w:rsidRPr="007F2D9E">
        <w:rPr>
          <w:color w:val="000000" w:themeColor="text1"/>
        </w:rPr>
        <w:t>, and CaO depletion relative to the initial IBC composition (</w:t>
      </w:r>
      <w:r w:rsidRPr="009E1A2D">
        <w:rPr>
          <w:b/>
          <w:bCs/>
          <w:color w:val="000000" w:themeColor="text1"/>
        </w:rPr>
        <w:t>Table 1.4</w:t>
      </w:r>
      <w:r w:rsidRPr="007F2D9E">
        <w:rPr>
          <w:color w:val="000000" w:themeColor="text1"/>
        </w:rPr>
        <w:t>). TiO</w:t>
      </w:r>
      <w:r w:rsidRPr="007F2D9E">
        <w:rPr>
          <w:color w:val="000000" w:themeColor="text1"/>
          <w:vertAlign w:val="subscript"/>
        </w:rPr>
        <w:t>2</w:t>
      </w:r>
      <w:r w:rsidRPr="007F2D9E">
        <w:rPr>
          <w:color w:val="000000" w:themeColor="text1"/>
        </w:rPr>
        <w:t xml:space="preserve"> and FeO enrichment and CaO depletion in the melt is consistent with progressive Cpx crystallization and lack of significant Fe-Ti oxide formation. The elevated Mg# reflects extensive dunite dissolution. Crystallization of Cpx probably decreased the total amount of Mg in the melt given the high Mg# of the pyroxene cores and size of the crystals and low Mg# of the hybridized interstitial melt (i.e., 9.08 ± 0.74).</w:t>
      </w:r>
    </w:p>
    <w:p w14:paraId="44C38100" w14:textId="4794B76E" w:rsidR="001E2BFA" w:rsidRPr="001E2BFA" w:rsidRDefault="001E2BFA" w:rsidP="001E2BFA">
      <w:pPr>
        <w:spacing w:line="480" w:lineRule="auto"/>
        <w:ind w:firstLine="720"/>
        <w:rPr>
          <w:color w:val="000000" w:themeColor="text1"/>
        </w:rPr>
      </w:pPr>
      <w:r w:rsidRPr="007F2D9E">
        <w:rPr>
          <w:color w:val="000000" w:themeColor="text1"/>
        </w:rPr>
        <w:t xml:space="preserve">As in other experiments in this study, the boundary between the IBC and dunite sides of the experiment exhibits evidence of solid-state diffusive exchange. The Cpx at the interface in the IBC side of the reaction couple has an elevated Mg# of ~71. Olivine in the dunite side of the couple is more Fa normative near the interface (Fo ~82). </w:t>
      </w:r>
    </w:p>
    <w:p w14:paraId="18590B27" w14:textId="0B5B3316" w:rsidR="00A278A8" w:rsidRPr="007F2D9E" w:rsidRDefault="00A278A8" w:rsidP="002F7368">
      <w:pPr>
        <w:pStyle w:val="Heading2"/>
      </w:pPr>
      <w:bookmarkStart w:id="136" w:name="_Toc185325619"/>
      <w:r w:rsidRPr="007F2D9E">
        <w:t>Discussion</w:t>
      </w:r>
      <w:bookmarkEnd w:id="132"/>
      <w:bookmarkEnd w:id="133"/>
      <w:bookmarkEnd w:id="134"/>
      <w:bookmarkEnd w:id="135"/>
      <w:bookmarkEnd w:id="136"/>
      <w:r w:rsidRPr="007F2D9E">
        <w:t xml:space="preserve"> </w:t>
      </w:r>
    </w:p>
    <w:p w14:paraId="2B0D92F6" w14:textId="77777777" w:rsidR="00A278A8" w:rsidRPr="007F2D9E" w:rsidRDefault="00A278A8" w:rsidP="000B6E19">
      <w:pPr>
        <w:spacing w:line="480" w:lineRule="auto"/>
        <w:ind w:firstLine="720"/>
        <w:rPr>
          <w:color w:val="000000" w:themeColor="text1"/>
        </w:rPr>
      </w:pPr>
      <w:r w:rsidRPr="007F2D9E">
        <w:rPr>
          <w:color w:val="000000" w:themeColor="text1"/>
        </w:rPr>
        <w:t xml:space="preserve">Here we discuss dissolution-precipitation reactions, followed by an analysis of rates of dissolution and diffusive exchange reactions, and veining. Then we discuss phase equilibria in the subsolidus experiments. </w:t>
      </w:r>
    </w:p>
    <w:p w14:paraId="42CBBF42" w14:textId="75ADAE94" w:rsidR="00A278A8" w:rsidRPr="007F2D9E" w:rsidRDefault="00A278A8" w:rsidP="006E67B1">
      <w:pPr>
        <w:pStyle w:val="Heading3"/>
      </w:pPr>
      <w:bookmarkStart w:id="137" w:name="_Toc182995461"/>
      <w:bookmarkStart w:id="138" w:name="_Toc183536571"/>
      <w:bookmarkStart w:id="139" w:name="_Toc184727374"/>
      <w:bookmarkStart w:id="140" w:name="_Toc185325620"/>
      <w:bookmarkStart w:id="141" w:name="_Toc182331735"/>
      <w:r w:rsidRPr="007F2D9E">
        <w:t xml:space="preserve">Dissolution-precipitation reactions and </w:t>
      </w:r>
      <w:r w:rsidR="002500EC" w:rsidRPr="007F2D9E">
        <w:t xml:space="preserve">IBC liquid </w:t>
      </w:r>
      <w:r w:rsidRPr="007F2D9E">
        <w:t>crystallization</w:t>
      </w:r>
      <w:bookmarkEnd w:id="137"/>
      <w:bookmarkEnd w:id="138"/>
      <w:bookmarkEnd w:id="139"/>
      <w:bookmarkEnd w:id="140"/>
      <w:r w:rsidRPr="007F2D9E">
        <w:t xml:space="preserve"> </w:t>
      </w:r>
      <w:bookmarkEnd w:id="141"/>
    </w:p>
    <w:p w14:paraId="34D18BD4" w14:textId="1A7240B9" w:rsidR="0049022F" w:rsidRPr="00903E8A" w:rsidRDefault="00A278A8" w:rsidP="005552E2">
      <w:pPr>
        <w:pStyle w:val="Heading4"/>
      </w:pPr>
      <w:bookmarkStart w:id="142" w:name="_Toc183536572"/>
      <w:bookmarkStart w:id="143" w:name="_Toc184727375"/>
      <w:bookmarkStart w:id="144" w:name="_Toc185325621"/>
      <w:r w:rsidRPr="00903E8A">
        <w:t>Dunite Assimilation</w:t>
      </w:r>
      <w:bookmarkEnd w:id="142"/>
      <w:bookmarkEnd w:id="143"/>
      <w:bookmarkEnd w:id="144"/>
    </w:p>
    <w:p w14:paraId="7D22946D" w14:textId="271732BC" w:rsidR="00081889" w:rsidRPr="007F2D9E" w:rsidRDefault="00A278A8" w:rsidP="000B6E19">
      <w:pPr>
        <w:spacing w:line="480" w:lineRule="auto"/>
        <w:ind w:firstLine="720"/>
        <w:rPr>
          <w:color w:val="000000" w:themeColor="text1"/>
        </w:rPr>
      </w:pPr>
      <w:r w:rsidRPr="007F2D9E">
        <w:rPr>
          <w:color w:val="000000" w:themeColor="text1"/>
        </w:rPr>
        <w:t xml:space="preserve">Propagation of the reaction interface into the dunite and elevated Mg#s of residual melts in experiments MRx#5, MRx#9, MRx#10, and MRx#13 demonstrate a dissolution </w:t>
      </w:r>
      <w:r w:rsidRPr="007F2D9E">
        <w:rPr>
          <w:color w:val="000000" w:themeColor="text1"/>
        </w:rPr>
        <w:lastRenderedPageBreak/>
        <w:t>reaction produced by Fe-rich melt in contact with an Mg-rich dunite. Dunite dissolution is anticipated according to the low-Mg# (i.e., 25) mare basalt olivine-wollastonite-quartz ternary diagram from Longhi (1991) (</w:t>
      </w:r>
      <w:r w:rsidRPr="006941AF">
        <w:rPr>
          <w:b/>
          <w:bCs/>
          <w:color w:val="000000" w:themeColor="text1"/>
        </w:rPr>
        <w:t xml:space="preserve">Figure </w:t>
      </w:r>
      <w:r w:rsidR="005A1B6A" w:rsidRPr="006941AF">
        <w:rPr>
          <w:b/>
          <w:bCs/>
          <w:color w:val="000000" w:themeColor="text1"/>
        </w:rPr>
        <w:t>1.</w:t>
      </w:r>
      <w:r w:rsidRPr="006941AF">
        <w:rPr>
          <w:b/>
          <w:bCs/>
          <w:color w:val="000000" w:themeColor="text1"/>
        </w:rPr>
        <w:t>7</w:t>
      </w:r>
      <w:r w:rsidRPr="007F2D9E">
        <w:rPr>
          <w:color w:val="000000" w:themeColor="text1"/>
        </w:rPr>
        <w:t>). The initial IBC composition is augite normative and plots above the olivine-augite cotectic (</w:t>
      </w:r>
      <w:r w:rsidRPr="006941AF">
        <w:rPr>
          <w:b/>
          <w:bCs/>
          <w:color w:val="000000" w:themeColor="text1"/>
        </w:rPr>
        <w:t xml:space="preserve">Figure </w:t>
      </w:r>
      <w:r w:rsidR="005A1B6A" w:rsidRPr="006941AF">
        <w:rPr>
          <w:b/>
          <w:bCs/>
          <w:color w:val="000000" w:themeColor="text1"/>
        </w:rPr>
        <w:t>1.</w:t>
      </w:r>
      <w:r w:rsidRPr="006941AF">
        <w:rPr>
          <w:b/>
          <w:bCs/>
          <w:color w:val="000000" w:themeColor="text1"/>
        </w:rPr>
        <w:t>7</w:t>
      </w:r>
      <w:r w:rsidRPr="007F2D9E">
        <w:rPr>
          <w:color w:val="000000" w:themeColor="text1"/>
        </w:rPr>
        <w:t>). Since the IBC is at supersolidus temperatures in these experiments, olivine dissolves into the IBC melt as the system reacts and equilibrates. This drives the IBC melt towards a more olivine normative composition, shifting the composition toward the olivine-augite cotectic (</w:t>
      </w:r>
      <w:r w:rsidRPr="006941AF">
        <w:rPr>
          <w:b/>
          <w:bCs/>
          <w:color w:val="000000" w:themeColor="text1"/>
        </w:rPr>
        <w:t xml:space="preserve">Figure </w:t>
      </w:r>
      <w:r w:rsidR="005A1B6A" w:rsidRPr="006941AF">
        <w:rPr>
          <w:b/>
          <w:bCs/>
          <w:color w:val="000000" w:themeColor="text1"/>
        </w:rPr>
        <w:t>1.</w:t>
      </w:r>
      <w:r w:rsidRPr="006941AF">
        <w:rPr>
          <w:b/>
          <w:bCs/>
          <w:color w:val="000000" w:themeColor="text1"/>
        </w:rPr>
        <w:t>7</w:t>
      </w:r>
      <w:r w:rsidRPr="007F2D9E">
        <w:rPr>
          <w:color w:val="000000" w:themeColor="text1"/>
        </w:rPr>
        <w:t xml:space="preserve">). This reaction proceeds following Eq </w:t>
      </w:r>
      <w:r w:rsidR="005A1B6A">
        <w:rPr>
          <w:color w:val="000000" w:themeColor="text1"/>
        </w:rPr>
        <w:t>1.</w:t>
      </w:r>
      <w:r w:rsidRPr="007F2D9E">
        <w:rPr>
          <w:color w:val="000000" w:themeColor="text1"/>
        </w:rPr>
        <w:t>1:</w:t>
      </w:r>
    </w:p>
    <w:p w14:paraId="0251A56E" w14:textId="7503693D" w:rsidR="00081889" w:rsidRPr="00D866E2" w:rsidRDefault="00A278A8" w:rsidP="000B6E19">
      <w:pPr>
        <w:pStyle w:val="NoSpacing"/>
        <w:spacing w:line="480" w:lineRule="auto"/>
        <w:rPr>
          <w:rFonts w:eastAsiaTheme="minorEastAsia"/>
        </w:rPr>
      </w:pPr>
      <w:r w:rsidRPr="007F2D9E">
        <w:rPr>
          <w:rFonts w:eastAsiaTheme="minorEastAsia"/>
        </w:rPr>
        <w:tab/>
      </w:r>
      <m:oMath>
        <m:r>
          <w:rPr>
            <w:rFonts w:ascii="Cambria Math" w:hAnsi="Cambria Math"/>
          </w:rPr>
          <m:t>IBC</m:t>
        </m:r>
        <m:r>
          <m:rPr>
            <m:sty m:val="p"/>
          </m:rPr>
          <w:rPr>
            <w:rFonts w:ascii="Cambria Math" w:hAnsi="Cambria Math"/>
          </w:rPr>
          <m:t xml:space="preserve"> </m:t>
        </m:r>
        <m:r>
          <w:rPr>
            <w:rFonts w:ascii="Cambria Math" w:hAnsi="Cambria Math"/>
          </w:rPr>
          <m:t>Melt</m:t>
        </m:r>
        <m:r>
          <m:rPr>
            <m:sty m:val="p"/>
          </m:rPr>
          <w:rPr>
            <w:rFonts w:ascii="Cambria Math" w:hAnsi="Cambria Math"/>
          </w:rPr>
          <m:t xml:space="preserve">+ </m:t>
        </m:r>
        <m:r>
          <w:rPr>
            <w:rFonts w:ascii="Cambria Math" w:hAnsi="Cambria Math"/>
          </w:rPr>
          <m:t>Olivine</m:t>
        </m:r>
        <m:r>
          <m:rPr>
            <m:sty m:val="p"/>
          </m:rPr>
          <w:rPr>
            <w:rFonts w:ascii="Cambria Math" w:hAnsi="Cambria Math"/>
          </w:rPr>
          <m:t xml:space="preserve"> → </m:t>
        </m:r>
        <m:r>
          <w:rPr>
            <w:rFonts w:ascii="Cambria Math" w:hAnsi="Cambria Math"/>
          </w:rPr>
          <m:t>Hybridized</m:t>
        </m:r>
        <m:r>
          <m:rPr>
            <m:sty m:val="p"/>
          </m:rPr>
          <w:rPr>
            <w:rFonts w:ascii="Cambria Math" w:hAnsi="Cambria Math"/>
          </w:rPr>
          <m:t xml:space="preserve"> </m:t>
        </m:r>
        <m:r>
          <w:rPr>
            <w:rFonts w:ascii="Cambria Math" w:hAnsi="Cambria Math"/>
          </w:rPr>
          <m:t>Melt</m:t>
        </m:r>
        <m:r>
          <m:rPr>
            <m:sty m:val="p"/>
          </m:rPr>
          <w:rPr>
            <w:rFonts w:ascii="Cambria Math" w:hAnsi="Cambria Math"/>
          </w:rPr>
          <m:t>±</m:t>
        </m:r>
        <m:r>
          <w:rPr>
            <w:rFonts w:ascii="Cambria Math" w:hAnsi="Cambria Math"/>
          </w:rPr>
          <m:t>Clinopyroxene</m:t>
        </m:r>
      </m:oMath>
      <w:r w:rsidRPr="007F2D9E">
        <w:rPr>
          <w:rFonts w:eastAsiaTheme="minorEastAsia"/>
        </w:rPr>
        <w:t xml:space="preserve">, </w:t>
      </w:r>
      <w:r w:rsidRPr="007F2D9E">
        <w:rPr>
          <w:rFonts w:eastAsiaTheme="minorEastAsia"/>
        </w:rPr>
        <w:tab/>
      </w:r>
      <w:r w:rsidRPr="007F2D9E">
        <w:rPr>
          <w:rFonts w:eastAsiaTheme="minorEastAsia"/>
        </w:rPr>
        <w:tab/>
      </w:r>
      <w:r w:rsidR="00D866E2" w:rsidRPr="00D866E2">
        <w:rPr>
          <w:rFonts w:ascii="Times New Roman" w:eastAsiaTheme="minorEastAsia" w:hAnsi="Times New Roman" w:cs="Times New Roman"/>
        </w:rPr>
        <w:t>(</w:t>
      </w:r>
      <w:r w:rsidRPr="00D866E2">
        <w:rPr>
          <w:rFonts w:ascii="Times New Roman" w:eastAsiaTheme="minorEastAsia" w:hAnsi="Times New Roman" w:cs="Times New Roman"/>
        </w:rPr>
        <w:t>1</w:t>
      </w:r>
      <w:r w:rsidR="00681AB2" w:rsidRPr="00D866E2">
        <w:rPr>
          <w:rFonts w:ascii="Times New Roman" w:eastAsiaTheme="minorEastAsia" w:hAnsi="Times New Roman" w:cs="Times New Roman"/>
        </w:rPr>
        <w:t>.1</w:t>
      </w:r>
      <w:r w:rsidRPr="00D866E2">
        <w:rPr>
          <w:rFonts w:ascii="Times New Roman" w:eastAsiaTheme="minorEastAsia" w:hAnsi="Times New Roman" w:cs="Times New Roman"/>
        </w:rPr>
        <w:t>)</w:t>
      </w:r>
    </w:p>
    <w:p w14:paraId="7368AC39" w14:textId="75E1B233" w:rsidR="00766A88" w:rsidRPr="00B30F9B" w:rsidRDefault="00A278A8" w:rsidP="00B30F9B">
      <w:pPr>
        <w:spacing w:line="480" w:lineRule="auto"/>
      </w:pPr>
      <w:r w:rsidRPr="007F2D9E">
        <w:t>with olivine dissolution progressing until eventual olivine saturation in the hybridized melt. This hybridization process can be modeled by assuming modal mixing between the initial IBC composition and the dunite. Melt compositions from experiments MRx#5 and MRx#10 are consistent with 10-15% dunite assimilation, while melt compositions from MRx#9 are consistent with 0-5% assimilation (</w:t>
      </w:r>
      <w:r w:rsidRPr="006941AF">
        <w:rPr>
          <w:b/>
          <w:bCs/>
        </w:rPr>
        <w:t xml:space="preserve">Figure </w:t>
      </w:r>
      <w:r w:rsidR="005A1B6A" w:rsidRPr="006941AF">
        <w:rPr>
          <w:b/>
          <w:bCs/>
        </w:rPr>
        <w:t>1.</w:t>
      </w:r>
      <w:r w:rsidRPr="006941AF">
        <w:rPr>
          <w:b/>
          <w:bCs/>
        </w:rPr>
        <w:t>7</w:t>
      </w:r>
      <w:r w:rsidRPr="007F2D9E">
        <w:t>). Most melt compositions from experiments MRx#5 (6 hr) and MRx#10 (24 hr) cluster around the olivine-augite cotectic, and the estimated dissolution rates for these experiments decrease with experiment duration (</w:t>
      </w:r>
      <w:r w:rsidRPr="006941AF">
        <w:rPr>
          <w:b/>
          <w:bCs/>
        </w:rPr>
        <w:t xml:space="preserve">Table </w:t>
      </w:r>
      <w:r w:rsidR="005A1B6A" w:rsidRPr="006941AF">
        <w:rPr>
          <w:b/>
          <w:bCs/>
        </w:rPr>
        <w:t>1.</w:t>
      </w:r>
      <w:r w:rsidRPr="006941AF">
        <w:rPr>
          <w:b/>
          <w:bCs/>
        </w:rPr>
        <w:t>3</w:t>
      </w:r>
      <w:r w:rsidRPr="007F2D9E">
        <w:t>). These observations suggest that dissolution occurs at rates that decrease as the melt composition approaches the olivine-augite cotectic (</w:t>
      </w:r>
      <w:r w:rsidRPr="006F09D0">
        <w:t xml:space="preserve">see </w:t>
      </w:r>
      <w:r w:rsidR="006F09D0" w:rsidRPr="006F09D0">
        <w:t>section (1.4.2.2)</w:t>
      </w:r>
      <w:r w:rsidRPr="006F09D0">
        <w:t xml:space="preserve"> below for further discussion</w:t>
      </w:r>
      <w:r w:rsidRPr="007F2D9E">
        <w:t xml:space="preserve">). </w:t>
      </w:r>
      <w:r w:rsidR="00766A88" w:rsidRPr="007F2D9E">
        <w:rPr>
          <w:color w:val="000000" w:themeColor="text1"/>
        </w:rPr>
        <w:t xml:space="preserve"> </w:t>
      </w:r>
    </w:p>
    <w:p w14:paraId="1DE60194" w14:textId="77777777" w:rsidR="00073EED" w:rsidRDefault="00073EED" w:rsidP="00EC072D"/>
    <w:p w14:paraId="443E905E" w14:textId="2F354921" w:rsidR="00E61BD7" w:rsidRDefault="00E61BD7">
      <w:r>
        <w:br w:type="page"/>
      </w:r>
    </w:p>
    <w:p w14:paraId="2A434ECE" w14:textId="081A5C48" w:rsidR="00E61BD7" w:rsidRDefault="00E61BD7" w:rsidP="00EC072D">
      <w:r>
        <w:rPr>
          <w:noProof/>
        </w:rPr>
        <w:lastRenderedPageBreak/>
        <w:drawing>
          <wp:inline distT="0" distB="0" distL="0" distR="0" wp14:anchorId="7652FA6A" wp14:editId="2F3477FF">
            <wp:extent cx="5486400" cy="2375535"/>
            <wp:effectExtent l="0" t="0" r="0" b="0"/>
            <wp:docPr id="1223140732" name="Picture 2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40732" name="Picture 23" descr="A diagram of a diagram&#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486400" cy="2375535"/>
                    </a:xfrm>
                    <a:prstGeom prst="rect">
                      <a:avLst/>
                    </a:prstGeom>
                  </pic:spPr>
                </pic:pic>
              </a:graphicData>
            </a:graphic>
          </wp:inline>
        </w:drawing>
      </w:r>
    </w:p>
    <w:p w14:paraId="305CA679" w14:textId="11D55007" w:rsidR="00E61BD7" w:rsidRPr="00971536" w:rsidRDefault="00E61BD7" w:rsidP="00D54CE6">
      <w:pPr>
        <w:pStyle w:val="FigureCaption"/>
      </w:pPr>
      <w:bookmarkStart w:id="145" w:name="_Toc178246920"/>
      <w:bookmarkStart w:id="146" w:name="_Toc182944855"/>
      <w:bookmarkStart w:id="147" w:name="_Toc183019402"/>
      <w:bookmarkStart w:id="148" w:name="_Toc185263412"/>
      <w:r w:rsidRPr="00D54CE6">
        <w:rPr>
          <w:b/>
          <w:bCs/>
        </w:rPr>
        <w:t xml:space="preserve">Figure </w:t>
      </w:r>
      <w:r w:rsidR="005A1B6A" w:rsidRPr="00D54CE6">
        <w:rPr>
          <w:b/>
          <w:bCs/>
        </w:rPr>
        <w:t>1.</w:t>
      </w:r>
      <w:r w:rsidRPr="00D54CE6">
        <w:rPr>
          <w:b/>
          <w:bCs/>
        </w:rPr>
        <w:t>7.</w:t>
      </w:r>
      <w:r w:rsidRPr="00971536">
        <w:t xml:space="preserve"> </w:t>
      </w:r>
      <w:r w:rsidRPr="003B5BDE">
        <w:t>Experimental glasses plotted in relation to olivine-wollastonite-quartz basalt ternary diagrams from Longhi (1991). The thin black dotted line and shows the trajectory of a simple mixing model for modal dunite addition to the initial IBC liquid between 1% and 20%. Orange solid arrow shows the trajectory for equilibrium crystallization. Solid black phase boundaries and arrows are from basalt</w:t>
      </w:r>
      <w:r w:rsidRPr="003B5BDE">
        <w:rPr>
          <w:rStyle w:val="CommentReference"/>
          <w:b/>
          <w:bCs/>
          <w:sz w:val="21"/>
          <w:szCs w:val="21"/>
        </w:rPr>
        <w:t xml:space="preserve"> </w:t>
      </w:r>
      <w:r w:rsidRPr="003B5BDE">
        <w:t>projections in a system with an Mg# of 25 and mare basalt relevant alkali components at atmospheric pressure. Dashed green phase boundaries and arrows are from mare basalt relevant projections in a system with an Mg# of 50 at atmospheric pressure. The brown dotted lines are schematic of a pressure related shift in the phase relations for Mg# 50 mare basalts as pressure increases. The schematic boundaries are based on the observations from lunar glass multi-saturation experiments (Krawczynski and Grove</w:t>
      </w:r>
      <w:r w:rsidR="005A46D1" w:rsidRPr="003B5BDE">
        <w:t xml:space="preserve">, </w:t>
      </w:r>
      <w:r w:rsidRPr="003B5BDE">
        <w:t>2012; Brown and Grove</w:t>
      </w:r>
      <w:r w:rsidR="005A46D1" w:rsidRPr="003B5BDE">
        <w:t>,</w:t>
      </w:r>
      <w:r w:rsidRPr="003B5BDE">
        <w:t xml:space="preserve"> 2015) and previous studies of basalt phase equilibria (Stolper 1980; Longh</w:t>
      </w:r>
      <w:r w:rsidR="00430BB7" w:rsidRPr="003B5BDE">
        <w:t>i, 19</w:t>
      </w:r>
      <w:r w:rsidRPr="003B5BDE">
        <w:t>82; Elthon and Scarfe</w:t>
      </w:r>
      <w:r w:rsidR="005A46D1" w:rsidRPr="003B5BDE">
        <w:t>,</w:t>
      </w:r>
      <w:r w:rsidRPr="003B5BDE">
        <w:t xml:space="preserve"> 1984). The dotted shaded region represents experimental lunar red glass data for melts at the Ol-Opx saturation point (for pressures of 1.7-2.3 GPa) (Krawczynski and Grove</w:t>
      </w:r>
      <w:r w:rsidR="005A46D1" w:rsidRPr="003B5BDE">
        <w:t>,</w:t>
      </w:r>
      <w:r w:rsidRPr="003B5BDE">
        <w:t xml:space="preserve"> 2012). The cross-hatched shaded region represents experimental lunar orange glass data for melts at the Ol-Opx saturation point (for pressures of 1.9-2.33 GPa) (Krawczynski and Grove</w:t>
      </w:r>
      <w:r w:rsidR="005A46D1" w:rsidRPr="003B5BDE">
        <w:t>,</w:t>
      </w:r>
      <w:r w:rsidRPr="003B5BDE">
        <w:t xml:space="preserve"> 2012). The striped shaded region represents experimental lunar yellow glass data for melts at the Ol-Opx saturation point (for pressures of 1.7-2.3 GPa) (Brown and Grove</w:t>
      </w:r>
      <w:r w:rsidR="00F02BE1" w:rsidRPr="003B5BDE">
        <w:t>,</w:t>
      </w:r>
      <w:r w:rsidRPr="003B5BDE">
        <w:t xml:space="preserve"> 2015). Given inferred relationships between mare basalts and lunar picritic glasses and similar Mg#s, these melts define the position of the Ol-Opx cotectic position for Mg# 50 mare basalts (dashed green lines) at pressures of 1.7-2.33 GPa. If the Ol-Opx cotectic shifts towards normative olivine as Mg# increases (as the data imply), the Ol-Pig-Aug peritectic and Ol-Aug cotectic should experience a similar shift in position given the observations from previous studies (Stolper</w:t>
      </w:r>
      <w:r w:rsidR="005A46D1" w:rsidRPr="003B5BDE">
        <w:t>,</w:t>
      </w:r>
      <w:r w:rsidRPr="003B5BDE">
        <w:t xml:space="preserve"> 1980; Longh</w:t>
      </w:r>
      <w:r w:rsidR="00430BB7" w:rsidRPr="003B5BDE">
        <w:t>i, 19</w:t>
      </w:r>
      <w:r w:rsidRPr="003B5BDE">
        <w:t>82; Elthon and Scarfe</w:t>
      </w:r>
      <w:r w:rsidR="005A46D1" w:rsidRPr="003B5BDE">
        <w:t>,</w:t>
      </w:r>
      <w:r w:rsidRPr="003B5BDE">
        <w:t xml:space="preserve"> 1984).  Phases: Olivine (Ol), Orthopyroxene (Opx), Diopside (Di), Augite (Aug), Pigeonite (Pig), Quartz (Qtz).</w:t>
      </w:r>
      <w:bookmarkEnd w:id="145"/>
      <w:bookmarkEnd w:id="146"/>
      <w:bookmarkEnd w:id="147"/>
      <w:bookmarkEnd w:id="148"/>
    </w:p>
    <w:p w14:paraId="6AE95F29" w14:textId="77777777" w:rsidR="00E61BD7" w:rsidRPr="007F2D9E" w:rsidRDefault="00E61BD7" w:rsidP="00EC072D"/>
    <w:p w14:paraId="61722BD6" w14:textId="77777777" w:rsidR="00E61BD7" w:rsidRDefault="00E61BD7">
      <w:pPr>
        <w:rPr>
          <w:color w:val="000000" w:themeColor="text1"/>
        </w:rPr>
      </w:pPr>
      <w:r>
        <w:rPr>
          <w:color w:val="000000" w:themeColor="text1"/>
        </w:rPr>
        <w:br w:type="page"/>
      </w:r>
    </w:p>
    <w:p w14:paraId="200EEAE6" w14:textId="77777777" w:rsidR="00B30F9B" w:rsidRPr="007F2D9E" w:rsidRDefault="00B30F9B" w:rsidP="00B30F9B">
      <w:pPr>
        <w:spacing w:line="480" w:lineRule="auto"/>
        <w:ind w:firstLine="720"/>
        <w:rPr>
          <w:color w:val="000000" w:themeColor="text1"/>
        </w:rPr>
      </w:pPr>
      <w:r w:rsidRPr="007F2D9E">
        <w:rPr>
          <w:color w:val="000000" w:themeColor="text1"/>
        </w:rPr>
        <w:lastRenderedPageBreak/>
        <w:t>As dissolution proceeds, the Mg# of the reacting melt increases. It is well known that Mg# variations cause phase boundaries to shift, and stability fields of phases can shrink or expand (e.g., Stolper and Walker</w:t>
      </w:r>
      <w:r>
        <w:rPr>
          <w:color w:val="000000" w:themeColor="text1"/>
        </w:rPr>
        <w:t>,</w:t>
      </w:r>
      <w:r w:rsidRPr="007F2D9E">
        <w:rPr>
          <w:color w:val="000000" w:themeColor="text1"/>
        </w:rPr>
        <w:t xml:space="preserve"> 1980; Longh</w:t>
      </w:r>
      <w:r>
        <w:rPr>
          <w:color w:val="000000" w:themeColor="text1"/>
        </w:rPr>
        <w:t>i, 19</w:t>
      </w:r>
      <w:r w:rsidRPr="007F2D9E">
        <w:rPr>
          <w:color w:val="000000" w:themeColor="text1"/>
        </w:rPr>
        <w:t>82, 1991; Elthon and Scarfe</w:t>
      </w:r>
      <w:r>
        <w:rPr>
          <w:color w:val="000000" w:themeColor="text1"/>
        </w:rPr>
        <w:t>,</w:t>
      </w:r>
      <w:r w:rsidRPr="007F2D9E">
        <w:rPr>
          <w:color w:val="000000" w:themeColor="text1"/>
        </w:rPr>
        <w:t xml:space="preserve"> 1984) (</w:t>
      </w:r>
      <w:r w:rsidRPr="006941AF">
        <w:rPr>
          <w:b/>
          <w:bCs/>
          <w:color w:val="000000" w:themeColor="text1"/>
        </w:rPr>
        <w:t>Figure 1.7</w:t>
      </w:r>
      <w:r w:rsidRPr="007F2D9E">
        <w:rPr>
          <w:color w:val="000000" w:themeColor="text1"/>
        </w:rPr>
        <w:t>). Previous studies indicate that the olivine-low Ca pyroxene-augite peritectic shifts toward olivine as pressure increases. Similarly, increasing pressure shifts the olivine-augite cotectic downward toward the olivine-silica binary on the phase diagram (</w:t>
      </w:r>
      <w:r w:rsidRPr="006941AF">
        <w:rPr>
          <w:b/>
          <w:bCs/>
          <w:color w:val="000000" w:themeColor="text1"/>
        </w:rPr>
        <w:t>Figure 1.7</w:t>
      </w:r>
      <w:r w:rsidRPr="007F2D9E">
        <w:rPr>
          <w:color w:val="000000" w:themeColor="text1"/>
        </w:rPr>
        <w:t xml:space="preserve">). </w:t>
      </w:r>
    </w:p>
    <w:p w14:paraId="77562A54" w14:textId="77777777" w:rsidR="00B30F9B" w:rsidRPr="00903E8A" w:rsidRDefault="00B30F9B" w:rsidP="00B30F9B">
      <w:pPr>
        <w:pStyle w:val="Heading4"/>
      </w:pPr>
      <w:bookmarkStart w:id="149" w:name="_Toc183536573"/>
      <w:bookmarkStart w:id="150" w:name="_Toc184727376"/>
      <w:bookmarkStart w:id="151" w:name="_Toc185325622"/>
      <w:r w:rsidRPr="00903E8A">
        <w:t>Crystallization in the IBC melt</w:t>
      </w:r>
      <w:bookmarkEnd w:id="149"/>
      <w:bookmarkEnd w:id="150"/>
      <w:bookmarkEnd w:id="151"/>
    </w:p>
    <w:p w14:paraId="0CBBD4BB" w14:textId="77777777" w:rsidR="00B30F9B" w:rsidRDefault="00B30F9B" w:rsidP="00B30F9B">
      <w:pPr>
        <w:spacing w:line="480" w:lineRule="auto"/>
        <w:ind w:firstLine="720"/>
        <w:rPr>
          <w:color w:val="000000" w:themeColor="text1"/>
        </w:rPr>
      </w:pPr>
      <w:r w:rsidRPr="007F2D9E">
        <w:rPr>
          <w:color w:val="000000" w:themeColor="text1"/>
        </w:rPr>
        <w:t>Experiment MRx#11 lacks evidence of dunite dissolution and contains a significant melt fraction, in addition to Cpx and ulvöspinel (</w:t>
      </w:r>
      <w:r w:rsidRPr="006941AF">
        <w:rPr>
          <w:b/>
          <w:bCs/>
          <w:color w:val="000000" w:themeColor="text1"/>
        </w:rPr>
        <w:t>Figure A6</w:t>
      </w:r>
      <w:r w:rsidRPr="007F2D9E">
        <w:rPr>
          <w:color w:val="000000" w:themeColor="text1"/>
        </w:rPr>
        <w:t>). Melt from this experiment plots between the IBC starting material and the Mg# 25 ternary olivine-pigeonite-augite peritectic, which indicates that the melt is evolving toward the peritectic (</w:t>
      </w:r>
      <w:r w:rsidRPr="006941AF">
        <w:rPr>
          <w:b/>
          <w:bCs/>
          <w:color w:val="000000" w:themeColor="text1"/>
        </w:rPr>
        <w:t>Figure 1.7</w:t>
      </w:r>
      <w:r w:rsidRPr="007F2D9E">
        <w:rPr>
          <w:color w:val="000000" w:themeColor="text1"/>
        </w:rPr>
        <w:t>). This shift in composition is consistent with the growth of sizeable euhedral pyroxene and ulvöspinel observed in the experiment.</w:t>
      </w:r>
      <w:r>
        <w:rPr>
          <w:color w:val="000000" w:themeColor="text1"/>
        </w:rPr>
        <w:t xml:space="preserve"> </w:t>
      </w:r>
    </w:p>
    <w:p w14:paraId="22229B35" w14:textId="04ECD534" w:rsidR="00714FAE" w:rsidRPr="00766A88" w:rsidRDefault="00A278A8" w:rsidP="00B30F9B">
      <w:pPr>
        <w:spacing w:line="480" w:lineRule="auto"/>
        <w:ind w:firstLine="720"/>
        <w:rPr>
          <w:color w:val="000000" w:themeColor="text1"/>
        </w:rPr>
      </w:pPr>
      <w:r w:rsidRPr="007F2D9E">
        <w:rPr>
          <w:color w:val="000000" w:themeColor="text1"/>
        </w:rPr>
        <w:t>MRx#13 likely reflects the effects of crystallization after dissolution based on the large size and euhedral morphology of pyroxene crystals from that experiment. Given the extensive pyroxene crystallization observed in MRx#13, the melt is likely at or near the 2 GPa olivine-augite cotectic (</w:t>
      </w:r>
      <w:r w:rsidRPr="006941AF">
        <w:rPr>
          <w:b/>
          <w:bCs/>
          <w:color w:val="000000" w:themeColor="text1"/>
        </w:rPr>
        <w:t xml:space="preserve">Figure </w:t>
      </w:r>
      <w:r w:rsidR="005A1B6A" w:rsidRPr="006941AF">
        <w:rPr>
          <w:b/>
          <w:bCs/>
          <w:color w:val="000000" w:themeColor="text1"/>
        </w:rPr>
        <w:t>1.</w:t>
      </w:r>
      <w:r w:rsidRPr="006941AF">
        <w:rPr>
          <w:b/>
          <w:bCs/>
          <w:color w:val="000000" w:themeColor="text1"/>
        </w:rPr>
        <w:t>7</w:t>
      </w:r>
      <w:r w:rsidRPr="007F2D9E">
        <w:rPr>
          <w:color w:val="000000" w:themeColor="text1"/>
        </w:rPr>
        <w:t>) and beginning to evolve to the left (down temperature from a thermal maximum) along the cotectic as crystallization progresses, consistent with predicted evolution trajectories from previous studies. It is difficult to determine how the MRx#13 melt might continue to evolve; however, we speculate that the TiO</w:t>
      </w:r>
      <w:r w:rsidRPr="007F2D9E">
        <w:rPr>
          <w:color w:val="000000" w:themeColor="text1"/>
          <w:vertAlign w:val="subscript"/>
        </w:rPr>
        <w:t>2</w:t>
      </w:r>
      <w:r w:rsidRPr="007F2D9E">
        <w:rPr>
          <w:color w:val="000000" w:themeColor="text1"/>
        </w:rPr>
        <w:t xml:space="preserve"> and FeO enrichment observed in MRx#13 would eventually result in the </w:t>
      </w:r>
      <w:r w:rsidRPr="007F2D9E">
        <w:rPr>
          <w:color w:val="000000" w:themeColor="text1"/>
        </w:rPr>
        <w:lastRenderedPageBreak/>
        <w:t>stabilization of an Fe-Ti oxide phase. Stabilization of the Fe-Ti oxide would enrich melt in Al</w:t>
      </w:r>
      <w:r w:rsidRPr="007F2D9E">
        <w:rPr>
          <w:color w:val="000000" w:themeColor="text1"/>
          <w:vertAlign w:val="subscript"/>
        </w:rPr>
        <w:t>2</w:t>
      </w:r>
      <w:r w:rsidRPr="007F2D9E">
        <w:rPr>
          <w:color w:val="000000" w:themeColor="text1"/>
        </w:rPr>
        <w:t>O</w:t>
      </w:r>
      <w:r w:rsidRPr="007F2D9E">
        <w:rPr>
          <w:color w:val="000000" w:themeColor="text1"/>
          <w:vertAlign w:val="subscript"/>
        </w:rPr>
        <w:t>3</w:t>
      </w:r>
      <w:r w:rsidRPr="007F2D9E">
        <w:rPr>
          <w:color w:val="000000" w:themeColor="text1"/>
        </w:rPr>
        <w:t xml:space="preserve"> and SiO</w:t>
      </w:r>
      <w:r w:rsidRPr="007F2D9E">
        <w:rPr>
          <w:color w:val="000000" w:themeColor="text1"/>
          <w:vertAlign w:val="subscript"/>
        </w:rPr>
        <w:t>2</w:t>
      </w:r>
      <w:r w:rsidRPr="007F2D9E">
        <w:rPr>
          <w:color w:val="000000" w:themeColor="text1"/>
        </w:rPr>
        <w:t xml:space="preserve"> and eventually stabilize an aluminosilicate, perhaps garnet at the conditions of the experimental run, forming a hybridized lunar eclogite (</w:t>
      </w:r>
      <w:r w:rsidR="00DA13F4">
        <w:rPr>
          <w:color w:val="000000" w:themeColor="text1"/>
        </w:rPr>
        <w:t>s</w:t>
      </w:r>
      <w:r w:rsidRPr="00BF3535">
        <w:rPr>
          <w:color w:val="000000" w:themeColor="text1"/>
        </w:rPr>
        <w:t xml:space="preserve">ee </w:t>
      </w:r>
      <w:r w:rsidR="00DA13F4">
        <w:rPr>
          <w:color w:val="000000" w:themeColor="text1"/>
        </w:rPr>
        <w:t>section (1.4.3)</w:t>
      </w:r>
      <w:r w:rsidRPr="00BF3535">
        <w:rPr>
          <w:color w:val="000000" w:themeColor="text1"/>
        </w:rPr>
        <w:t xml:space="preserve"> below for further discussion</w:t>
      </w:r>
      <w:r w:rsidRPr="007F2D9E">
        <w:rPr>
          <w:color w:val="000000" w:themeColor="text1"/>
        </w:rPr>
        <w:t>). Further experimental work is required to evaluate this hypothesis.</w:t>
      </w:r>
    </w:p>
    <w:p w14:paraId="24075F32" w14:textId="140F1844" w:rsidR="00A278A8" w:rsidRPr="007F2D9E" w:rsidRDefault="00A278A8" w:rsidP="006E67B1">
      <w:pPr>
        <w:pStyle w:val="Heading3"/>
      </w:pPr>
      <w:bookmarkStart w:id="152" w:name="_Toc182331736"/>
      <w:bookmarkStart w:id="153" w:name="_Toc182995462"/>
      <w:bookmarkStart w:id="154" w:name="_Toc183536574"/>
      <w:bookmarkStart w:id="155" w:name="_Toc184727377"/>
      <w:bookmarkStart w:id="156" w:name="_Toc185325623"/>
      <w:r w:rsidRPr="007F2D9E">
        <w:t>Dissolution, Diffusion, and Advection</w:t>
      </w:r>
      <w:bookmarkEnd w:id="152"/>
      <w:bookmarkEnd w:id="153"/>
      <w:bookmarkEnd w:id="154"/>
      <w:bookmarkEnd w:id="155"/>
      <w:bookmarkEnd w:id="156"/>
    </w:p>
    <w:p w14:paraId="786E6106" w14:textId="588A27F3" w:rsidR="0049022F" w:rsidRPr="00903E8A" w:rsidRDefault="00A278A8" w:rsidP="005552E2">
      <w:pPr>
        <w:pStyle w:val="Heading4"/>
      </w:pPr>
      <w:bookmarkStart w:id="157" w:name="_Toc183536575"/>
      <w:bookmarkStart w:id="158" w:name="_Toc184727378"/>
      <w:bookmarkStart w:id="159" w:name="_Toc185325624"/>
      <w:r w:rsidRPr="00903E8A">
        <w:t>Solid-State Diffusion</w:t>
      </w:r>
      <w:bookmarkEnd w:id="157"/>
      <w:bookmarkEnd w:id="158"/>
      <w:bookmarkEnd w:id="159"/>
    </w:p>
    <w:p w14:paraId="49DBCE6A" w14:textId="5C948CC8" w:rsidR="00A278A8" w:rsidRDefault="00A278A8" w:rsidP="00076B3D">
      <w:pPr>
        <w:spacing w:line="480" w:lineRule="auto"/>
        <w:ind w:firstLine="720"/>
        <w:rPr>
          <w:color w:val="000000" w:themeColor="text1"/>
        </w:rPr>
      </w:pPr>
      <w:r w:rsidRPr="007F2D9E">
        <w:rPr>
          <w:color w:val="000000" w:themeColor="text1"/>
        </w:rPr>
        <w:t>Near solidus experiments MRx#1, MRx#3, and MRx#8 exhibit compositional variations across the IBC (Cpx) and dunite (olivine) sides of the reaction couple interface consistent with diffusive exchange, with Mg-enriched pyroxene on the IBC side and Fe-enriched olivine on the dunite side. Supersolidus experiments MRx#10, MRx#11, and MRx#12 also exhibit compositional variations on the dunite side of the reaction interface, with Fe-enriched olivine at the interface boundary. However, given the complexity of dissolution shifting the IBC-dunite interface location, crystallization at the interface changing the melt composition, and the multi-step nature of some experiments, no attempt was made to model diffusive interaction for experiments MRx#10, MRx#11, MRx#12, and MRx#13. Diffusive exchange models are applied to near solidus experiments MRx#1 and MRx#8.</w:t>
      </w:r>
    </w:p>
    <w:p w14:paraId="31C39AAD" w14:textId="4E71C2D7" w:rsidR="00FD7CA4" w:rsidRDefault="00766A88" w:rsidP="002A135B">
      <w:pPr>
        <w:spacing w:line="480" w:lineRule="auto"/>
        <w:ind w:firstLine="720"/>
        <w:rPr>
          <w:color w:val="000000" w:themeColor="text1"/>
        </w:rPr>
      </w:pPr>
      <w:r w:rsidRPr="007F2D9E">
        <w:rPr>
          <w:color w:val="000000" w:themeColor="text1"/>
        </w:rPr>
        <w:t>In MRx#1 and MRx#8, the IBC side of the couple exhibits a downward shift in Fe/(Fe+Mg)x100, while the dunite side of the couple exhibits an upward shift (</w:t>
      </w:r>
      <w:r w:rsidRPr="00714FAE">
        <w:rPr>
          <w:b/>
          <w:bCs/>
          <w:color w:val="000000" w:themeColor="text1"/>
        </w:rPr>
        <w:t>Figure 1.8</w:t>
      </w:r>
      <w:r w:rsidRPr="007F2D9E">
        <w:rPr>
          <w:color w:val="000000" w:themeColor="text1"/>
        </w:rPr>
        <w:t xml:space="preserve">). Both experiments exhibit similar interface conditions with compositional variations trending toward molar Fe/(Fe+Mg)x100 values between 40 and 50. </w:t>
      </w:r>
      <w:r w:rsidR="00FD7CA4">
        <w:rPr>
          <w:color w:val="000000" w:themeColor="text1"/>
        </w:rPr>
        <w:br w:type="page"/>
      </w:r>
    </w:p>
    <w:p w14:paraId="170A361A" w14:textId="671916B9" w:rsidR="00FD7CA4" w:rsidRPr="007F2D9E" w:rsidRDefault="00FD7CA4" w:rsidP="009877BC">
      <w:pPr>
        <w:jc w:val="center"/>
        <w:rPr>
          <w:color w:val="000000" w:themeColor="text1"/>
        </w:rPr>
      </w:pPr>
      <w:r>
        <w:rPr>
          <w:noProof/>
          <w:color w:val="000000" w:themeColor="text1"/>
        </w:rPr>
        <w:lastRenderedPageBreak/>
        <w:drawing>
          <wp:inline distT="0" distB="0" distL="0" distR="0" wp14:anchorId="4889B5E9" wp14:editId="51ECA315">
            <wp:extent cx="3886200" cy="5956300"/>
            <wp:effectExtent l="0" t="0" r="0" b="0"/>
            <wp:docPr id="1350131330" name="Picture 24" descr="A graph of a normal and a normal and a normal and a normal and a normal and a normal and a normal and a normal and a normal and a normal and a normal and a normal 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131330" name="Picture 24" descr="A graph of a normal and a normal and a normal and a normal and a normal and a normal and a normal and a normal and a normal and a normal and a normal and a normal and&#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3886200" cy="5956300"/>
                    </a:xfrm>
                    <a:prstGeom prst="rect">
                      <a:avLst/>
                    </a:prstGeom>
                  </pic:spPr>
                </pic:pic>
              </a:graphicData>
            </a:graphic>
          </wp:inline>
        </w:drawing>
      </w:r>
    </w:p>
    <w:p w14:paraId="0D17DA38" w14:textId="63876CD0" w:rsidR="00FD7CA4" w:rsidRPr="00971536" w:rsidRDefault="00FD7CA4" w:rsidP="00310003">
      <w:pPr>
        <w:pStyle w:val="FigureCaption"/>
      </w:pPr>
      <w:bookmarkStart w:id="160" w:name="_Toc178246921"/>
      <w:bookmarkStart w:id="161" w:name="_Toc182944856"/>
      <w:bookmarkStart w:id="162" w:name="_Toc183019403"/>
      <w:bookmarkStart w:id="163" w:name="_Toc185263413"/>
      <w:r w:rsidRPr="00310003">
        <w:rPr>
          <w:b/>
          <w:bCs/>
        </w:rPr>
        <w:t xml:space="preserve">Figure </w:t>
      </w:r>
      <w:r w:rsidR="00AE07F7" w:rsidRPr="00310003">
        <w:rPr>
          <w:b/>
          <w:bCs/>
        </w:rPr>
        <w:t>1.</w:t>
      </w:r>
      <w:r w:rsidRPr="00310003">
        <w:rPr>
          <w:b/>
          <w:bCs/>
        </w:rPr>
        <w:t>8.</w:t>
      </w:r>
      <w:r w:rsidRPr="00971536">
        <w:t xml:space="preserve"> </w:t>
      </w:r>
      <w:r w:rsidRPr="00862364">
        <w:t>Fe-Mg exchange profiles across the IBC-dunite interface from near solidus experiments. (a) Fe-Mg exchange profile from experiment MRx#1. (b) Fe-Mg exchange profile from experiment MRx#8. Gray solid lines show the initial conditions prior to reaction. Dashed lines are modeled concentration profiles for the reaction couple.</w:t>
      </w:r>
      <w:bookmarkEnd w:id="160"/>
      <w:bookmarkEnd w:id="161"/>
      <w:bookmarkEnd w:id="162"/>
      <w:bookmarkEnd w:id="163"/>
    </w:p>
    <w:p w14:paraId="108A9CC4" w14:textId="01DF20C3" w:rsidR="00A278A8" w:rsidRPr="007F2D9E" w:rsidRDefault="00FD7CA4" w:rsidP="008F1E38">
      <w:pPr>
        <w:rPr>
          <w:color w:val="000000" w:themeColor="text1"/>
        </w:rPr>
      </w:pPr>
      <w:r>
        <w:rPr>
          <w:color w:val="000000" w:themeColor="text1"/>
        </w:rPr>
        <w:br w:type="page"/>
      </w:r>
    </w:p>
    <w:p w14:paraId="5A8DFCF6" w14:textId="142E474B" w:rsidR="002A135B" w:rsidRDefault="002A135B" w:rsidP="00CD2336">
      <w:pPr>
        <w:spacing w:line="480" w:lineRule="auto"/>
        <w:rPr>
          <w:color w:val="000000" w:themeColor="text1"/>
        </w:rPr>
      </w:pPr>
      <w:r w:rsidRPr="007F2D9E">
        <w:rPr>
          <w:color w:val="000000" w:themeColor="text1"/>
        </w:rPr>
        <w:lastRenderedPageBreak/>
        <w:t>Compositional variations in 24 hr experiment MRx#8 (1150</w:t>
      </w:r>
      <w:r w:rsidRPr="007F2D9E">
        <w:rPr>
          <w:color w:val="000000" w:themeColor="text1"/>
          <w:vertAlign w:val="superscript"/>
        </w:rPr>
        <w:t>º</w:t>
      </w:r>
      <w:r w:rsidRPr="007F2D9E">
        <w:rPr>
          <w:color w:val="000000" w:themeColor="text1"/>
        </w:rPr>
        <w:t>C) are approximately twice the width of the variations in 6 hr experiment MRx#1 (1200</w:t>
      </w:r>
      <w:r w:rsidRPr="007F2D9E">
        <w:rPr>
          <w:color w:val="000000" w:themeColor="text1"/>
          <w:vertAlign w:val="superscript"/>
        </w:rPr>
        <w:t>º</w:t>
      </w:r>
      <w:r w:rsidRPr="007F2D9E">
        <w:rPr>
          <w:color w:val="000000" w:themeColor="text1"/>
        </w:rPr>
        <w:t>C), 1150</w:t>
      </w:r>
      <w:r w:rsidRPr="007F2D9E">
        <w:rPr>
          <w:color w:val="000000" w:themeColor="text1"/>
          <w:vertAlign w:val="superscript"/>
        </w:rPr>
        <w:t>º</w:t>
      </w:r>
      <w:r w:rsidRPr="007F2D9E">
        <w:rPr>
          <w:color w:val="000000" w:themeColor="text1"/>
        </w:rPr>
        <w:t>C vs 1200</w:t>
      </w:r>
      <w:r w:rsidRPr="007F2D9E">
        <w:rPr>
          <w:color w:val="000000" w:themeColor="text1"/>
          <w:vertAlign w:val="superscript"/>
        </w:rPr>
        <w:t>º</w:t>
      </w:r>
      <w:r w:rsidRPr="007F2D9E">
        <w:rPr>
          <w:color w:val="000000" w:themeColor="text1"/>
        </w:rPr>
        <w:t>C respectively. These compositional variations were modeled using an analytical solution to the one-dimensional diffusion equation assuming exchange between two semi-infinite media with differing diffusivities and a partitioning relationship across the interface (Zhang</w:t>
      </w:r>
      <w:r>
        <w:rPr>
          <w:color w:val="000000" w:themeColor="text1"/>
        </w:rPr>
        <w:t>,</w:t>
      </w:r>
      <w:r w:rsidRPr="007F2D9E">
        <w:rPr>
          <w:color w:val="000000" w:themeColor="text1"/>
        </w:rPr>
        <w:t xml:space="preserve"> 2009) (</w:t>
      </w:r>
      <w:r>
        <w:rPr>
          <w:color w:val="000000" w:themeColor="text1"/>
        </w:rPr>
        <w:t>s</w:t>
      </w:r>
      <w:r w:rsidRPr="007F2D9E">
        <w:rPr>
          <w:color w:val="000000" w:themeColor="text1"/>
        </w:rPr>
        <w:t xml:space="preserve">ee </w:t>
      </w:r>
      <w:r>
        <w:rPr>
          <w:color w:val="000000" w:themeColor="text1"/>
        </w:rPr>
        <w:t>Appendix A</w:t>
      </w:r>
      <w:r w:rsidRPr="007F2D9E">
        <w:rPr>
          <w:color w:val="000000" w:themeColor="text1"/>
        </w:rPr>
        <w:t xml:space="preserve"> for</w:t>
      </w:r>
      <w:r>
        <w:rPr>
          <w:color w:val="000000" w:themeColor="text1"/>
        </w:rPr>
        <w:t xml:space="preserve"> further</w:t>
      </w:r>
      <w:r w:rsidRPr="007F2D9E">
        <w:rPr>
          <w:color w:val="000000" w:themeColor="text1"/>
        </w:rPr>
        <w:t xml:space="preserve"> details). From MRx#1, we recover an effective diffusivity of 5.34x10</w:t>
      </w:r>
      <w:r w:rsidRPr="007F2D9E">
        <w:rPr>
          <w:color w:val="000000" w:themeColor="text1"/>
          <w:vertAlign w:val="superscript"/>
        </w:rPr>
        <w:t>-16</w:t>
      </w:r>
      <w:r w:rsidRPr="007F2D9E">
        <w:rPr>
          <w:color w:val="000000" w:themeColor="text1"/>
        </w:rPr>
        <w:t xml:space="preserve"> ± 1.46x10</w:t>
      </w:r>
      <w:r w:rsidRPr="007F2D9E">
        <w:rPr>
          <w:color w:val="000000" w:themeColor="text1"/>
          <w:vertAlign w:val="superscript"/>
        </w:rPr>
        <w:t>-16</w:t>
      </w:r>
      <w:r w:rsidRPr="007F2D9E">
        <w:rPr>
          <w:color w:val="000000" w:themeColor="text1"/>
        </w:rPr>
        <w:t xml:space="preserve"> m</w:t>
      </w:r>
      <w:r w:rsidRPr="007F2D9E">
        <w:rPr>
          <w:color w:val="000000" w:themeColor="text1"/>
          <w:vertAlign w:val="superscript"/>
        </w:rPr>
        <w:t>2</w:t>
      </w:r>
      <w:r w:rsidRPr="007F2D9E">
        <w:rPr>
          <w:color w:val="000000" w:themeColor="text1"/>
        </w:rPr>
        <w:t>/s in the dunite and 3.34x10</w:t>
      </w:r>
      <w:r w:rsidRPr="007F2D9E">
        <w:rPr>
          <w:color w:val="000000" w:themeColor="text1"/>
          <w:vertAlign w:val="superscript"/>
        </w:rPr>
        <w:t>-16</w:t>
      </w:r>
      <w:r w:rsidRPr="007F2D9E">
        <w:rPr>
          <w:color w:val="000000" w:themeColor="text1"/>
        </w:rPr>
        <w:t xml:space="preserve"> ± 9.48x10</w:t>
      </w:r>
      <w:r w:rsidRPr="007F2D9E">
        <w:rPr>
          <w:color w:val="000000" w:themeColor="text1"/>
          <w:vertAlign w:val="superscript"/>
        </w:rPr>
        <w:t>-17</w:t>
      </w:r>
      <w:r w:rsidRPr="007F2D9E">
        <w:rPr>
          <w:color w:val="000000" w:themeColor="text1"/>
        </w:rPr>
        <w:t xml:space="preserve"> m</w:t>
      </w:r>
      <w:r w:rsidRPr="007F2D9E">
        <w:rPr>
          <w:color w:val="000000" w:themeColor="text1"/>
          <w:vertAlign w:val="superscript"/>
        </w:rPr>
        <w:t>2</w:t>
      </w:r>
      <w:r w:rsidRPr="007F2D9E">
        <w:rPr>
          <w:color w:val="000000" w:themeColor="text1"/>
        </w:rPr>
        <w:t>/s in the IBC (</w:t>
      </w:r>
      <w:r w:rsidRPr="00714FAE">
        <w:rPr>
          <w:b/>
          <w:bCs/>
          <w:color w:val="000000" w:themeColor="text1"/>
        </w:rPr>
        <w:t>Figure 1.8a</w:t>
      </w:r>
      <w:r w:rsidRPr="007F2D9E">
        <w:rPr>
          <w:color w:val="000000" w:themeColor="text1"/>
        </w:rPr>
        <w:t>). The model for MRx#8 recovers an effective diffusivity of 8.96x10</w:t>
      </w:r>
      <w:r w:rsidRPr="007F2D9E">
        <w:rPr>
          <w:color w:val="000000" w:themeColor="text1"/>
          <w:vertAlign w:val="superscript"/>
        </w:rPr>
        <w:t>-16</w:t>
      </w:r>
      <w:r w:rsidRPr="007F2D9E">
        <w:rPr>
          <w:color w:val="000000" w:themeColor="text1"/>
        </w:rPr>
        <w:t xml:space="preserve"> ± 1.36x10</w:t>
      </w:r>
      <w:r w:rsidRPr="007F2D9E">
        <w:rPr>
          <w:color w:val="000000" w:themeColor="text1"/>
          <w:vertAlign w:val="superscript"/>
        </w:rPr>
        <w:t>-16</w:t>
      </w:r>
      <w:r w:rsidRPr="007F2D9E">
        <w:rPr>
          <w:color w:val="000000" w:themeColor="text1"/>
        </w:rPr>
        <w:t xml:space="preserve"> m</w:t>
      </w:r>
      <w:r w:rsidRPr="007F2D9E">
        <w:rPr>
          <w:color w:val="000000" w:themeColor="text1"/>
          <w:vertAlign w:val="superscript"/>
        </w:rPr>
        <w:t>2</w:t>
      </w:r>
      <w:r w:rsidRPr="007F2D9E">
        <w:rPr>
          <w:color w:val="000000" w:themeColor="text1"/>
        </w:rPr>
        <w:t>/s in the dunite and 8.15x10</w:t>
      </w:r>
      <w:r w:rsidRPr="007F2D9E">
        <w:rPr>
          <w:color w:val="000000" w:themeColor="text1"/>
          <w:vertAlign w:val="superscript"/>
        </w:rPr>
        <w:t>-16</w:t>
      </w:r>
      <w:r w:rsidRPr="007F2D9E">
        <w:rPr>
          <w:color w:val="000000" w:themeColor="text1"/>
        </w:rPr>
        <w:t xml:space="preserve"> ± 1.57x10</w:t>
      </w:r>
      <w:r w:rsidRPr="007F2D9E">
        <w:rPr>
          <w:color w:val="000000" w:themeColor="text1"/>
          <w:vertAlign w:val="superscript"/>
        </w:rPr>
        <w:t>-16</w:t>
      </w:r>
      <w:r w:rsidRPr="007F2D9E">
        <w:rPr>
          <w:color w:val="000000" w:themeColor="text1"/>
        </w:rPr>
        <w:t xml:space="preserve"> m</w:t>
      </w:r>
      <w:r w:rsidRPr="007F2D9E">
        <w:rPr>
          <w:color w:val="000000" w:themeColor="text1"/>
          <w:vertAlign w:val="superscript"/>
        </w:rPr>
        <w:t>2</w:t>
      </w:r>
      <w:r w:rsidRPr="007F2D9E">
        <w:rPr>
          <w:color w:val="000000" w:themeColor="text1"/>
        </w:rPr>
        <w:t>/s in the IBC (</w:t>
      </w:r>
      <w:r w:rsidRPr="00714FAE">
        <w:rPr>
          <w:b/>
          <w:bCs/>
          <w:color w:val="000000" w:themeColor="text1"/>
        </w:rPr>
        <w:t>Figure 1.8b</w:t>
      </w:r>
      <w:r w:rsidRPr="007F2D9E">
        <w:rPr>
          <w:color w:val="000000" w:themeColor="text1"/>
        </w:rPr>
        <w:t>).</w:t>
      </w:r>
    </w:p>
    <w:p w14:paraId="30ACC007" w14:textId="0CCAC902" w:rsidR="00A278A8" w:rsidRPr="007F2D9E" w:rsidRDefault="00A278A8" w:rsidP="00174D7E">
      <w:pPr>
        <w:spacing w:line="480" w:lineRule="auto"/>
        <w:ind w:firstLine="720"/>
        <w:rPr>
          <w:color w:val="000000" w:themeColor="text1"/>
        </w:rPr>
      </w:pPr>
      <w:r w:rsidRPr="007F2D9E">
        <w:rPr>
          <w:color w:val="000000" w:themeColor="text1"/>
        </w:rPr>
        <w:t>The Fe-Mg diffusion rates for IBC determined by this study are three to four orders of magnitude faster than anticipated at 1200</w:t>
      </w:r>
      <w:r w:rsidRPr="007F2D9E">
        <w:rPr>
          <w:color w:val="000000" w:themeColor="text1"/>
          <w:vertAlign w:val="superscript"/>
        </w:rPr>
        <w:t>º</w:t>
      </w:r>
      <w:r w:rsidRPr="007F2D9E">
        <w:rPr>
          <w:color w:val="000000" w:themeColor="text1"/>
        </w:rPr>
        <w:t>C to 1100</w:t>
      </w:r>
      <w:r w:rsidRPr="007F2D9E">
        <w:rPr>
          <w:color w:val="000000" w:themeColor="text1"/>
          <w:vertAlign w:val="superscript"/>
        </w:rPr>
        <w:t>º</w:t>
      </w:r>
      <w:r w:rsidRPr="007F2D9E">
        <w:rPr>
          <w:color w:val="000000" w:themeColor="text1"/>
        </w:rPr>
        <w:t>C for Cpx according to volume diffusion studies (Brady and McCallister</w:t>
      </w:r>
      <w:r w:rsidR="007853E5">
        <w:rPr>
          <w:color w:val="000000" w:themeColor="text1"/>
        </w:rPr>
        <w:t>,</w:t>
      </w:r>
      <w:r w:rsidRPr="007F2D9E">
        <w:rPr>
          <w:color w:val="000000" w:themeColor="text1"/>
        </w:rPr>
        <w:t xml:space="preserve"> 1983; Fujino et al.1990; Azough and Freer</w:t>
      </w:r>
      <w:r w:rsidR="007853E5">
        <w:rPr>
          <w:color w:val="000000" w:themeColor="text1"/>
        </w:rPr>
        <w:t>,</w:t>
      </w:r>
      <w:r w:rsidRPr="007F2D9E">
        <w:rPr>
          <w:color w:val="000000" w:themeColor="text1"/>
        </w:rPr>
        <w:t xml:space="preserve"> 2000; Zhang </w:t>
      </w:r>
      <w:r w:rsidR="008F5CFC">
        <w:rPr>
          <w:color w:val="000000" w:themeColor="text1"/>
        </w:rPr>
        <w:t>et al., 20</w:t>
      </w:r>
      <w:r w:rsidRPr="007F2D9E">
        <w:rPr>
          <w:color w:val="000000" w:themeColor="text1"/>
        </w:rPr>
        <w:t xml:space="preserve">10a; Muller </w:t>
      </w:r>
      <w:r w:rsidR="008F5CFC">
        <w:rPr>
          <w:color w:val="000000" w:themeColor="text1"/>
        </w:rPr>
        <w:t>et al., 20</w:t>
      </w:r>
      <w:r w:rsidRPr="007F2D9E">
        <w:rPr>
          <w:color w:val="000000" w:themeColor="text1"/>
        </w:rPr>
        <w:t xml:space="preserve">13). Fe-Mg diffusion in garnet is faster than Cpx; however, the IBC exchange rates from this study are still one to two orders of magnitude faster at the relevant temperatures (Loomis </w:t>
      </w:r>
      <w:r w:rsidR="008F5CFC">
        <w:rPr>
          <w:color w:val="000000" w:themeColor="text1"/>
        </w:rPr>
        <w:t>et al., 19</w:t>
      </w:r>
      <w:r w:rsidRPr="007F2D9E">
        <w:rPr>
          <w:color w:val="000000" w:themeColor="text1"/>
        </w:rPr>
        <w:t>85; Chakraborty and Ganguly</w:t>
      </w:r>
      <w:r w:rsidR="007853E5">
        <w:rPr>
          <w:color w:val="000000" w:themeColor="text1"/>
        </w:rPr>
        <w:t>,</w:t>
      </w:r>
      <w:r w:rsidRPr="007F2D9E">
        <w:rPr>
          <w:color w:val="000000" w:themeColor="text1"/>
        </w:rPr>
        <w:t xml:space="preserve"> 1992; Chakraborty and Rubie</w:t>
      </w:r>
      <w:r w:rsidR="007853E5">
        <w:rPr>
          <w:color w:val="000000" w:themeColor="text1"/>
        </w:rPr>
        <w:t>,</w:t>
      </w:r>
      <w:r w:rsidRPr="007F2D9E">
        <w:rPr>
          <w:color w:val="000000" w:themeColor="text1"/>
        </w:rPr>
        <w:t xml:space="preserve"> 1996; Ganguly </w:t>
      </w:r>
      <w:r w:rsidR="008F5CFC">
        <w:rPr>
          <w:color w:val="000000" w:themeColor="text1"/>
        </w:rPr>
        <w:t>et al., 19</w:t>
      </w:r>
      <w:r w:rsidRPr="007F2D9E">
        <w:rPr>
          <w:color w:val="000000" w:themeColor="text1"/>
        </w:rPr>
        <w:t xml:space="preserve">98; Perchuk </w:t>
      </w:r>
      <w:r w:rsidR="008F5CFC">
        <w:rPr>
          <w:color w:val="000000" w:themeColor="text1"/>
        </w:rPr>
        <w:t>et al., 20</w:t>
      </w:r>
      <w:r w:rsidRPr="007F2D9E">
        <w:rPr>
          <w:color w:val="000000" w:themeColor="text1"/>
        </w:rPr>
        <w:t xml:space="preserve">09; Borinski </w:t>
      </w:r>
      <w:r w:rsidR="008F5CFC">
        <w:rPr>
          <w:color w:val="000000" w:themeColor="text1"/>
        </w:rPr>
        <w:t>et al., 20</w:t>
      </w:r>
      <w:r w:rsidRPr="007F2D9E">
        <w:rPr>
          <w:color w:val="000000" w:themeColor="text1"/>
        </w:rPr>
        <w:t xml:space="preserve">12; Li </w:t>
      </w:r>
      <w:r w:rsidR="008F5CFC">
        <w:rPr>
          <w:color w:val="000000" w:themeColor="text1"/>
        </w:rPr>
        <w:t>et al., 20</w:t>
      </w:r>
      <w:r w:rsidRPr="007F2D9E">
        <w:rPr>
          <w:color w:val="000000" w:themeColor="text1"/>
        </w:rPr>
        <w:t>18). It is possible that the Fe-rich compositions of minerals within the IBC material accelerate diffusive exchange relative to the existing experiments on more magnesian materials, as diffusion through Fe-rich endmembers is often faster than diffusion through Mg-rich endmembers (e.g., Buening and Buseck</w:t>
      </w:r>
      <w:r w:rsidR="000710F1">
        <w:rPr>
          <w:color w:val="000000" w:themeColor="text1"/>
        </w:rPr>
        <w:t>,</w:t>
      </w:r>
      <w:r w:rsidRPr="007F2D9E">
        <w:rPr>
          <w:color w:val="000000" w:themeColor="text1"/>
        </w:rPr>
        <w:t xml:space="preserve"> 1973; Nakamura and Schmalzried</w:t>
      </w:r>
      <w:r w:rsidR="000710F1">
        <w:rPr>
          <w:color w:val="000000" w:themeColor="text1"/>
        </w:rPr>
        <w:t>,</w:t>
      </w:r>
      <w:r w:rsidRPr="007F2D9E">
        <w:rPr>
          <w:color w:val="000000" w:themeColor="text1"/>
        </w:rPr>
        <w:t xml:space="preserve"> 1984; Chakraborty</w:t>
      </w:r>
      <w:r w:rsidR="000710F1">
        <w:rPr>
          <w:color w:val="000000" w:themeColor="text1"/>
        </w:rPr>
        <w:t>,</w:t>
      </w:r>
      <w:r w:rsidRPr="007F2D9E">
        <w:rPr>
          <w:color w:val="000000" w:themeColor="text1"/>
        </w:rPr>
        <w:t xml:space="preserve"> 1997; Dohmen and Chakraborty</w:t>
      </w:r>
      <w:r w:rsidR="000710F1">
        <w:rPr>
          <w:color w:val="000000" w:themeColor="text1"/>
        </w:rPr>
        <w:t>,</w:t>
      </w:r>
      <w:r w:rsidRPr="007F2D9E">
        <w:rPr>
          <w:color w:val="000000" w:themeColor="text1"/>
        </w:rPr>
        <w:t xml:space="preserve"> </w:t>
      </w:r>
      <w:r w:rsidRPr="007F2D9E">
        <w:rPr>
          <w:color w:val="000000" w:themeColor="text1"/>
        </w:rPr>
        <w:lastRenderedPageBreak/>
        <w:t xml:space="preserve">2007). The presence of trace amounts of interstitial melt and polycrystalline nature of the IBC may also affect the diffusion rates on the IBC side of the reaction couple. Grain boundary diffusion is expected to be three orders of magnitude faster than volume diffusion (Farver </w:t>
      </w:r>
      <w:r w:rsidR="008F5CFC">
        <w:rPr>
          <w:color w:val="000000" w:themeColor="text1"/>
        </w:rPr>
        <w:t>et al., 19</w:t>
      </w:r>
      <w:r w:rsidRPr="007F2D9E">
        <w:rPr>
          <w:color w:val="000000" w:themeColor="text1"/>
        </w:rPr>
        <w:t xml:space="preserve">94). </w:t>
      </w:r>
    </w:p>
    <w:p w14:paraId="28E11C6A" w14:textId="03A7DABA" w:rsidR="004D53C6" w:rsidRPr="00766A88" w:rsidRDefault="00A278A8" w:rsidP="00766A88">
      <w:pPr>
        <w:spacing w:line="480" w:lineRule="auto"/>
        <w:ind w:firstLine="720"/>
        <w:rPr>
          <w:color w:val="000000" w:themeColor="text1"/>
        </w:rPr>
      </w:pPr>
      <w:r w:rsidRPr="007F2D9E">
        <w:rPr>
          <w:color w:val="000000" w:themeColor="text1"/>
        </w:rPr>
        <w:t>Dunite Fe-Mg diffusion rates determined for MRx#1 and MRx#8 fall within the range of diffusivities determined from previous experimental studies at temperatures between 1200</w:t>
      </w:r>
      <w:r w:rsidRPr="007F2D9E">
        <w:rPr>
          <w:color w:val="000000" w:themeColor="text1"/>
          <w:vertAlign w:val="superscript"/>
        </w:rPr>
        <w:t>º</w:t>
      </w:r>
      <w:r w:rsidRPr="007F2D9E">
        <w:rPr>
          <w:color w:val="000000" w:themeColor="text1"/>
        </w:rPr>
        <w:t>C and 1100</w:t>
      </w:r>
      <w:r w:rsidRPr="007F2D9E">
        <w:rPr>
          <w:color w:val="000000" w:themeColor="text1"/>
          <w:vertAlign w:val="superscript"/>
        </w:rPr>
        <w:t xml:space="preserve"> º</w:t>
      </w:r>
      <w:r w:rsidRPr="007F2D9E">
        <w:rPr>
          <w:color w:val="000000" w:themeColor="text1"/>
        </w:rPr>
        <w:t>C (i.e., 10</w:t>
      </w:r>
      <w:r w:rsidRPr="007F2D9E">
        <w:rPr>
          <w:color w:val="000000" w:themeColor="text1"/>
          <w:vertAlign w:val="superscript"/>
        </w:rPr>
        <w:t>-14</w:t>
      </w:r>
      <w:r w:rsidRPr="007F2D9E">
        <w:rPr>
          <w:color w:val="000000" w:themeColor="text1"/>
        </w:rPr>
        <w:t xml:space="preserve"> to 10</w:t>
      </w:r>
      <w:r w:rsidRPr="007F2D9E">
        <w:rPr>
          <w:color w:val="000000" w:themeColor="text1"/>
          <w:vertAlign w:val="superscript"/>
        </w:rPr>
        <w:t xml:space="preserve">-17 </w:t>
      </w:r>
      <w:r w:rsidRPr="007F2D9E">
        <w:rPr>
          <w:color w:val="000000" w:themeColor="text1"/>
        </w:rPr>
        <w:t>m</w:t>
      </w:r>
      <w:r w:rsidRPr="007F2D9E">
        <w:rPr>
          <w:color w:val="000000" w:themeColor="text1"/>
          <w:vertAlign w:val="superscript"/>
        </w:rPr>
        <w:t>2</w:t>
      </w:r>
      <w:r w:rsidRPr="007F2D9E">
        <w:rPr>
          <w:color w:val="000000" w:themeColor="text1"/>
        </w:rPr>
        <w:t>/s) (Jurewicz and Watson</w:t>
      </w:r>
      <w:r w:rsidR="000710F1">
        <w:rPr>
          <w:color w:val="000000" w:themeColor="text1"/>
        </w:rPr>
        <w:t>,</w:t>
      </w:r>
      <w:r w:rsidRPr="007F2D9E">
        <w:rPr>
          <w:color w:val="000000" w:themeColor="text1"/>
        </w:rPr>
        <w:t xml:space="preserve"> 1988; Chakraborty </w:t>
      </w:r>
      <w:r w:rsidR="008F5CFC">
        <w:rPr>
          <w:color w:val="000000" w:themeColor="text1"/>
        </w:rPr>
        <w:t>et al., 19</w:t>
      </w:r>
      <w:r w:rsidRPr="007F2D9E">
        <w:rPr>
          <w:color w:val="000000" w:themeColor="text1"/>
        </w:rPr>
        <w:t>94; Chakraborty</w:t>
      </w:r>
      <w:r w:rsidR="000710F1">
        <w:rPr>
          <w:color w:val="000000" w:themeColor="text1"/>
        </w:rPr>
        <w:t>,</w:t>
      </w:r>
      <w:r w:rsidRPr="007F2D9E">
        <w:rPr>
          <w:color w:val="000000" w:themeColor="text1"/>
        </w:rPr>
        <w:t xml:space="preserve"> 1997; Petry </w:t>
      </w:r>
      <w:r w:rsidR="008F5CFC">
        <w:rPr>
          <w:color w:val="000000" w:themeColor="text1"/>
        </w:rPr>
        <w:t>et al., 20</w:t>
      </w:r>
      <w:r w:rsidRPr="007F2D9E">
        <w:rPr>
          <w:color w:val="000000" w:themeColor="text1"/>
        </w:rPr>
        <w:t>04; Dimanov and Wiedenbeck</w:t>
      </w:r>
      <w:r w:rsidR="000710F1">
        <w:rPr>
          <w:color w:val="000000" w:themeColor="text1"/>
        </w:rPr>
        <w:t xml:space="preserve">, </w:t>
      </w:r>
      <w:r w:rsidRPr="007F2D9E">
        <w:rPr>
          <w:color w:val="000000" w:themeColor="text1"/>
        </w:rPr>
        <w:t>2006; Dohmen and Chakraborty</w:t>
      </w:r>
      <w:r w:rsidR="000710F1">
        <w:rPr>
          <w:color w:val="000000" w:themeColor="text1"/>
        </w:rPr>
        <w:t>,</w:t>
      </w:r>
      <w:r w:rsidRPr="007F2D9E">
        <w:rPr>
          <w:color w:val="000000" w:themeColor="text1"/>
        </w:rPr>
        <w:t xml:space="preserve"> 2007). Faster diffusion rates in MRx#8 appear inconsistent with the 50</w:t>
      </w:r>
      <w:r w:rsidRPr="007F2D9E">
        <w:rPr>
          <w:color w:val="000000" w:themeColor="text1"/>
          <w:vertAlign w:val="superscript"/>
        </w:rPr>
        <w:t>º</w:t>
      </w:r>
      <w:r w:rsidRPr="007F2D9E">
        <w:rPr>
          <w:color w:val="000000" w:themeColor="text1"/>
        </w:rPr>
        <w:t>C temperature difference between MRx#1 (1200</w:t>
      </w:r>
      <w:r w:rsidRPr="007F2D9E">
        <w:rPr>
          <w:color w:val="000000" w:themeColor="text1"/>
          <w:vertAlign w:val="superscript"/>
        </w:rPr>
        <w:t>º</w:t>
      </w:r>
      <w:r w:rsidRPr="007F2D9E">
        <w:rPr>
          <w:color w:val="000000" w:themeColor="text1"/>
        </w:rPr>
        <w:t>C) and MRx#8 (1150</w:t>
      </w:r>
      <w:r w:rsidRPr="007F2D9E">
        <w:rPr>
          <w:color w:val="000000" w:themeColor="text1"/>
          <w:vertAlign w:val="superscript"/>
        </w:rPr>
        <w:t>º</w:t>
      </w:r>
      <w:r w:rsidRPr="007F2D9E">
        <w:rPr>
          <w:color w:val="000000" w:themeColor="text1"/>
        </w:rPr>
        <w:t>C). According to previous olivine diffusion studies, the diffusion rates should be about half an order of magnitude faster in MRx#1 if temperature is the only factor affecting the rate. We interpret the results as demonstrating the dependence of diffusion rate on olivine Fe/Mg content, with fayalitic olivine exchanging Fe for Mg about three orders of magnitude faster than forsterite (Chakraborty</w:t>
      </w:r>
      <w:r w:rsidR="000710F1">
        <w:rPr>
          <w:color w:val="000000" w:themeColor="text1"/>
        </w:rPr>
        <w:t>,</w:t>
      </w:r>
      <w:r w:rsidRPr="007F2D9E">
        <w:rPr>
          <w:color w:val="000000" w:themeColor="text1"/>
        </w:rPr>
        <w:t xml:space="preserve"> 1997; Dohmen and Chakraborty</w:t>
      </w:r>
      <w:r w:rsidR="000710F1">
        <w:rPr>
          <w:color w:val="000000" w:themeColor="text1"/>
        </w:rPr>
        <w:t>,</w:t>
      </w:r>
      <w:r w:rsidRPr="007F2D9E">
        <w:rPr>
          <w:color w:val="000000" w:themeColor="text1"/>
        </w:rPr>
        <w:t xml:space="preserve"> 2007). The higher iron content in the diffusive boundary layer increases the exchange rate such that longer experiments have faster effective diffusion rates.</w:t>
      </w:r>
    </w:p>
    <w:p w14:paraId="3E9F0A0B" w14:textId="17CCDA58" w:rsidR="0049022F" w:rsidRPr="00903E8A" w:rsidRDefault="00A278A8" w:rsidP="005552E2">
      <w:pPr>
        <w:pStyle w:val="Heading4"/>
      </w:pPr>
      <w:bookmarkStart w:id="164" w:name="_Toc183536576"/>
      <w:bookmarkStart w:id="165" w:name="_Toc184727379"/>
      <w:bookmarkStart w:id="166" w:name="_Toc185325625"/>
      <w:r w:rsidRPr="00903E8A">
        <w:t>Dunite Dissolution Rates, and Effects of Dunite Dissolution on IBC Liquid</w:t>
      </w:r>
      <w:bookmarkEnd w:id="164"/>
      <w:bookmarkEnd w:id="165"/>
      <w:bookmarkEnd w:id="166"/>
    </w:p>
    <w:p w14:paraId="4B4C88B9" w14:textId="2F8673A4" w:rsidR="00A278A8" w:rsidRPr="007F2D9E" w:rsidRDefault="00A278A8" w:rsidP="001D1E10">
      <w:pPr>
        <w:spacing w:line="480" w:lineRule="auto"/>
        <w:ind w:firstLine="720"/>
        <w:rPr>
          <w:color w:val="000000" w:themeColor="text1"/>
        </w:rPr>
      </w:pPr>
      <w:r w:rsidRPr="007F2D9E">
        <w:rPr>
          <w:color w:val="000000" w:themeColor="text1"/>
        </w:rPr>
        <w:t>Constant temperature (1200</w:t>
      </w:r>
      <w:r w:rsidRPr="007F2D9E">
        <w:rPr>
          <w:rFonts w:ascii="Calibri" w:hAnsi="Calibri" w:cs="Calibri"/>
          <w:color w:val="000000" w:themeColor="text1"/>
        </w:rPr>
        <w:t>°</w:t>
      </w:r>
      <w:r w:rsidRPr="007F2D9E">
        <w:rPr>
          <w:color w:val="000000" w:themeColor="text1"/>
        </w:rPr>
        <w:t xml:space="preserve">C), low-pressure (0.55 GPa) experiments run for 20 min (MRx#9), 6 hr (MRx#5), and 24 hr (MRx#10) enable us to investigate the dunite dissolution rate as a function of time and compare compositional variations in the coexisting IBC melt affected by dissolution. In the IBC melt, MRx#5 and MRx#10 </w:t>
      </w:r>
      <w:r w:rsidRPr="007F2D9E">
        <w:rPr>
          <w:color w:val="000000" w:themeColor="text1"/>
        </w:rPr>
        <w:lastRenderedPageBreak/>
        <w:t>exhibit unusual MgO, Al</w:t>
      </w:r>
      <w:r w:rsidRPr="007F2D9E">
        <w:rPr>
          <w:color w:val="000000" w:themeColor="text1"/>
          <w:vertAlign w:val="subscript"/>
        </w:rPr>
        <w:t>2</w:t>
      </w:r>
      <w:r w:rsidRPr="007F2D9E">
        <w:rPr>
          <w:color w:val="000000" w:themeColor="text1"/>
        </w:rPr>
        <w:t>O</w:t>
      </w:r>
      <w:r w:rsidRPr="007F2D9E">
        <w:rPr>
          <w:color w:val="000000" w:themeColor="text1"/>
          <w:vertAlign w:val="subscript"/>
        </w:rPr>
        <w:t>3</w:t>
      </w:r>
      <w:r w:rsidRPr="007F2D9E">
        <w:rPr>
          <w:color w:val="000000" w:themeColor="text1"/>
        </w:rPr>
        <w:t>, and TiO</w:t>
      </w:r>
      <w:r w:rsidRPr="007F2D9E">
        <w:rPr>
          <w:color w:val="000000" w:themeColor="text1"/>
          <w:vertAlign w:val="subscript"/>
        </w:rPr>
        <w:t>2</w:t>
      </w:r>
      <w:r w:rsidRPr="007F2D9E">
        <w:rPr>
          <w:color w:val="000000" w:themeColor="text1"/>
        </w:rPr>
        <w:t xml:space="preserve"> concentration variations that peak ~100-200 (µ</w:t>
      </w:r>
      <w:r w:rsidRPr="007F2D9E">
        <w:rPr>
          <w:rFonts w:eastAsiaTheme="minorEastAsia"/>
          <w:color w:val="000000" w:themeColor="text1"/>
        </w:rPr>
        <w:t>m</w:t>
      </w:r>
      <w:r w:rsidRPr="007F2D9E">
        <w:rPr>
          <w:color w:val="000000" w:themeColor="text1"/>
        </w:rPr>
        <w:t>) away from the reaction interface, consistent with uphill diffusion. The concentrations of these elements then decline as approximately linear trends away from the peaks toward the end of the IBC half of the reaction couple (</w:t>
      </w:r>
      <w:r w:rsidRPr="000531EB">
        <w:rPr>
          <w:b/>
          <w:bCs/>
          <w:color w:val="000000" w:themeColor="text1"/>
        </w:rPr>
        <w:t xml:space="preserve">Figures </w:t>
      </w:r>
      <w:r w:rsidR="00EC4F9C" w:rsidRPr="000531EB">
        <w:rPr>
          <w:b/>
          <w:bCs/>
          <w:color w:val="000000" w:themeColor="text1"/>
        </w:rPr>
        <w:t>1.</w:t>
      </w:r>
      <w:r w:rsidRPr="000531EB">
        <w:rPr>
          <w:b/>
          <w:bCs/>
          <w:color w:val="000000" w:themeColor="text1"/>
        </w:rPr>
        <w:t xml:space="preserve">9a, </w:t>
      </w:r>
      <w:r w:rsidR="00EC4F9C" w:rsidRPr="000531EB">
        <w:rPr>
          <w:b/>
          <w:bCs/>
          <w:color w:val="000000" w:themeColor="text1"/>
        </w:rPr>
        <w:t>1.</w:t>
      </w:r>
      <w:r w:rsidRPr="000531EB">
        <w:rPr>
          <w:b/>
          <w:bCs/>
          <w:color w:val="000000" w:themeColor="text1"/>
        </w:rPr>
        <w:t>9d-e</w:t>
      </w:r>
      <w:r w:rsidRPr="007F2D9E">
        <w:rPr>
          <w:color w:val="000000" w:themeColor="text1"/>
        </w:rPr>
        <w:t>). CaO concentrations exhibit similar trends with the lowest concentrations ~100-200 (µ</w:t>
      </w:r>
      <w:r w:rsidRPr="007F2D9E">
        <w:rPr>
          <w:rFonts w:eastAsiaTheme="minorEastAsia"/>
          <w:color w:val="000000" w:themeColor="text1"/>
        </w:rPr>
        <w:t>m</w:t>
      </w:r>
      <w:r w:rsidRPr="007F2D9E">
        <w:rPr>
          <w:color w:val="000000" w:themeColor="text1"/>
        </w:rPr>
        <w:t>) away from the reaction interface and concentrations that ascend linearly toward the end of the IBC half of the reaction couple (</w:t>
      </w:r>
      <w:r w:rsidRPr="000531EB">
        <w:rPr>
          <w:b/>
          <w:bCs/>
          <w:color w:val="000000" w:themeColor="text1"/>
        </w:rPr>
        <w:t xml:space="preserve">Figure </w:t>
      </w:r>
      <w:r w:rsidR="00EC4F9C" w:rsidRPr="000531EB">
        <w:rPr>
          <w:b/>
          <w:bCs/>
          <w:color w:val="000000" w:themeColor="text1"/>
        </w:rPr>
        <w:t>1.</w:t>
      </w:r>
      <w:r w:rsidRPr="000531EB">
        <w:rPr>
          <w:b/>
          <w:bCs/>
          <w:color w:val="000000" w:themeColor="text1"/>
        </w:rPr>
        <w:t>9f</w:t>
      </w:r>
      <w:r w:rsidRPr="007F2D9E">
        <w:rPr>
          <w:color w:val="000000" w:themeColor="text1"/>
        </w:rPr>
        <w:t>). These compositional variations may be produced by multi-component diffusion effects, where coupled concentration variations affect diffusion rates and elemental variations (e.g., Zhang</w:t>
      </w:r>
      <w:r w:rsidR="00073EED">
        <w:rPr>
          <w:color w:val="000000" w:themeColor="text1"/>
        </w:rPr>
        <w:t>,</w:t>
      </w:r>
      <w:r w:rsidRPr="007F2D9E">
        <w:rPr>
          <w:color w:val="000000" w:themeColor="text1"/>
        </w:rPr>
        <w:t xml:space="preserve"> 1993; Morgan </w:t>
      </w:r>
      <w:r w:rsidR="008F5CFC">
        <w:rPr>
          <w:color w:val="000000" w:themeColor="text1"/>
        </w:rPr>
        <w:t>et al., 20</w:t>
      </w:r>
      <w:r w:rsidRPr="007F2D9E">
        <w:rPr>
          <w:color w:val="000000" w:themeColor="text1"/>
        </w:rPr>
        <w:t xml:space="preserve">06; Van Der Laan </w:t>
      </w:r>
      <w:r w:rsidR="008F5CFC">
        <w:rPr>
          <w:color w:val="000000" w:themeColor="text1"/>
        </w:rPr>
        <w:t>et al., 19</w:t>
      </w:r>
      <w:r w:rsidRPr="007F2D9E">
        <w:rPr>
          <w:color w:val="000000" w:themeColor="text1"/>
        </w:rPr>
        <w:t xml:space="preserve">94; Zhang </w:t>
      </w:r>
      <w:r w:rsidR="008F5CFC">
        <w:rPr>
          <w:color w:val="000000" w:themeColor="text1"/>
        </w:rPr>
        <w:t>et al., 20</w:t>
      </w:r>
      <w:r w:rsidRPr="007F2D9E">
        <w:rPr>
          <w:color w:val="000000" w:themeColor="text1"/>
        </w:rPr>
        <w:t>10b; Liang</w:t>
      </w:r>
      <w:r w:rsidR="00EC4F9C">
        <w:rPr>
          <w:color w:val="000000" w:themeColor="text1"/>
        </w:rPr>
        <w:t>,</w:t>
      </w:r>
      <w:r w:rsidRPr="007F2D9E">
        <w:rPr>
          <w:color w:val="000000" w:themeColor="text1"/>
        </w:rPr>
        <w:t xml:space="preserve"> 2010).  Modeling multi-component diffusion is beyond the scope of this study. </w:t>
      </w:r>
    </w:p>
    <w:p w14:paraId="52260144" w14:textId="184A72E1" w:rsidR="00A278A8" w:rsidRPr="007F2D9E" w:rsidRDefault="00A278A8" w:rsidP="00174D7E">
      <w:pPr>
        <w:spacing w:line="480" w:lineRule="auto"/>
        <w:ind w:firstLine="720"/>
        <w:rPr>
          <w:color w:val="000000" w:themeColor="text1"/>
        </w:rPr>
      </w:pPr>
      <w:r w:rsidRPr="007F2D9E">
        <w:rPr>
          <w:color w:val="000000" w:themeColor="text1"/>
        </w:rPr>
        <w:t>Dissolution of olivine in the dunite occurs quickly causing the MgO mol% in the IBC melt near the interface to increase to 5.03 ± 0.30 in the 0.33 hr experiment (</w:t>
      </w:r>
      <w:r w:rsidRPr="000531EB">
        <w:rPr>
          <w:b/>
          <w:bCs/>
          <w:color w:val="000000" w:themeColor="text1"/>
        </w:rPr>
        <w:t xml:space="preserve">Figure </w:t>
      </w:r>
      <w:r w:rsidR="00EC4F9C" w:rsidRPr="000531EB">
        <w:rPr>
          <w:b/>
          <w:bCs/>
          <w:color w:val="000000" w:themeColor="text1"/>
        </w:rPr>
        <w:t>1.</w:t>
      </w:r>
      <w:r w:rsidRPr="000531EB">
        <w:rPr>
          <w:b/>
          <w:bCs/>
          <w:color w:val="000000" w:themeColor="text1"/>
        </w:rPr>
        <w:t>9a</w:t>
      </w:r>
      <w:r w:rsidRPr="007F2D9E">
        <w:rPr>
          <w:color w:val="000000" w:themeColor="text1"/>
        </w:rPr>
        <w:t xml:space="preserve">, </w:t>
      </w:r>
      <w:r w:rsidRPr="000531EB">
        <w:rPr>
          <w:b/>
          <w:bCs/>
          <w:color w:val="000000" w:themeColor="text1"/>
        </w:rPr>
        <w:t xml:space="preserve">Table </w:t>
      </w:r>
      <w:r w:rsidR="00EC4F9C" w:rsidRPr="000531EB">
        <w:rPr>
          <w:b/>
          <w:bCs/>
          <w:color w:val="000000" w:themeColor="text1"/>
        </w:rPr>
        <w:t>1.</w:t>
      </w:r>
      <w:r w:rsidRPr="000531EB">
        <w:rPr>
          <w:b/>
          <w:bCs/>
          <w:color w:val="000000" w:themeColor="text1"/>
        </w:rPr>
        <w:t>5</w:t>
      </w:r>
      <w:r w:rsidRPr="007F2D9E">
        <w:rPr>
          <w:color w:val="000000" w:themeColor="text1"/>
        </w:rPr>
        <w:t xml:space="preserve">). Chemical profiles from MRx#9 were modeled using an analytical solution for one-dimensional diffusion-controlled dissolution into a semi-infinite melt reservoir (e.g., Zhang </w:t>
      </w:r>
      <w:r w:rsidR="008F5CFC">
        <w:rPr>
          <w:color w:val="000000" w:themeColor="text1"/>
        </w:rPr>
        <w:t>et al., 19</w:t>
      </w:r>
      <w:r w:rsidRPr="007F2D9E">
        <w:rPr>
          <w:color w:val="000000" w:themeColor="text1"/>
        </w:rPr>
        <w:t>89; Van Orman and Grove</w:t>
      </w:r>
      <w:r w:rsidR="00EC4F9C">
        <w:rPr>
          <w:color w:val="000000" w:themeColor="text1"/>
        </w:rPr>
        <w:t>,</w:t>
      </w:r>
      <w:r w:rsidRPr="007F2D9E">
        <w:rPr>
          <w:color w:val="000000" w:themeColor="text1"/>
        </w:rPr>
        <w:t xml:space="preserve"> 2000) (</w:t>
      </w:r>
      <w:r w:rsidRPr="000531EB">
        <w:rPr>
          <w:b/>
          <w:bCs/>
          <w:color w:val="000000" w:themeColor="text1"/>
        </w:rPr>
        <w:t xml:space="preserve">Figure </w:t>
      </w:r>
      <w:r w:rsidR="00EC4F9C" w:rsidRPr="000531EB">
        <w:rPr>
          <w:b/>
          <w:bCs/>
          <w:color w:val="000000" w:themeColor="text1"/>
        </w:rPr>
        <w:t>1.</w:t>
      </w:r>
      <w:r w:rsidRPr="000531EB">
        <w:rPr>
          <w:b/>
          <w:bCs/>
          <w:color w:val="000000" w:themeColor="text1"/>
        </w:rPr>
        <w:t>9</w:t>
      </w:r>
      <w:r w:rsidRPr="007F2D9E">
        <w:rPr>
          <w:color w:val="000000" w:themeColor="text1"/>
        </w:rPr>
        <w:t>) (</w:t>
      </w:r>
      <w:r w:rsidR="00C50710">
        <w:rPr>
          <w:color w:val="000000" w:themeColor="text1"/>
        </w:rPr>
        <w:t>s</w:t>
      </w:r>
      <w:r w:rsidR="00C50710" w:rsidRPr="007F2D9E">
        <w:rPr>
          <w:color w:val="000000" w:themeColor="text1"/>
        </w:rPr>
        <w:t xml:space="preserve">ee </w:t>
      </w:r>
      <w:r w:rsidR="00C50710">
        <w:rPr>
          <w:color w:val="000000" w:themeColor="text1"/>
        </w:rPr>
        <w:t>Appendix A</w:t>
      </w:r>
      <w:r w:rsidR="00C50710" w:rsidRPr="007F2D9E">
        <w:rPr>
          <w:color w:val="000000" w:themeColor="text1"/>
        </w:rPr>
        <w:t xml:space="preserve"> for</w:t>
      </w:r>
      <w:r w:rsidR="00C50710">
        <w:rPr>
          <w:color w:val="000000" w:themeColor="text1"/>
        </w:rPr>
        <w:t xml:space="preserve"> further calculation</w:t>
      </w:r>
      <w:r w:rsidR="00C50710" w:rsidRPr="007F2D9E">
        <w:rPr>
          <w:color w:val="000000" w:themeColor="text1"/>
        </w:rPr>
        <w:t xml:space="preserve"> details</w:t>
      </w:r>
      <w:r w:rsidRPr="007F2D9E">
        <w:rPr>
          <w:color w:val="000000" w:themeColor="text1"/>
        </w:rPr>
        <w:t>). Effective binary diffusion coefficients for MgO, FeO, MnO, Al</w:t>
      </w:r>
      <w:r w:rsidRPr="007F2D9E">
        <w:rPr>
          <w:color w:val="000000" w:themeColor="text1"/>
          <w:vertAlign w:val="subscript"/>
        </w:rPr>
        <w:t>2</w:t>
      </w:r>
      <w:r w:rsidRPr="007F2D9E">
        <w:rPr>
          <w:color w:val="000000" w:themeColor="text1"/>
        </w:rPr>
        <w:t>O</w:t>
      </w:r>
      <w:r w:rsidRPr="007F2D9E">
        <w:rPr>
          <w:color w:val="000000" w:themeColor="text1"/>
          <w:vertAlign w:val="subscript"/>
        </w:rPr>
        <w:t>3</w:t>
      </w:r>
      <w:r w:rsidRPr="007F2D9E">
        <w:rPr>
          <w:color w:val="000000" w:themeColor="text1"/>
        </w:rPr>
        <w:t>, TiO</w:t>
      </w:r>
      <w:r w:rsidRPr="007F2D9E">
        <w:rPr>
          <w:color w:val="000000" w:themeColor="text1"/>
          <w:vertAlign w:val="subscript"/>
        </w:rPr>
        <w:t>2</w:t>
      </w:r>
      <w:r w:rsidRPr="007F2D9E">
        <w:rPr>
          <w:color w:val="000000" w:themeColor="text1"/>
        </w:rPr>
        <w:t>, and CaO in the IBC melt were inverted from the compositional observations by a nonlinear least squares regression. The inverted EBDCs of MgO, FeO, MnO, Al</w:t>
      </w:r>
      <w:r w:rsidRPr="007F2D9E">
        <w:rPr>
          <w:color w:val="000000" w:themeColor="text1"/>
          <w:vertAlign w:val="subscript"/>
        </w:rPr>
        <w:t>2</w:t>
      </w:r>
      <w:r w:rsidRPr="007F2D9E">
        <w:rPr>
          <w:color w:val="000000" w:themeColor="text1"/>
        </w:rPr>
        <w:t>O</w:t>
      </w:r>
      <w:r w:rsidRPr="007F2D9E">
        <w:rPr>
          <w:color w:val="000000" w:themeColor="text1"/>
          <w:vertAlign w:val="subscript"/>
        </w:rPr>
        <w:t>3</w:t>
      </w:r>
      <w:r w:rsidRPr="007F2D9E">
        <w:rPr>
          <w:color w:val="000000" w:themeColor="text1"/>
        </w:rPr>
        <w:t>, TiO</w:t>
      </w:r>
      <w:r w:rsidRPr="007F2D9E">
        <w:rPr>
          <w:color w:val="000000" w:themeColor="text1"/>
          <w:vertAlign w:val="subscript"/>
        </w:rPr>
        <w:t>2</w:t>
      </w:r>
      <w:r w:rsidRPr="007F2D9E">
        <w:rPr>
          <w:color w:val="000000" w:themeColor="text1"/>
        </w:rPr>
        <w:t>, and CaO in the IBC melt at 1200</w:t>
      </w:r>
      <w:r w:rsidRPr="007F2D9E">
        <w:rPr>
          <w:color w:val="000000" w:themeColor="text1"/>
          <w:vertAlign w:val="superscript"/>
        </w:rPr>
        <w:t>º</w:t>
      </w:r>
      <w:r w:rsidRPr="007F2D9E">
        <w:rPr>
          <w:color w:val="000000" w:themeColor="text1"/>
        </w:rPr>
        <w:t>C and 0.55 GPa, all fall between 10</w:t>
      </w:r>
      <w:r w:rsidRPr="007F2D9E">
        <w:rPr>
          <w:color w:val="000000" w:themeColor="text1"/>
          <w:vertAlign w:val="superscript"/>
        </w:rPr>
        <w:t>-10</w:t>
      </w:r>
      <w:r w:rsidRPr="007F2D9E">
        <w:rPr>
          <w:color w:val="000000" w:themeColor="text1"/>
        </w:rPr>
        <w:t xml:space="preserve"> and 10</w:t>
      </w:r>
      <w:r w:rsidRPr="007F2D9E">
        <w:rPr>
          <w:color w:val="000000" w:themeColor="text1"/>
          <w:vertAlign w:val="superscript"/>
        </w:rPr>
        <w:t>-11</w:t>
      </w:r>
      <w:r w:rsidRPr="007F2D9E">
        <w:rPr>
          <w:color w:val="000000" w:themeColor="text1"/>
        </w:rPr>
        <w:t xml:space="preserve"> m</w:t>
      </w:r>
      <w:r w:rsidRPr="007F2D9E">
        <w:rPr>
          <w:color w:val="000000" w:themeColor="text1"/>
          <w:vertAlign w:val="superscript"/>
        </w:rPr>
        <w:t>2</w:t>
      </w:r>
      <w:r w:rsidRPr="007F2D9E">
        <w:rPr>
          <w:color w:val="000000" w:themeColor="text1"/>
        </w:rPr>
        <w:t>/s, respectively based on data from MRx#9 (</w:t>
      </w:r>
      <w:r w:rsidRPr="000531EB">
        <w:rPr>
          <w:b/>
          <w:bCs/>
          <w:color w:val="000000" w:themeColor="text1"/>
        </w:rPr>
        <w:t xml:space="preserve">Table </w:t>
      </w:r>
      <w:r w:rsidR="00EC4F9C" w:rsidRPr="000531EB">
        <w:rPr>
          <w:b/>
          <w:bCs/>
          <w:color w:val="000000" w:themeColor="text1"/>
        </w:rPr>
        <w:t>1.</w:t>
      </w:r>
      <w:r w:rsidRPr="000531EB">
        <w:rPr>
          <w:b/>
          <w:bCs/>
          <w:color w:val="000000" w:themeColor="text1"/>
        </w:rPr>
        <w:t>5</w:t>
      </w:r>
      <w:r w:rsidRPr="007F2D9E">
        <w:rPr>
          <w:color w:val="000000" w:themeColor="text1"/>
        </w:rPr>
        <w:t xml:space="preserve">). </w:t>
      </w:r>
    </w:p>
    <w:p w14:paraId="76A996A0" w14:textId="77777777" w:rsidR="00550312" w:rsidRDefault="00550312" w:rsidP="00550312">
      <w:pPr>
        <w:rPr>
          <w:color w:val="000000" w:themeColor="text1"/>
        </w:rPr>
      </w:pPr>
    </w:p>
    <w:p w14:paraId="6F1645B9" w14:textId="261E8008" w:rsidR="00B609E1" w:rsidRPr="00B609E1" w:rsidRDefault="00B609E1" w:rsidP="00550312">
      <w:pPr>
        <w:rPr>
          <w:color w:val="000000" w:themeColor="text1"/>
        </w:rPr>
        <w:sectPr w:rsidR="00B609E1" w:rsidRPr="00B609E1" w:rsidSect="00B60E1C">
          <w:pgSz w:w="12240" w:h="15840" w:code="1"/>
          <w:pgMar w:top="1440" w:right="1800" w:bottom="1872" w:left="1800" w:header="720" w:footer="1440" w:gutter="0"/>
          <w:cols w:space="720"/>
          <w:noEndnote/>
          <w:docGrid w:linePitch="360"/>
        </w:sectPr>
      </w:pPr>
    </w:p>
    <w:p w14:paraId="71A5F125" w14:textId="7A19AEAC" w:rsidR="00550312" w:rsidRDefault="00550312" w:rsidP="002816A1">
      <w:pPr>
        <w:pStyle w:val="Tables"/>
      </w:pPr>
      <w:bookmarkStart w:id="167" w:name="_Toc178246849"/>
      <w:bookmarkStart w:id="168" w:name="_Toc185263590"/>
      <w:r w:rsidRPr="00550312">
        <w:rPr>
          <w:b/>
          <w:bCs/>
        </w:rPr>
        <w:lastRenderedPageBreak/>
        <w:t>Table 1.5.</w:t>
      </w:r>
      <w:r>
        <w:t xml:space="preserve"> </w:t>
      </w:r>
      <w:r w:rsidRPr="00550312">
        <w:t>Effective binary diffusion coefficients (EBDC) of MgO, FeO, MnO, Al</w:t>
      </w:r>
      <w:r w:rsidRPr="00550312">
        <w:rPr>
          <w:vertAlign w:val="subscript"/>
        </w:rPr>
        <w:t>2</w:t>
      </w:r>
      <w:r w:rsidRPr="00550312">
        <w:t>O</w:t>
      </w:r>
      <w:r w:rsidRPr="00550312">
        <w:rPr>
          <w:vertAlign w:val="subscript"/>
        </w:rPr>
        <w:t>3</w:t>
      </w:r>
      <w:r w:rsidRPr="00550312">
        <w:t>, TiO</w:t>
      </w:r>
      <w:r>
        <w:rPr>
          <w:vertAlign w:val="subscript"/>
        </w:rPr>
        <w:t>2</w:t>
      </w:r>
      <w:r w:rsidRPr="00550312">
        <w:t>, and CaO for dunite dissolution in IBC melt at 1200ºC, 0.55 GPa.</w:t>
      </w:r>
      <w:bookmarkEnd w:id="167"/>
      <w:bookmarkEnd w:id="168"/>
    </w:p>
    <w:tbl>
      <w:tblPr>
        <w:tblW w:w="11120" w:type="dxa"/>
        <w:tblLook w:val="04A0" w:firstRow="1" w:lastRow="0" w:firstColumn="1" w:lastColumn="0" w:noHBand="0" w:noVBand="1"/>
      </w:tblPr>
      <w:tblGrid>
        <w:gridCol w:w="1840"/>
        <w:gridCol w:w="1160"/>
        <w:gridCol w:w="1160"/>
        <w:gridCol w:w="1160"/>
        <w:gridCol w:w="1160"/>
        <w:gridCol w:w="1160"/>
        <w:gridCol w:w="1160"/>
        <w:gridCol w:w="1160"/>
        <w:gridCol w:w="1160"/>
      </w:tblGrid>
      <w:tr w:rsidR="00A20D93" w14:paraId="68452B86" w14:textId="77777777" w:rsidTr="00A52736">
        <w:trPr>
          <w:trHeight w:val="380"/>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4928E" w14:textId="77777777" w:rsidR="00A20D93" w:rsidRDefault="00A20D93">
            <w:pPr>
              <w:jc w:val="center"/>
              <w:rPr>
                <w:color w:val="000000"/>
              </w:rPr>
            </w:pPr>
            <w:r>
              <w:rPr>
                <w:color w:val="000000"/>
              </w:rPr>
              <w:t> </w:t>
            </w:r>
          </w:p>
        </w:tc>
        <w:tc>
          <w:tcPr>
            <w:tcW w:w="23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72416" w14:textId="77777777" w:rsidR="00A20D93" w:rsidRDefault="00A20D93">
            <w:pPr>
              <w:jc w:val="center"/>
              <w:rPr>
                <w:color w:val="000000"/>
              </w:rPr>
            </w:pPr>
            <w:r>
              <w:rPr>
                <w:color w:val="000000"/>
              </w:rPr>
              <w:t>MgO</w:t>
            </w:r>
          </w:p>
        </w:tc>
        <w:tc>
          <w:tcPr>
            <w:tcW w:w="23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012F1" w14:textId="77777777" w:rsidR="00A20D93" w:rsidRDefault="00A20D93">
            <w:pPr>
              <w:jc w:val="center"/>
              <w:rPr>
                <w:color w:val="000000"/>
              </w:rPr>
            </w:pPr>
            <w:r>
              <w:rPr>
                <w:color w:val="000000"/>
              </w:rPr>
              <w:t>FeO</w:t>
            </w:r>
          </w:p>
        </w:tc>
        <w:tc>
          <w:tcPr>
            <w:tcW w:w="23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3952B" w14:textId="77777777" w:rsidR="00A20D93" w:rsidRDefault="00A20D93">
            <w:pPr>
              <w:jc w:val="center"/>
              <w:rPr>
                <w:color w:val="000000"/>
              </w:rPr>
            </w:pPr>
            <w:r>
              <w:rPr>
                <w:color w:val="000000"/>
              </w:rPr>
              <w:t>MnO</w:t>
            </w:r>
          </w:p>
        </w:tc>
        <w:tc>
          <w:tcPr>
            <w:tcW w:w="23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E88DB" w14:textId="77777777" w:rsidR="00A20D93" w:rsidRDefault="00A20D93">
            <w:pPr>
              <w:jc w:val="center"/>
              <w:rPr>
                <w:color w:val="000000"/>
              </w:rPr>
            </w:pPr>
            <w:r>
              <w:rPr>
                <w:color w:val="000000"/>
              </w:rPr>
              <w:t>Al</w:t>
            </w:r>
            <w:r>
              <w:rPr>
                <w:color w:val="000000"/>
                <w:vertAlign w:val="subscript"/>
              </w:rPr>
              <w:t>2</w:t>
            </w:r>
            <w:r>
              <w:rPr>
                <w:color w:val="000000"/>
              </w:rPr>
              <w:t>O</w:t>
            </w:r>
            <w:r>
              <w:rPr>
                <w:color w:val="000000"/>
                <w:vertAlign w:val="subscript"/>
              </w:rPr>
              <w:t>3</w:t>
            </w:r>
          </w:p>
        </w:tc>
      </w:tr>
      <w:tr w:rsidR="00A20D93" w14:paraId="6F8805A6" w14:textId="77777777" w:rsidTr="00A52736">
        <w:trPr>
          <w:trHeight w:val="32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39815" w14:textId="77777777" w:rsidR="00A20D93" w:rsidRDefault="00A20D93">
            <w:pPr>
              <w:jc w:val="center"/>
              <w:rPr>
                <w:color w:val="000000"/>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E46C0" w14:textId="77777777" w:rsidR="00A20D93" w:rsidRDefault="00A20D93">
            <w:pPr>
              <w:jc w:val="center"/>
              <w:rPr>
                <w:color w:val="000000"/>
              </w:rPr>
            </w:pPr>
            <w:r>
              <w:rPr>
                <w:color w:val="000000"/>
              </w:rPr>
              <w:t>val.</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D2DE2" w14:textId="77777777" w:rsidR="00A20D93" w:rsidRDefault="00A20D93">
            <w:pPr>
              <w:jc w:val="center"/>
              <w:rPr>
                <w:color w:val="000000"/>
              </w:rPr>
            </w:pPr>
            <w:r>
              <w:rPr>
                <w:color w:val="000000"/>
              </w:rPr>
              <w:t>1</w:t>
            </w:r>
            <w:r>
              <w:rPr>
                <w:rFonts w:ascii="Cambria Math" w:hAnsi="Cambria Math" w:cs="Cambria Math"/>
                <w:color w:val="000000"/>
              </w:rPr>
              <w:t>𝞂</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613CB" w14:textId="77777777" w:rsidR="00A20D93" w:rsidRDefault="00A20D93">
            <w:pPr>
              <w:jc w:val="center"/>
              <w:rPr>
                <w:color w:val="000000"/>
              </w:rPr>
            </w:pPr>
            <w:r>
              <w:rPr>
                <w:color w:val="000000"/>
              </w:rPr>
              <w:t>val.</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1FA4F" w14:textId="77777777" w:rsidR="00A20D93" w:rsidRDefault="00A20D93">
            <w:pPr>
              <w:jc w:val="center"/>
              <w:rPr>
                <w:color w:val="000000"/>
              </w:rPr>
            </w:pPr>
            <w:r>
              <w:rPr>
                <w:color w:val="000000"/>
              </w:rPr>
              <w:t>1</w:t>
            </w:r>
            <w:r>
              <w:rPr>
                <w:rFonts w:ascii="Cambria Math" w:hAnsi="Cambria Math" w:cs="Cambria Math"/>
                <w:color w:val="000000"/>
              </w:rPr>
              <w:t>𝞂</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C7EF2" w14:textId="77777777" w:rsidR="00A20D93" w:rsidRDefault="00A20D93">
            <w:pPr>
              <w:jc w:val="center"/>
              <w:rPr>
                <w:color w:val="000000"/>
              </w:rPr>
            </w:pPr>
            <w:r>
              <w:rPr>
                <w:color w:val="000000"/>
              </w:rPr>
              <w:t>val.</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EC004" w14:textId="77777777" w:rsidR="00A20D93" w:rsidRDefault="00A20D93">
            <w:pPr>
              <w:jc w:val="center"/>
              <w:rPr>
                <w:color w:val="000000"/>
              </w:rPr>
            </w:pPr>
            <w:r>
              <w:rPr>
                <w:color w:val="000000"/>
              </w:rPr>
              <w:t>1</w:t>
            </w:r>
            <w:r>
              <w:rPr>
                <w:rFonts w:ascii="Cambria Math" w:hAnsi="Cambria Math" w:cs="Cambria Math"/>
                <w:color w:val="000000"/>
              </w:rPr>
              <w:t>𝞂</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9127A" w14:textId="77777777" w:rsidR="00A20D93" w:rsidRDefault="00A20D93">
            <w:pPr>
              <w:jc w:val="center"/>
              <w:rPr>
                <w:color w:val="000000"/>
              </w:rPr>
            </w:pPr>
            <w:r>
              <w:rPr>
                <w:color w:val="000000"/>
              </w:rPr>
              <w:t>val.</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68E90" w14:textId="77777777" w:rsidR="00A20D93" w:rsidRDefault="00A20D93">
            <w:pPr>
              <w:jc w:val="center"/>
              <w:rPr>
                <w:color w:val="000000"/>
              </w:rPr>
            </w:pPr>
            <w:r>
              <w:rPr>
                <w:color w:val="000000"/>
              </w:rPr>
              <w:t>1</w:t>
            </w:r>
            <w:r>
              <w:rPr>
                <w:rFonts w:ascii="Cambria Math" w:hAnsi="Cambria Math" w:cs="Cambria Math"/>
                <w:color w:val="000000"/>
              </w:rPr>
              <w:t>𝞂</w:t>
            </w:r>
          </w:p>
        </w:tc>
      </w:tr>
      <w:tr w:rsidR="00A20D93" w14:paraId="2CCF9755" w14:textId="77777777" w:rsidTr="00A52736">
        <w:trPr>
          <w:trHeight w:val="36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D9B41" w14:textId="77777777" w:rsidR="00A20D93" w:rsidRDefault="00A20D93">
            <w:pPr>
              <w:jc w:val="center"/>
              <w:rPr>
                <w:color w:val="000000"/>
              </w:rPr>
            </w:pPr>
            <w:r>
              <w:rPr>
                <w:color w:val="000000"/>
              </w:rPr>
              <w:t>EBDC (m</w:t>
            </w:r>
            <w:r>
              <w:rPr>
                <w:color w:val="000000"/>
                <w:vertAlign w:val="superscript"/>
              </w:rPr>
              <w:t>2</w:t>
            </w:r>
            <w:r>
              <w:rPr>
                <w:color w:val="000000"/>
              </w:rPr>
              <w:t>/s)</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9E075" w14:textId="77777777" w:rsidR="00A20D93" w:rsidRDefault="00A20D93">
            <w:pPr>
              <w:jc w:val="center"/>
              <w:rPr>
                <w:color w:val="000000"/>
              </w:rPr>
            </w:pPr>
            <w:r>
              <w:rPr>
                <w:color w:val="000000"/>
              </w:rPr>
              <w:t>9.84E-11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4CC29" w14:textId="77777777" w:rsidR="00A20D93" w:rsidRDefault="00A20D93">
            <w:pPr>
              <w:jc w:val="center"/>
              <w:rPr>
                <w:color w:val="000000"/>
              </w:rPr>
            </w:pPr>
            <w:r>
              <w:rPr>
                <w:color w:val="000000"/>
              </w:rPr>
              <w:t>1.36E-11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90AB4" w14:textId="77777777" w:rsidR="00A20D93" w:rsidRDefault="00A20D93">
            <w:pPr>
              <w:jc w:val="center"/>
              <w:rPr>
                <w:color w:val="000000"/>
              </w:rPr>
            </w:pPr>
            <w:r>
              <w:rPr>
                <w:color w:val="000000"/>
              </w:rPr>
              <w:t>9.67E-11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C4BA4" w14:textId="77777777" w:rsidR="00A20D93" w:rsidRDefault="00A20D93">
            <w:pPr>
              <w:jc w:val="center"/>
              <w:rPr>
                <w:color w:val="000000"/>
              </w:rPr>
            </w:pPr>
            <w:r>
              <w:rPr>
                <w:color w:val="000000"/>
              </w:rPr>
              <w:t>5.28E-11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ED1E1" w14:textId="77777777" w:rsidR="00A20D93" w:rsidRDefault="00A20D93">
            <w:pPr>
              <w:jc w:val="center"/>
              <w:rPr>
                <w:color w:val="000000"/>
              </w:rPr>
            </w:pPr>
            <w:r>
              <w:rPr>
                <w:color w:val="000000"/>
              </w:rPr>
              <w:t>3.83E-11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695E1" w14:textId="77777777" w:rsidR="00A20D93" w:rsidRDefault="00A20D93">
            <w:pPr>
              <w:jc w:val="center"/>
              <w:rPr>
                <w:color w:val="000000"/>
              </w:rPr>
            </w:pPr>
            <w:r>
              <w:rPr>
                <w:color w:val="000000"/>
              </w:rPr>
              <w:t>3.57E-11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0BD5E" w14:textId="77777777" w:rsidR="00A20D93" w:rsidRDefault="00A20D93">
            <w:pPr>
              <w:jc w:val="center"/>
              <w:rPr>
                <w:color w:val="000000"/>
              </w:rPr>
            </w:pPr>
            <w:r>
              <w:rPr>
                <w:color w:val="000000"/>
              </w:rPr>
              <w:t>3.00E-11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D96D1" w14:textId="77777777" w:rsidR="00A20D93" w:rsidRDefault="00A20D93">
            <w:pPr>
              <w:jc w:val="center"/>
              <w:rPr>
                <w:color w:val="000000"/>
              </w:rPr>
            </w:pPr>
            <w:r>
              <w:rPr>
                <w:color w:val="000000"/>
              </w:rPr>
              <w:t>1.29E-11</w:t>
            </w:r>
          </w:p>
        </w:tc>
      </w:tr>
      <w:tr w:rsidR="00A20D93" w14:paraId="1C49C0EC" w14:textId="77777777" w:rsidTr="00A52736">
        <w:trPr>
          <w:trHeight w:val="36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D75B1" w14:textId="77777777" w:rsidR="00A20D93" w:rsidRDefault="00A20D93">
            <w:pPr>
              <w:jc w:val="center"/>
              <w:rPr>
                <w:color w:val="000000"/>
              </w:rPr>
            </w:pPr>
            <w:r>
              <w:rPr>
                <w:color w:val="000000"/>
              </w:rPr>
              <w:t>C</w:t>
            </w:r>
            <w:r>
              <w:rPr>
                <w:color w:val="000000"/>
                <w:vertAlign w:val="subscript"/>
              </w:rPr>
              <w:t>0</w:t>
            </w:r>
            <w:r>
              <w:rPr>
                <w:color w:val="000000"/>
              </w:rPr>
              <w:t xml:space="preserve"> (mol%)</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8CAA9" w14:textId="77777777" w:rsidR="00A20D93" w:rsidRDefault="00A20D93">
            <w:pPr>
              <w:jc w:val="center"/>
              <w:rPr>
                <w:color w:val="000000"/>
              </w:rPr>
            </w:pPr>
            <w:r>
              <w:rPr>
                <w:color w:val="000000"/>
              </w:rPr>
              <w:t>5.03</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39A8C" w14:textId="77777777" w:rsidR="00A20D93" w:rsidRDefault="00A20D93">
            <w:pPr>
              <w:jc w:val="center"/>
              <w:rPr>
                <w:color w:val="000000"/>
              </w:rPr>
            </w:pPr>
            <w:r>
              <w:rPr>
                <w:color w:val="000000"/>
              </w:rPr>
              <w:t>0.30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CCEF0" w14:textId="77777777" w:rsidR="00A20D93" w:rsidRDefault="00A20D93">
            <w:pPr>
              <w:jc w:val="center"/>
              <w:rPr>
                <w:color w:val="000000"/>
              </w:rPr>
            </w:pPr>
            <w:r>
              <w:rPr>
                <w:color w:val="000000"/>
              </w:rPr>
              <w:t>25.61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BC479" w14:textId="77777777" w:rsidR="00A20D93" w:rsidRDefault="00A20D93">
            <w:pPr>
              <w:jc w:val="center"/>
              <w:rPr>
                <w:color w:val="000000"/>
              </w:rPr>
            </w:pPr>
            <w:r>
              <w:rPr>
                <w:color w:val="000000"/>
              </w:rPr>
              <w:t>0.98</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D3663" w14:textId="77777777" w:rsidR="00A20D93" w:rsidRDefault="00A20D93">
            <w:pPr>
              <w:jc w:val="center"/>
              <w:rPr>
                <w:color w:val="000000"/>
              </w:rPr>
            </w:pPr>
            <w:r>
              <w:rPr>
                <w:color w:val="000000"/>
              </w:rPr>
              <w:t>0.81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C6B7A" w14:textId="77777777" w:rsidR="00A20D93" w:rsidRDefault="00A20D93">
            <w:pPr>
              <w:jc w:val="center"/>
              <w:rPr>
                <w:color w:val="000000"/>
              </w:rPr>
            </w:pPr>
            <w:r>
              <w:rPr>
                <w:color w:val="000000"/>
              </w:rPr>
              <w:t>0.12</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3F64C" w14:textId="77777777" w:rsidR="00A20D93" w:rsidRDefault="00A20D93">
            <w:pPr>
              <w:jc w:val="center"/>
              <w:rPr>
                <w:color w:val="000000"/>
              </w:rPr>
            </w:pPr>
            <w:r>
              <w:rPr>
                <w:color w:val="000000"/>
              </w:rPr>
              <w:t>3.57</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C8652" w14:textId="77777777" w:rsidR="00A20D93" w:rsidRDefault="00A20D93">
            <w:pPr>
              <w:jc w:val="center"/>
              <w:rPr>
                <w:color w:val="000000"/>
              </w:rPr>
            </w:pPr>
            <w:r>
              <w:rPr>
                <w:color w:val="000000"/>
              </w:rPr>
              <w:t>0.17</w:t>
            </w:r>
          </w:p>
        </w:tc>
      </w:tr>
      <w:tr w:rsidR="00A20D93" w14:paraId="71C39080" w14:textId="77777777" w:rsidTr="00A52736">
        <w:trPr>
          <w:trHeight w:val="32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ADC00" w14:textId="77777777" w:rsidR="00A20D93" w:rsidRDefault="00A20D93">
            <w:pPr>
              <w:jc w:val="center"/>
              <w:rPr>
                <w:i/>
                <w:iCs/>
                <w:color w:val="000000"/>
              </w:rPr>
            </w:pPr>
            <w:r>
              <w:rPr>
                <w:i/>
                <w:iCs/>
                <w:color w:val="000000"/>
              </w:rPr>
              <w:t>a</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6C3AB" w14:textId="77777777" w:rsidR="00A20D93" w:rsidRDefault="00A20D93">
            <w:pPr>
              <w:jc w:val="center"/>
              <w:rPr>
                <w:color w:val="000000"/>
              </w:rPr>
            </w:pPr>
            <w:r>
              <w:rPr>
                <w:color w:val="000000"/>
              </w:rPr>
              <w:t>0.035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D3E88" w14:textId="77777777" w:rsidR="00A20D93" w:rsidRDefault="00A20D93">
            <w:pPr>
              <w:jc w:val="center"/>
              <w:rPr>
                <w:color w:val="000000"/>
              </w:rPr>
            </w:pPr>
            <w:r>
              <w:rPr>
                <w:color w:val="000000"/>
              </w:rPr>
              <w:t>0.003</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49EDA" w14:textId="77777777" w:rsidR="00A20D93" w:rsidRDefault="00A20D93">
            <w:pPr>
              <w:jc w:val="center"/>
              <w:rPr>
                <w:color w:val="000000"/>
              </w:rPr>
            </w:pPr>
            <w:r>
              <w:rPr>
                <w:color w:val="000000"/>
              </w:rPr>
              <w:t>0.081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EFAEC" w14:textId="77777777" w:rsidR="00A20D93" w:rsidRDefault="00A20D93">
            <w:pPr>
              <w:jc w:val="center"/>
              <w:rPr>
                <w:color w:val="000000"/>
              </w:rPr>
            </w:pPr>
            <w:r>
              <w:rPr>
                <w:color w:val="000000"/>
              </w:rPr>
              <w:t>0.091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CEE86" w14:textId="77777777" w:rsidR="00A20D93" w:rsidRDefault="00A20D93">
            <w:pPr>
              <w:jc w:val="center"/>
              <w:rPr>
                <w:color w:val="000000"/>
              </w:rPr>
            </w:pPr>
            <w:r>
              <w:rPr>
                <w:color w:val="000000"/>
              </w:rPr>
              <w:t>0.120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76CC3" w14:textId="77777777" w:rsidR="00A20D93" w:rsidRDefault="00A20D93">
            <w:pPr>
              <w:jc w:val="center"/>
              <w:rPr>
                <w:color w:val="000000"/>
              </w:rPr>
            </w:pPr>
            <w:r>
              <w:rPr>
                <w:color w:val="000000"/>
              </w:rPr>
              <w:t>0.081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6445C4" w14:textId="77777777" w:rsidR="00A20D93" w:rsidRDefault="00A20D93">
            <w:pPr>
              <w:jc w:val="center"/>
              <w:rPr>
                <w:color w:val="000000"/>
              </w:rPr>
            </w:pPr>
            <w:r>
              <w:rPr>
                <w:color w:val="000000"/>
              </w:rPr>
              <w:t>0.067</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52A46" w14:textId="77777777" w:rsidR="00A20D93" w:rsidRDefault="00A20D93">
            <w:pPr>
              <w:jc w:val="center"/>
              <w:rPr>
                <w:color w:val="000000"/>
              </w:rPr>
            </w:pPr>
            <w:r>
              <w:rPr>
                <w:color w:val="000000"/>
              </w:rPr>
              <w:t>0.004</w:t>
            </w:r>
          </w:p>
        </w:tc>
      </w:tr>
      <w:tr w:rsidR="00A20D93" w14:paraId="7D468C23" w14:textId="77777777" w:rsidTr="00A52736">
        <w:trPr>
          <w:trHeight w:val="760"/>
        </w:trPr>
        <w:tc>
          <w:tcPr>
            <w:tcW w:w="1840" w:type="dxa"/>
            <w:tcBorders>
              <w:top w:val="single" w:sz="4" w:space="0" w:color="auto"/>
              <w:left w:val="single" w:sz="4" w:space="0" w:color="auto"/>
              <w:bottom w:val="nil"/>
              <w:right w:val="single" w:sz="4" w:space="0" w:color="auto"/>
            </w:tcBorders>
            <w:shd w:val="clear" w:color="auto" w:fill="auto"/>
            <w:vAlign w:val="center"/>
            <w:hideMark/>
          </w:tcPr>
          <w:p w14:paraId="768B6CDE" w14:textId="77777777" w:rsidR="00A20D93" w:rsidRDefault="00A20D93">
            <w:pPr>
              <w:jc w:val="center"/>
              <w:rPr>
                <w:color w:val="000000"/>
              </w:rPr>
            </w:pPr>
            <w:r>
              <w:rPr>
                <w:color w:val="000000"/>
              </w:rPr>
              <w:t>Dissolution rate (g m</w:t>
            </w:r>
            <w:r>
              <w:rPr>
                <w:color w:val="000000"/>
                <w:vertAlign w:val="superscript"/>
              </w:rPr>
              <w:t>-2</w:t>
            </w:r>
            <w:r>
              <w:rPr>
                <w:color w:val="000000"/>
              </w:rPr>
              <w:t xml:space="preserve"> s</w:t>
            </w:r>
            <w:r>
              <w:rPr>
                <w:color w:val="000000"/>
                <w:vertAlign w:val="superscript"/>
              </w:rPr>
              <w:t>-1/2</w:t>
            </w:r>
            <w:r>
              <w:rPr>
                <w:color w:val="000000"/>
              </w:rPr>
              <w:t>)</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5DDC6FEA" w14:textId="77777777" w:rsidR="00A20D93" w:rsidRDefault="00A20D93">
            <w:pPr>
              <w:jc w:val="center"/>
              <w:rPr>
                <w:color w:val="000000"/>
              </w:rPr>
            </w:pPr>
            <w:r>
              <w:rPr>
                <w:color w:val="000000"/>
              </w:rPr>
              <w:t>1.15</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6CBE5A2B" w14:textId="77777777" w:rsidR="00A20D93" w:rsidRDefault="00A20D93">
            <w:pPr>
              <w:jc w:val="center"/>
              <w:rPr>
                <w:color w:val="000000"/>
              </w:rPr>
            </w:pPr>
            <w:r>
              <w:rPr>
                <w:color w:val="000000"/>
              </w:rPr>
              <w:t>0.13</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5D960E9E" w14:textId="77777777" w:rsidR="00A20D93" w:rsidRDefault="00A20D93">
            <w:pPr>
              <w:jc w:val="center"/>
              <w:rPr>
                <w:color w:val="000000"/>
              </w:rPr>
            </w:pPr>
            <w:r>
              <w:rPr>
                <w:color w:val="000000"/>
              </w:rPr>
              <w:t>2.62</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60BBABEC" w14:textId="77777777" w:rsidR="00A20D93" w:rsidRDefault="00A20D93">
            <w:pPr>
              <w:jc w:val="center"/>
              <w:rPr>
                <w:color w:val="000000"/>
              </w:rPr>
            </w:pPr>
            <w:r>
              <w:rPr>
                <w:color w:val="000000"/>
              </w:rPr>
              <w:t>3.03</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1ABF657D" w14:textId="77777777" w:rsidR="00A20D93" w:rsidRDefault="00A20D93">
            <w:pPr>
              <w:jc w:val="center"/>
              <w:rPr>
                <w:color w:val="000000"/>
              </w:rPr>
            </w:pPr>
            <w:r>
              <w:rPr>
                <w:color w:val="000000"/>
              </w:rPr>
              <w:t>2.43</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3BA51D57" w14:textId="77777777" w:rsidR="00A20D93" w:rsidRDefault="00A20D93">
            <w:pPr>
              <w:jc w:val="center"/>
              <w:rPr>
                <w:color w:val="000000"/>
              </w:rPr>
            </w:pPr>
            <w:r>
              <w:rPr>
                <w:color w:val="000000"/>
              </w:rPr>
              <w:t>2.00</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48635D89" w14:textId="77777777" w:rsidR="00A20D93" w:rsidRDefault="00A20D93">
            <w:pPr>
              <w:jc w:val="center"/>
              <w:rPr>
                <w:color w:val="000000"/>
              </w:rPr>
            </w:pPr>
            <w:r>
              <w:rPr>
                <w:color w:val="000000"/>
              </w:rPr>
              <w:t>1.21</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27081CD3" w14:textId="77777777" w:rsidR="00A20D93" w:rsidRDefault="00A20D93">
            <w:pPr>
              <w:jc w:val="center"/>
              <w:rPr>
                <w:color w:val="000000"/>
              </w:rPr>
            </w:pPr>
            <w:r>
              <w:rPr>
                <w:color w:val="000000"/>
              </w:rPr>
              <w:t>0.27</w:t>
            </w:r>
          </w:p>
        </w:tc>
      </w:tr>
      <w:tr w:rsidR="00A20D93" w14:paraId="478BC5D6" w14:textId="77777777" w:rsidTr="00A52736">
        <w:trPr>
          <w:trHeight w:val="320"/>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167B117B" w14:textId="77777777" w:rsidR="00A20D93" w:rsidRDefault="00A20D93">
            <w:pPr>
              <w:jc w:val="center"/>
              <w:rPr>
                <w:color w:val="00000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0A5A4B6B" w14:textId="77777777" w:rsidR="00A20D93" w:rsidRDefault="00A20D93">
            <w:pPr>
              <w:jc w:val="center"/>
              <w:rPr>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450BF008" w14:textId="77777777" w:rsidR="00A20D93" w:rsidRDefault="00A20D93">
            <w:pPr>
              <w:jc w:val="center"/>
              <w:rPr>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76044A87" w14:textId="77777777" w:rsidR="00A20D93" w:rsidRDefault="00A20D93">
            <w:pPr>
              <w:jc w:val="center"/>
              <w:rPr>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1DAC2544" w14:textId="77777777" w:rsidR="00A20D93" w:rsidRDefault="00A20D93">
            <w:pPr>
              <w:jc w:val="center"/>
              <w:rPr>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701E5DDE" w14:textId="77777777" w:rsidR="00A20D93" w:rsidRDefault="00A20D93">
            <w:pPr>
              <w:jc w:val="center"/>
              <w:rPr>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58040861" w14:textId="77777777" w:rsidR="00A20D93" w:rsidRDefault="00A20D93">
            <w:pPr>
              <w:jc w:val="center"/>
              <w:rPr>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2DC25F76" w14:textId="77777777" w:rsidR="00A20D93" w:rsidRDefault="00A20D93">
            <w:pPr>
              <w:jc w:val="center"/>
              <w:rPr>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14D4ECC4" w14:textId="77777777" w:rsidR="00A20D93" w:rsidRDefault="00A20D93">
            <w:pPr>
              <w:jc w:val="center"/>
              <w:rPr>
                <w:sz w:val="20"/>
                <w:szCs w:val="20"/>
              </w:rPr>
            </w:pPr>
          </w:p>
        </w:tc>
      </w:tr>
      <w:tr w:rsidR="00A20D93" w14:paraId="305EF6B2" w14:textId="77777777" w:rsidTr="00A52736">
        <w:trPr>
          <w:trHeight w:val="1140"/>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18A24" w14:textId="77777777" w:rsidR="00A20D93" w:rsidRDefault="00A20D93">
            <w:pPr>
              <w:jc w:val="center"/>
              <w:rPr>
                <w:color w:val="000000"/>
              </w:rPr>
            </w:pPr>
            <w:r>
              <w:rPr>
                <w:color w:val="000000"/>
              </w:rPr>
              <w:t>Average dissolution rate (g m</w:t>
            </w:r>
            <w:r>
              <w:rPr>
                <w:color w:val="000000"/>
                <w:vertAlign w:val="superscript"/>
              </w:rPr>
              <w:t>-2</w:t>
            </w:r>
            <w:r>
              <w:rPr>
                <w:color w:val="000000"/>
              </w:rPr>
              <w:t xml:space="preserve"> s</w:t>
            </w:r>
            <w:r>
              <w:rPr>
                <w:color w:val="000000"/>
                <w:vertAlign w:val="superscript"/>
              </w:rPr>
              <w:t>-1/2</w:t>
            </w:r>
            <w:r>
              <w:rPr>
                <w:color w:val="000000"/>
              </w:rPr>
              <w:t>)</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D7A64" w14:textId="77777777" w:rsidR="00A20D93" w:rsidRDefault="00A20D93">
            <w:pPr>
              <w:jc w:val="center"/>
              <w:rPr>
                <w:color w:val="000000"/>
              </w:rPr>
            </w:pPr>
            <w:r>
              <w:rPr>
                <w:color w:val="000000"/>
              </w:rPr>
              <w:t>1.84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D3D12" w14:textId="77777777" w:rsidR="00A20D93" w:rsidRDefault="00A20D93">
            <w:pPr>
              <w:jc w:val="center"/>
              <w:rPr>
                <w:color w:val="000000"/>
              </w:rPr>
            </w:pPr>
            <w:r>
              <w:rPr>
                <w:color w:val="000000"/>
              </w:rPr>
              <w:t>0.68</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CC75D" w14:textId="77777777" w:rsidR="00A20D93" w:rsidRDefault="00A20D93">
            <w:pPr>
              <w:jc w:val="center"/>
              <w:rPr>
                <w:color w:val="000000"/>
              </w:rPr>
            </w:pPr>
            <w:r>
              <w:rPr>
                <w:color w:val="000000"/>
              </w:rPr>
              <w:t> </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8FCF3" w14:textId="77777777" w:rsidR="00A20D93" w:rsidRDefault="00A20D93">
            <w:pPr>
              <w:jc w:val="center"/>
              <w:rPr>
                <w:color w:val="000000"/>
              </w:rPr>
            </w:pPr>
            <w:r>
              <w:rPr>
                <w:color w:val="000000"/>
              </w:rPr>
              <w:t> </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CB8A9" w14:textId="77777777" w:rsidR="00A20D93" w:rsidRDefault="00A20D93">
            <w:pPr>
              <w:jc w:val="center"/>
              <w:rPr>
                <w:color w:val="000000"/>
              </w:rPr>
            </w:pPr>
            <w:r>
              <w:rPr>
                <w:color w:val="000000"/>
              </w:rPr>
              <w:t> </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5290C" w14:textId="77777777" w:rsidR="00A20D93" w:rsidRDefault="00A20D93">
            <w:pPr>
              <w:jc w:val="center"/>
              <w:rPr>
                <w:color w:val="000000"/>
              </w:rPr>
            </w:pPr>
            <w:r>
              <w:rPr>
                <w:color w:val="000000"/>
              </w:rPr>
              <w:t> </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4A2A7" w14:textId="77777777" w:rsidR="00A20D93" w:rsidRDefault="00A20D93">
            <w:pPr>
              <w:jc w:val="center"/>
              <w:rPr>
                <w:color w:val="000000"/>
              </w:rPr>
            </w:pPr>
            <w:r>
              <w:rPr>
                <w:color w:val="000000"/>
              </w:rPr>
              <w:t> </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0ACB8" w14:textId="77777777" w:rsidR="00A20D93" w:rsidRDefault="00A20D93">
            <w:pPr>
              <w:jc w:val="center"/>
              <w:rPr>
                <w:color w:val="000000"/>
              </w:rPr>
            </w:pPr>
            <w:r>
              <w:rPr>
                <w:color w:val="000000"/>
              </w:rPr>
              <w:t> </w:t>
            </w:r>
          </w:p>
        </w:tc>
      </w:tr>
    </w:tbl>
    <w:p w14:paraId="3BA1E762" w14:textId="77777777" w:rsidR="00550312" w:rsidRDefault="00550312" w:rsidP="00550312">
      <w:pPr>
        <w:rPr>
          <w:color w:val="000000"/>
        </w:rPr>
      </w:pPr>
    </w:p>
    <w:p w14:paraId="74C7820E" w14:textId="77777777" w:rsidR="009A04EA" w:rsidRDefault="009A04EA" w:rsidP="00550312">
      <w:pPr>
        <w:rPr>
          <w:color w:val="000000"/>
        </w:rPr>
      </w:pPr>
    </w:p>
    <w:p w14:paraId="25B29D99" w14:textId="77777777" w:rsidR="009A04EA" w:rsidRDefault="009A04EA" w:rsidP="00550312">
      <w:pPr>
        <w:rPr>
          <w:color w:val="000000"/>
        </w:rPr>
      </w:pPr>
    </w:p>
    <w:p w14:paraId="5F7C4009" w14:textId="77777777" w:rsidR="009A04EA" w:rsidRDefault="009A04EA" w:rsidP="00550312"/>
    <w:p w14:paraId="32AD205D" w14:textId="77777777" w:rsidR="00A20D93" w:rsidRDefault="00A20D93" w:rsidP="00550312"/>
    <w:p w14:paraId="6915C75B" w14:textId="77777777" w:rsidR="00A20D93" w:rsidRDefault="00A20D93" w:rsidP="00550312"/>
    <w:p w14:paraId="72122A86" w14:textId="77777777" w:rsidR="00A20D93" w:rsidRDefault="00A20D93" w:rsidP="00550312"/>
    <w:p w14:paraId="2E0B524D" w14:textId="77777777" w:rsidR="00A20D93" w:rsidRDefault="00A20D93" w:rsidP="00550312"/>
    <w:p w14:paraId="40B486EB" w14:textId="77777777" w:rsidR="00A20D93" w:rsidRDefault="00A20D93" w:rsidP="00550312"/>
    <w:p w14:paraId="2BD93682" w14:textId="77777777" w:rsidR="00A20D93" w:rsidRDefault="00A20D93" w:rsidP="00550312"/>
    <w:p w14:paraId="53D067A3" w14:textId="77777777" w:rsidR="00A20D93" w:rsidRDefault="00A20D93" w:rsidP="00550312"/>
    <w:p w14:paraId="0325FC64" w14:textId="77777777" w:rsidR="00A20D93" w:rsidRDefault="00A20D93" w:rsidP="00550312"/>
    <w:p w14:paraId="3BE55EAA" w14:textId="77777777" w:rsidR="00A20D93" w:rsidRDefault="00A20D93" w:rsidP="00550312"/>
    <w:p w14:paraId="26327E87" w14:textId="54E8A0EA" w:rsidR="00A20D93" w:rsidRDefault="00A20D93" w:rsidP="00550312">
      <w:r w:rsidRPr="005F2F90">
        <w:rPr>
          <w:b/>
          <w:bCs/>
        </w:rPr>
        <w:lastRenderedPageBreak/>
        <w:t>Table 1.5.</w:t>
      </w:r>
      <w:r>
        <w:t xml:space="preserve"> Continued.</w:t>
      </w:r>
    </w:p>
    <w:tbl>
      <w:tblPr>
        <w:tblW w:w="6480" w:type="dxa"/>
        <w:tblLook w:val="04A0" w:firstRow="1" w:lastRow="0" w:firstColumn="1" w:lastColumn="0" w:noHBand="0" w:noVBand="1"/>
      </w:tblPr>
      <w:tblGrid>
        <w:gridCol w:w="1840"/>
        <w:gridCol w:w="1160"/>
        <w:gridCol w:w="1160"/>
        <w:gridCol w:w="1160"/>
        <w:gridCol w:w="1160"/>
      </w:tblGrid>
      <w:tr w:rsidR="00A20D93" w14:paraId="10331B3F" w14:textId="77777777" w:rsidTr="00A20D93">
        <w:trPr>
          <w:trHeight w:val="380"/>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7AC1A" w14:textId="77777777" w:rsidR="00A20D93" w:rsidRDefault="00A20D93">
            <w:pPr>
              <w:jc w:val="center"/>
              <w:rPr>
                <w:color w:val="000000"/>
              </w:rPr>
            </w:pPr>
            <w:r>
              <w:rPr>
                <w:color w:val="000000"/>
              </w:rPr>
              <w:t> </w:t>
            </w:r>
          </w:p>
        </w:tc>
        <w:tc>
          <w:tcPr>
            <w:tcW w:w="23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246E6" w14:textId="77777777" w:rsidR="00A20D93" w:rsidRDefault="00A20D93">
            <w:pPr>
              <w:jc w:val="center"/>
              <w:rPr>
                <w:color w:val="000000"/>
              </w:rPr>
            </w:pPr>
            <w:r>
              <w:rPr>
                <w:color w:val="000000"/>
              </w:rPr>
              <w:t>TiO</w:t>
            </w:r>
            <w:r>
              <w:rPr>
                <w:color w:val="000000"/>
                <w:vertAlign w:val="subscript"/>
              </w:rPr>
              <w:t>2</w:t>
            </w:r>
          </w:p>
        </w:tc>
        <w:tc>
          <w:tcPr>
            <w:tcW w:w="23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6BD25" w14:textId="77777777" w:rsidR="00A20D93" w:rsidRDefault="00A20D93">
            <w:pPr>
              <w:jc w:val="center"/>
              <w:rPr>
                <w:color w:val="000000"/>
              </w:rPr>
            </w:pPr>
            <w:r>
              <w:rPr>
                <w:color w:val="000000"/>
              </w:rPr>
              <w:t>CaO</w:t>
            </w:r>
          </w:p>
        </w:tc>
      </w:tr>
      <w:tr w:rsidR="00A20D93" w14:paraId="34D7C800" w14:textId="77777777" w:rsidTr="00A20D93">
        <w:trPr>
          <w:trHeight w:val="32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A8FB75" w14:textId="77777777" w:rsidR="00A20D93" w:rsidRDefault="00A20D93">
            <w:pPr>
              <w:jc w:val="center"/>
              <w:rPr>
                <w:color w:val="000000"/>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37A7D" w14:textId="77777777" w:rsidR="00A20D93" w:rsidRDefault="00A20D93">
            <w:pPr>
              <w:jc w:val="center"/>
              <w:rPr>
                <w:color w:val="000000"/>
              </w:rPr>
            </w:pPr>
            <w:r>
              <w:rPr>
                <w:color w:val="000000"/>
              </w:rPr>
              <w:t>val.</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EF615" w14:textId="77777777" w:rsidR="00A20D93" w:rsidRDefault="00A20D93">
            <w:pPr>
              <w:jc w:val="center"/>
              <w:rPr>
                <w:color w:val="000000"/>
              </w:rPr>
            </w:pPr>
            <w:r>
              <w:rPr>
                <w:color w:val="000000"/>
              </w:rPr>
              <w:t>1</w:t>
            </w:r>
            <w:r>
              <w:rPr>
                <w:rFonts w:ascii="Cambria Math" w:hAnsi="Cambria Math" w:cs="Cambria Math"/>
                <w:color w:val="000000"/>
              </w:rPr>
              <w:t>𝞂</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737A52" w14:textId="77777777" w:rsidR="00A20D93" w:rsidRDefault="00A20D93">
            <w:pPr>
              <w:jc w:val="center"/>
              <w:rPr>
                <w:color w:val="000000"/>
              </w:rPr>
            </w:pPr>
            <w:r>
              <w:rPr>
                <w:color w:val="000000"/>
              </w:rPr>
              <w:t>val.</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8447A" w14:textId="77777777" w:rsidR="00A20D93" w:rsidRDefault="00A20D93">
            <w:pPr>
              <w:jc w:val="center"/>
              <w:rPr>
                <w:color w:val="000000"/>
              </w:rPr>
            </w:pPr>
            <w:r>
              <w:rPr>
                <w:color w:val="000000"/>
              </w:rPr>
              <w:t>1</w:t>
            </w:r>
            <w:r>
              <w:rPr>
                <w:rFonts w:ascii="Cambria Math" w:hAnsi="Cambria Math" w:cs="Cambria Math"/>
                <w:color w:val="000000"/>
              </w:rPr>
              <w:t>𝞂</w:t>
            </w:r>
          </w:p>
        </w:tc>
      </w:tr>
      <w:tr w:rsidR="00A20D93" w14:paraId="43E924CC" w14:textId="77777777" w:rsidTr="00A20D93">
        <w:trPr>
          <w:trHeight w:val="36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06D02" w14:textId="77777777" w:rsidR="00A20D93" w:rsidRDefault="00A20D93">
            <w:pPr>
              <w:jc w:val="center"/>
              <w:rPr>
                <w:color w:val="000000"/>
              </w:rPr>
            </w:pPr>
            <w:r>
              <w:rPr>
                <w:color w:val="000000"/>
              </w:rPr>
              <w:t>EBDC (m</w:t>
            </w:r>
            <w:r>
              <w:rPr>
                <w:color w:val="000000"/>
                <w:vertAlign w:val="superscript"/>
              </w:rPr>
              <w:t>2</w:t>
            </w:r>
            <w:r>
              <w:rPr>
                <w:color w:val="000000"/>
              </w:rPr>
              <w:t>/s)</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2CABB" w14:textId="77777777" w:rsidR="00A20D93" w:rsidRDefault="00A20D93">
            <w:pPr>
              <w:jc w:val="center"/>
              <w:rPr>
                <w:color w:val="000000"/>
              </w:rPr>
            </w:pPr>
            <w:r>
              <w:rPr>
                <w:color w:val="000000"/>
              </w:rPr>
              <w:t>2.56E-11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83C13" w14:textId="77777777" w:rsidR="00A20D93" w:rsidRDefault="00A20D93">
            <w:pPr>
              <w:jc w:val="center"/>
              <w:rPr>
                <w:color w:val="000000"/>
              </w:rPr>
            </w:pPr>
            <w:r>
              <w:rPr>
                <w:color w:val="000000"/>
              </w:rPr>
              <w:t>1.86E-11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5A46E" w14:textId="77777777" w:rsidR="00A20D93" w:rsidRDefault="00A20D93">
            <w:pPr>
              <w:jc w:val="center"/>
              <w:rPr>
                <w:color w:val="000000"/>
              </w:rPr>
            </w:pPr>
            <w:r>
              <w:rPr>
                <w:color w:val="000000"/>
              </w:rPr>
              <w:t>2.02E-11</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1EFCB" w14:textId="77777777" w:rsidR="00A20D93" w:rsidRDefault="00A20D93">
            <w:pPr>
              <w:jc w:val="center"/>
              <w:rPr>
                <w:color w:val="000000"/>
              </w:rPr>
            </w:pPr>
            <w:r>
              <w:rPr>
                <w:color w:val="000000"/>
              </w:rPr>
              <w:t>2.49E-11</w:t>
            </w:r>
          </w:p>
        </w:tc>
      </w:tr>
      <w:tr w:rsidR="00A20D93" w14:paraId="5DB4A812" w14:textId="77777777" w:rsidTr="00A20D93">
        <w:trPr>
          <w:trHeight w:val="36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58F15" w14:textId="77777777" w:rsidR="00A20D93" w:rsidRDefault="00A20D93">
            <w:pPr>
              <w:jc w:val="center"/>
              <w:rPr>
                <w:color w:val="000000"/>
              </w:rPr>
            </w:pPr>
            <w:r>
              <w:rPr>
                <w:color w:val="000000"/>
              </w:rPr>
              <w:t>C</w:t>
            </w:r>
            <w:r>
              <w:rPr>
                <w:color w:val="000000"/>
                <w:vertAlign w:val="subscript"/>
              </w:rPr>
              <w:t>0</w:t>
            </w:r>
            <w:r>
              <w:rPr>
                <w:color w:val="000000"/>
              </w:rPr>
              <w:t xml:space="preserve"> (mol%)</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F04D3" w14:textId="77777777" w:rsidR="00A20D93" w:rsidRDefault="00A20D93">
            <w:pPr>
              <w:jc w:val="center"/>
              <w:rPr>
                <w:color w:val="000000"/>
              </w:rPr>
            </w:pPr>
            <w:r>
              <w:rPr>
                <w:color w:val="000000"/>
              </w:rPr>
              <w:t>4.54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8F795" w14:textId="77777777" w:rsidR="00A20D93" w:rsidRDefault="00A20D93">
            <w:pPr>
              <w:jc w:val="center"/>
              <w:rPr>
                <w:color w:val="000000"/>
              </w:rPr>
            </w:pPr>
            <w:r>
              <w:rPr>
                <w:color w:val="000000"/>
              </w:rPr>
              <w:t>0.74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EDC4F" w14:textId="77777777" w:rsidR="00A20D93" w:rsidRDefault="00A20D93">
            <w:pPr>
              <w:jc w:val="center"/>
              <w:rPr>
                <w:color w:val="000000"/>
              </w:rPr>
            </w:pPr>
            <w:r>
              <w:rPr>
                <w:color w:val="000000"/>
              </w:rPr>
              <w:t>13.99</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6799F" w14:textId="77777777" w:rsidR="00A20D93" w:rsidRDefault="00A20D93">
            <w:pPr>
              <w:jc w:val="center"/>
              <w:rPr>
                <w:color w:val="000000"/>
              </w:rPr>
            </w:pPr>
            <w:r>
              <w:rPr>
                <w:color w:val="000000"/>
              </w:rPr>
              <w:t>3.66</w:t>
            </w:r>
          </w:p>
        </w:tc>
      </w:tr>
      <w:tr w:rsidR="00A20D93" w14:paraId="29EB2173" w14:textId="77777777" w:rsidTr="00A20D93">
        <w:trPr>
          <w:trHeight w:val="32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0A1A3" w14:textId="77777777" w:rsidR="00A20D93" w:rsidRDefault="00A20D93">
            <w:pPr>
              <w:jc w:val="center"/>
              <w:rPr>
                <w:i/>
                <w:iCs/>
                <w:color w:val="000000"/>
              </w:rPr>
            </w:pPr>
            <w:r>
              <w:rPr>
                <w:i/>
                <w:iCs/>
                <w:color w:val="000000"/>
              </w:rPr>
              <w:t>a</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65E806" w14:textId="77777777" w:rsidR="00A20D93" w:rsidRDefault="00A20D93">
            <w:pPr>
              <w:jc w:val="center"/>
              <w:rPr>
                <w:color w:val="000000"/>
              </w:rPr>
            </w:pPr>
            <w:r>
              <w:rPr>
                <w:color w:val="000000"/>
              </w:rPr>
              <w:t>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2E0C1" w14:textId="77777777" w:rsidR="00A20D93" w:rsidRDefault="00A20D93">
            <w:pPr>
              <w:jc w:val="center"/>
              <w:rPr>
                <w:color w:val="000000"/>
              </w:rPr>
            </w:pPr>
            <w:r>
              <w:rPr>
                <w:color w:val="000000"/>
              </w:rPr>
              <w:t>0.050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53D41" w14:textId="77777777" w:rsidR="00A20D93" w:rsidRDefault="00A20D93">
            <w:pPr>
              <w:jc w:val="center"/>
              <w:rPr>
                <w:color w:val="000000"/>
              </w:rPr>
            </w:pPr>
            <w:r>
              <w:rPr>
                <w:color w:val="000000"/>
              </w:rPr>
              <w:t>0.105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BCB17" w14:textId="77777777" w:rsidR="00A20D93" w:rsidRDefault="00A20D93">
            <w:pPr>
              <w:jc w:val="center"/>
              <w:rPr>
                <w:color w:val="000000"/>
              </w:rPr>
            </w:pPr>
            <w:r>
              <w:rPr>
                <w:color w:val="000000"/>
              </w:rPr>
              <w:t>0.079</w:t>
            </w:r>
          </w:p>
        </w:tc>
      </w:tr>
      <w:tr w:rsidR="00A20D93" w14:paraId="30ECAE01" w14:textId="77777777" w:rsidTr="00A20D93">
        <w:trPr>
          <w:trHeight w:val="760"/>
        </w:trPr>
        <w:tc>
          <w:tcPr>
            <w:tcW w:w="1840" w:type="dxa"/>
            <w:tcBorders>
              <w:top w:val="single" w:sz="4" w:space="0" w:color="auto"/>
              <w:left w:val="single" w:sz="4" w:space="0" w:color="auto"/>
              <w:bottom w:val="nil"/>
              <w:right w:val="single" w:sz="4" w:space="0" w:color="auto"/>
            </w:tcBorders>
            <w:shd w:val="clear" w:color="auto" w:fill="auto"/>
            <w:vAlign w:val="center"/>
            <w:hideMark/>
          </w:tcPr>
          <w:p w14:paraId="3C6F086D" w14:textId="77777777" w:rsidR="00A20D93" w:rsidRDefault="00A20D93">
            <w:pPr>
              <w:jc w:val="center"/>
              <w:rPr>
                <w:color w:val="000000"/>
              </w:rPr>
            </w:pPr>
            <w:r>
              <w:rPr>
                <w:color w:val="000000"/>
              </w:rPr>
              <w:t>Dissolution rate (g m</w:t>
            </w:r>
            <w:r>
              <w:rPr>
                <w:color w:val="000000"/>
                <w:vertAlign w:val="superscript"/>
              </w:rPr>
              <w:t>-2</w:t>
            </w:r>
            <w:r>
              <w:rPr>
                <w:color w:val="000000"/>
              </w:rPr>
              <w:t xml:space="preserve"> s</w:t>
            </w:r>
            <w:r>
              <w:rPr>
                <w:color w:val="000000"/>
                <w:vertAlign w:val="superscript"/>
              </w:rPr>
              <w:t>-1/2</w:t>
            </w:r>
            <w:r>
              <w:rPr>
                <w:color w:val="000000"/>
              </w:rPr>
              <w:t>)</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0AA31AAA" w14:textId="77777777" w:rsidR="00A20D93" w:rsidRDefault="00A20D93">
            <w:pPr>
              <w:jc w:val="center"/>
              <w:rPr>
                <w:color w:val="000000"/>
              </w:rPr>
            </w:pPr>
            <w:r>
              <w:rPr>
                <w:color w:val="000000"/>
              </w:rPr>
              <w:t>2.08</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2E428FCD" w14:textId="77777777" w:rsidR="00A20D93" w:rsidRDefault="00A20D93">
            <w:pPr>
              <w:jc w:val="center"/>
              <w:rPr>
                <w:color w:val="000000"/>
              </w:rPr>
            </w:pPr>
            <w:r>
              <w:rPr>
                <w:color w:val="000000"/>
              </w:rPr>
              <w:t>1.12</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4A936D1C" w14:textId="77777777" w:rsidR="00A20D93" w:rsidRDefault="00A20D93">
            <w:pPr>
              <w:jc w:val="center"/>
              <w:rPr>
                <w:color w:val="000000"/>
              </w:rPr>
            </w:pPr>
            <w:r>
              <w:rPr>
                <w:color w:val="000000"/>
              </w:rPr>
              <w:t>1.55</w:t>
            </w:r>
          </w:p>
        </w:tc>
        <w:tc>
          <w:tcPr>
            <w:tcW w:w="1160" w:type="dxa"/>
            <w:tcBorders>
              <w:top w:val="single" w:sz="4" w:space="0" w:color="auto"/>
              <w:left w:val="single" w:sz="4" w:space="0" w:color="auto"/>
              <w:bottom w:val="nil"/>
              <w:right w:val="single" w:sz="4" w:space="0" w:color="auto"/>
            </w:tcBorders>
            <w:shd w:val="clear" w:color="auto" w:fill="auto"/>
            <w:noWrap/>
            <w:vAlign w:val="center"/>
            <w:hideMark/>
          </w:tcPr>
          <w:p w14:paraId="14CDA982" w14:textId="77777777" w:rsidR="00A20D93" w:rsidRDefault="00A20D93">
            <w:pPr>
              <w:jc w:val="center"/>
              <w:rPr>
                <w:color w:val="000000"/>
              </w:rPr>
            </w:pPr>
            <w:r>
              <w:rPr>
                <w:color w:val="000000"/>
              </w:rPr>
              <w:t>1.51</w:t>
            </w:r>
          </w:p>
        </w:tc>
      </w:tr>
      <w:tr w:rsidR="00A20D93" w14:paraId="57582778" w14:textId="77777777" w:rsidTr="00A20D93">
        <w:trPr>
          <w:trHeight w:val="320"/>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02DC24AC" w14:textId="77777777" w:rsidR="00A20D93" w:rsidRDefault="00A20D93">
            <w:pPr>
              <w:jc w:val="center"/>
              <w:rPr>
                <w:color w:val="00000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527798D3" w14:textId="77777777" w:rsidR="00A20D93" w:rsidRDefault="00A20D93">
            <w:pPr>
              <w:jc w:val="center"/>
              <w:rPr>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512EB54A" w14:textId="77777777" w:rsidR="00A20D93" w:rsidRDefault="00A20D93">
            <w:pPr>
              <w:jc w:val="center"/>
              <w:rPr>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07EDB22D" w14:textId="77777777" w:rsidR="00A20D93" w:rsidRDefault="00A20D93">
            <w:pPr>
              <w:jc w:val="center"/>
              <w:rPr>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44D9171A" w14:textId="77777777" w:rsidR="00A20D93" w:rsidRDefault="00A20D93">
            <w:pPr>
              <w:jc w:val="center"/>
              <w:rPr>
                <w:sz w:val="20"/>
                <w:szCs w:val="20"/>
              </w:rPr>
            </w:pPr>
          </w:p>
        </w:tc>
      </w:tr>
      <w:tr w:rsidR="00A20D93" w14:paraId="3E4654C3" w14:textId="77777777" w:rsidTr="00A20D93">
        <w:trPr>
          <w:trHeight w:val="1140"/>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EF1D6D" w14:textId="77777777" w:rsidR="00A20D93" w:rsidRDefault="00A20D93">
            <w:pPr>
              <w:jc w:val="center"/>
              <w:rPr>
                <w:color w:val="000000"/>
              </w:rPr>
            </w:pPr>
            <w:r>
              <w:rPr>
                <w:color w:val="000000"/>
              </w:rPr>
              <w:t>Average dissolution rate (g m</w:t>
            </w:r>
            <w:r>
              <w:rPr>
                <w:color w:val="000000"/>
                <w:vertAlign w:val="superscript"/>
              </w:rPr>
              <w:t>-2</w:t>
            </w:r>
            <w:r>
              <w:rPr>
                <w:color w:val="000000"/>
              </w:rPr>
              <w:t xml:space="preserve"> s</w:t>
            </w:r>
            <w:r>
              <w:rPr>
                <w:color w:val="000000"/>
                <w:vertAlign w:val="superscript"/>
              </w:rPr>
              <w:t>-1/2</w:t>
            </w:r>
            <w:r>
              <w:rPr>
                <w:color w:val="000000"/>
              </w:rPr>
              <w:t>)</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8E1F2" w14:textId="77777777" w:rsidR="00A20D93" w:rsidRDefault="00A20D93">
            <w:pPr>
              <w:jc w:val="center"/>
              <w:rPr>
                <w:color w:val="000000"/>
              </w:rPr>
            </w:pPr>
            <w:r>
              <w:rPr>
                <w:color w:val="000000"/>
              </w:rPr>
              <w:t> </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0EACA" w14:textId="77777777" w:rsidR="00A20D93" w:rsidRDefault="00A20D93">
            <w:pPr>
              <w:jc w:val="center"/>
              <w:rPr>
                <w:color w:val="000000"/>
              </w:rPr>
            </w:pPr>
            <w:r>
              <w:rPr>
                <w:color w:val="000000"/>
              </w:rPr>
              <w:t> </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C141C" w14:textId="77777777" w:rsidR="00A20D93" w:rsidRDefault="00A20D93">
            <w:pPr>
              <w:jc w:val="center"/>
              <w:rPr>
                <w:color w:val="000000"/>
              </w:rPr>
            </w:pPr>
            <w:r>
              <w:rPr>
                <w:color w:val="000000"/>
              </w:rPr>
              <w:t> </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C5004" w14:textId="77777777" w:rsidR="00A20D93" w:rsidRDefault="00A20D93">
            <w:pPr>
              <w:jc w:val="center"/>
              <w:rPr>
                <w:color w:val="000000"/>
              </w:rPr>
            </w:pPr>
            <w:r>
              <w:rPr>
                <w:color w:val="000000"/>
              </w:rPr>
              <w:t> </w:t>
            </w:r>
          </w:p>
        </w:tc>
      </w:tr>
    </w:tbl>
    <w:p w14:paraId="617E73D9" w14:textId="36807BC9" w:rsidR="00A20D93" w:rsidRPr="00A20D93" w:rsidRDefault="00A20D93" w:rsidP="00550312">
      <w:pPr>
        <w:rPr>
          <w:color w:val="000000"/>
        </w:rPr>
      </w:pPr>
      <w:r>
        <w:rPr>
          <w:color w:val="000000"/>
        </w:rPr>
        <w:t xml:space="preserve">For dissolution rate calculations the estimated melt </w:t>
      </w:r>
      <w:r>
        <w:rPr>
          <w:rFonts w:ascii="Cambria Math" w:hAnsi="Cambria Math" w:cs="Cambria Math"/>
          <w:color w:val="000000"/>
        </w:rPr>
        <w:t>𝜌</w:t>
      </w:r>
      <w:r>
        <w:rPr>
          <w:color w:val="000000"/>
        </w:rPr>
        <w:t>= 3.286 (g/cm</w:t>
      </w:r>
      <w:r>
        <w:rPr>
          <w:color w:val="000000"/>
          <w:vertAlign w:val="superscript"/>
        </w:rPr>
        <w:t>3</w:t>
      </w:r>
      <w:r>
        <w:rPr>
          <w:color w:val="000000"/>
        </w:rPr>
        <w:t xml:space="preserve">). This was determined using the method of Bottinga and Weill (1970). Volume, thermal expansion, and compressibility data from Lange and Carmichael (1987) and Kress and Carmichael (1991) were used for the </w:t>
      </w:r>
      <w:r w:rsidR="004203D6">
        <w:rPr>
          <w:color w:val="000000"/>
        </w:rPr>
        <w:t>calculation</w:t>
      </w:r>
      <w:r>
        <w:rPr>
          <w:color w:val="000000"/>
        </w:rPr>
        <w:t>.</w:t>
      </w:r>
    </w:p>
    <w:p w14:paraId="6B7D00E1" w14:textId="77777777" w:rsidR="00A20D93" w:rsidRDefault="00A20D93" w:rsidP="00550312"/>
    <w:p w14:paraId="3C1290C0" w14:textId="77777777" w:rsidR="00550312" w:rsidRDefault="00550312" w:rsidP="00550312"/>
    <w:p w14:paraId="447DC4B8" w14:textId="0FAFF548" w:rsidR="00550312" w:rsidRPr="00550312" w:rsidRDefault="00550312" w:rsidP="00550312">
      <w:pPr>
        <w:sectPr w:rsidR="00550312" w:rsidRPr="00550312" w:rsidSect="00A20D93">
          <w:pgSz w:w="15840" w:h="12240" w:orient="landscape" w:code="1"/>
          <w:pgMar w:top="1800" w:right="1872" w:bottom="1800" w:left="1440" w:header="720" w:footer="1440" w:gutter="0"/>
          <w:cols w:space="720"/>
          <w:noEndnote/>
          <w:docGrid w:linePitch="360"/>
        </w:sectPr>
      </w:pPr>
    </w:p>
    <w:p w14:paraId="5E0E0596" w14:textId="77777777" w:rsidR="00B609E1" w:rsidRDefault="00B609E1" w:rsidP="003426D8">
      <w:pPr>
        <w:jc w:val="center"/>
        <w:rPr>
          <w:color w:val="000000" w:themeColor="text1"/>
        </w:rPr>
      </w:pPr>
      <w:r>
        <w:rPr>
          <w:noProof/>
          <w:color w:val="000000" w:themeColor="text1"/>
        </w:rPr>
        <w:lastRenderedPageBreak/>
        <w:drawing>
          <wp:inline distT="0" distB="0" distL="0" distR="0" wp14:anchorId="2CA26A9F" wp14:editId="22C19E00">
            <wp:extent cx="4953000" cy="5576138"/>
            <wp:effectExtent l="0" t="0" r="0" b="0"/>
            <wp:docPr id="729628218" name="Picture 25" descr="A collage of graph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28218" name="Picture 25" descr="A collage of graphs&#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982678" cy="5609550"/>
                    </a:xfrm>
                    <a:prstGeom prst="rect">
                      <a:avLst/>
                    </a:prstGeom>
                  </pic:spPr>
                </pic:pic>
              </a:graphicData>
            </a:graphic>
          </wp:inline>
        </w:drawing>
      </w:r>
    </w:p>
    <w:p w14:paraId="522E9DEA" w14:textId="649460FD" w:rsidR="00B609E1" w:rsidRDefault="00B609E1" w:rsidP="00D62AB9">
      <w:pPr>
        <w:pStyle w:val="FigureCaption"/>
      </w:pPr>
      <w:bookmarkStart w:id="169" w:name="_Toc182944857"/>
      <w:bookmarkStart w:id="170" w:name="_Toc183019404"/>
      <w:bookmarkStart w:id="171" w:name="_Toc185263414"/>
      <w:r w:rsidRPr="00A223C6">
        <w:rPr>
          <w:b/>
          <w:bCs/>
        </w:rPr>
        <w:t>Figure 1.9.</w:t>
      </w:r>
      <w:r w:rsidRPr="00971536">
        <w:t xml:space="preserve"> </w:t>
      </w:r>
      <w:r w:rsidRPr="00521204">
        <w:t>Elemental concentration profiles in the IBC melt from the reaction interface (i.e., 0 µm) to the top of the experiment (or top of the glass-dominated region of the experiment). Modeled diffusion profiles for MRx#9 with respect to (a) MgO, (b) FeO, (c) MnO, (d) Al</w:t>
      </w:r>
      <w:r w:rsidRPr="00521204">
        <w:rPr>
          <w:vertAlign w:val="subscript"/>
        </w:rPr>
        <w:t>2</w:t>
      </w:r>
      <w:r w:rsidRPr="00521204">
        <w:t>O</w:t>
      </w:r>
      <w:r w:rsidRPr="00521204">
        <w:rPr>
          <w:vertAlign w:val="subscript"/>
        </w:rPr>
        <w:t>3</w:t>
      </w:r>
      <w:r w:rsidRPr="00521204">
        <w:t>, (e) TiO</w:t>
      </w:r>
      <w:r w:rsidRPr="00521204">
        <w:rPr>
          <w:vertAlign w:val="subscript"/>
        </w:rPr>
        <w:t>2</w:t>
      </w:r>
      <w:r w:rsidRPr="00521204">
        <w:t>, and (f) CaO mol% are represented by the dashed line. In contrast to experiment MRx#9, MRx#5 and MRx#10 exhibit (b) MgO, (d) Al</w:t>
      </w:r>
      <w:r w:rsidRPr="00521204">
        <w:rPr>
          <w:vertAlign w:val="subscript"/>
        </w:rPr>
        <w:t>2</w:t>
      </w:r>
      <w:r w:rsidRPr="00521204">
        <w:t>O</w:t>
      </w:r>
      <w:r w:rsidRPr="00521204">
        <w:rPr>
          <w:vertAlign w:val="subscript"/>
        </w:rPr>
        <w:t>3</w:t>
      </w:r>
      <w:r w:rsidRPr="00521204">
        <w:t>, (e) TiO</w:t>
      </w:r>
      <w:r w:rsidRPr="00521204">
        <w:rPr>
          <w:vertAlign w:val="subscript"/>
        </w:rPr>
        <w:t>2</w:t>
      </w:r>
      <w:r w:rsidRPr="00521204">
        <w:t>, and (f) CaO variations consistent with uphill diffusion at the melt-rock interface, these experiments were run for hours whereas MRx#9 was run for 20 minutes (see legend). Distances for MRx#5, MRx#9, and MRx#10 data were determined by measuring the distance between the reaction interface and first point of the chemical transect. Sizable fractures were present near the interface of MRx#9 and ~1800 µm from the interface in MRx#10 resulting in data gaps. Parameters recovered from MRx#9 diffusion model fits can be found in Table 1.5. All experiments in this figure were run at 0.55 GPa and 1200 ºC.</w:t>
      </w:r>
      <w:bookmarkEnd w:id="169"/>
      <w:bookmarkEnd w:id="170"/>
      <w:bookmarkEnd w:id="171"/>
      <w:r>
        <w:br w:type="page"/>
      </w:r>
    </w:p>
    <w:p w14:paraId="653D98A4" w14:textId="77777777" w:rsidR="00B609E1" w:rsidRDefault="00B609E1" w:rsidP="00CD3CBA">
      <w:pPr>
        <w:spacing w:line="480" w:lineRule="auto"/>
      </w:pPr>
      <w:r w:rsidRPr="007F2D9E">
        <w:lastRenderedPageBreak/>
        <w:t>Van Orman and Grove (2000) calculate similar EBDCs of 1.92x10</w:t>
      </w:r>
      <w:r w:rsidRPr="007F2D9E">
        <w:rPr>
          <w:vertAlign w:val="superscript"/>
        </w:rPr>
        <w:t>-10</w:t>
      </w:r>
      <w:r w:rsidRPr="007F2D9E">
        <w:t xml:space="preserve"> ± 7.7x10</w:t>
      </w:r>
      <w:r w:rsidRPr="007F2D9E">
        <w:rPr>
          <w:vertAlign w:val="superscript"/>
        </w:rPr>
        <w:t>-11</w:t>
      </w:r>
      <w:r w:rsidRPr="007F2D9E">
        <w:t xml:space="preserve"> m</w:t>
      </w:r>
      <w:r w:rsidRPr="007F2D9E">
        <w:rPr>
          <w:vertAlign w:val="superscript"/>
        </w:rPr>
        <w:t>2</w:t>
      </w:r>
      <w:r w:rsidRPr="007F2D9E">
        <w:t>/s for MgO, 2.5x10</w:t>
      </w:r>
      <w:r w:rsidRPr="007F2D9E">
        <w:rPr>
          <w:vertAlign w:val="superscript"/>
        </w:rPr>
        <w:t>-11</w:t>
      </w:r>
      <w:r w:rsidRPr="007F2D9E">
        <w:t xml:space="preserve"> ± 6.3x10</w:t>
      </w:r>
      <w:r w:rsidRPr="007F2D9E">
        <w:rPr>
          <w:vertAlign w:val="superscript"/>
        </w:rPr>
        <w:t>-12</w:t>
      </w:r>
      <w:r w:rsidRPr="007F2D9E">
        <w:t xml:space="preserve"> m</w:t>
      </w:r>
      <w:r w:rsidRPr="007F2D9E">
        <w:rPr>
          <w:vertAlign w:val="superscript"/>
        </w:rPr>
        <w:t>2</w:t>
      </w:r>
      <w:r w:rsidRPr="007F2D9E">
        <w:t>/s for Al</w:t>
      </w:r>
      <w:r w:rsidRPr="007F2D9E">
        <w:rPr>
          <w:vertAlign w:val="subscript"/>
        </w:rPr>
        <w:t>2</w:t>
      </w:r>
      <w:r w:rsidRPr="007F2D9E">
        <w:t>O</w:t>
      </w:r>
      <w:r w:rsidRPr="007F2D9E">
        <w:rPr>
          <w:vertAlign w:val="subscript"/>
        </w:rPr>
        <w:t>3</w:t>
      </w:r>
      <w:r w:rsidRPr="007F2D9E">
        <w:t>, and 2.87x10</w:t>
      </w:r>
      <w:r w:rsidRPr="007F2D9E">
        <w:rPr>
          <w:vertAlign w:val="superscript"/>
        </w:rPr>
        <w:t>-11</w:t>
      </w:r>
      <w:r w:rsidRPr="007F2D9E">
        <w:t xml:space="preserve"> ± 1.0x10</w:t>
      </w:r>
      <w:r w:rsidRPr="007F2D9E">
        <w:rPr>
          <w:vertAlign w:val="superscript"/>
        </w:rPr>
        <w:t>-11</w:t>
      </w:r>
      <w:r w:rsidRPr="007F2D9E">
        <w:t xml:space="preserve"> m</w:t>
      </w:r>
      <w:r w:rsidRPr="007F2D9E">
        <w:rPr>
          <w:vertAlign w:val="superscript"/>
        </w:rPr>
        <w:t>2</w:t>
      </w:r>
      <w:r w:rsidRPr="007F2D9E">
        <w:t>/s for TiO</w:t>
      </w:r>
      <w:r w:rsidRPr="007F2D9E">
        <w:rPr>
          <w:vertAlign w:val="subscript"/>
        </w:rPr>
        <w:t>2</w:t>
      </w:r>
      <w:r w:rsidRPr="007F2D9E">
        <w:t xml:space="preserve"> at a higher temperature of 1350</w:t>
      </w:r>
      <w:r w:rsidRPr="007F2D9E">
        <w:rPr>
          <w:vertAlign w:val="superscript"/>
        </w:rPr>
        <w:t>º</w:t>
      </w:r>
      <w:r w:rsidRPr="007F2D9E">
        <w:t xml:space="preserve">C and 1.3 GPa for an analogous melt composition. Using the calculated EBDCs and the relationship between EBDC, mineral density, and the dimensionless parameter </w:t>
      </w:r>
      <m:oMath>
        <m:r>
          <w:rPr>
            <w:rFonts w:ascii="Cambria Math" w:hAnsi="Cambria Math"/>
          </w:rPr>
          <m:t>a</m:t>
        </m:r>
      </m:oMath>
      <w:r w:rsidRPr="007F2D9E">
        <w:t xml:space="preserve"> described in Zhang et al. (1989), we estimate a mean dissolution rate of 2.07±0.87 gm</w:t>
      </w:r>
      <w:r w:rsidRPr="007F2D9E">
        <w:rPr>
          <w:vertAlign w:val="superscript"/>
        </w:rPr>
        <w:t>-2</w:t>
      </w:r>
      <w:r w:rsidRPr="007F2D9E">
        <w:t>s</w:t>
      </w:r>
      <w:r w:rsidRPr="007F2D9E">
        <w:rPr>
          <w:vertAlign w:val="superscript"/>
        </w:rPr>
        <w:t>-1/2</w:t>
      </w:r>
      <w:r w:rsidRPr="007F2D9E">
        <w:t xml:space="preserve"> for dunite in MRx#9, within uncertainty of measured mean dissolution rate of 2.18±0.59 gm</w:t>
      </w:r>
      <w:r w:rsidRPr="007F2D9E">
        <w:rPr>
          <w:vertAlign w:val="superscript"/>
        </w:rPr>
        <w:t>-2</w:t>
      </w:r>
      <w:r w:rsidRPr="007F2D9E">
        <w:t>s</w:t>
      </w:r>
      <w:r w:rsidRPr="007F2D9E">
        <w:rPr>
          <w:vertAlign w:val="superscript"/>
        </w:rPr>
        <w:t>-1/2</w:t>
      </w:r>
      <w:r w:rsidRPr="007F2D9E">
        <w:t xml:space="preserve"> for diopside determined by Van Orman and Grove (2000).</w:t>
      </w:r>
    </w:p>
    <w:p w14:paraId="7AEBE0A8" w14:textId="46169015" w:rsidR="00CD3CBA" w:rsidRDefault="00B609E1" w:rsidP="00BF50A1">
      <w:pPr>
        <w:spacing w:line="480" w:lineRule="auto"/>
        <w:ind w:firstLine="720"/>
      </w:pPr>
      <w:r w:rsidRPr="007F2D9E">
        <w:t>Observing the change between the melt-rock interface position before and after the reaction experiments, we estimated the rate of interface retreat with respect experiment duration (</w:t>
      </w:r>
      <w:r w:rsidRPr="0054387D">
        <w:rPr>
          <w:b/>
          <w:bCs/>
        </w:rPr>
        <w:t>Figure 1.10</w:t>
      </w:r>
      <w:r w:rsidRPr="007F2D9E">
        <w:t>) (</w:t>
      </w:r>
      <w:r w:rsidRPr="0054387D">
        <w:rPr>
          <w:b/>
          <w:bCs/>
        </w:rPr>
        <w:t>Table 1.3</w:t>
      </w:r>
      <w:r w:rsidRPr="007F2D9E">
        <w:t xml:space="preserve">). These data indicate that the rate of interface retreat decreases as experimental duration increases (i.e., dunite dissolution slows over longer periods of time). We speculate that the decreasing dissolution rate is related to the degree of undersaturation of olivine in the IBC melt as it approaches the augite-olivine cotectic (Eq. </w:t>
      </w:r>
      <w:r>
        <w:t>1.</w:t>
      </w:r>
      <w:r w:rsidRPr="007F2D9E">
        <w:t>1). A similar change in dissolution rate was previously observed in low-temperature experimental studies, e.g., labradorite and gibbsite dissolution experiments, where the rate of dissolution decreased by a factor of ~4.5 as the saturation of the mineral in the solution increased (Nagy and Lasaga</w:t>
      </w:r>
      <w:r>
        <w:t>,</w:t>
      </w:r>
      <w:r w:rsidRPr="007F2D9E">
        <w:t xml:space="preserve"> 1992; Taylor </w:t>
      </w:r>
      <w:r>
        <w:t>et al., 20</w:t>
      </w:r>
      <w:r w:rsidRPr="007F2D9E">
        <w:t>00). The changing dissolution rate may also explain the lack of concentration variations in the dunite along the reaction interface of experiments MRx#9 and MRx#5. The rate of dunite dissolution in these experiments may exceed the rate of diffusive exchange within the dunite, so a diffusive exchange layer never forms in the dunite.</w:t>
      </w:r>
      <w:r w:rsidR="00CD3CBA">
        <w:br w:type="page"/>
      </w:r>
    </w:p>
    <w:p w14:paraId="14AA2B0F" w14:textId="32D56C75" w:rsidR="00073EED" w:rsidRDefault="00073EED" w:rsidP="00CD3CBA">
      <w:pPr>
        <w:jc w:val="center"/>
        <w:rPr>
          <w:color w:val="000000" w:themeColor="text1"/>
        </w:rPr>
      </w:pPr>
      <w:r>
        <w:rPr>
          <w:noProof/>
          <w:sz w:val="21"/>
          <w:szCs w:val="21"/>
        </w:rPr>
        <w:lastRenderedPageBreak/>
        <w:drawing>
          <wp:inline distT="0" distB="0" distL="0" distR="0" wp14:anchorId="401F2BE2" wp14:editId="06E3549F">
            <wp:extent cx="3886200" cy="3048000"/>
            <wp:effectExtent l="0" t="0" r="0" b="0"/>
            <wp:docPr id="109558878" name="Picture 11" descr="A graph of a graph showing different types of wa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58878" name="Picture 11" descr="A graph of a graph showing different types of water&#10;&#10;Description automatically generated with medium confidence"/>
                    <pic:cNvPicPr/>
                  </pic:nvPicPr>
                  <pic:blipFill>
                    <a:blip r:embed="rId54">
                      <a:extLst>
                        <a:ext uri="{28A0092B-C50C-407E-A947-70E740481C1C}">
                          <a14:useLocalDpi xmlns:a14="http://schemas.microsoft.com/office/drawing/2010/main" val="0"/>
                        </a:ext>
                      </a:extLst>
                    </a:blip>
                    <a:stretch>
                      <a:fillRect/>
                    </a:stretch>
                  </pic:blipFill>
                  <pic:spPr>
                    <a:xfrm>
                      <a:off x="0" y="0"/>
                      <a:ext cx="3886200" cy="3048000"/>
                    </a:xfrm>
                    <a:prstGeom prst="rect">
                      <a:avLst/>
                    </a:prstGeom>
                  </pic:spPr>
                </pic:pic>
              </a:graphicData>
            </a:graphic>
          </wp:inline>
        </w:drawing>
      </w:r>
    </w:p>
    <w:p w14:paraId="63189E58" w14:textId="77777777" w:rsidR="00073EED" w:rsidRPr="007F2D9E" w:rsidRDefault="00073EED" w:rsidP="001160F0">
      <w:pPr>
        <w:pStyle w:val="FigureCaption"/>
      </w:pPr>
      <w:bookmarkStart w:id="172" w:name="_Toc178246923"/>
      <w:bookmarkStart w:id="173" w:name="_Toc182944858"/>
      <w:bookmarkStart w:id="174" w:name="_Toc183019405"/>
      <w:bookmarkStart w:id="175" w:name="_Toc185263415"/>
      <w:r w:rsidRPr="001160F0">
        <w:rPr>
          <w:b/>
          <w:bCs/>
        </w:rPr>
        <w:t>Figure 1.10.</w:t>
      </w:r>
      <w:r w:rsidRPr="00971536">
        <w:t xml:space="preserve"> </w:t>
      </w:r>
      <w:r w:rsidRPr="00F62735">
        <w:t>Dunite dissolution rates plotted against the square root of time. Experiment MRx#12 was used to calculate the dunite dissolution rate at 1300°C and 2.02 GPa. Experiments MRx#5, MRx#9, and MRx#10 were used to calculate rates at 1200°C and 0.55 GPa.</w:t>
      </w:r>
      <w:bookmarkEnd w:id="172"/>
      <w:bookmarkEnd w:id="173"/>
      <w:bookmarkEnd w:id="174"/>
      <w:bookmarkEnd w:id="175"/>
    </w:p>
    <w:p w14:paraId="590F2C03" w14:textId="77777777" w:rsidR="00073EED" w:rsidRDefault="00073EED">
      <w:pPr>
        <w:rPr>
          <w:color w:val="000000" w:themeColor="text1"/>
        </w:rPr>
      </w:pPr>
    </w:p>
    <w:p w14:paraId="29DE568D" w14:textId="5A32113B" w:rsidR="00073EED" w:rsidRDefault="00073EED">
      <w:pPr>
        <w:rPr>
          <w:color w:val="000000" w:themeColor="text1"/>
        </w:rPr>
      </w:pPr>
      <w:r>
        <w:rPr>
          <w:color w:val="000000" w:themeColor="text1"/>
        </w:rPr>
        <w:br w:type="page"/>
      </w:r>
    </w:p>
    <w:p w14:paraId="170B6DC4" w14:textId="030EAE33" w:rsidR="00A278A8" w:rsidRDefault="00A278A8" w:rsidP="00B609E1">
      <w:pPr>
        <w:spacing w:line="480" w:lineRule="auto"/>
        <w:rPr>
          <w:color w:val="000000" w:themeColor="text1"/>
        </w:rPr>
      </w:pPr>
      <w:r w:rsidRPr="007F2D9E">
        <w:rPr>
          <w:color w:val="000000" w:themeColor="text1"/>
        </w:rPr>
        <w:lastRenderedPageBreak/>
        <w:t xml:space="preserve">Concentration variations along the dunite interface of MRx#10 formed because the melt became closer to olivine saturation, at which point the rate of diffusion in olivine exceeded the rate of dunite dissolution. </w:t>
      </w:r>
    </w:p>
    <w:p w14:paraId="26156EA1" w14:textId="77777777" w:rsidR="00CC1106" w:rsidRPr="00903E8A" w:rsidRDefault="00CC1106" w:rsidP="005552E2">
      <w:pPr>
        <w:pStyle w:val="Heading4"/>
      </w:pPr>
      <w:bookmarkStart w:id="176" w:name="_Toc183536577"/>
      <w:bookmarkStart w:id="177" w:name="_Toc184727380"/>
      <w:bookmarkStart w:id="178" w:name="_Toc185325626"/>
      <w:r w:rsidRPr="00903E8A">
        <w:t>Vein Formation</w:t>
      </w:r>
      <w:bookmarkEnd w:id="176"/>
      <w:bookmarkEnd w:id="177"/>
      <w:bookmarkEnd w:id="178"/>
    </w:p>
    <w:p w14:paraId="1F41DE59" w14:textId="7F9BA2AB" w:rsidR="00CC1106" w:rsidRPr="007F2D9E" w:rsidRDefault="00CC1106" w:rsidP="004B011B">
      <w:pPr>
        <w:spacing w:line="480" w:lineRule="auto"/>
        <w:ind w:firstLine="720"/>
        <w:rPr>
          <w:strike/>
          <w:color w:val="000000" w:themeColor="text1"/>
        </w:rPr>
      </w:pPr>
      <w:r w:rsidRPr="007F2D9E">
        <w:rPr>
          <w:color w:val="000000" w:themeColor="text1"/>
        </w:rPr>
        <w:t>The formation of veins along the IBC-dunite reaction interface in supersolidus experiments highlights the possible importance of advective infiltration mechanisms on lunar mantle hybridization. Melt infiltration features are often observed at the reaction interface in experimental studies exploring melt-rock reaction (Morgan and Liang</w:t>
      </w:r>
      <w:r>
        <w:rPr>
          <w:color w:val="000000" w:themeColor="text1"/>
        </w:rPr>
        <w:t>,</w:t>
      </w:r>
      <w:r w:rsidRPr="007F2D9E">
        <w:rPr>
          <w:color w:val="000000" w:themeColor="text1"/>
        </w:rPr>
        <w:t xml:space="preserve"> 2003, 2005; Beck </w:t>
      </w:r>
      <w:r>
        <w:rPr>
          <w:color w:val="000000" w:themeColor="text1"/>
        </w:rPr>
        <w:t>et al., 20</w:t>
      </w:r>
      <w:r w:rsidRPr="007F2D9E">
        <w:rPr>
          <w:color w:val="000000" w:themeColor="text1"/>
        </w:rPr>
        <w:t xml:space="preserve">06; Van Den Bleeken </w:t>
      </w:r>
      <w:r>
        <w:rPr>
          <w:color w:val="000000" w:themeColor="text1"/>
        </w:rPr>
        <w:t>et al., 20</w:t>
      </w:r>
      <w:r w:rsidRPr="007F2D9E">
        <w:rPr>
          <w:color w:val="000000" w:themeColor="text1"/>
        </w:rPr>
        <w:t xml:space="preserve">10; Pec </w:t>
      </w:r>
      <w:r>
        <w:rPr>
          <w:color w:val="000000" w:themeColor="text1"/>
        </w:rPr>
        <w:t>et al., 20</w:t>
      </w:r>
      <w:r w:rsidRPr="007F2D9E">
        <w:rPr>
          <w:color w:val="000000" w:themeColor="text1"/>
        </w:rPr>
        <w:t>20). These features are similar in scale to the veins in this study but are typically associated with pyroxene dissolution. Veins in MRx#12 appear to follow grain boundaries toward triple junctions (</w:t>
      </w:r>
      <w:r w:rsidR="00EC5C57" w:rsidRPr="0054387D">
        <w:rPr>
          <w:b/>
          <w:bCs/>
          <w:color w:val="000000" w:themeColor="text1"/>
        </w:rPr>
        <w:t>Figure A</w:t>
      </w:r>
      <w:r w:rsidRPr="0054387D">
        <w:rPr>
          <w:b/>
          <w:bCs/>
          <w:color w:val="000000" w:themeColor="text1"/>
        </w:rPr>
        <w:t>7</w:t>
      </w:r>
      <w:r w:rsidRPr="007F2D9E">
        <w:rPr>
          <w:color w:val="000000" w:themeColor="text1"/>
        </w:rPr>
        <w:t>). We speculate that olivine grain boundaries provide a permeable path for IBC melt to infiltrate the dunite and enhance the dissolution rate. This infiltration and dissolution process explains the jagged texture along the dunite interface. As grain boundaries dissolve, smaller residual cores are left behind.</w:t>
      </w:r>
    </w:p>
    <w:p w14:paraId="3CFBB73A" w14:textId="77777777" w:rsidR="00CC1106" w:rsidRPr="007F2D9E" w:rsidRDefault="00CC1106" w:rsidP="006E67B1">
      <w:pPr>
        <w:pStyle w:val="Heading3"/>
      </w:pPr>
      <w:bookmarkStart w:id="179" w:name="_Toc182331737"/>
      <w:bookmarkStart w:id="180" w:name="_Toc182995463"/>
      <w:bookmarkStart w:id="181" w:name="_Toc183536578"/>
      <w:bookmarkStart w:id="182" w:name="_Toc184727381"/>
      <w:bookmarkStart w:id="183" w:name="_Toc185325627"/>
      <w:r w:rsidRPr="007F2D9E">
        <w:t>Phase Equilibria</w:t>
      </w:r>
      <w:bookmarkEnd w:id="179"/>
      <w:bookmarkEnd w:id="180"/>
      <w:bookmarkEnd w:id="181"/>
      <w:bookmarkEnd w:id="182"/>
      <w:bookmarkEnd w:id="183"/>
      <w:r w:rsidRPr="007F2D9E">
        <w:t xml:space="preserve"> </w:t>
      </w:r>
    </w:p>
    <w:p w14:paraId="08DDB653" w14:textId="6F9C6940" w:rsidR="00C224D2" w:rsidRPr="0068611E" w:rsidRDefault="00CC1106" w:rsidP="0068611E">
      <w:pPr>
        <w:spacing w:line="480" w:lineRule="auto"/>
        <w:ind w:firstLine="720"/>
        <w:rPr>
          <w:color w:val="000000" w:themeColor="text1"/>
        </w:rPr>
      </w:pPr>
      <w:r w:rsidRPr="007F2D9E">
        <w:rPr>
          <w:color w:val="000000" w:themeColor="text1"/>
        </w:rPr>
        <w:t>Supersolidus and near solidus experiments MRx#1, MRx#3, MRx#8, and MRx#11 suggest that both Fe-Ti oxide and silicate mineral phase transitions occur at temperatures between 1100ºC and 1150ºC and pressures above 2.1 GPa (</w:t>
      </w:r>
      <w:r w:rsidRPr="00F4351C">
        <w:rPr>
          <w:b/>
          <w:bCs/>
          <w:color w:val="000000" w:themeColor="text1"/>
        </w:rPr>
        <w:t>Figure 1.11</w:t>
      </w:r>
      <w:r w:rsidRPr="007F2D9E">
        <w:rPr>
          <w:color w:val="000000" w:themeColor="text1"/>
        </w:rPr>
        <w:t>). Below, we compare the observations from this study and previous experimental studies and discuss their implications for IBC phase equilibria.</w:t>
      </w:r>
    </w:p>
    <w:p w14:paraId="36EF3460" w14:textId="77777777" w:rsidR="008E04AB" w:rsidRDefault="008E04AB">
      <w:pPr>
        <w:rPr>
          <w:color w:val="000000" w:themeColor="text1"/>
        </w:rPr>
      </w:pPr>
      <w:r>
        <w:rPr>
          <w:color w:val="000000" w:themeColor="text1"/>
        </w:rPr>
        <w:br w:type="page"/>
      </w:r>
    </w:p>
    <w:p w14:paraId="79592081" w14:textId="02128D3B" w:rsidR="00A278A8" w:rsidRDefault="008E04AB" w:rsidP="008E04AB">
      <w:pPr>
        <w:rPr>
          <w:color w:val="000000" w:themeColor="text1"/>
        </w:rPr>
      </w:pPr>
      <w:r>
        <w:rPr>
          <w:noProof/>
          <w:color w:val="000000" w:themeColor="text1"/>
        </w:rPr>
        <w:lastRenderedPageBreak/>
        <w:drawing>
          <wp:inline distT="0" distB="0" distL="0" distR="0" wp14:anchorId="1CC0C75C" wp14:editId="47C9C61A">
            <wp:extent cx="5384800" cy="4346479"/>
            <wp:effectExtent l="0" t="0" r="0" b="0"/>
            <wp:docPr id="206790285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902854" name="Picture 2067902854"/>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448683" cy="4398043"/>
                    </a:xfrm>
                    <a:prstGeom prst="rect">
                      <a:avLst/>
                    </a:prstGeom>
                  </pic:spPr>
                </pic:pic>
              </a:graphicData>
            </a:graphic>
          </wp:inline>
        </w:drawing>
      </w:r>
    </w:p>
    <w:p w14:paraId="324B4986" w14:textId="4EF7A3A9" w:rsidR="009B72E4" w:rsidRPr="004E3D97" w:rsidRDefault="008E04AB" w:rsidP="00A838F4">
      <w:pPr>
        <w:pStyle w:val="FigureCaption"/>
        <w:rPr>
          <w:b/>
          <w:bCs/>
          <w:iCs/>
          <w:szCs w:val="22"/>
        </w:rPr>
      </w:pPr>
      <w:bookmarkStart w:id="184" w:name="_Toc178246924"/>
      <w:bookmarkStart w:id="185" w:name="_Toc182944859"/>
      <w:bookmarkStart w:id="186" w:name="_Toc183019406"/>
      <w:bookmarkStart w:id="187" w:name="_Toc185263416"/>
      <w:r w:rsidRPr="00244C63">
        <w:rPr>
          <w:b/>
          <w:bCs/>
        </w:rPr>
        <w:t xml:space="preserve">Figure </w:t>
      </w:r>
      <w:r w:rsidR="007C526B" w:rsidRPr="00244C63">
        <w:rPr>
          <w:b/>
          <w:bCs/>
        </w:rPr>
        <w:t>1.</w:t>
      </w:r>
      <w:r w:rsidRPr="00244C63">
        <w:rPr>
          <w:b/>
          <w:bCs/>
        </w:rPr>
        <w:t>11.</w:t>
      </w:r>
      <w:r w:rsidRPr="00F63CF0">
        <w:t xml:space="preserve"> </w:t>
      </w:r>
      <w:r w:rsidRPr="003D0E17">
        <w:t>Ilmenite bearing cumulate phase diagram based on the observations from this work and previous experimental studies testing IBC and Ti-rich lunar relevant compositions (Haggerty and Lindsley</w:t>
      </w:r>
      <w:r w:rsidR="007C526B" w:rsidRPr="003D0E17">
        <w:t>,</w:t>
      </w:r>
      <w:r w:rsidRPr="003D0E17">
        <w:t xml:space="preserve"> 1970; Friel </w:t>
      </w:r>
      <w:r w:rsidR="008F5CFC" w:rsidRPr="003D0E17">
        <w:t>et al., 19</w:t>
      </w:r>
      <w:r w:rsidRPr="003D0E17">
        <w:t>77; Wyatt</w:t>
      </w:r>
      <w:r w:rsidR="007C526B" w:rsidRPr="003D0E17">
        <w:t>,</w:t>
      </w:r>
      <w:r w:rsidRPr="003D0E17">
        <w:t xml:space="preserve"> 1977; Van Orman and Grove</w:t>
      </w:r>
      <w:r w:rsidR="007C526B" w:rsidRPr="003D0E17">
        <w:t>,</w:t>
      </w:r>
      <w:r w:rsidRPr="003D0E17">
        <w:t xml:space="preserve"> 2000; Xirouchakis </w:t>
      </w:r>
      <w:r w:rsidR="008F5CFC" w:rsidRPr="003D0E17">
        <w:t>et al., 20</w:t>
      </w:r>
      <w:r w:rsidRPr="003D0E17">
        <w:t xml:space="preserve">02; Mallik </w:t>
      </w:r>
      <w:r w:rsidR="008F5CFC" w:rsidRPr="003D0E17">
        <w:t>et al., 20</w:t>
      </w:r>
      <w:r w:rsidRPr="003D0E17">
        <w:t>19). New experimental data from this study are blue and orange points representing experiments that did not and did exhibit dunite dissolution, respectively. Literature data are shown in black (Wyatt</w:t>
      </w:r>
      <w:r w:rsidR="007C526B" w:rsidRPr="003D0E17">
        <w:t>,</w:t>
      </w:r>
      <w:r w:rsidRPr="003D0E17">
        <w:t xml:space="preserve"> 1977; Van Orman and Grove</w:t>
      </w:r>
      <w:r w:rsidR="007C526B" w:rsidRPr="003D0E17">
        <w:t>,</w:t>
      </w:r>
      <w:r w:rsidRPr="003D0E17">
        <w:t xml:space="preserve"> 2000; Mallik </w:t>
      </w:r>
      <w:r w:rsidR="008F5CFC" w:rsidRPr="003D0E17">
        <w:t>et al., 20</w:t>
      </w:r>
      <w:r w:rsidRPr="003D0E17">
        <w:t>19). Experiments which resulted in dunite dissolution (orange) were not used to determine phase boundaries for the IBC. Black lines represent silicate assemblage boundaries ± oxides while gray lines indicate Fe-Ti oxide boundaries. Solid lines represent boundaries estimated using data from experiments conducted on IBC-related compositions. Solidus and liquidus are shown as thicker lines. Dashed lines represent phase boundaries inferred from non-IBC specific studies or trajectories of solid lines. Armalcolite phase boundaries in the lower left corner of the diagram are based on the results of Haggerty and Lindsley (1970), Friel et al. (1977), Xirouchakis et al. (2002), and Thacker et al. (2009). Dashed plagioclase stability boundary in the lower left corner of the diagram is an extrapolation based on the plagioclase stability boundary in the modeled TWM phase diagram from Johnson et al. (2021). Phases: Liquid (Liq), Clinopyroxene (Cpx), Plagioclase (Plag), Garnet (Grnt), Fe-Ti Oxide or Spinel (Ti-Ox/Sp), Ilmenite (Ilm), Ulvöspinel (Usp), Armalcolite (Arm), Rutile (Rt).</w:t>
      </w:r>
      <w:bookmarkEnd w:id="184"/>
      <w:bookmarkEnd w:id="185"/>
      <w:bookmarkEnd w:id="186"/>
      <w:bookmarkEnd w:id="187"/>
      <w:r w:rsidR="009B72E4">
        <w:br w:type="page"/>
      </w:r>
    </w:p>
    <w:p w14:paraId="0EBE2BD0" w14:textId="77777777" w:rsidR="0065178D" w:rsidRPr="00903E8A" w:rsidRDefault="0065178D" w:rsidP="0065178D">
      <w:pPr>
        <w:pStyle w:val="Heading4"/>
      </w:pPr>
      <w:bookmarkStart w:id="188" w:name="_Toc183536579"/>
      <w:bookmarkStart w:id="189" w:name="_Toc184727382"/>
      <w:bookmarkStart w:id="190" w:name="_Toc185325628"/>
      <w:bookmarkStart w:id="191" w:name="_Toc183536580"/>
      <w:bookmarkStart w:id="192" w:name="_Toc184727383"/>
      <w:r w:rsidRPr="00903E8A">
        <w:lastRenderedPageBreak/>
        <w:t>Fe-Ti Oxides</w:t>
      </w:r>
      <w:bookmarkEnd w:id="188"/>
      <w:bookmarkEnd w:id="189"/>
      <w:bookmarkEnd w:id="190"/>
    </w:p>
    <w:p w14:paraId="30A387EE" w14:textId="77777777" w:rsidR="0065178D" w:rsidRDefault="0065178D" w:rsidP="0065178D">
      <w:pPr>
        <w:spacing w:line="480" w:lineRule="auto"/>
        <w:ind w:firstLine="720"/>
      </w:pPr>
      <w:r w:rsidRPr="007F2D9E">
        <w:t>Results from this study and previous work (Van Orman and Grove</w:t>
      </w:r>
      <w:r>
        <w:t>,</w:t>
      </w:r>
      <w:r w:rsidRPr="007F2D9E">
        <w:t xml:space="preserve"> 2000; Thacker </w:t>
      </w:r>
      <w:r>
        <w:t>et al., 20</w:t>
      </w:r>
      <w:r w:rsidRPr="007F2D9E">
        <w:t xml:space="preserve">09; Mallik </w:t>
      </w:r>
      <w:r>
        <w:t>et al., 20</w:t>
      </w:r>
      <w:r w:rsidRPr="007F2D9E">
        <w:t>19) suggest ulvöspinel stability is temperature</w:t>
      </w:r>
      <w:r w:rsidRPr="007F2D9E">
        <w:rPr>
          <w:vertAlign w:val="subscript"/>
        </w:rPr>
        <w:t xml:space="preserve"> </w:t>
      </w:r>
      <w:r w:rsidRPr="007F2D9E">
        <w:t>dependent, with ulvöspinel absent in high-temperature experiments. Ulvöspinel is absent at 1050</w:t>
      </w:r>
      <w:r w:rsidRPr="007F2D9E">
        <w:rPr>
          <w:vertAlign w:val="superscript"/>
        </w:rPr>
        <w:t>º</w:t>
      </w:r>
      <w:r w:rsidRPr="007F2D9E">
        <w:t>C and 0.0001 GPa (Van Orman and Grove</w:t>
      </w:r>
      <w:r>
        <w:t>,</w:t>
      </w:r>
      <w:r w:rsidRPr="007F2D9E">
        <w:t xml:space="preserve"> 2000) and in the 2 GPa experiments from Mallik et al. (2019) and the current study conducted above 1100</w:t>
      </w:r>
      <w:r w:rsidRPr="007F2D9E">
        <w:rPr>
          <w:vertAlign w:val="superscript"/>
        </w:rPr>
        <w:t>º</w:t>
      </w:r>
      <w:r w:rsidRPr="007F2D9E">
        <w:t>C. Existing experimental data show no clear preference for either oxide between 1050</w:t>
      </w:r>
      <w:r w:rsidRPr="007F2D9E">
        <w:rPr>
          <w:vertAlign w:val="superscript"/>
        </w:rPr>
        <w:t>º</w:t>
      </w:r>
      <w:r w:rsidRPr="007F2D9E">
        <w:t>C and 1100</w:t>
      </w:r>
      <w:r w:rsidRPr="007F2D9E">
        <w:rPr>
          <w:vertAlign w:val="superscript"/>
        </w:rPr>
        <w:t>º</w:t>
      </w:r>
      <w:r w:rsidRPr="007F2D9E">
        <w:t>C; however, this may be related to compositional variations in the starting material (i.e., the higher FeO and lower TiO</w:t>
      </w:r>
      <w:r w:rsidRPr="007F2D9E">
        <w:rPr>
          <w:vertAlign w:val="subscript"/>
        </w:rPr>
        <w:t>2</w:t>
      </w:r>
      <w:r w:rsidRPr="007F2D9E">
        <w:t xml:space="preserve"> composition in this study (</w:t>
      </w:r>
      <w:r w:rsidRPr="00F4351C">
        <w:rPr>
          <w:b/>
          <w:bCs/>
        </w:rPr>
        <w:t>Table 1.1</w:t>
      </w:r>
      <w:r w:rsidRPr="007F2D9E">
        <w:t>) or the</w:t>
      </w:r>
      <w:r w:rsidRPr="007F2D9E">
        <w:rPr>
          <w:i/>
        </w:rPr>
        <w:t xml:space="preserve"> f</w:t>
      </w:r>
      <w:r w:rsidRPr="007F2D9E">
        <w:t>O</w:t>
      </w:r>
      <w:r w:rsidRPr="007F2D9E">
        <w:rPr>
          <w:vertAlign w:val="subscript"/>
        </w:rPr>
        <w:t>2</w:t>
      </w:r>
      <w:r w:rsidRPr="007F2D9E">
        <w:t xml:space="preserve"> conditions of the experiments (Anovitz </w:t>
      </w:r>
      <w:r>
        <w:t>et al., 19</w:t>
      </w:r>
      <w:r w:rsidRPr="007F2D9E">
        <w:t xml:space="preserve">85; Shepherd </w:t>
      </w:r>
      <w:r>
        <w:t>et al., 20</w:t>
      </w:r>
      <w:r w:rsidRPr="007F2D9E">
        <w:t>22). Given the absence of ulvöspinel in higher temperature experiments, we infer that ilmenite is the only oxide present at temperatures above ~1110</w:t>
      </w:r>
      <w:r w:rsidRPr="007F2D9E">
        <w:rPr>
          <w:vertAlign w:val="superscript"/>
        </w:rPr>
        <w:t>º</w:t>
      </w:r>
      <w:r w:rsidRPr="007F2D9E">
        <w:t>C at atmospheric pressure and ~1140</w:t>
      </w:r>
      <w:r w:rsidRPr="007F2D9E">
        <w:rPr>
          <w:vertAlign w:val="superscript"/>
        </w:rPr>
        <w:t>º</w:t>
      </w:r>
      <w:r w:rsidRPr="007F2D9E">
        <w:t>C at 2 GPa. At P-T conditions beneath the ilmenite-only stability field (i.e., &lt;1110</w:t>
      </w:r>
      <w:r w:rsidRPr="007F2D9E">
        <w:rPr>
          <w:vertAlign w:val="superscript"/>
        </w:rPr>
        <w:t>º</w:t>
      </w:r>
      <w:r w:rsidRPr="007F2D9E">
        <w:t>C at atmospheric pressure and &lt;1140</w:t>
      </w:r>
      <w:r w:rsidRPr="007F2D9E">
        <w:rPr>
          <w:vertAlign w:val="superscript"/>
        </w:rPr>
        <w:t>º</w:t>
      </w:r>
      <w:r w:rsidRPr="007F2D9E">
        <w:t>C at 2 GPa), we infer that ilmenite and ulvöspinel can coexist (</w:t>
      </w:r>
      <w:r w:rsidRPr="00F4351C">
        <w:rPr>
          <w:b/>
          <w:bCs/>
        </w:rPr>
        <w:t>Figure 1.11</w:t>
      </w:r>
      <w:r w:rsidRPr="007F2D9E">
        <w:t xml:space="preserve">). </w:t>
      </w:r>
    </w:p>
    <w:p w14:paraId="712E0133" w14:textId="0CA2863D" w:rsidR="0065178D" w:rsidRDefault="0065178D" w:rsidP="0065178D">
      <w:pPr>
        <w:spacing w:line="480" w:lineRule="auto"/>
        <w:ind w:firstLine="720"/>
      </w:pPr>
      <w:r w:rsidRPr="007F2D9E">
        <w:t>Armalcolite is a common Fe-Ti oxide observed in lunar rocks (Haggerty</w:t>
      </w:r>
      <w:r>
        <w:t>,</w:t>
      </w:r>
      <w:r w:rsidRPr="007F2D9E">
        <w:t xml:space="preserve"> 1973), but was not observed in the experiments from this study. If we consider the results of MgO-FeO-Fe</w:t>
      </w:r>
      <w:r w:rsidRPr="007F2D9E">
        <w:rPr>
          <w:vertAlign w:val="subscript"/>
        </w:rPr>
        <w:t>2</w:t>
      </w:r>
      <w:r w:rsidRPr="007F2D9E">
        <w:t>O</w:t>
      </w:r>
      <w:r w:rsidRPr="007F2D9E">
        <w:rPr>
          <w:vertAlign w:val="subscript"/>
        </w:rPr>
        <w:t>3</w:t>
      </w:r>
      <w:r w:rsidRPr="007F2D9E">
        <w:t>-TiO</w:t>
      </w:r>
      <w:r w:rsidRPr="007F2D9E">
        <w:rPr>
          <w:vertAlign w:val="subscript"/>
        </w:rPr>
        <w:t>2</w:t>
      </w:r>
      <w:r w:rsidRPr="007F2D9E">
        <w:t xml:space="preserve"> and FeO-Fe</w:t>
      </w:r>
      <w:r w:rsidRPr="007F2D9E">
        <w:rPr>
          <w:vertAlign w:val="subscript"/>
        </w:rPr>
        <w:t>2</w:t>
      </w:r>
      <w:r w:rsidRPr="007F2D9E">
        <w:t>O</w:t>
      </w:r>
      <w:r w:rsidRPr="007F2D9E">
        <w:rPr>
          <w:vertAlign w:val="subscript"/>
        </w:rPr>
        <w:t>3</w:t>
      </w:r>
      <w:r w:rsidRPr="007F2D9E">
        <w:t>-TiO</w:t>
      </w:r>
      <w:r w:rsidRPr="007F2D9E">
        <w:rPr>
          <w:vertAlign w:val="subscript"/>
        </w:rPr>
        <w:t>2</w:t>
      </w:r>
      <w:r w:rsidRPr="007F2D9E">
        <w:t xml:space="preserve"> system experiments (Haggerty and Lindsley</w:t>
      </w:r>
      <w:r>
        <w:t>,</w:t>
      </w:r>
      <w:r w:rsidRPr="007F2D9E">
        <w:t xml:space="preserve"> 1970; Friel </w:t>
      </w:r>
      <w:r>
        <w:t>et al., 19</w:t>
      </w:r>
      <w:r w:rsidRPr="007F2D9E">
        <w:t xml:space="preserve">77), thermodynamic models (Xirouchakis </w:t>
      </w:r>
      <w:r>
        <w:t>et al., 20</w:t>
      </w:r>
      <w:r w:rsidRPr="007F2D9E">
        <w:t>02; Xirouchikis</w:t>
      </w:r>
      <w:r>
        <w:t>,</w:t>
      </w:r>
      <w:r w:rsidRPr="007F2D9E">
        <w:t xml:space="preserve"> 2007),</w:t>
      </w:r>
      <w:r w:rsidRPr="007F2D9E">
        <w:rPr>
          <w:i/>
          <w:iCs/>
        </w:rPr>
        <w:t xml:space="preserve"> </w:t>
      </w:r>
      <w:r w:rsidRPr="007F2D9E">
        <w:t xml:space="preserve">and peridotitic experiments of Thacker et al. (2009), armalcolite would be expected in MRx#11; however, its absence in this experiment and similar experiments reported by Van Orman and Grove (2000) indicate that armalcolite is not stable within </w:t>
      </w:r>
      <w:r w:rsidRPr="007F2D9E">
        <w:lastRenderedPageBreak/>
        <w:t xml:space="preserve">the IBC-like systems at near-solidus conditions. With a lower metal:anion proportion than ilmenite, the stability of armalcolite may be </w:t>
      </w:r>
      <w:r w:rsidRPr="007F2D9E">
        <w:rPr>
          <w:i/>
        </w:rPr>
        <w:t>f</w:t>
      </w:r>
      <w:r w:rsidRPr="007F2D9E">
        <w:t>O</w:t>
      </w:r>
      <w:r w:rsidRPr="007F2D9E">
        <w:rPr>
          <w:vertAlign w:val="subscript"/>
        </w:rPr>
        <w:t>2</w:t>
      </w:r>
      <w:r w:rsidRPr="007F2D9E">
        <w:t>-dependent. Experiments of Shepherd et al. (2022), stabilized armalcolite in Ti-rich ferrobasaltic at</w:t>
      </w:r>
      <w:r w:rsidRPr="007F2D9E">
        <w:rPr>
          <w:i/>
        </w:rPr>
        <w:t xml:space="preserve"> f</w:t>
      </w:r>
      <w:r w:rsidRPr="007F2D9E">
        <w:t>O</w:t>
      </w:r>
      <w:r w:rsidRPr="007F2D9E">
        <w:rPr>
          <w:vertAlign w:val="subscript"/>
        </w:rPr>
        <w:t>2</w:t>
      </w:r>
      <w:r w:rsidRPr="007F2D9E">
        <w:t xml:space="preserve"> &gt;FMQ, but not at lower, lunar relevant, </w:t>
      </w:r>
      <w:r w:rsidRPr="007F2D9E">
        <w:rPr>
          <w:i/>
        </w:rPr>
        <w:t>f</w:t>
      </w:r>
      <w:r w:rsidRPr="007F2D9E">
        <w:t>O</w:t>
      </w:r>
      <w:r w:rsidRPr="007F2D9E">
        <w:rPr>
          <w:vertAlign w:val="subscript"/>
        </w:rPr>
        <w:t>2</w:t>
      </w:r>
      <w:r w:rsidRPr="007F2D9E">
        <w:t xml:space="preserve"> conditions.</w:t>
      </w:r>
    </w:p>
    <w:p w14:paraId="081A5408" w14:textId="77ED99B1" w:rsidR="00982A0D" w:rsidRPr="006D7B01" w:rsidRDefault="00982A0D" w:rsidP="00982A0D">
      <w:pPr>
        <w:pStyle w:val="Heading4"/>
      </w:pPr>
      <w:bookmarkStart w:id="193" w:name="_Toc185325629"/>
      <w:r w:rsidRPr="009543F4">
        <w:t>Garnet</w:t>
      </w:r>
      <w:bookmarkEnd w:id="191"/>
      <w:bookmarkEnd w:id="192"/>
      <w:bookmarkEnd w:id="193"/>
    </w:p>
    <w:p w14:paraId="5702238A" w14:textId="751663C9" w:rsidR="00982A0D" w:rsidRDefault="00982A0D" w:rsidP="00982A0D">
      <w:pPr>
        <w:spacing w:line="480" w:lineRule="auto"/>
        <w:ind w:firstLine="720"/>
        <w:rPr>
          <w:color w:val="000000" w:themeColor="text1"/>
        </w:rPr>
      </w:pPr>
      <w:r w:rsidRPr="007F2D9E">
        <w:rPr>
          <w:color w:val="000000" w:themeColor="text1"/>
        </w:rPr>
        <w:t xml:space="preserve">Garnet in the IBC side of the reaction couple at ~2 GPa is novel but may be anticipated given the stability of garnet in terrestrial mafic granulites and eclogites at pressures of ~1.5-2.0 GPa (Cohen </w:t>
      </w:r>
      <w:r>
        <w:rPr>
          <w:color w:val="000000" w:themeColor="text1"/>
        </w:rPr>
        <w:t>et al., 19</w:t>
      </w:r>
      <w:r w:rsidRPr="007F2D9E">
        <w:rPr>
          <w:color w:val="000000" w:themeColor="text1"/>
        </w:rPr>
        <w:t>67; Ito and Kennedy</w:t>
      </w:r>
      <w:r>
        <w:rPr>
          <w:color w:val="000000" w:themeColor="text1"/>
        </w:rPr>
        <w:t>,</w:t>
      </w:r>
      <w:r w:rsidRPr="007F2D9E">
        <w:rPr>
          <w:color w:val="000000" w:themeColor="text1"/>
        </w:rPr>
        <w:t xml:space="preserve"> 1971; Springer and Seck</w:t>
      </w:r>
      <w:r>
        <w:rPr>
          <w:color w:val="000000" w:themeColor="text1"/>
        </w:rPr>
        <w:t>,</w:t>
      </w:r>
      <w:r w:rsidRPr="007F2D9E">
        <w:rPr>
          <w:color w:val="000000" w:themeColor="text1"/>
        </w:rPr>
        <w:t xml:space="preserve"> 1997), which have a bulk composition comparable to the IBC material explored here. Mallik et al. (2019) show that garnet can be stable in an IBC cumulate and synthetic hybridized mantle sources; however, this was at pressures of ~4.5 GPa (i.e., analogous to the lunar core-mantle boundary). Multi-saturation experiments of red and green picritic glasses and Apollo 17 mare basalts indicate that garnet may be stable in the lunar mantle at pressures slightly above 2 GPa (Longhi </w:t>
      </w:r>
      <w:r>
        <w:rPr>
          <w:color w:val="000000" w:themeColor="text1"/>
        </w:rPr>
        <w:t>et al., 19</w:t>
      </w:r>
      <w:r w:rsidRPr="007F2D9E">
        <w:rPr>
          <w:color w:val="000000" w:themeColor="text1"/>
        </w:rPr>
        <w:t xml:space="preserve">74; Elkins-Tanton </w:t>
      </w:r>
      <w:r>
        <w:rPr>
          <w:color w:val="000000" w:themeColor="text1"/>
        </w:rPr>
        <w:t>et al., 20</w:t>
      </w:r>
      <w:r w:rsidRPr="007F2D9E">
        <w:rPr>
          <w:color w:val="000000" w:themeColor="text1"/>
        </w:rPr>
        <w:t>03; Krawczynski and Grove</w:t>
      </w:r>
      <w:r>
        <w:rPr>
          <w:color w:val="000000" w:themeColor="text1"/>
        </w:rPr>
        <w:t>,</w:t>
      </w:r>
      <w:r w:rsidRPr="007F2D9E">
        <w:rPr>
          <w:color w:val="000000" w:themeColor="text1"/>
        </w:rPr>
        <w:t xml:space="preserve"> 2012; Barr and Grove</w:t>
      </w:r>
      <w:r>
        <w:rPr>
          <w:color w:val="000000" w:themeColor="text1"/>
        </w:rPr>
        <w:t>,</w:t>
      </w:r>
      <w:r w:rsidRPr="007F2D9E">
        <w:rPr>
          <w:color w:val="000000" w:themeColor="text1"/>
        </w:rPr>
        <w:t xml:space="preserve"> 2013). THERMOCALC models for lunar primitive upper mantle (LPUM) and Taylor whole moon (TWM) compositions presented in Johnson et al. (2021) suggest that the garnet stability field may extend closer to ~1.25 GPa at 1000</w:t>
      </w:r>
      <w:r w:rsidRPr="007F2D9E">
        <w:rPr>
          <w:color w:val="000000" w:themeColor="text1"/>
          <w:vertAlign w:val="superscript"/>
        </w:rPr>
        <w:t xml:space="preserve"> º</w:t>
      </w:r>
      <w:r w:rsidRPr="007F2D9E">
        <w:rPr>
          <w:color w:val="000000" w:themeColor="text1"/>
        </w:rPr>
        <w:t>C.</w:t>
      </w:r>
    </w:p>
    <w:p w14:paraId="3347B172" w14:textId="03971B62" w:rsidR="00A278A8" w:rsidRPr="007F2D9E" w:rsidRDefault="00A278A8" w:rsidP="00E81516">
      <w:pPr>
        <w:spacing w:line="480" w:lineRule="auto"/>
        <w:ind w:firstLine="720"/>
        <w:rPr>
          <w:color w:val="000000" w:themeColor="text1"/>
        </w:rPr>
      </w:pPr>
      <w:r w:rsidRPr="007F2D9E">
        <w:rPr>
          <w:color w:val="000000" w:themeColor="text1"/>
        </w:rPr>
        <w:t>Garnets produced in our experiments are almandine normative relative to terrestrial garnets and garnets from previous experimental lunar studies (</w:t>
      </w:r>
      <w:r w:rsidRPr="00914BB1">
        <w:rPr>
          <w:b/>
          <w:bCs/>
          <w:color w:val="000000" w:themeColor="text1"/>
        </w:rPr>
        <w:t xml:space="preserve">Figure </w:t>
      </w:r>
      <w:r w:rsidR="007C526B" w:rsidRPr="00914BB1">
        <w:rPr>
          <w:b/>
          <w:bCs/>
          <w:color w:val="000000" w:themeColor="text1"/>
        </w:rPr>
        <w:t>1.</w:t>
      </w:r>
      <w:r w:rsidRPr="00914BB1">
        <w:rPr>
          <w:b/>
          <w:bCs/>
          <w:color w:val="000000" w:themeColor="text1"/>
        </w:rPr>
        <w:t>4</w:t>
      </w:r>
      <w:r w:rsidRPr="007F2D9E">
        <w:rPr>
          <w:color w:val="000000" w:themeColor="text1"/>
        </w:rPr>
        <w:t>). This is a consequence of the low Mg# of starting the IBC composition (</w:t>
      </w:r>
      <w:r w:rsidRPr="00914BB1">
        <w:rPr>
          <w:b/>
          <w:bCs/>
          <w:color w:val="000000" w:themeColor="text1"/>
        </w:rPr>
        <w:t xml:space="preserve">Table </w:t>
      </w:r>
      <w:r w:rsidR="007C526B" w:rsidRPr="00914BB1">
        <w:rPr>
          <w:b/>
          <w:bCs/>
          <w:color w:val="000000" w:themeColor="text1"/>
        </w:rPr>
        <w:t>1.</w:t>
      </w:r>
      <w:r w:rsidRPr="00914BB1">
        <w:rPr>
          <w:b/>
          <w:bCs/>
          <w:color w:val="000000" w:themeColor="text1"/>
        </w:rPr>
        <w:t>1</w:t>
      </w:r>
      <w:r w:rsidRPr="007F2D9E">
        <w:rPr>
          <w:color w:val="000000" w:themeColor="text1"/>
        </w:rPr>
        <w:t xml:space="preserve">). While the lower Mg# decreases the solidus temperature of the IBC composition in this study </w:t>
      </w:r>
      <w:r w:rsidRPr="007F2D9E">
        <w:rPr>
          <w:color w:val="000000" w:themeColor="text1"/>
        </w:rPr>
        <w:lastRenderedPageBreak/>
        <w:t xml:space="preserve">relative to previous work, the new results and literature suggest it has a negligible effect on the pressure at which garnet becomes stable (Longhi </w:t>
      </w:r>
      <w:r w:rsidR="008F5CFC">
        <w:rPr>
          <w:color w:val="000000" w:themeColor="text1"/>
        </w:rPr>
        <w:t>et al., 19</w:t>
      </w:r>
      <w:r w:rsidRPr="007F2D9E">
        <w:rPr>
          <w:color w:val="000000" w:themeColor="text1"/>
        </w:rPr>
        <w:t xml:space="preserve">74; Elkins-Tanton </w:t>
      </w:r>
      <w:r w:rsidR="008F5CFC">
        <w:rPr>
          <w:color w:val="000000" w:themeColor="text1"/>
        </w:rPr>
        <w:t>et al., 20</w:t>
      </w:r>
      <w:r w:rsidRPr="007F2D9E">
        <w:rPr>
          <w:color w:val="000000" w:themeColor="text1"/>
        </w:rPr>
        <w:t>03; Krawczynski and Grove</w:t>
      </w:r>
      <w:r w:rsidR="00EC4048">
        <w:rPr>
          <w:color w:val="000000" w:themeColor="text1"/>
        </w:rPr>
        <w:t>,</w:t>
      </w:r>
      <w:r w:rsidRPr="007F2D9E">
        <w:rPr>
          <w:color w:val="000000" w:themeColor="text1"/>
        </w:rPr>
        <w:t xml:space="preserve"> 2012; Barr and Grove</w:t>
      </w:r>
      <w:r w:rsidR="00EC4048">
        <w:rPr>
          <w:color w:val="000000" w:themeColor="text1"/>
        </w:rPr>
        <w:t>,</w:t>
      </w:r>
      <w:r w:rsidRPr="007F2D9E">
        <w:rPr>
          <w:color w:val="000000" w:themeColor="text1"/>
        </w:rPr>
        <w:t xml:space="preserve"> 2013). Considering these results, we infer garnet will be stable in overturned IBC in the lunar interior at pressures around </w:t>
      </w:r>
      <w:r w:rsidRPr="007F2D9E">
        <w:rPr>
          <w:rFonts w:eastAsiaTheme="minorEastAsia"/>
          <w:color w:val="000000" w:themeColor="text1"/>
        </w:rPr>
        <w:t>2 GPa; however, garnet stability may extend toward lower P-T conditions (</w:t>
      </w:r>
      <w:r w:rsidRPr="00914BB1">
        <w:rPr>
          <w:rFonts w:eastAsiaTheme="minorEastAsia"/>
          <w:b/>
          <w:bCs/>
          <w:color w:val="000000" w:themeColor="text1"/>
        </w:rPr>
        <w:t xml:space="preserve">Figure </w:t>
      </w:r>
      <w:r w:rsidR="007C526B" w:rsidRPr="00914BB1">
        <w:rPr>
          <w:rFonts w:eastAsiaTheme="minorEastAsia"/>
          <w:b/>
          <w:bCs/>
          <w:color w:val="000000" w:themeColor="text1"/>
        </w:rPr>
        <w:t>1.</w:t>
      </w:r>
      <w:r w:rsidRPr="00914BB1">
        <w:rPr>
          <w:rFonts w:eastAsiaTheme="minorEastAsia"/>
          <w:b/>
          <w:bCs/>
          <w:color w:val="000000" w:themeColor="text1"/>
        </w:rPr>
        <w:t>11</w:t>
      </w:r>
      <w:r w:rsidRPr="007F2D9E">
        <w:rPr>
          <w:rFonts w:eastAsiaTheme="minorEastAsia"/>
          <w:color w:val="000000" w:themeColor="text1"/>
        </w:rPr>
        <w:t>)</w:t>
      </w:r>
      <w:r w:rsidRPr="007F2D9E">
        <w:rPr>
          <w:color w:val="000000" w:themeColor="text1"/>
        </w:rPr>
        <w:t>. This is significant as garnet is not predicted to be a product of lunar magma ocean solidification for bulk Moon compositions with Al</w:t>
      </w:r>
      <w:r w:rsidRPr="007F2D9E">
        <w:rPr>
          <w:color w:val="000000" w:themeColor="text1"/>
          <w:vertAlign w:val="subscript"/>
        </w:rPr>
        <w:t>2</w:t>
      </w:r>
      <w:r w:rsidRPr="007F2D9E">
        <w:rPr>
          <w:color w:val="000000" w:themeColor="text1"/>
        </w:rPr>
        <w:t>O</w:t>
      </w:r>
      <w:r w:rsidRPr="007F2D9E">
        <w:rPr>
          <w:color w:val="000000" w:themeColor="text1"/>
          <w:vertAlign w:val="subscript"/>
        </w:rPr>
        <w:t>3</w:t>
      </w:r>
      <w:r w:rsidRPr="007F2D9E">
        <w:rPr>
          <w:color w:val="000000" w:themeColor="text1"/>
        </w:rPr>
        <w:t xml:space="preserve"> contents in agreement with crustal thickness constraints (i.e., LPUM; Elardo </w:t>
      </w:r>
      <w:r w:rsidR="008F5CFC">
        <w:rPr>
          <w:color w:val="000000" w:themeColor="text1"/>
        </w:rPr>
        <w:t>et al., 20</w:t>
      </w:r>
      <w:r w:rsidRPr="007F2D9E">
        <w:rPr>
          <w:color w:val="000000" w:themeColor="text1"/>
        </w:rPr>
        <w:t>11; Taylor and Wieczorek</w:t>
      </w:r>
      <w:r w:rsidR="00EC4048">
        <w:rPr>
          <w:color w:val="000000" w:themeColor="text1"/>
        </w:rPr>
        <w:t>,</w:t>
      </w:r>
      <w:r w:rsidRPr="007F2D9E">
        <w:rPr>
          <w:color w:val="000000" w:themeColor="text1"/>
        </w:rPr>
        <w:t xml:space="preserve"> 2014; Charlier </w:t>
      </w:r>
      <w:r w:rsidR="008F5CFC">
        <w:rPr>
          <w:color w:val="000000" w:themeColor="text1"/>
        </w:rPr>
        <w:t>et al., 20</w:t>
      </w:r>
      <w:r w:rsidRPr="007F2D9E">
        <w:rPr>
          <w:color w:val="000000" w:themeColor="text1"/>
        </w:rPr>
        <w:t xml:space="preserve">18). Formation of metamorphic garnet in downwelling IBC during cumulate mantle overturn represents a plausible mechanism for delivering geochemical signatures of garnet to hybridized lunar basalt source regions. This is discussed further in </w:t>
      </w:r>
      <w:r>
        <w:rPr>
          <w:color w:val="000000" w:themeColor="text1"/>
        </w:rPr>
        <w:t>Metamorphic Reactions section below.</w:t>
      </w:r>
    </w:p>
    <w:p w14:paraId="606F3715" w14:textId="51A57486" w:rsidR="00A278A8" w:rsidRPr="00A278A8" w:rsidRDefault="001622E8" w:rsidP="002F7368">
      <w:pPr>
        <w:pStyle w:val="Heading2"/>
      </w:pPr>
      <w:r>
        <w:t xml:space="preserve"> </w:t>
      </w:r>
      <w:bookmarkStart w:id="194" w:name="_Toc182331738"/>
      <w:bookmarkStart w:id="195" w:name="_Toc182995464"/>
      <w:bookmarkStart w:id="196" w:name="_Toc183536581"/>
      <w:bookmarkStart w:id="197" w:name="_Toc184727384"/>
      <w:bookmarkStart w:id="198" w:name="_Toc185325630"/>
      <w:r w:rsidR="00A278A8" w:rsidRPr="00A278A8">
        <w:t>Implications for the Lunar Mantle</w:t>
      </w:r>
      <w:bookmarkEnd w:id="194"/>
      <w:bookmarkEnd w:id="195"/>
      <w:bookmarkEnd w:id="196"/>
      <w:bookmarkEnd w:id="197"/>
      <w:bookmarkEnd w:id="198"/>
    </w:p>
    <w:p w14:paraId="2D2B4E74" w14:textId="772E2347" w:rsidR="00A278A8" w:rsidRPr="007F2D9E" w:rsidRDefault="00A278A8" w:rsidP="00E81516">
      <w:pPr>
        <w:spacing w:line="480" w:lineRule="auto"/>
        <w:ind w:firstLine="720"/>
        <w:rPr>
          <w:color w:val="000000" w:themeColor="text1"/>
        </w:rPr>
      </w:pPr>
      <w:r w:rsidRPr="007F2D9E">
        <w:rPr>
          <w:color w:val="000000" w:themeColor="text1"/>
        </w:rPr>
        <w:t xml:space="preserve">Density-driven overturn of late crystallizing IBC would juxtapose the IBC material and mafic early crystallizing LMO cumulates, promoting metamorphic reactions, melting, mineral dissolution, thermal diffusion, and elemental diffusion that led to hybridization of lunar mantle basalt sources. Mechanical mixing due to cumulate overturn or subsequent convective stirring would further mix lunar basalt sources. In this section, we discuss the first-order implications of melt-rock experiments from this study concerning chemical implications of lunar cumulate overturn. </w:t>
      </w:r>
    </w:p>
    <w:p w14:paraId="716D92E0" w14:textId="77777777" w:rsidR="00A278A8" w:rsidRPr="007F2D9E" w:rsidRDefault="00A278A8" w:rsidP="006E67B1">
      <w:pPr>
        <w:pStyle w:val="Heading3"/>
      </w:pPr>
      <w:bookmarkStart w:id="199" w:name="_Toc182331739"/>
      <w:bookmarkStart w:id="200" w:name="_Toc182995465"/>
      <w:bookmarkStart w:id="201" w:name="_Toc183536582"/>
      <w:bookmarkStart w:id="202" w:name="_Toc184727385"/>
      <w:bookmarkStart w:id="203" w:name="_Toc185325631"/>
      <w:r w:rsidRPr="007F2D9E">
        <w:lastRenderedPageBreak/>
        <w:t>Metamorphic Reactions</w:t>
      </w:r>
      <w:bookmarkEnd w:id="199"/>
      <w:bookmarkEnd w:id="200"/>
      <w:bookmarkEnd w:id="201"/>
      <w:bookmarkEnd w:id="202"/>
      <w:bookmarkEnd w:id="203"/>
    </w:p>
    <w:p w14:paraId="13A89A4E" w14:textId="288E20D5" w:rsidR="00A278A8" w:rsidRPr="007F2D9E" w:rsidRDefault="00A278A8" w:rsidP="00E81516">
      <w:pPr>
        <w:spacing w:line="480" w:lineRule="auto"/>
        <w:ind w:firstLine="720"/>
        <w:rPr>
          <w:color w:val="000000" w:themeColor="text1"/>
        </w:rPr>
      </w:pPr>
      <w:r w:rsidRPr="007F2D9E">
        <w:rPr>
          <w:color w:val="000000" w:themeColor="text1"/>
        </w:rPr>
        <w:t>Our experiments demonstrate that metamorphic reactions would change the mineralogy of downwelling cumulates during an overturn event. Considering the Fe-Ti oxide phase stability boundaries (</w:t>
      </w:r>
      <w:r w:rsidRPr="00914BB1">
        <w:rPr>
          <w:b/>
          <w:bCs/>
          <w:color w:val="000000" w:themeColor="text1"/>
        </w:rPr>
        <w:t xml:space="preserve">Figure </w:t>
      </w:r>
      <w:r w:rsidR="007C526B" w:rsidRPr="00914BB1">
        <w:rPr>
          <w:b/>
          <w:bCs/>
          <w:color w:val="000000" w:themeColor="text1"/>
        </w:rPr>
        <w:t>1.</w:t>
      </w:r>
      <w:r w:rsidRPr="00914BB1">
        <w:rPr>
          <w:b/>
          <w:bCs/>
          <w:color w:val="000000" w:themeColor="text1"/>
        </w:rPr>
        <w:t>11</w:t>
      </w:r>
      <w:r w:rsidRPr="007F2D9E">
        <w:rPr>
          <w:color w:val="000000" w:themeColor="text1"/>
        </w:rPr>
        <w:t xml:space="preserve">), ilmenite is likely the primary oxide phase within the cumulate during cumulate overturn (assuming the thermal profiles from previous studies are reasonable; Elkins-Tanton </w:t>
      </w:r>
      <w:r w:rsidR="008F5CFC">
        <w:rPr>
          <w:color w:val="000000" w:themeColor="text1"/>
        </w:rPr>
        <w:t>et al., 20</w:t>
      </w:r>
      <w:r w:rsidRPr="007F2D9E">
        <w:rPr>
          <w:color w:val="000000" w:themeColor="text1"/>
        </w:rPr>
        <w:t xml:space="preserve">11; Lin </w:t>
      </w:r>
      <w:r w:rsidR="008F5CFC">
        <w:rPr>
          <w:color w:val="000000" w:themeColor="text1"/>
        </w:rPr>
        <w:t>et al., 20</w:t>
      </w:r>
      <w:r w:rsidRPr="007F2D9E">
        <w:rPr>
          <w:color w:val="000000" w:themeColor="text1"/>
        </w:rPr>
        <w:t xml:space="preserve">16; Zhang </w:t>
      </w:r>
      <w:r w:rsidR="008F5CFC">
        <w:rPr>
          <w:color w:val="000000" w:themeColor="text1"/>
        </w:rPr>
        <w:t>et al., 20</w:t>
      </w:r>
      <w:r w:rsidRPr="007F2D9E">
        <w:rPr>
          <w:color w:val="000000" w:themeColor="text1"/>
        </w:rPr>
        <w:t>17) (</w:t>
      </w:r>
      <w:r w:rsidR="00EC5C57" w:rsidRPr="00914BB1">
        <w:rPr>
          <w:b/>
          <w:bCs/>
          <w:color w:val="000000" w:themeColor="text1"/>
        </w:rPr>
        <w:t>Figure A</w:t>
      </w:r>
      <w:r w:rsidR="008F5CFC" w:rsidRPr="00914BB1">
        <w:rPr>
          <w:b/>
          <w:bCs/>
          <w:color w:val="000000" w:themeColor="text1"/>
        </w:rPr>
        <w:t>8</w:t>
      </w:r>
      <w:r w:rsidRPr="007F2D9E">
        <w:rPr>
          <w:color w:val="000000" w:themeColor="text1"/>
        </w:rPr>
        <w:t xml:space="preserve">). Ulvöspinel may be present in the IBC at lower pressures (i.e., before overturn or early in the overturn process); however, the temperature increase which the IBC would experience during overturn makes it unlikely to be stable beyond ~200 km depth in the lunar interior (i.e., 1 GPa). The near-solidus experiments demonstrate the stability of garnet in downwelling IBC under lunar conditions, in contrast to expectations from lunar magma ocean solidification experiments, which found it was only stabilized in the lunar mantle for unrealistically aluminous bulk Moon compositions (Elardo </w:t>
      </w:r>
      <w:r w:rsidR="008F5CFC">
        <w:rPr>
          <w:color w:val="000000" w:themeColor="text1"/>
        </w:rPr>
        <w:t>et al., 20</w:t>
      </w:r>
      <w:r w:rsidRPr="007F2D9E">
        <w:rPr>
          <w:color w:val="000000" w:themeColor="text1"/>
        </w:rPr>
        <w:t xml:space="preserve">11; Jing </w:t>
      </w:r>
      <w:r w:rsidR="008F5CFC">
        <w:rPr>
          <w:color w:val="000000" w:themeColor="text1"/>
        </w:rPr>
        <w:t>et al., 20</w:t>
      </w:r>
      <w:r w:rsidRPr="007F2D9E">
        <w:rPr>
          <w:color w:val="000000" w:themeColor="text1"/>
        </w:rPr>
        <w:t xml:space="preserve">22, Kraettli </w:t>
      </w:r>
      <w:r w:rsidR="008F5CFC">
        <w:rPr>
          <w:color w:val="000000" w:themeColor="text1"/>
        </w:rPr>
        <w:t>et al., 20</w:t>
      </w:r>
      <w:r w:rsidRPr="007F2D9E">
        <w:rPr>
          <w:color w:val="000000" w:themeColor="text1"/>
        </w:rPr>
        <w:t xml:space="preserve">22). </w:t>
      </w:r>
    </w:p>
    <w:p w14:paraId="463470C9" w14:textId="3776B706" w:rsidR="00A278A8" w:rsidRPr="007F2D9E" w:rsidRDefault="00A278A8" w:rsidP="00E81516">
      <w:pPr>
        <w:spacing w:line="480" w:lineRule="auto"/>
        <w:ind w:firstLine="720"/>
        <w:rPr>
          <w:color w:val="000000" w:themeColor="text1"/>
        </w:rPr>
      </w:pPr>
      <w:r w:rsidRPr="007F2D9E">
        <w:rPr>
          <w:color w:val="000000" w:themeColor="text1"/>
        </w:rPr>
        <w:t>Garnet stability is dependent on the Al</w:t>
      </w:r>
      <w:r w:rsidRPr="007F2D9E">
        <w:rPr>
          <w:color w:val="000000" w:themeColor="text1"/>
          <w:vertAlign w:val="subscript"/>
        </w:rPr>
        <w:t>2</w:t>
      </w:r>
      <w:r w:rsidRPr="007F2D9E">
        <w:rPr>
          <w:color w:val="000000" w:themeColor="text1"/>
        </w:rPr>
        <w:t>O</w:t>
      </w:r>
      <w:r w:rsidRPr="007F2D9E">
        <w:rPr>
          <w:color w:val="000000" w:themeColor="text1"/>
          <w:vertAlign w:val="subscript"/>
        </w:rPr>
        <w:t xml:space="preserve">3 </w:t>
      </w:r>
      <w:r w:rsidRPr="007F2D9E">
        <w:rPr>
          <w:color w:val="000000" w:themeColor="text1"/>
        </w:rPr>
        <w:t>abundance of the system</w:t>
      </w:r>
      <w:r w:rsidRPr="007F2D9E">
        <w:rPr>
          <w:color w:val="000000" w:themeColor="text1"/>
          <w:vertAlign w:val="subscript"/>
        </w:rPr>
        <w:t xml:space="preserve"> </w:t>
      </w:r>
      <w:r w:rsidRPr="007F2D9E">
        <w:rPr>
          <w:color w:val="000000" w:themeColor="text1"/>
        </w:rPr>
        <w:t xml:space="preserve">and should thereby be affected by the efficiency of plagioclase floatation during magma ocean solidification (e.g., Dygert </w:t>
      </w:r>
      <w:r w:rsidR="008F5CFC">
        <w:rPr>
          <w:color w:val="000000" w:themeColor="text1"/>
        </w:rPr>
        <w:t>et al., 20</w:t>
      </w:r>
      <w:r w:rsidRPr="007F2D9E">
        <w:rPr>
          <w:color w:val="000000" w:themeColor="text1"/>
        </w:rPr>
        <w:t xml:space="preserve">17; Charlier </w:t>
      </w:r>
      <w:r w:rsidR="008F5CFC">
        <w:rPr>
          <w:color w:val="000000" w:themeColor="text1"/>
        </w:rPr>
        <w:t>et al., 20</w:t>
      </w:r>
      <w:r w:rsidRPr="007F2D9E">
        <w:rPr>
          <w:color w:val="000000" w:themeColor="text1"/>
        </w:rPr>
        <w:t>18), as more efficient flotation would produce a less aluminous downwelling IBC cumulates. Interestingly, the garnet stability field for the IBC in this study overlaps with the Ol-Opx multi-saturation pressures for lunar picritic glasses (</w:t>
      </w:r>
      <w:r w:rsidR="00EC5C57" w:rsidRPr="00914BB1">
        <w:rPr>
          <w:b/>
          <w:bCs/>
          <w:color w:val="000000" w:themeColor="text1"/>
        </w:rPr>
        <w:t>Figure A</w:t>
      </w:r>
      <w:r w:rsidR="008F5CFC" w:rsidRPr="00914BB1">
        <w:rPr>
          <w:b/>
          <w:bCs/>
          <w:color w:val="000000" w:themeColor="text1"/>
        </w:rPr>
        <w:t>8</w:t>
      </w:r>
      <w:r w:rsidRPr="007F2D9E">
        <w:rPr>
          <w:color w:val="000000" w:themeColor="text1"/>
        </w:rPr>
        <w:t xml:space="preserve">; Elkins-Tanton </w:t>
      </w:r>
      <w:r w:rsidR="008F5CFC">
        <w:rPr>
          <w:color w:val="000000" w:themeColor="text1"/>
        </w:rPr>
        <w:t>et al., 20</w:t>
      </w:r>
      <w:r w:rsidRPr="007F2D9E">
        <w:rPr>
          <w:color w:val="000000" w:themeColor="text1"/>
        </w:rPr>
        <w:t xml:space="preserve">03; Draper </w:t>
      </w:r>
      <w:r w:rsidR="008F5CFC">
        <w:rPr>
          <w:color w:val="000000" w:themeColor="text1"/>
        </w:rPr>
        <w:t>et al., 20</w:t>
      </w:r>
      <w:r w:rsidRPr="007F2D9E">
        <w:rPr>
          <w:color w:val="000000" w:themeColor="text1"/>
        </w:rPr>
        <w:t>06; Krawczynski and Grove</w:t>
      </w:r>
      <w:r w:rsidR="007C526B">
        <w:rPr>
          <w:color w:val="000000" w:themeColor="text1"/>
        </w:rPr>
        <w:t>,</w:t>
      </w:r>
      <w:r w:rsidRPr="007F2D9E">
        <w:rPr>
          <w:color w:val="000000" w:themeColor="text1"/>
        </w:rPr>
        <w:t xml:space="preserve"> 2012; Barr and Grove</w:t>
      </w:r>
      <w:r w:rsidR="007C526B">
        <w:rPr>
          <w:color w:val="000000" w:themeColor="text1"/>
        </w:rPr>
        <w:t>,</w:t>
      </w:r>
      <w:r w:rsidRPr="007F2D9E">
        <w:rPr>
          <w:color w:val="000000" w:themeColor="text1"/>
        </w:rPr>
        <w:t xml:space="preserve"> 2013; Brown and Grove</w:t>
      </w:r>
      <w:r w:rsidR="007C526B">
        <w:rPr>
          <w:color w:val="000000" w:themeColor="text1"/>
        </w:rPr>
        <w:t>,</w:t>
      </w:r>
      <w:r w:rsidRPr="007F2D9E">
        <w:rPr>
          <w:color w:val="000000" w:themeColor="text1"/>
        </w:rPr>
        <w:t xml:space="preserve"> 2015). As stated in the introduction, multiple studies have suggested that the lunar mare basalts </w:t>
      </w:r>
      <w:r w:rsidRPr="007F2D9E">
        <w:rPr>
          <w:color w:val="000000" w:themeColor="text1"/>
        </w:rPr>
        <w:lastRenderedPageBreak/>
        <w:t>and picritic glasses are the result of mixing between initially deep Mg-rich sources and initially shallow Ti-rich sources in the lunar cumulate pile (Hess and Parmentier</w:t>
      </w:r>
      <w:r w:rsidR="00F835C3">
        <w:rPr>
          <w:color w:val="000000" w:themeColor="text1"/>
        </w:rPr>
        <w:t>,</w:t>
      </w:r>
      <w:r w:rsidRPr="007F2D9E">
        <w:rPr>
          <w:color w:val="000000" w:themeColor="text1"/>
        </w:rPr>
        <w:t xml:space="preserve"> 1995; Van Orman and Grove</w:t>
      </w:r>
      <w:r w:rsidR="007C526B">
        <w:rPr>
          <w:color w:val="000000" w:themeColor="text1"/>
        </w:rPr>
        <w:t>,</w:t>
      </w:r>
      <w:r w:rsidRPr="007F2D9E">
        <w:rPr>
          <w:color w:val="000000" w:themeColor="text1"/>
        </w:rPr>
        <w:t xml:space="preserve"> 2000; Elkins-Tanton </w:t>
      </w:r>
      <w:r w:rsidR="008F5CFC">
        <w:rPr>
          <w:color w:val="000000" w:themeColor="text1"/>
        </w:rPr>
        <w:t>et al., 20</w:t>
      </w:r>
      <w:r w:rsidRPr="007F2D9E">
        <w:rPr>
          <w:color w:val="000000" w:themeColor="text1"/>
        </w:rPr>
        <w:t>02; Longhi</w:t>
      </w:r>
      <w:r w:rsidR="007C526B">
        <w:rPr>
          <w:color w:val="000000" w:themeColor="text1"/>
        </w:rPr>
        <w:t>,</w:t>
      </w:r>
      <w:r w:rsidRPr="007F2D9E">
        <w:rPr>
          <w:color w:val="000000" w:themeColor="text1"/>
        </w:rPr>
        <w:t xml:space="preserve"> 2006; Singletary and Grove</w:t>
      </w:r>
      <w:r w:rsidR="007C526B">
        <w:rPr>
          <w:color w:val="000000" w:themeColor="text1"/>
        </w:rPr>
        <w:t>,</w:t>
      </w:r>
      <w:r w:rsidRPr="007F2D9E">
        <w:rPr>
          <w:color w:val="000000" w:themeColor="text1"/>
        </w:rPr>
        <w:t xml:space="preserve"> 2008; Mallik </w:t>
      </w:r>
      <w:r w:rsidR="008F5CFC">
        <w:rPr>
          <w:color w:val="000000" w:themeColor="text1"/>
        </w:rPr>
        <w:t>et al., 20</w:t>
      </w:r>
      <w:r w:rsidRPr="007F2D9E">
        <w:rPr>
          <w:color w:val="000000" w:themeColor="text1"/>
        </w:rPr>
        <w:t>19). A downwelling Al and Ti-rich garnet-bearing IBC could mechanically or reactively (by assimilation or diffusive exchange) mix with underlying mafic cumulates and result in the formation of a hybridized source capable of generating mare basalts.</w:t>
      </w:r>
    </w:p>
    <w:p w14:paraId="417B65D3" w14:textId="2C93972A" w:rsidR="00A278A8" w:rsidRPr="007F2D9E" w:rsidRDefault="00A278A8" w:rsidP="00E81516">
      <w:pPr>
        <w:spacing w:line="480" w:lineRule="auto"/>
        <w:ind w:firstLine="720"/>
        <w:rPr>
          <w:color w:val="000000" w:themeColor="text1"/>
        </w:rPr>
      </w:pPr>
      <w:r w:rsidRPr="007F2D9E">
        <w:rPr>
          <w:color w:val="000000" w:themeColor="text1"/>
        </w:rPr>
        <w:t xml:space="preserve">Partial melting of downwelling, garnet-bearing IBC would hybridize the surrounding mantle with melts that have a residual garnet trace element signature, analogous to terrestrial granulite facies melting (Cohen </w:t>
      </w:r>
      <w:r w:rsidR="008F5CFC">
        <w:rPr>
          <w:color w:val="000000" w:themeColor="text1"/>
        </w:rPr>
        <w:t>et al., 19</w:t>
      </w:r>
      <w:r w:rsidRPr="007F2D9E">
        <w:rPr>
          <w:color w:val="000000" w:themeColor="text1"/>
        </w:rPr>
        <w:t>67; Springer and Seck</w:t>
      </w:r>
      <w:r w:rsidR="007C526B">
        <w:rPr>
          <w:color w:val="000000" w:themeColor="text1"/>
        </w:rPr>
        <w:t>,</w:t>
      </w:r>
      <w:r w:rsidRPr="007F2D9E">
        <w:rPr>
          <w:color w:val="000000" w:themeColor="text1"/>
        </w:rPr>
        <w:t xml:space="preserve"> 1997). The results of this study provide strong support for the melting of a metamorphosed IBC, a hybridization mechanism previously suggested by Schmidt and Kraettlli (2022). Beard et al. (1998) argue that the extreme Lu/Hf fractionation observed in mare basalts can be best explained by the melting of a garnet-bearing source followed by continued melting in the spinel stability field. The fractionated REE-patterns with (Sm/Yb)</w:t>
      </w:r>
      <w:r w:rsidRPr="007F2D9E">
        <w:rPr>
          <w:color w:val="000000" w:themeColor="text1"/>
          <w:vertAlign w:val="subscript"/>
        </w:rPr>
        <w:t>N</w:t>
      </w:r>
      <w:r w:rsidRPr="007F2D9E">
        <w:rPr>
          <w:color w:val="000000" w:themeColor="text1"/>
        </w:rPr>
        <w:t xml:space="preserve"> up to 3.5 in some of some lunar glasses have been argued to originate from a garnet-bearing source (Neal</w:t>
      </w:r>
      <w:r w:rsidR="007C526B">
        <w:rPr>
          <w:color w:val="000000" w:themeColor="text1"/>
        </w:rPr>
        <w:t>,</w:t>
      </w:r>
      <w:r w:rsidRPr="007F2D9E">
        <w:rPr>
          <w:color w:val="000000" w:themeColor="text1"/>
        </w:rPr>
        <w:t xml:space="preserve"> 2001). Stabilization of garnet in downwelling IBC provides a mechanism for forming it in the sources of these basalts.</w:t>
      </w:r>
    </w:p>
    <w:p w14:paraId="35FE31A9" w14:textId="68A6A1D1" w:rsidR="00A278A8" w:rsidRPr="00A278A8" w:rsidRDefault="00A278A8" w:rsidP="006E67B1">
      <w:pPr>
        <w:pStyle w:val="Heading3"/>
      </w:pPr>
      <w:bookmarkStart w:id="204" w:name="_Toc182331740"/>
      <w:bookmarkStart w:id="205" w:name="_Toc182995466"/>
      <w:bookmarkStart w:id="206" w:name="_Toc183536583"/>
      <w:bookmarkStart w:id="207" w:name="_Toc184727386"/>
      <w:bookmarkStart w:id="208" w:name="_Toc185325632"/>
      <w:r w:rsidRPr="00A278A8">
        <w:t>Formation of Hybridized Mantle Sources</w:t>
      </w:r>
      <w:bookmarkEnd w:id="204"/>
      <w:bookmarkEnd w:id="205"/>
      <w:bookmarkEnd w:id="206"/>
      <w:bookmarkEnd w:id="207"/>
      <w:bookmarkEnd w:id="208"/>
      <w:r w:rsidR="002352D0">
        <w:t xml:space="preserve"> </w:t>
      </w:r>
    </w:p>
    <w:p w14:paraId="73C3EA59" w14:textId="3BC9BC71" w:rsidR="00A278A8" w:rsidRPr="007F2D9E" w:rsidRDefault="00A278A8" w:rsidP="00E81516">
      <w:pPr>
        <w:spacing w:line="480" w:lineRule="auto"/>
        <w:ind w:firstLine="720"/>
        <w:rPr>
          <w:color w:val="000000" w:themeColor="text1"/>
        </w:rPr>
      </w:pPr>
      <w:r w:rsidRPr="007F2D9E">
        <w:rPr>
          <w:color w:val="000000" w:themeColor="text1"/>
        </w:rPr>
        <w:t>Hybridization of the lunar mantle during cumulate overturn likely happens by multiple processes. The downwelling IBC would produce melts as the IBC descended and sank through the hot underlying mantle, increasing in temperature (</w:t>
      </w:r>
      <w:r w:rsidR="00EC5C57" w:rsidRPr="00914BB1">
        <w:rPr>
          <w:b/>
          <w:bCs/>
          <w:color w:val="000000" w:themeColor="text1"/>
        </w:rPr>
        <w:t>Figure A</w:t>
      </w:r>
      <w:r w:rsidR="008F5CFC" w:rsidRPr="00914BB1">
        <w:rPr>
          <w:b/>
          <w:bCs/>
          <w:color w:val="000000" w:themeColor="text1"/>
        </w:rPr>
        <w:t>8</w:t>
      </w:r>
      <w:r w:rsidRPr="007F2D9E">
        <w:rPr>
          <w:color w:val="000000" w:themeColor="text1"/>
        </w:rPr>
        <w:t xml:space="preserve">). </w:t>
      </w:r>
      <w:r w:rsidRPr="007F2D9E">
        <w:rPr>
          <w:color w:val="000000" w:themeColor="text1"/>
        </w:rPr>
        <w:lastRenderedPageBreak/>
        <w:t>Results from this study show that IBC melts would be significantly undersaturated with respect to forsteritic olivine, and interactions with the underlying Mg-rich cumulates would result in rapid dissolution. As dissolution progresses, the degree of olivine undersaturation in the IBC melt decreases, and a Mg-enriched hybridized melt forms (Eq. 1</w:t>
      </w:r>
      <w:r w:rsidR="00967DE1">
        <w:rPr>
          <w:color w:val="000000" w:themeColor="text1"/>
        </w:rPr>
        <w:t>.1</w:t>
      </w:r>
      <w:r w:rsidRPr="007F2D9E">
        <w:rPr>
          <w:color w:val="000000" w:themeColor="text1"/>
        </w:rPr>
        <w:t xml:space="preserve">). </w:t>
      </w:r>
    </w:p>
    <w:p w14:paraId="3E023CE3" w14:textId="1B713AE2" w:rsidR="00ED4384" w:rsidRPr="00472B6A" w:rsidRDefault="00A278A8" w:rsidP="00ED4384">
      <w:pPr>
        <w:spacing w:line="480" w:lineRule="auto"/>
        <w:ind w:firstLine="720"/>
        <w:rPr>
          <w:b/>
        </w:rPr>
      </w:pPr>
      <w:r w:rsidRPr="007F2D9E">
        <w:rPr>
          <w:color w:val="000000" w:themeColor="text1"/>
        </w:rPr>
        <w:t xml:space="preserve">If we assume that olivine is present in the picritic glass source (Longhi </w:t>
      </w:r>
      <w:r w:rsidR="008F5CFC">
        <w:rPr>
          <w:color w:val="000000" w:themeColor="text1"/>
        </w:rPr>
        <w:t>et al., 19</w:t>
      </w:r>
      <w:r w:rsidRPr="007F2D9E">
        <w:rPr>
          <w:color w:val="000000" w:themeColor="text1"/>
        </w:rPr>
        <w:t xml:space="preserve">74; Walker </w:t>
      </w:r>
      <w:r w:rsidR="008F5CFC">
        <w:rPr>
          <w:color w:val="000000" w:themeColor="text1"/>
        </w:rPr>
        <w:t>et al., 19</w:t>
      </w:r>
      <w:r w:rsidRPr="007F2D9E">
        <w:rPr>
          <w:color w:val="000000" w:themeColor="text1"/>
        </w:rPr>
        <w:t>77; Delano</w:t>
      </w:r>
      <w:r w:rsidR="007C526B">
        <w:rPr>
          <w:color w:val="000000" w:themeColor="text1"/>
        </w:rPr>
        <w:t>,</w:t>
      </w:r>
      <w:r w:rsidRPr="007F2D9E">
        <w:rPr>
          <w:color w:val="000000" w:themeColor="text1"/>
        </w:rPr>
        <w:t xml:space="preserve"> 1980</w:t>
      </w:r>
      <w:r w:rsidR="00803F9C">
        <w:rPr>
          <w:color w:val="000000" w:themeColor="text1"/>
        </w:rPr>
        <w:t>,</w:t>
      </w:r>
      <w:r w:rsidRPr="007F2D9E">
        <w:rPr>
          <w:color w:val="000000" w:themeColor="text1"/>
        </w:rPr>
        <w:t xml:space="preserve"> 1986; Elkins-Tanton </w:t>
      </w:r>
      <w:r w:rsidR="008F5CFC">
        <w:rPr>
          <w:color w:val="000000" w:themeColor="text1"/>
        </w:rPr>
        <w:t>et al., 20</w:t>
      </w:r>
      <w:r w:rsidRPr="007F2D9E">
        <w:rPr>
          <w:color w:val="000000" w:themeColor="text1"/>
        </w:rPr>
        <w:t>03, Grove and Krawczynski</w:t>
      </w:r>
      <w:r w:rsidR="007C526B">
        <w:rPr>
          <w:color w:val="000000" w:themeColor="text1"/>
        </w:rPr>
        <w:t>,</w:t>
      </w:r>
      <w:r w:rsidRPr="007F2D9E">
        <w:rPr>
          <w:color w:val="000000" w:themeColor="text1"/>
        </w:rPr>
        <w:t xml:space="preserve"> 2009) and the olivine-liquid K</w:t>
      </w:r>
      <w:r w:rsidRPr="007F2D9E">
        <w:rPr>
          <w:color w:val="000000" w:themeColor="text1"/>
          <w:vertAlign w:val="subscript"/>
        </w:rPr>
        <w:t xml:space="preserve">D(Fe/Mg) </w:t>
      </w:r>
      <m:oMath>
        <m:r>
          <w:rPr>
            <w:rFonts w:ascii="Cambria Math" w:hAnsi="Cambria Math"/>
            <w:color w:val="000000" w:themeColor="text1"/>
          </w:rPr>
          <m:t>≈</m:t>
        </m:r>
      </m:oMath>
      <w:r w:rsidRPr="007F2D9E">
        <w:rPr>
          <w:color w:val="000000" w:themeColor="text1"/>
        </w:rPr>
        <w:t xml:space="preserve"> 0.34-0.23 (depending on the TiO</w:t>
      </w:r>
      <w:r w:rsidRPr="007F2D9E">
        <w:rPr>
          <w:color w:val="000000" w:themeColor="text1"/>
          <w:vertAlign w:val="subscript"/>
        </w:rPr>
        <w:t>2</w:t>
      </w:r>
      <w:r w:rsidRPr="007F2D9E">
        <w:rPr>
          <w:color w:val="000000" w:themeColor="text1"/>
        </w:rPr>
        <w:t xml:space="preserve"> concentration within the melt) (Roeder and Emslie</w:t>
      </w:r>
      <w:r w:rsidR="007C526B">
        <w:rPr>
          <w:color w:val="000000" w:themeColor="text1"/>
        </w:rPr>
        <w:t>,</w:t>
      </w:r>
      <w:r w:rsidRPr="007F2D9E">
        <w:rPr>
          <w:color w:val="000000" w:themeColor="text1"/>
        </w:rPr>
        <w:t xml:space="preserve"> 1970; Longhi </w:t>
      </w:r>
      <w:r w:rsidR="008F5CFC">
        <w:rPr>
          <w:color w:val="000000" w:themeColor="text1"/>
        </w:rPr>
        <w:t>et al., 19</w:t>
      </w:r>
      <w:r w:rsidRPr="007F2D9E">
        <w:rPr>
          <w:color w:val="000000" w:themeColor="text1"/>
        </w:rPr>
        <w:t>78; Delano</w:t>
      </w:r>
      <w:r w:rsidR="00803F9C">
        <w:rPr>
          <w:color w:val="000000" w:themeColor="text1"/>
        </w:rPr>
        <w:t>,</w:t>
      </w:r>
      <w:r w:rsidRPr="007F2D9E">
        <w:rPr>
          <w:color w:val="000000" w:themeColor="text1"/>
        </w:rPr>
        <w:t xml:space="preserve"> 1980; Xirouchakis </w:t>
      </w:r>
      <w:r w:rsidR="008F5CFC">
        <w:rPr>
          <w:color w:val="000000" w:themeColor="text1"/>
        </w:rPr>
        <w:t>et al., 20</w:t>
      </w:r>
      <w:r w:rsidRPr="007F2D9E">
        <w:rPr>
          <w:color w:val="000000" w:themeColor="text1"/>
        </w:rPr>
        <w:t>01; Canil and Bellis</w:t>
      </w:r>
      <w:r w:rsidR="00803F9C">
        <w:rPr>
          <w:color w:val="000000" w:themeColor="text1"/>
        </w:rPr>
        <w:t>,</w:t>
      </w:r>
      <w:r w:rsidRPr="007F2D9E">
        <w:rPr>
          <w:color w:val="000000" w:themeColor="text1"/>
        </w:rPr>
        <w:t xml:space="preserve"> 2008; Krawczynski and Grove</w:t>
      </w:r>
      <w:r w:rsidR="007C526B">
        <w:rPr>
          <w:color w:val="000000" w:themeColor="text1"/>
        </w:rPr>
        <w:t>,</w:t>
      </w:r>
      <w:r w:rsidRPr="007F2D9E">
        <w:rPr>
          <w:color w:val="000000" w:themeColor="text1"/>
        </w:rPr>
        <w:t xml:space="preserve"> 2012), the picritic glass sources should have Mg# ~68-87. Thus, if mantle hybridization during overturn formed the sources of lunar picritic glasses, the hybridized source must reach compositions containing</w:t>
      </w:r>
      <m:oMath>
        <m:r>
          <w:rPr>
            <w:rFonts w:ascii="Cambria Math" w:hAnsi="Cambria Math"/>
            <w:color w:val="000000" w:themeColor="text1"/>
          </w:rPr>
          <m:t>≥</m:t>
        </m:r>
      </m:oMath>
      <w:r w:rsidRPr="007F2D9E">
        <w:rPr>
          <w:color w:val="000000" w:themeColor="text1"/>
        </w:rPr>
        <w:t>47% normative dunite (</w:t>
      </w:r>
      <w:r w:rsidRPr="00914BB1">
        <w:rPr>
          <w:b/>
          <w:bCs/>
          <w:color w:val="000000" w:themeColor="text1"/>
        </w:rPr>
        <w:t xml:space="preserve">Figure </w:t>
      </w:r>
      <w:r w:rsidR="007C526B" w:rsidRPr="00914BB1">
        <w:rPr>
          <w:b/>
          <w:bCs/>
          <w:color w:val="000000" w:themeColor="text1"/>
        </w:rPr>
        <w:t>1.</w:t>
      </w:r>
      <w:r w:rsidRPr="00914BB1">
        <w:rPr>
          <w:b/>
          <w:bCs/>
          <w:color w:val="000000" w:themeColor="text1"/>
        </w:rPr>
        <w:t>12</w:t>
      </w:r>
      <w:r w:rsidRPr="007F2D9E">
        <w:rPr>
          <w:color w:val="000000" w:themeColor="text1"/>
        </w:rPr>
        <w:t>). The range of compositions in IBC melts for dissolution experiments MRx#5 and MRx#10 indicate that the IBC material incorporated ~10-15% dunite (</w:t>
      </w:r>
      <w:r w:rsidRPr="00914BB1">
        <w:rPr>
          <w:b/>
          <w:bCs/>
          <w:color w:val="000000" w:themeColor="text1"/>
        </w:rPr>
        <w:t xml:space="preserve">Figures </w:t>
      </w:r>
      <w:r w:rsidR="007C526B" w:rsidRPr="00914BB1">
        <w:rPr>
          <w:b/>
          <w:bCs/>
          <w:color w:val="000000" w:themeColor="text1"/>
        </w:rPr>
        <w:t>1.</w:t>
      </w:r>
      <w:r w:rsidRPr="00914BB1">
        <w:rPr>
          <w:b/>
          <w:bCs/>
          <w:color w:val="000000" w:themeColor="text1"/>
        </w:rPr>
        <w:t xml:space="preserve">8 and </w:t>
      </w:r>
      <w:r w:rsidR="007C526B" w:rsidRPr="00914BB1">
        <w:rPr>
          <w:b/>
          <w:bCs/>
          <w:color w:val="000000" w:themeColor="text1"/>
        </w:rPr>
        <w:t>1.</w:t>
      </w:r>
      <w:r w:rsidRPr="00914BB1">
        <w:rPr>
          <w:b/>
          <w:bCs/>
          <w:color w:val="000000" w:themeColor="text1"/>
        </w:rPr>
        <w:t>12</w:t>
      </w:r>
      <w:r w:rsidRPr="007F2D9E">
        <w:rPr>
          <w:color w:val="000000" w:themeColor="text1"/>
        </w:rPr>
        <w:t>). This suggests that 10-15% of dissolution-driven hybridization could occur relatively quickly (i.e., hours to days); however, observations from this study indicate that the hybridization rate may slow significantly after this initial stage. As the degree of olivine undersaturation decreases, the rate of dunite dissolution decreases (</w:t>
      </w:r>
      <w:r w:rsidRPr="00914BB1">
        <w:rPr>
          <w:b/>
          <w:bCs/>
          <w:color w:val="000000" w:themeColor="text1"/>
        </w:rPr>
        <w:t xml:space="preserve">Figures </w:t>
      </w:r>
      <w:r w:rsidR="007C526B" w:rsidRPr="00914BB1">
        <w:rPr>
          <w:b/>
          <w:bCs/>
          <w:color w:val="000000" w:themeColor="text1"/>
        </w:rPr>
        <w:t>1.</w:t>
      </w:r>
      <w:r w:rsidRPr="00914BB1">
        <w:rPr>
          <w:b/>
          <w:bCs/>
          <w:color w:val="000000" w:themeColor="text1"/>
        </w:rPr>
        <w:t xml:space="preserve">7 and </w:t>
      </w:r>
      <w:r w:rsidR="007C526B" w:rsidRPr="00914BB1">
        <w:rPr>
          <w:b/>
          <w:bCs/>
          <w:color w:val="000000" w:themeColor="text1"/>
        </w:rPr>
        <w:t>1.</w:t>
      </w:r>
      <w:r w:rsidRPr="00914BB1">
        <w:rPr>
          <w:b/>
          <w:bCs/>
          <w:color w:val="000000" w:themeColor="text1"/>
        </w:rPr>
        <w:t>10</w:t>
      </w:r>
      <w:r w:rsidRPr="007F2D9E">
        <w:rPr>
          <w:color w:val="000000" w:themeColor="text1"/>
        </w:rPr>
        <w:t>) (e.g., Watson</w:t>
      </w:r>
      <w:r w:rsidR="007C526B">
        <w:rPr>
          <w:color w:val="000000" w:themeColor="text1"/>
        </w:rPr>
        <w:t>,</w:t>
      </w:r>
      <w:r w:rsidRPr="007F2D9E">
        <w:rPr>
          <w:color w:val="000000" w:themeColor="text1"/>
        </w:rPr>
        <w:t xml:space="preserve"> 1982; Zhang </w:t>
      </w:r>
      <w:r w:rsidR="008F5CFC">
        <w:rPr>
          <w:color w:val="000000" w:themeColor="text1"/>
        </w:rPr>
        <w:t>et al., 19</w:t>
      </w:r>
      <w:r w:rsidRPr="007F2D9E">
        <w:rPr>
          <w:color w:val="000000" w:themeColor="text1"/>
        </w:rPr>
        <w:t>89; Watson and Baker</w:t>
      </w:r>
      <w:r w:rsidR="007C526B">
        <w:rPr>
          <w:color w:val="000000" w:themeColor="text1"/>
        </w:rPr>
        <w:t>,</w:t>
      </w:r>
      <w:r w:rsidRPr="007F2D9E">
        <w:rPr>
          <w:color w:val="000000" w:themeColor="text1"/>
        </w:rPr>
        <w:t xml:space="preserve"> 1991; Nagy and Lasaga</w:t>
      </w:r>
      <w:r w:rsidR="007C526B">
        <w:rPr>
          <w:color w:val="000000" w:themeColor="text1"/>
        </w:rPr>
        <w:t>,</w:t>
      </w:r>
      <w:r w:rsidRPr="007F2D9E">
        <w:rPr>
          <w:color w:val="000000" w:themeColor="text1"/>
        </w:rPr>
        <w:t xml:space="preserve"> 1992; Kerr</w:t>
      </w:r>
      <w:r w:rsidR="007C526B">
        <w:rPr>
          <w:color w:val="000000" w:themeColor="text1"/>
        </w:rPr>
        <w:t>,</w:t>
      </w:r>
      <w:r w:rsidRPr="007F2D9E">
        <w:rPr>
          <w:color w:val="000000" w:themeColor="text1"/>
        </w:rPr>
        <w:t xml:space="preserve"> 1995; Liang</w:t>
      </w:r>
      <w:r w:rsidR="007C526B">
        <w:rPr>
          <w:color w:val="000000" w:themeColor="text1"/>
        </w:rPr>
        <w:t>,</w:t>
      </w:r>
      <w:r w:rsidRPr="007F2D9E">
        <w:rPr>
          <w:color w:val="000000" w:themeColor="text1"/>
        </w:rPr>
        <w:t xml:space="preserve"> 2000; Taylor </w:t>
      </w:r>
      <w:r w:rsidR="008F5CFC">
        <w:rPr>
          <w:color w:val="000000" w:themeColor="text1"/>
        </w:rPr>
        <w:t>et al., 20</w:t>
      </w:r>
      <w:r w:rsidRPr="007F2D9E">
        <w:rPr>
          <w:color w:val="000000" w:themeColor="text1"/>
        </w:rPr>
        <w:t>00; Zhang and Xu</w:t>
      </w:r>
      <w:r w:rsidR="007C526B">
        <w:rPr>
          <w:color w:val="000000" w:themeColor="text1"/>
        </w:rPr>
        <w:t>,</w:t>
      </w:r>
      <w:r w:rsidRPr="007F2D9E">
        <w:rPr>
          <w:color w:val="000000" w:themeColor="text1"/>
        </w:rPr>
        <w:t xml:space="preserve"> 2003; Liang</w:t>
      </w:r>
      <w:r w:rsidR="007C526B">
        <w:rPr>
          <w:color w:val="000000" w:themeColor="text1"/>
        </w:rPr>
        <w:t>,</w:t>
      </w:r>
      <w:r w:rsidRPr="007F2D9E">
        <w:rPr>
          <w:color w:val="000000" w:themeColor="text1"/>
        </w:rPr>
        <w:t xml:space="preserve"> 2010). </w:t>
      </w:r>
    </w:p>
    <w:p w14:paraId="23D90CE1" w14:textId="77777777" w:rsidR="008277E9" w:rsidRDefault="008277E9" w:rsidP="00ED4384">
      <w:pPr>
        <w:rPr>
          <w:color w:val="000000" w:themeColor="text1"/>
        </w:rPr>
      </w:pPr>
    </w:p>
    <w:p w14:paraId="65FB395A" w14:textId="77777777" w:rsidR="0001648C" w:rsidRDefault="0001648C">
      <w:pPr>
        <w:rPr>
          <w:color w:val="000000" w:themeColor="text1"/>
        </w:rPr>
      </w:pPr>
      <w:r>
        <w:rPr>
          <w:color w:val="000000" w:themeColor="text1"/>
        </w:rPr>
        <w:br w:type="page"/>
      </w:r>
    </w:p>
    <w:p w14:paraId="20F1D6F5" w14:textId="71D93543" w:rsidR="00A278A8" w:rsidRDefault="0001648C" w:rsidP="0001648C">
      <w:pPr>
        <w:jc w:val="center"/>
        <w:rPr>
          <w:color w:val="000000" w:themeColor="text1"/>
        </w:rPr>
      </w:pPr>
      <w:r>
        <w:rPr>
          <w:noProof/>
          <w:color w:val="000000" w:themeColor="text1"/>
        </w:rPr>
        <w:lastRenderedPageBreak/>
        <w:drawing>
          <wp:inline distT="0" distB="0" distL="0" distR="0" wp14:anchorId="34DD42DA" wp14:editId="4E03AE8C">
            <wp:extent cx="3927987" cy="5969000"/>
            <wp:effectExtent l="0" t="0" r="0" b="0"/>
            <wp:docPr id="236043549" name="Picture 29" descr="A diagram of different shapes and siz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43549" name="Picture 29" descr="A diagram of different shapes and sizes&#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3952233" cy="6005845"/>
                    </a:xfrm>
                    <a:prstGeom prst="rect">
                      <a:avLst/>
                    </a:prstGeom>
                  </pic:spPr>
                </pic:pic>
              </a:graphicData>
            </a:graphic>
          </wp:inline>
        </w:drawing>
      </w:r>
    </w:p>
    <w:p w14:paraId="773E099F" w14:textId="49C13E7B" w:rsidR="0001648C" w:rsidRDefault="0001648C" w:rsidP="004E3D97">
      <w:pPr>
        <w:pStyle w:val="FigureCaption"/>
      </w:pPr>
      <w:bookmarkStart w:id="209" w:name="_Toc178246925"/>
      <w:bookmarkStart w:id="210" w:name="_Toc182944860"/>
      <w:bookmarkStart w:id="211" w:name="_Toc183019407"/>
      <w:bookmarkStart w:id="212" w:name="_Toc185263417"/>
      <w:r w:rsidRPr="007C1760">
        <w:rPr>
          <w:b/>
          <w:bCs/>
        </w:rPr>
        <w:t xml:space="preserve">Figure </w:t>
      </w:r>
      <w:r w:rsidR="009C4057" w:rsidRPr="007C1760">
        <w:rPr>
          <w:b/>
          <w:bCs/>
        </w:rPr>
        <w:t>1.</w:t>
      </w:r>
      <w:r w:rsidRPr="007C1760">
        <w:rPr>
          <w:b/>
          <w:bCs/>
        </w:rPr>
        <w:t>12.</w:t>
      </w:r>
      <w:r w:rsidRPr="00971536">
        <w:t xml:space="preserve"> </w:t>
      </w:r>
      <w:r w:rsidRPr="008C45C0">
        <w:t>Comparison of glasses from melt-rock reaction experiments to lunar picritic glasses (TiO</w:t>
      </w:r>
      <w:r w:rsidRPr="008C45C0">
        <w:rPr>
          <w:vertAlign w:val="subscript"/>
        </w:rPr>
        <w:t>2</w:t>
      </w:r>
      <w:r w:rsidRPr="008C45C0">
        <w:t xml:space="preserve"> mol% vs Mg# (a.) and Al</w:t>
      </w:r>
      <w:r w:rsidRPr="008C45C0">
        <w:rPr>
          <w:vertAlign w:val="subscript"/>
        </w:rPr>
        <w:t>2</w:t>
      </w:r>
      <w:r w:rsidRPr="008C45C0">
        <w:t>O</w:t>
      </w:r>
      <w:r w:rsidRPr="008C45C0">
        <w:rPr>
          <w:vertAlign w:val="subscript"/>
        </w:rPr>
        <w:t>3</w:t>
      </w:r>
      <w:r w:rsidRPr="008C45C0">
        <w:t xml:space="preserve"> mol% vs Mg#(b.)). Initial IBC melt composition (filled triangle) and initial dunite composition (open triangle) are located at the ends of a calculated dunite assimilation line (black). Percentages represent the amount of dunite assimilated by the IBC melt relative to the initial mass of the IBC melt. Shaded region each plot represents the range of lunar basalt mantle source Mg#s assuming a </w:t>
      </w:r>
      <m:oMath>
        <m:sSubSup>
          <m:sSubSupPr>
            <m:ctrlPr>
              <w:rPr>
                <w:rFonts w:ascii="Cambria Math" w:hAnsi="Cambria Math"/>
                <w:i/>
              </w:rPr>
            </m:ctrlPr>
          </m:sSubSupPr>
          <m:e>
            <m:sSub>
              <m:sSubPr>
                <m:ctrlPr>
                  <w:rPr>
                    <w:rFonts w:ascii="Cambria Math" w:hAnsi="Cambria Math"/>
                    <w:i/>
                  </w:rPr>
                </m:ctrlPr>
              </m:sSubPr>
              <m:e>
                <m:r>
                  <w:rPr>
                    <w:rFonts w:ascii="Cambria Math" w:hAnsi="Cambria Math"/>
                  </w:rPr>
                  <m:t>K</m:t>
                </m:r>
              </m:e>
              <m:sub>
                <m:r>
                  <w:rPr>
                    <w:rFonts w:ascii="Cambria Math" w:hAnsi="Cambria Math"/>
                  </w:rPr>
                  <m:t>D</m:t>
                </m:r>
              </m:sub>
            </m:sSub>
          </m:e>
          <m:sub>
            <m:r>
              <w:rPr>
                <w:rFonts w:ascii="Cambria Math" w:hAnsi="Cambria Math"/>
              </w:rPr>
              <m:t>Ol-Liq</m:t>
            </m:r>
          </m:sub>
          <m:sup>
            <m:r>
              <w:rPr>
                <w:rFonts w:ascii="Cambria Math" w:hAnsi="Cambria Math"/>
              </w:rPr>
              <m:t>Fe-Mg</m:t>
            </m:r>
          </m:sup>
        </m:sSubSup>
        <m:r>
          <w:rPr>
            <w:rFonts w:ascii="Cambria Math" w:eastAsiaTheme="minorEastAsia" w:hAnsi="Cambria Math"/>
          </w:rPr>
          <m:t>≈</m:t>
        </m:r>
      </m:oMath>
      <w:r w:rsidRPr="008C45C0">
        <w:rPr>
          <w:rFonts w:eastAsiaTheme="minorEastAsia"/>
        </w:rPr>
        <w:t xml:space="preserve"> 0.34-0.23, depending on the TiO</w:t>
      </w:r>
      <w:r w:rsidRPr="008C45C0">
        <w:rPr>
          <w:rFonts w:eastAsiaTheme="minorEastAsia"/>
          <w:vertAlign w:val="subscript"/>
        </w:rPr>
        <w:t>2</w:t>
      </w:r>
      <w:r w:rsidRPr="008C45C0">
        <w:rPr>
          <w:rFonts w:eastAsiaTheme="minorEastAsia"/>
        </w:rPr>
        <w:t xml:space="preserve"> concentration (Roeder and Emslie</w:t>
      </w:r>
      <w:r w:rsidR="007C526B" w:rsidRPr="008C45C0">
        <w:rPr>
          <w:rFonts w:eastAsiaTheme="minorEastAsia"/>
        </w:rPr>
        <w:t>,</w:t>
      </w:r>
      <w:r w:rsidRPr="008C45C0">
        <w:rPr>
          <w:rFonts w:eastAsiaTheme="minorEastAsia"/>
        </w:rPr>
        <w:t xml:space="preserve"> 1970; Longhi </w:t>
      </w:r>
      <w:r w:rsidR="008F5CFC" w:rsidRPr="008C45C0">
        <w:rPr>
          <w:rFonts w:eastAsiaTheme="minorEastAsia"/>
        </w:rPr>
        <w:t>et al., 19</w:t>
      </w:r>
      <w:r w:rsidRPr="008C45C0">
        <w:rPr>
          <w:rFonts w:eastAsiaTheme="minorEastAsia"/>
        </w:rPr>
        <w:t>78; Delano</w:t>
      </w:r>
      <w:r w:rsidR="007C526B" w:rsidRPr="008C45C0">
        <w:rPr>
          <w:rFonts w:eastAsiaTheme="minorEastAsia"/>
        </w:rPr>
        <w:t>,</w:t>
      </w:r>
      <w:r w:rsidRPr="008C45C0">
        <w:rPr>
          <w:rFonts w:eastAsiaTheme="minorEastAsia"/>
        </w:rPr>
        <w:t xml:space="preserve"> 1980; Xirouchakis </w:t>
      </w:r>
      <w:r w:rsidR="008F5CFC" w:rsidRPr="008C45C0">
        <w:rPr>
          <w:rFonts w:eastAsiaTheme="minorEastAsia"/>
        </w:rPr>
        <w:t>et al., 20</w:t>
      </w:r>
      <w:r w:rsidRPr="008C45C0">
        <w:rPr>
          <w:rFonts w:eastAsiaTheme="minorEastAsia"/>
        </w:rPr>
        <w:t>01; Canil and Bellis</w:t>
      </w:r>
      <w:r w:rsidR="007C526B" w:rsidRPr="008C45C0">
        <w:rPr>
          <w:rFonts w:eastAsiaTheme="minorEastAsia"/>
        </w:rPr>
        <w:t>,</w:t>
      </w:r>
      <w:r w:rsidRPr="008C45C0">
        <w:rPr>
          <w:rFonts w:eastAsiaTheme="minorEastAsia"/>
        </w:rPr>
        <w:t xml:space="preserve"> 2008; Krawczynski and Grove</w:t>
      </w:r>
      <w:r w:rsidR="007C526B" w:rsidRPr="008C45C0">
        <w:rPr>
          <w:rFonts w:eastAsiaTheme="minorEastAsia"/>
        </w:rPr>
        <w:t>,</w:t>
      </w:r>
      <w:r w:rsidRPr="008C45C0">
        <w:rPr>
          <w:rFonts w:eastAsiaTheme="minorEastAsia"/>
        </w:rPr>
        <w:t xml:space="preserve"> 2012)</w:t>
      </w:r>
      <w:r w:rsidRPr="008C45C0">
        <w:t>. Lunar data were compiled from Hughes et al. (1990), Shearer et al. (1991), and Shearer and Papike (1993).</w:t>
      </w:r>
      <w:bookmarkEnd w:id="209"/>
      <w:bookmarkEnd w:id="210"/>
      <w:bookmarkEnd w:id="211"/>
      <w:bookmarkEnd w:id="212"/>
      <w:r>
        <w:br w:type="page"/>
      </w:r>
    </w:p>
    <w:p w14:paraId="607FEB19" w14:textId="77777777" w:rsidR="00ED4384" w:rsidRDefault="00ED4384" w:rsidP="00D547AC">
      <w:pPr>
        <w:spacing w:line="480" w:lineRule="auto"/>
        <w:rPr>
          <w:color w:val="000000" w:themeColor="text1"/>
        </w:rPr>
      </w:pPr>
      <w:r w:rsidRPr="007F2D9E">
        <w:rPr>
          <w:color w:val="000000" w:themeColor="text1"/>
        </w:rPr>
        <w:lastRenderedPageBreak/>
        <w:t xml:space="preserve">Dunite dissolution will only be an effective hybridization mechanism if the composition of melt near the interface remains olivine undersaturated. Replenishment of IBC melt to the dunite-melt interface would be achieved by porous flow or solid-state advection away from the interface. </w:t>
      </w:r>
    </w:p>
    <w:p w14:paraId="4FD604B8" w14:textId="266AF946" w:rsidR="00ED4384" w:rsidRDefault="00ED4384" w:rsidP="00ED4384">
      <w:pPr>
        <w:spacing w:line="480" w:lineRule="auto"/>
        <w:ind w:firstLine="720"/>
        <w:rPr>
          <w:color w:val="000000" w:themeColor="text1"/>
        </w:rPr>
      </w:pPr>
      <w:r w:rsidRPr="00472B6A">
        <w:t>Comparing the estimated rates of dissolution (</w:t>
      </w:r>
      <w:r w:rsidRPr="00914BB1">
        <w:rPr>
          <w:b/>
          <w:bCs/>
        </w:rPr>
        <w:t>Figure 1.10</w:t>
      </w:r>
      <w:r w:rsidRPr="00472B6A">
        <w:t>) and diffusion (</w:t>
      </w:r>
      <w:r w:rsidRPr="00914BB1">
        <w:rPr>
          <w:b/>
          <w:bCs/>
        </w:rPr>
        <w:t>Figure 1.9</w:t>
      </w:r>
      <w:r w:rsidRPr="00472B6A">
        <w:t xml:space="preserve">) from this study (see </w:t>
      </w:r>
      <w:r>
        <w:t>section (1.4.2.) above for further discussion</w:t>
      </w:r>
      <w:r w:rsidRPr="00472B6A">
        <w:t>), at the experimental conditions, diffusive exchange is at least two orders of magnitude slower than dissolution. Given estimated age of the Moon (i.e., ~4.45 Ga: Borg and Carlson</w:t>
      </w:r>
      <w:r>
        <w:t>,</w:t>
      </w:r>
      <w:r w:rsidRPr="00472B6A">
        <w:t xml:space="preserve"> 2023 and references therein), bounds on timescales of LMO solidification (i.e., 1000 yr -400 myr after accretion: Solomon and Longhi</w:t>
      </w:r>
      <w:r>
        <w:t>,</w:t>
      </w:r>
      <w:r w:rsidRPr="00472B6A">
        <w:t xml:space="preserve"> 1977; Elkins-Tanton </w:t>
      </w:r>
      <w:r>
        <w:t>et al., 20</w:t>
      </w:r>
      <w:r w:rsidRPr="00472B6A">
        <w:t xml:space="preserve">11, Maurice </w:t>
      </w:r>
      <w:r>
        <w:t>et al., 20</w:t>
      </w:r>
      <w:r w:rsidRPr="00472B6A">
        <w:t xml:space="preserve">20, 2024), bounds on timescales for cumulate overturn events (i.e., 10-600 myr after IBC formation: Zhang </w:t>
      </w:r>
      <w:r>
        <w:t>et al., 20</w:t>
      </w:r>
      <w:r w:rsidRPr="00472B6A">
        <w:t xml:space="preserve">17; Li </w:t>
      </w:r>
      <w:r>
        <w:t>et al., 20</w:t>
      </w:r>
      <w:r w:rsidRPr="00472B6A">
        <w:t xml:space="preserve">19; Maurice </w:t>
      </w:r>
      <w:r>
        <w:t>et al., 20</w:t>
      </w:r>
      <w:r w:rsidRPr="00472B6A">
        <w:t xml:space="preserve">24), and age range of High-Ti mare basalts (i.e., ~3.89-3.61 Ga; Unruh </w:t>
      </w:r>
      <w:r>
        <w:t>et al., 19</w:t>
      </w:r>
      <w:r w:rsidRPr="00472B6A">
        <w:t xml:space="preserve">84; Paces </w:t>
      </w:r>
      <w:r>
        <w:t>et al., 19</w:t>
      </w:r>
      <w:r w:rsidRPr="00472B6A">
        <w:t xml:space="preserve">91; Beard </w:t>
      </w:r>
      <w:r>
        <w:t>et al., 19</w:t>
      </w:r>
      <w:r w:rsidRPr="00472B6A">
        <w:t xml:space="preserve">98; Sprung </w:t>
      </w:r>
      <w:r>
        <w:t>et al., 20</w:t>
      </w:r>
      <w:r w:rsidRPr="00472B6A">
        <w:t xml:space="preserve">13; Borg </w:t>
      </w:r>
      <w:r>
        <w:t>et al., 20</w:t>
      </w:r>
      <w:r w:rsidRPr="00472B6A">
        <w:t>19), the formation of lunar basalt sources by mantle hybridization must have been achieved within tens to hundreds of millions of years. Over these timescales, diffusive exchange alone could be limited to length scales of cm to meters around the IBC material (</w:t>
      </w:r>
      <w:r>
        <w:t>Figure A</w:t>
      </w:r>
      <w:r w:rsidRPr="00472B6A">
        <w:t>9a). The polycrystalline nature of mantle peridotites means that grain boundary diffusion may increase diffusion rates. Enhanced effective diffusivity owing to multidomain or other diffusion effects could extend the maximum diffusion distance to a few tens of meters over 100 Myr, assuming diffusivities three orders of magnitude faster than the experimental constraints (</w:t>
      </w:r>
      <w:r w:rsidRPr="00914BB1">
        <w:rPr>
          <w:b/>
          <w:bCs/>
        </w:rPr>
        <w:t>Figure A9b</w:t>
      </w:r>
      <w:r w:rsidRPr="00472B6A">
        <w:t xml:space="preserve">). The efficiency of diffusive hybridization may depend on the scale of the </w:t>
      </w:r>
      <w:r w:rsidRPr="00472B6A">
        <w:lastRenderedPageBreak/>
        <w:t>downwelling IBC plumes. If many plumes form over short wavelengths on the order of kms as predicted by Li et al. (2019), diffusion may be a viable hybridization mechanism over geologically relevant timescales. If the scale of the downwelling IBC instabilities is larger, other mechanisms must be invoked.</w:t>
      </w:r>
    </w:p>
    <w:p w14:paraId="7B907442" w14:textId="61ECADD7" w:rsidR="00982A0D" w:rsidRDefault="00982A0D" w:rsidP="00734E19">
      <w:pPr>
        <w:spacing w:line="480" w:lineRule="auto"/>
        <w:ind w:firstLine="720"/>
        <w:rPr>
          <w:color w:val="000000" w:themeColor="text1"/>
        </w:rPr>
      </w:pPr>
      <w:r w:rsidRPr="007F2D9E">
        <w:rPr>
          <w:color w:val="000000" w:themeColor="text1"/>
        </w:rPr>
        <w:t xml:space="preserve">Vein formation like that observed along the IBC-dunite interface in supersolidus experiments could enhance the rate of lunar mantle hybridization process. The veins appear to exploit regions of permeability in the mantle material (i.e., the grain boundary between mineral grains). Advection of IBC material through the mantle on scales predicted by previous studies (i.e., Zhang </w:t>
      </w:r>
      <w:r>
        <w:rPr>
          <w:color w:val="000000" w:themeColor="text1"/>
        </w:rPr>
        <w:t>et al., 20</w:t>
      </w:r>
      <w:r w:rsidRPr="007F2D9E">
        <w:rPr>
          <w:color w:val="000000" w:themeColor="text1"/>
        </w:rPr>
        <w:t>17</w:t>
      </w:r>
      <w:r>
        <w:rPr>
          <w:color w:val="000000" w:themeColor="text1"/>
        </w:rPr>
        <w:t>,</w:t>
      </w:r>
      <w:r w:rsidRPr="007F2D9E">
        <w:rPr>
          <w:color w:val="000000" w:themeColor="text1"/>
        </w:rPr>
        <w:t xml:space="preserve"> 2022; Li </w:t>
      </w:r>
      <w:r>
        <w:rPr>
          <w:color w:val="000000" w:themeColor="text1"/>
        </w:rPr>
        <w:t>et al., 20</w:t>
      </w:r>
      <w:r w:rsidRPr="007F2D9E">
        <w:rPr>
          <w:color w:val="000000" w:themeColor="text1"/>
        </w:rPr>
        <w:t xml:space="preserve">19) could result in strain localization around the downwelling IBC. Strain localization would produce dynamic recrystallization, decreasing grain size in the surrounding mantle material, and producing a greater density of grain boundaries for IBC melt veins to exploit (Van der Wal </w:t>
      </w:r>
      <w:r>
        <w:rPr>
          <w:color w:val="000000" w:themeColor="text1"/>
        </w:rPr>
        <w:t>et al., 19</w:t>
      </w:r>
      <w:r w:rsidRPr="007F2D9E">
        <w:rPr>
          <w:color w:val="000000" w:themeColor="text1"/>
        </w:rPr>
        <w:t xml:space="preserve">93; Dannberg </w:t>
      </w:r>
      <w:r>
        <w:rPr>
          <w:color w:val="000000" w:themeColor="text1"/>
        </w:rPr>
        <w:t>et al., 20</w:t>
      </w:r>
      <w:r w:rsidRPr="007F2D9E">
        <w:rPr>
          <w:color w:val="000000" w:themeColor="text1"/>
        </w:rPr>
        <w:t>17 and references therein).</w:t>
      </w:r>
    </w:p>
    <w:p w14:paraId="5845A688" w14:textId="7EF441E2" w:rsidR="00A278A8" w:rsidRPr="007F2D9E" w:rsidRDefault="00A278A8" w:rsidP="00734E19">
      <w:pPr>
        <w:spacing w:line="480" w:lineRule="auto"/>
        <w:ind w:firstLine="720"/>
        <w:rPr>
          <w:color w:val="000000" w:themeColor="text1"/>
        </w:rPr>
      </w:pPr>
      <w:r w:rsidRPr="007F2D9E">
        <w:rPr>
          <w:color w:val="000000" w:themeColor="text1"/>
        </w:rPr>
        <w:t>If diffusive and dissolutive hybridization mechanisms are insufficiently rapid, mechanical mixing of downwelling IBC and ambient peridotite must be invoked. Poor physical and chemical constraints on material properties related to overturn-driven hybridization make these processes difficult to evaluate. Future studies on (1) the evolving mineralogy of the IBC during P-T changes, (2) melt extraction efficiency from the IBC, (3) the density of the IBC melts, (4) rheological properties of the IBC melt, IBC solid, and surrounding mantle, and strain partitioning among them, (5) lunar mantle and IBC deformation rates, (6) thermal states of the IBC and surrounding mantle would further advance knowledge of lunar mantle hybridization processes.</w:t>
      </w:r>
    </w:p>
    <w:p w14:paraId="031299E2" w14:textId="19884F7B" w:rsidR="00A278A8" w:rsidRPr="007F2D9E" w:rsidRDefault="00FF1B9D" w:rsidP="002F7368">
      <w:pPr>
        <w:pStyle w:val="Heading2"/>
      </w:pPr>
      <w:r>
        <w:lastRenderedPageBreak/>
        <w:t xml:space="preserve"> </w:t>
      </w:r>
      <w:bookmarkStart w:id="213" w:name="_Toc182331741"/>
      <w:bookmarkStart w:id="214" w:name="_Toc182995467"/>
      <w:bookmarkStart w:id="215" w:name="_Toc183536584"/>
      <w:bookmarkStart w:id="216" w:name="_Toc184727387"/>
      <w:bookmarkStart w:id="217" w:name="_Toc185325633"/>
      <w:r w:rsidR="00A278A8" w:rsidRPr="007F2D9E">
        <w:t>Summary and Conclusions</w:t>
      </w:r>
      <w:bookmarkEnd w:id="213"/>
      <w:bookmarkEnd w:id="214"/>
      <w:bookmarkEnd w:id="215"/>
      <w:bookmarkEnd w:id="216"/>
      <w:bookmarkEnd w:id="217"/>
    </w:p>
    <w:p w14:paraId="7BA62AD8" w14:textId="77777777" w:rsidR="00A278A8" w:rsidRPr="007F2D9E" w:rsidRDefault="00A278A8" w:rsidP="00734E19">
      <w:pPr>
        <w:spacing w:line="480" w:lineRule="auto"/>
        <w:ind w:firstLine="720"/>
        <w:rPr>
          <w:color w:val="000000" w:themeColor="text1"/>
        </w:rPr>
      </w:pPr>
      <w:r w:rsidRPr="007F2D9E">
        <w:rPr>
          <w:color w:val="000000" w:themeColor="text1"/>
        </w:rPr>
        <w:t xml:space="preserve">The last phase of lunar magma ocean crystallization would produce Fe- and Ti-rich cumulates that contain dense Fe-Ti oxide phases (i.e., IBC). Fe-Ti oxide formation would make the density of these late crystallizing cumulates greater than underlying early crystallizing mafic (olivine and orthopyroxene-rich) cumulates. This gravitationally unstable density contrast would eventually result in a cumulate overturn event where the overlying IBC would sink through the early crystallizing cumulates. We experimentally investigated the chemical reactions that occur during the cumulate overturn process as downwelling IBC melts and mushes interact with early crystallizing mafic (dunite) cumulates. </w:t>
      </w:r>
    </w:p>
    <w:p w14:paraId="30C6A612" w14:textId="77777777" w:rsidR="00A278A8" w:rsidRDefault="00A278A8" w:rsidP="00734E19">
      <w:pPr>
        <w:spacing w:line="480" w:lineRule="auto"/>
        <w:ind w:firstLine="720"/>
        <w:rPr>
          <w:color w:val="000000" w:themeColor="text1"/>
        </w:rPr>
      </w:pPr>
      <w:r w:rsidRPr="007F2D9E">
        <w:rPr>
          <w:color w:val="000000" w:themeColor="text1"/>
        </w:rPr>
        <w:t xml:space="preserve">Experiments run under near solidus conditions reveal that metamorphic transitions in the downwelling IBC would stabilize garnet in the IBC at pressures around 2 GPa during cumulate mantle overturn events. Near solidus experiments demonstrate solid-state diffusive exchange between the IBC material and dunite. Experiments run under supersolidus conditions demonstrate a dissolution-precipitation reaction involving dissolution of dunite and formation of a hybridized melt ± clinopyroxene, depending on the experimental conditions. In the lunar interior, similar chemical reactions may govern the mantle hybridization process. The rate of dunite dissolution is dependent on the pressure, temperature, and saturation state of olivine in the hybridizing melt. Simple kinetic models indicate that formation of volumetrically significant hybridized lunar mantle sources over geologically relevant timescales may require some amount of mechanical mixing, in addition to the chemical reaction mechanisms constrained in this </w:t>
      </w:r>
      <w:r w:rsidRPr="007F2D9E">
        <w:rPr>
          <w:color w:val="000000" w:themeColor="text1"/>
        </w:rPr>
        <w:lastRenderedPageBreak/>
        <w:t xml:space="preserve">study, depending on the scale of downwelling plumes that develop in the Moon’s interior during cumulate mantle overturn. </w:t>
      </w:r>
    </w:p>
    <w:p w14:paraId="082D8359" w14:textId="2A442C71" w:rsidR="007F0076" w:rsidRPr="0065586C" w:rsidRDefault="007F0076" w:rsidP="002F7368">
      <w:pPr>
        <w:pStyle w:val="Heading2"/>
      </w:pPr>
      <w:bookmarkStart w:id="218" w:name="_Toc182331742"/>
      <w:bookmarkStart w:id="219" w:name="_Toc182995468"/>
      <w:bookmarkStart w:id="220" w:name="_Toc183536585"/>
      <w:bookmarkStart w:id="221" w:name="_Toc184727388"/>
      <w:bookmarkStart w:id="222" w:name="_Toc185325634"/>
      <w:r w:rsidRPr="0065586C">
        <w:t>Acknowledgements</w:t>
      </w:r>
      <w:bookmarkEnd w:id="218"/>
      <w:bookmarkEnd w:id="219"/>
      <w:bookmarkEnd w:id="220"/>
      <w:bookmarkEnd w:id="221"/>
      <w:bookmarkEnd w:id="222"/>
    </w:p>
    <w:p w14:paraId="346EE1A5" w14:textId="33D9B94B" w:rsidR="007F0076" w:rsidRPr="007F0076" w:rsidRDefault="007F0076" w:rsidP="00734E19">
      <w:pPr>
        <w:spacing w:line="480" w:lineRule="auto"/>
        <w:ind w:firstLine="720"/>
        <w:rPr>
          <w:color w:val="000000" w:themeColor="text1"/>
        </w:rPr>
      </w:pPr>
      <w:r w:rsidRPr="007F2D9E">
        <w:rPr>
          <w:color w:val="000000" w:themeColor="text1"/>
        </w:rPr>
        <w:t xml:space="preserve">We thank A. Patchen at the University of Tennessee for his assistance with EPMA analysis, and Malcolm Rutherford at Brown University who conditioned the IBC starting materials while a conditioning furnace at the University of Tennessee was under development. </w:t>
      </w:r>
      <w:r>
        <w:rPr>
          <w:color w:val="000000" w:themeColor="text1"/>
        </w:rPr>
        <w:t xml:space="preserve">The manuscript benefited greatly from the comments and suggestions of the editor </w:t>
      </w:r>
      <w:r w:rsidRPr="00BF3535">
        <w:rPr>
          <w:color w:val="000000" w:themeColor="text1"/>
        </w:rPr>
        <w:t>Othmar Müntener</w:t>
      </w:r>
      <w:r>
        <w:rPr>
          <w:color w:val="000000" w:themeColor="text1"/>
        </w:rPr>
        <w:t xml:space="preserve">, as well as, Yanhao Lin and the anonymous reviewer. </w:t>
      </w:r>
      <w:r w:rsidRPr="007F2D9E">
        <w:rPr>
          <w:color w:val="000000" w:themeColor="text1"/>
        </w:rPr>
        <w:t>This work was supported by NASA Solar System Workings award 80NSSC20K0467 to ND.</w:t>
      </w:r>
      <w:r>
        <w:rPr>
          <w:color w:val="000000" w:themeColor="text1"/>
        </w:rPr>
        <w:t xml:space="preserve"> </w:t>
      </w:r>
    </w:p>
    <w:p w14:paraId="5A609CCC" w14:textId="37CC6C61" w:rsidR="00F12C57" w:rsidRDefault="00F12C57">
      <w:pPr>
        <w:rPr>
          <w:color w:val="000000" w:themeColor="text1"/>
        </w:rPr>
      </w:pPr>
      <w:r>
        <w:rPr>
          <w:color w:val="000000" w:themeColor="text1"/>
        </w:rPr>
        <w:br w:type="page"/>
      </w:r>
    </w:p>
    <w:p w14:paraId="593CAC4A" w14:textId="57E41CD7" w:rsidR="00FD0660" w:rsidRDefault="00FD0660" w:rsidP="00CA08DF">
      <w:pPr>
        <w:pStyle w:val="NonNumberedHeading2"/>
        <w:spacing w:line="480" w:lineRule="auto"/>
      </w:pPr>
      <w:bookmarkStart w:id="223" w:name="_Toc184727389"/>
      <w:bookmarkStart w:id="224" w:name="_Toc185325635"/>
      <w:r>
        <w:lastRenderedPageBreak/>
        <w:t>References</w:t>
      </w:r>
      <w:bookmarkEnd w:id="223"/>
      <w:bookmarkEnd w:id="224"/>
    </w:p>
    <w:p w14:paraId="6D3B2609" w14:textId="3A6F41D0" w:rsidR="00EB29FA" w:rsidRPr="00EB29FA" w:rsidRDefault="00EB29FA" w:rsidP="00CA08DF">
      <w:pPr>
        <w:spacing w:line="480" w:lineRule="auto"/>
        <w:ind w:left="450" w:hanging="450"/>
      </w:pPr>
      <w:r w:rsidRPr="00EB29FA">
        <w:t>Anovitz, L.M., Treiman, A.H., Essene, E.J., Hemingway, B.S., Westrum, E.F., Wall, V.J., Burriel, R., and Bohlen, S.R., 1985, The heat-capacity of ilmenite and phase equilibria in the system Fe-T-O: Geochimica et Cosmochimica Acta, v. 49, p. 2027–2040, doi:</w:t>
      </w:r>
      <w:hyperlink r:id="rId57" w:history="1">
        <w:r w:rsidRPr="00EB29FA">
          <w:rPr>
            <w:color w:val="0000FF"/>
            <w:u w:val="single"/>
          </w:rPr>
          <w:t>10.1016/0016-7037(85)90061-4</w:t>
        </w:r>
      </w:hyperlink>
      <w:r w:rsidRPr="00EB29FA">
        <w:t>.</w:t>
      </w:r>
    </w:p>
    <w:p w14:paraId="112F19D7" w14:textId="77777777" w:rsidR="00EB29FA" w:rsidRPr="00EB29FA" w:rsidRDefault="00EB29FA" w:rsidP="00CA08DF">
      <w:pPr>
        <w:spacing w:line="480" w:lineRule="auto"/>
        <w:ind w:left="450" w:hanging="450"/>
      </w:pPr>
      <w:r w:rsidRPr="00EB29FA">
        <w:t>Azough, F., and Freer, R., 2000, Iron Diffusion in Single-Crystal Diopside: Physics and Chemistry of Minerals, v. 27, p. 732–740, doi:</w:t>
      </w:r>
      <w:hyperlink r:id="rId58" w:history="1">
        <w:r w:rsidRPr="00EB29FA">
          <w:rPr>
            <w:color w:val="0000FF"/>
            <w:u w:val="single"/>
          </w:rPr>
          <w:t>10.1007/s002690000119</w:t>
        </w:r>
      </w:hyperlink>
      <w:r w:rsidRPr="00EB29FA">
        <w:t>.</w:t>
      </w:r>
    </w:p>
    <w:p w14:paraId="56FEF63D" w14:textId="77777777" w:rsidR="00EB29FA" w:rsidRPr="00EB29FA" w:rsidRDefault="00EB29FA" w:rsidP="00CA08DF">
      <w:pPr>
        <w:spacing w:line="480" w:lineRule="auto"/>
        <w:ind w:left="450" w:hanging="450"/>
      </w:pPr>
      <w:r w:rsidRPr="00EB29FA">
        <w:t>Barr, J.A., and Grove, T.L., 2013, Experimental petrology of the Apollo 15 group A green glasses: Melting primordial lunar mantle and magma ocean cumulate assimilation: Geochimica et Cosmochimica Acta, v. 106, p. 216–230, doi:</w:t>
      </w:r>
      <w:hyperlink r:id="rId59" w:history="1">
        <w:r w:rsidRPr="00EB29FA">
          <w:rPr>
            <w:color w:val="0000FF"/>
            <w:u w:val="single"/>
          </w:rPr>
          <w:t>10.1016/j.gca.2012.12.035</w:t>
        </w:r>
      </w:hyperlink>
      <w:r w:rsidRPr="00EB29FA">
        <w:t>.</w:t>
      </w:r>
    </w:p>
    <w:p w14:paraId="0E3977A7" w14:textId="77777777" w:rsidR="00EB29FA" w:rsidRPr="00EB29FA" w:rsidRDefault="00EB29FA" w:rsidP="00CA08DF">
      <w:pPr>
        <w:spacing w:line="480" w:lineRule="auto"/>
        <w:ind w:left="450" w:hanging="450"/>
      </w:pPr>
      <w:r w:rsidRPr="00EB29FA">
        <w:t>Beard, B.L., Taylor, L.A., Scherer, E.E., Johnson, C.M., and Snyder, G.A., 1998, The Source Region and Melting Mineralogy of High-Titanium and Low-Titanium Lunar Basalts Deduced from Lu-Hf Isotope Data: Geochimica et Cosmochimica Acta, v. 62, p. 525–544, doi:</w:t>
      </w:r>
      <w:hyperlink r:id="rId60" w:history="1">
        <w:r w:rsidRPr="00EB29FA">
          <w:rPr>
            <w:color w:val="0000FF"/>
            <w:u w:val="single"/>
          </w:rPr>
          <w:t>10.1016/S0016-7037(97)00373-6</w:t>
        </w:r>
      </w:hyperlink>
      <w:r w:rsidRPr="00EB29FA">
        <w:t>.</w:t>
      </w:r>
    </w:p>
    <w:p w14:paraId="4DAFEDF3" w14:textId="77777777" w:rsidR="00EB29FA" w:rsidRPr="00EB29FA" w:rsidRDefault="00EB29FA" w:rsidP="00CA08DF">
      <w:pPr>
        <w:spacing w:line="480" w:lineRule="auto"/>
        <w:ind w:left="450" w:hanging="450"/>
      </w:pPr>
      <w:r w:rsidRPr="00EB29FA">
        <w:t>Beck, A.R., Morgan, Z.T., Liang, Y., and Hess, P.C., 2006, Dunite channels as viable pathways for mare basalt transport in the deep lunar mantle: Geophysical Research Letters, v. 33, doi:</w:t>
      </w:r>
      <w:hyperlink r:id="rId61" w:history="1">
        <w:r w:rsidRPr="00EB29FA">
          <w:rPr>
            <w:color w:val="0000FF"/>
            <w:u w:val="single"/>
          </w:rPr>
          <w:t>10.1029/2005GL024008</w:t>
        </w:r>
      </w:hyperlink>
      <w:r w:rsidRPr="00EB29FA">
        <w:t>.</w:t>
      </w:r>
    </w:p>
    <w:p w14:paraId="71486A87" w14:textId="77777777" w:rsidR="00EB29FA" w:rsidRPr="00EB29FA" w:rsidRDefault="00EB29FA" w:rsidP="00CA08DF">
      <w:pPr>
        <w:spacing w:line="480" w:lineRule="auto"/>
        <w:ind w:left="450" w:hanging="450"/>
      </w:pPr>
      <w:r w:rsidRPr="00EB29FA">
        <w:t>Borg, L.E., and Carlson, R.W., 2023, The Evolving Chronology of Moon Formation: Annual Review of Earth and Planetary Sciences, v. 51, p. 25–52, doi:</w:t>
      </w:r>
      <w:hyperlink r:id="rId62" w:history="1">
        <w:r w:rsidRPr="00EB29FA">
          <w:rPr>
            <w:color w:val="0000FF"/>
            <w:u w:val="single"/>
          </w:rPr>
          <w:t>10.1146/annurev-earth-031621-060538</w:t>
        </w:r>
      </w:hyperlink>
      <w:r w:rsidRPr="00EB29FA">
        <w:t>.</w:t>
      </w:r>
    </w:p>
    <w:p w14:paraId="022BA26D" w14:textId="77777777" w:rsidR="00EB29FA" w:rsidRPr="00EB29FA" w:rsidRDefault="00EB29FA" w:rsidP="00CA08DF">
      <w:pPr>
        <w:spacing w:line="480" w:lineRule="auto"/>
        <w:ind w:left="450" w:hanging="450"/>
      </w:pPr>
      <w:r w:rsidRPr="00EB29FA">
        <w:lastRenderedPageBreak/>
        <w:t>Borg, L.E., Gaffney, A.M., Kruijer, T.S., Marks, N.A., Sio, C.K., and Wimpenny, J., 2019, Isotopic evidence for a young lunar magma ocean: Earth and Planetary Science Letters, v. 523, p. 115706, doi:</w:t>
      </w:r>
      <w:hyperlink r:id="rId63" w:history="1">
        <w:r w:rsidRPr="00EB29FA">
          <w:rPr>
            <w:color w:val="0000FF"/>
            <w:u w:val="single"/>
          </w:rPr>
          <w:t>10.1016/j.epsl.2019.07.008</w:t>
        </w:r>
      </w:hyperlink>
      <w:r w:rsidRPr="00EB29FA">
        <w:t>.</w:t>
      </w:r>
    </w:p>
    <w:p w14:paraId="5F02D9EE" w14:textId="77777777" w:rsidR="00EB29FA" w:rsidRPr="00EB29FA" w:rsidRDefault="00EB29FA" w:rsidP="00CA08DF">
      <w:pPr>
        <w:spacing w:line="480" w:lineRule="auto"/>
        <w:ind w:left="450" w:hanging="450"/>
      </w:pPr>
      <w:r w:rsidRPr="00EB29FA">
        <w:t>Borinski, S.A., Hoppe, U., Chakraborty, S., Ganguly, J., and Bhowmik, S.K., 2012, Multicomponent diffusion in garnets I: general theoretical considerations and experimental data for Fe–Mg systems: Contributions to Mineralogy and Petrology, v. 164, p. 571–586, doi:</w:t>
      </w:r>
      <w:hyperlink r:id="rId64" w:history="1">
        <w:r w:rsidRPr="00EB29FA">
          <w:rPr>
            <w:color w:val="0000FF"/>
            <w:u w:val="single"/>
          </w:rPr>
          <w:t>10.1007/s00410-012-0758-0</w:t>
        </w:r>
      </w:hyperlink>
      <w:r w:rsidRPr="00EB29FA">
        <w:t>.</w:t>
      </w:r>
    </w:p>
    <w:p w14:paraId="0B6F715C" w14:textId="77777777" w:rsidR="00EB29FA" w:rsidRPr="00EB29FA" w:rsidRDefault="00EB29FA" w:rsidP="00CA08DF">
      <w:pPr>
        <w:spacing w:line="480" w:lineRule="auto"/>
        <w:ind w:left="450" w:hanging="450"/>
      </w:pPr>
      <w:r w:rsidRPr="00EB29FA">
        <w:t>Bottinga, Y., and Weill, D.F., 1970, Densities of liquid silicate systems calculated from partial molar volumes of oxide components.: Amer. J. Sci., v. 269, p. 169–182, doi:</w:t>
      </w:r>
      <w:hyperlink r:id="rId65" w:history="1">
        <w:r w:rsidRPr="00EB29FA">
          <w:rPr>
            <w:color w:val="0000FF"/>
            <w:u w:val="single"/>
          </w:rPr>
          <w:t>10.2475/ajs.269.2.169</w:t>
        </w:r>
      </w:hyperlink>
      <w:r w:rsidRPr="00EB29FA">
        <w:t>.</w:t>
      </w:r>
    </w:p>
    <w:p w14:paraId="4D5C7E22" w14:textId="77777777" w:rsidR="00EB29FA" w:rsidRPr="00EB29FA" w:rsidRDefault="00EB29FA" w:rsidP="00CA08DF">
      <w:pPr>
        <w:spacing w:line="480" w:lineRule="auto"/>
        <w:ind w:left="450" w:hanging="450"/>
      </w:pPr>
      <w:r w:rsidRPr="00EB29FA">
        <w:t>Brady, J.B., and McCallister, R.H., 1983, Diffusion data for clinopyroxenes from homogenization and self-diffusion experiments: American Mineralogist, v. 68, p. 95–105.</w:t>
      </w:r>
    </w:p>
    <w:p w14:paraId="705FC287" w14:textId="77777777" w:rsidR="00EB29FA" w:rsidRPr="00EB29FA" w:rsidRDefault="00EB29FA" w:rsidP="00CA08DF">
      <w:pPr>
        <w:spacing w:line="480" w:lineRule="auto"/>
        <w:ind w:left="450" w:hanging="450"/>
      </w:pPr>
      <w:r w:rsidRPr="00EB29FA">
        <w:t>Brown, S.M., and Grove, T.L., 2015, Origin of the Apollo 14, 15, and 17 yellow ultramafic glasses by mixing of deep cumulate remelts: Geochimica et Cosmochimica Acta, v. 171, p. 201–215, doi:</w:t>
      </w:r>
      <w:hyperlink r:id="rId66" w:history="1">
        <w:r w:rsidRPr="00EB29FA">
          <w:rPr>
            <w:color w:val="0000FF"/>
            <w:u w:val="single"/>
          </w:rPr>
          <w:t>10.1016/j.gca.2015.09.001</w:t>
        </w:r>
      </w:hyperlink>
      <w:r w:rsidRPr="00EB29FA">
        <w:t>.</w:t>
      </w:r>
    </w:p>
    <w:p w14:paraId="24B6AFA1" w14:textId="77777777" w:rsidR="00EB29FA" w:rsidRPr="00EB29FA" w:rsidRDefault="00EB29FA" w:rsidP="00CA08DF">
      <w:pPr>
        <w:spacing w:line="480" w:lineRule="auto"/>
        <w:ind w:left="450" w:hanging="450"/>
      </w:pPr>
      <w:r w:rsidRPr="00EB29FA">
        <w:t>Buening, D.K., and Buseck, P.R., 1973, Fe-Mg lattice diffusion in olivine: Journal of Geophysical Research (1896-1977), v. 78, p. 6852–6862, doi:</w:t>
      </w:r>
      <w:hyperlink r:id="rId67" w:history="1">
        <w:r w:rsidRPr="00EB29FA">
          <w:rPr>
            <w:color w:val="0000FF"/>
            <w:u w:val="single"/>
          </w:rPr>
          <w:t>10.1029/JB078i029p06852</w:t>
        </w:r>
      </w:hyperlink>
      <w:r w:rsidRPr="00EB29FA">
        <w:t>.</w:t>
      </w:r>
    </w:p>
    <w:p w14:paraId="0F7C6D43" w14:textId="77777777" w:rsidR="00EB29FA" w:rsidRPr="00EB29FA" w:rsidRDefault="00EB29FA" w:rsidP="00CA08DF">
      <w:pPr>
        <w:spacing w:line="480" w:lineRule="auto"/>
        <w:ind w:left="450" w:hanging="450"/>
      </w:pPr>
      <w:r w:rsidRPr="00EB29FA">
        <w:t>Canil, D., and Bellis, A.J., 2008, Phase equilibria in a volatile-free kimberlite at 0.1 MPa and the search for primary kimberlite magma: Lithos, v. 105, p. 111–117, doi:</w:t>
      </w:r>
      <w:hyperlink r:id="rId68" w:history="1">
        <w:r w:rsidRPr="00EB29FA">
          <w:rPr>
            <w:color w:val="0000FF"/>
            <w:u w:val="single"/>
          </w:rPr>
          <w:t>10.1016/j.lithos.2008.02.011</w:t>
        </w:r>
      </w:hyperlink>
      <w:r w:rsidRPr="00EB29FA">
        <w:t>.</w:t>
      </w:r>
    </w:p>
    <w:p w14:paraId="3378588A" w14:textId="77777777" w:rsidR="00EB29FA" w:rsidRPr="00EB29FA" w:rsidRDefault="00EB29FA" w:rsidP="00CA08DF">
      <w:pPr>
        <w:spacing w:line="480" w:lineRule="auto"/>
        <w:ind w:left="450" w:hanging="450"/>
      </w:pPr>
      <w:r w:rsidRPr="00EB29FA">
        <w:lastRenderedPageBreak/>
        <w:t>Chakraborty, S., 1997, Rates and mechanisms of Fe-Mg interdiffusion in olivine at 980°–1300°C: Journal of Geophysical Research: Solid Earth, v. 102, p. 12317–12331, doi:</w:t>
      </w:r>
      <w:hyperlink r:id="rId69" w:history="1">
        <w:r w:rsidRPr="00EB29FA">
          <w:rPr>
            <w:color w:val="0000FF"/>
            <w:u w:val="single"/>
          </w:rPr>
          <w:t>10.1029/97JB00208</w:t>
        </w:r>
      </w:hyperlink>
      <w:r w:rsidRPr="00EB29FA">
        <w:t>.</w:t>
      </w:r>
    </w:p>
    <w:p w14:paraId="2AE97EA0" w14:textId="77777777" w:rsidR="00EB29FA" w:rsidRPr="00EB29FA" w:rsidRDefault="00EB29FA" w:rsidP="00CA08DF">
      <w:pPr>
        <w:spacing w:line="480" w:lineRule="auto"/>
        <w:ind w:left="450" w:hanging="450"/>
      </w:pPr>
      <w:r w:rsidRPr="00EB29FA">
        <w:t>Chakraborty, S., Farver, J.R., Yund, R.A., and Rubie, D.C., 1994, Mg tracer diffusion in synthetic forsterite and San Carlos olivine as a function of P, T and fO2: Physics and Chemistry of Minerals, v. 21, p. 489–500, doi:</w:t>
      </w:r>
      <w:hyperlink r:id="rId70" w:history="1">
        <w:r w:rsidRPr="00EB29FA">
          <w:rPr>
            <w:color w:val="0000FF"/>
            <w:u w:val="single"/>
          </w:rPr>
          <w:t>10.1007/BF00203923</w:t>
        </w:r>
      </w:hyperlink>
      <w:r w:rsidRPr="00EB29FA">
        <w:t>.</w:t>
      </w:r>
    </w:p>
    <w:p w14:paraId="5AAB8775" w14:textId="77777777" w:rsidR="00EB29FA" w:rsidRPr="00EB29FA" w:rsidRDefault="00EB29FA" w:rsidP="00CA08DF">
      <w:pPr>
        <w:spacing w:line="480" w:lineRule="auto"/>
        <w:ind w:left="450" w:hanging="450"/>
      </w:pPr>
      <w:r w:rsidRPr="00EB29FA">
        <w:t>Chakraborty, S., and Ganguly, J., 1992, Cation diffusion in aluminosilicate garnets: experimental determination in spessartine-almandine diffusion couples, evaluation of effective binary diffusion coefficients, and applications: Contributions to Mineralogy and Petrology, v. 111, p. 74–86, doi:</w:t>
      </w:r>
      <w:hyperlink r:id="rId71" w:history="1">
        <w:r w:rsidRPr="00EB29FA">
          <w:rPr>
            <w:color w:val="0000FF"/>
            <w:u w:val="single"/>
          </w:rPr>
          <w:t>10.1007/BF00296579</w:t>
        </w:r>
      </w:hyperlink>
      <w:r w:rsidRPr="00EB29FA">
        <w:t>.</w:t>
      </w:r>
    </w:p>
    <w:p w14:paraId="01786A5A" w14:textId="77777777" w:rsidR="00EB29FA" w:rsidRPr="00EB29FA" w:rsidRDefault="00EB29FA" w:rsidP="00CA08DF">
      <w:pPr>
        <w:spacing w:line="480" w:lineRule="auto"/>
        <w:ind w:left="450" w:hanging="450"/>
      </w:pPr>
      <w:r w:rsidRPr="00EB29FA">
        <w:t>Chakraborty, S., and Rubie, D.C., 1996, Mg tracer diffusion in aluminosilicate garnets at 750-850° C, 1 atm. and 1300° C, 8.5 GPa: Contributions to Mineralogy and Petrology, v. 122, p. 406–414, doi:</w:t>
      </w:r>
      <w:hyperlink r:id="rId72" w:history="1">
        <w:r w:rsidRPr="00EB29FA">
          <w:rPr>
            <w:color w:val="0000FF"/>
            <w:u w:val="single"/>
          </w:rPr>
          <w:t>10.1007/s004100050136</w:t>
        </w:r>
      </w:hyperlink>
      <w:r w:rsidRPr="00EB29FA">
        <w:t>.</w:t>
      </w:r>
    </w:p>
    <w:p w14:paraId="03949FD1" w14:textId="77777777" w:rsidR="00EB29FA" w:rsidRPr="00EB29FA" w:rsidRDefault="00EB29FA" w:rsidP="00CA08DF">
      <w:pPr>
        <w:spacing w:line="480" w:lineRule="auto"/>
        <w:ind w:left="450" w:hanging="450"/>
      </w:pPr>
      <w:r w:rsidRPr="00EB29FA">
        <w:t>Charlier, B., Grove, T.L., Namur, O., and Holtz, F., 2018, Crystallization of the lunar magma ocean and the primordial mantle-crust differentiation of the Moon: Geochimica et Cosmochimica Acta, v. 234, p. 50–69, doi:</w:t>
      </w:r>
      <w:hyperlink r:id="rId73" w:history="1">
        <w:r w:rsidRPr="00EB29FA">
          <w:rPr>
            <w:color w:val="0000FF"/>
            <w:u w:val="single"/>
          </w:rPr>
          <w:t>10.1016/j.gca.2018.05.006</w:t>
        </w:r>
      </w:hyperlink>
      <w:r w:rsidRPr="00EB29FA">
        <w:t>.</w:t>
      </w:r>
    </w:p>
    <w:p w14:paraId="77C3D357" w14:textId="77777777" w:rsidR="00EB29FA" w:rsidRPr="00EB29FA" w:rsidRDefault="00EB29FA" w:rsidP="00CA08DF">
      <w:pPr>
        <w:spacing w:line="480" w:lineRule="auto"/>
        <w:ind w:left="450" w:hanging="450"/>
      </w:pPr>
      <w:r w:rsidRPr="00EB29FA">
        <w:t>Cohen, L.H., Ito, K., and Kennedy, G.C., 1967, Melting and phase relations in an anhydrous basalt to 40 kilobars: American Journal of Science, v. 265, p. 475, doi:</w:t>
      </w:r>
      <w:hyperlink r:id="rId74" w:history="1">
        <w:r w:rsidRPr="00EB29FA">
          <w:rPr>
            <w:color w:val="0000FF"/>
            <w:u w:val="single"/>
          </w:rPr>
          <w:t>10.2475/ajs.265.6.475</w:t>
        </w:r>
      </w:hyperlink>
      <w:r w:rsidRPr="00EB29FA">
        <w:t>.</w:t>
      </w:r>
    </w:p>
    <w:p w14:paraId="2E8FA1B5" w14:textId="77777777" w:rsidR="00EB29FA" w:rsidRPr="00EB29FA" w:rsidRDefault="00EB29FA" w:rsidP="00CA08DF">
      <w:pPr>
        <w:spacing w:line="480" w:lineRule="auto"/>
        <w:ind w:left="450" w:hanging="450"/>
      </w:pPr>
      <w:r w:rsidRPr="00EB29FA">
        <w:t xml:space="preserve">Dannberg, J., Eilon, Z., Faul, U., Gassmöller, R., Moulik, P., and Myhill, R., 2017, The importance of grain size to mantle dynamics and seismological observations: </w:t>
      </w:r>
      <w:r w:rsidRPr="00EB29FA">
        <w:lastRenderedPageBreak/>
        <w:t>Geochemistry, Geophysics, Geosystems, v. 18, p. 3034–3061, doi:</w:t>
      </w:r>
      <w:hyperlink r:id="rId75" w:history="1">
        <w:r w:rsidRPr="00EB29FA">
          <w:rPr>
            <w:color w:val="0000FF"/>
            <w:u w:val="single"/>
          </w:rPr>
          <w:t>10.1002/2017GC006944</w:t>
        </w:r>
      </w:hyperlink>
      <w:r w:rsidRPr="00EB29FA">
        <w:t>.</w:t>
      </w:r>
    </w:p>
    <w:p w14:paraId="573B62F6" w14:textId="77777777" w:rsidR="00EB29FA" w:rsidRPr="00EB29FA" w:rsidRDefault="00EB29FA" w:rsidP="00CA08DF">
      <w:pPr>
        <w:spacing w:line="480" w:lineRule="auto"/>
        <w:ind w:left="450" w:hanging="450"/>
      </w:pPr>
      <w:r w:rsidRPr="00EB29FA">
        <w:t>Deines, P., 1974, Temperature-oxygen fugacity tables for selected gas mixtures in the system C-H-O at one atmosphere total pressure: University Park : College of Earth and Mineral Sciences, Pennsylvania State University, Bulletin 88, 129 p.</w:t>
      </w:r>
    </w:p>
    <w:p w14:paraId="1C5058C7" w14:textId="77777777" w:rsidR="00EB29FA" w:rsidRPr="00EB29FA" w:rsidRDefault="00EB29FA" w:rsidP="00CA08DF">
      <w:pPr>
        <w:spacing w:line="480" w:lineRule="auto"/>
        <w:ind w:left="450" w:hanging="450"/>
      </w:pPr>
      <w:r w:rsidRPr="00EB29FA">
        <w:t>Delano, J.W., 1980, Chemistry and liquidus phase relations of Apollo 15 red glass: implications for the deep lunar interior.: Lunar and Planetary Science Conference Proceedings, v. 1, p. 251–288.</w:t>
      </w:r>
    </w:p>
    <w:p w14:paraId="516A82DD" w14:textId="77777777" w:rsidR="00EB29FA" w:rsidRPr="00EB29FA" w:rsidRDefault="00EB29FA" w:rsidP="00CA08DF">
      <w:pPr>
        <w:spacing w:line="480" w:lineRule="auto"/>
        <w:ind w:left="450" w:hanging="450"/>
      </w:pPr>
      <w:r w:rsidRPr="00EB29FA">
        <w:t>Delano, J.W., 1986, Pristine lunar glasses: Criteria, data, and implications: Journal of Geophysical Research: Solid Earth, v. 91, p. 201–213, doi:</w:t>
      </w:r>
      <w:hyperlink r:id="rId76" w:history="1">
        <w:r w:rsidRPr="00EB29FA">
          <w:rPr>
            <w:color w:val="0000FF"/>
            <w:u w:val="single"/>
          </w:rPr>
          <w:t>10.1029/JB091iB04p0D201</w:t>
        </w:r>
      </w:hyperlink>
      <w:r w:rsidRPr="00EB29FA">
        <w:t>.</w:t>
      </w:r>
    </w:p>
    <w:p w14:paraId="7E2B3771" w14:textId="77777777" w:rsidR="00EB29FA" w:rsidRPr="00EB29FA" w:rsidRDefault="00EB29FA" w:rsidP="00CA08DF">
      <w:pPr>
        <w:spacing w:line="480" w:lineRule="auto"/>
        <w:ind w:left="450" w:hanging="450"/>
      </w:pPr>
      <w:r w:rsidRPr="00EB29FA">
        <w:t>Dimanov, A., and Wiedenbeck, M., 2006, (Fe,Mn)-Mg interdiffusion in natural diopside: effect of pO2: European Journal of Mineralogy, v. 18, p. 705–718, doi:</w:t>
      </w:r>
      <w:hyperlink r:id="rId77" w:history="1">
        <w:r w:rsidRPr="00EB29FA">
          <w:rPr>
            <w:color w:val="0000FF"/>
            <w:u w:val="single"/>
          </w:rPr>
          <w:t>10.1127/0935-1221/2006/0018-0705</w:t>
        </w:r>
      </w:hyperlink>
      <w:r w:rsidRPr="00EB29FA">
        <w:t>.</w:t>
      </w:r>
    </w:p>
    <w:p w14:paraId="5AFADE1D" w14:textId="77777777" w:rsidR="00EB29FA" w:rsidRPr="00EB29FA" w:rsidRDefault="00EB29FA" w:rsidP="00CA08DF">
      <w:pPr>
        <w:spacing w:line="480" w:lineRule="auto"/>
        <w:ind w:left="450" w:hanging="450"/>
      </w:pPr>
      <w:r w:rsidRPr="00EB29FA">
        <w:t>Dohmen, R., and Chakraborty, S., 2007, Fe–Mg diffusion in olivine II: point defect chemistry, change of diffusion mechanisms and a model for calculation of diffusion coefficients in natural olivine: Physics and Chemistry of Minerals, v. 34, p. 409–430, doi:</w:t>
      </w:r>
      <w:hyperlink r:id="rId78" w:history="1">
        <w:r w:rsidRPr="00EB29FA">
          <w:rPr>
            <w:color w:val="0000FF"/>
            <w:u w:val="single"/>
          </w:rPr>
          <w:t>10.1007/s00269-007-0158-6</w:t>
        </w:r>
      </w:hyperlink>
      <w:r w:rsidRPr="00EB29FA">
        <w:t>.</w:t>
      </w:r>
    </w:p>
    <w:p w14:paraId="6527E64F" w14:textId="77777777" w:rsidR="00EB29FA" w:rsidRPr="00EB29FA" w:rsidRDefault="00EB29FA" w:rsidP="00CA08DF">
      <w:pPr>
        <w:spacing w:line="480" w:lineRule="auto"/>
        <w:ind w:left="450" w:hanging="450"/>
      </w:pPr>
      <w:r w:rsidRPr="00EB29FA">
        <w:t xml:space="preserve">Draper, D.S., duFrane, S.A., Shearer, C.K., Dwarzski, R.E., and Agee, C.B., 2006, High-pressure phase equilibria and element partitioning experiments on Apollo 15 green C picritic glass: Implications for the role of garnet in the deep lunar interior: </w:t>
      </w:r>
      <w:r w:rsidRPr="00EB29FA">
        <w:lastRenderedPageBreak/>
        <w:t>Geochimica et Cosmochimica Acta, v. 70, p. 2400–2416, doi:</w:t>
      </w:r>
      <w:hyperlink r:id="rId79" w:history="1">
        <w:r w:rsidRPr="00EB29FA">
          <w:rPr>
            <w:color w:val="0000FF"/>
            <w:u w:val="single"/>
          </w:rPr>
          <w:t>10.1016/j.gca.2006.01.027</w:t>
        </w:r>
      </w:hyperlink>
      <w:r w:rsidRPr="00EB29FA">
        <w:t>.</w:t>
      </w:r>
    </w:p>
    <w:p w14:paraId="46BB547E" w14:textId="77777777" w:rsidR="00EB29FA" w:rsidRPr="00EB29FA" w:rsidRDefault="00EB29FA" w:rsidP="00CA08DF">
      <w:pPr>
        <w:spacing w:line="480" w:lineRule="auto"/>
        <w:ind w:left="450" w:hanging="450"/>
      </w:pPr>
      <w:r w:rsidRPr="00EB29FA">
        <w:t>Dygert, N., Bernard, R.E., and Behr, W.M., 2019, Great basin mantle xenoliths record active lithospheric downwelling beneath central Nevada: Geochemistry, Geophysics, Geosystems, v. 20, p. 751–772.</w:t>
      </w:r>
    </w:p>
    <w:p w14:paraId="1BA53FEA" w14:textId="77777777" w:rsidR="00EB29FA" w:rsidRPr="00EB29FA" w:rsidRDefault="00EB29FA" w:rsidP="00CA08DF">
      <w:pPr>
        <w:spacing w:line="480" w:lineRule="auto"/>
        <w:ind w:left="450" w:hanging="450"/>
      </w:pPr>
      <w:r w:rsidRPr="00EB29FA">
        <w:t>Dygert, N., Hirth, G., and Liang, Y., 2016, A flow law for ilmenite in dislocation creep: Implications for lunar cumulate mantle overturn: Geophysical Research Letters, v. 43, p. 532–540, doi:</w:t>
      </w:r>
      <w:hyperlink r:id="rId80" w:history="1">
        <w:r w:rsidRPr="00EB29FA">
          <w:rPr>
            <w:color w:val="0000FF"/>
            <w:u w:val="single"/>
          </w:rPr>
          <w:t>10.1002/2015GL066546</w:t>
        </w:r>
      </w:hyperlink>
      <w:r w:rsidRPr="00EB29FA">
        <w:t>.</w:t>
      </w:r>
    </w:p>
    <w:p w14:paraId="2D91BB31" w14:textId="77777777" w:rsidR="00EB29FA" w:rsidRPr="00EB29FA" w:rsidRDefault="00EB29FA" w:rsidP="00CA08DF">
      <w:pPr>
        <w:spacing w:line="480" w:lineRule="auto"/>
        <w:ind w:left="450" w:hanging="450"/>
      </w:pPr>
      <w:r w:rsidRPr="00EB29FA">
        <w:t>Dygert, N., Liang, Y., and Hess, P., 2013, The importance of melt TiO2 in affecting major and trace element partitioning between Fe–Ti oxides and lunar picritic glass melts: Geochimica et Cosmochimica Acta, v. 106, p. 134–151, doi:</w:t>
      </w:r>
      <w:hyperlink r:id="rId81" w:history="1">
        <w:r w:rsidRPr="00EB29FA">
          <w:rPr>
            <w:color w:val="0000FF"/>
            <w:u w:val="single"/>
          </w:rPr>
          <w:t>10.1016/j.gca.2012.12.005</w:t>
        </w:r>
      </w:hyperlink>
      <w:r w:rsidRPr="00EB29FA">
        <w:t>.</w:t>
      </w:r>
    </w:p>
    <w:p w14:paraId="4AC70FB5" w14:textId="77777777" w:rsidR="00EB29FA" w:rsidRPr="00EB29FA" w:rsidRDefault="00EB29FA" w:rsidP="00CA08DF">
      <w:pPr>
        <w:spacing w:line="480" w:lineRule="auto"/>
        <w:ind w:left="450" w:hanging="450"/>
      </w:pPr>
      <w:r w:rsidRPr="00EB29FA">
        <w:t>Dygert, N., Liang, Y., Sun, C., and Hess, P., 2014, An experimental study of trace element partitioning between augite and Fe-rich basalts: Geochimica et Cosmochimica Acta, v. 132, p. 170–186, doi:</w:t>
      </w:r>
      <w:hyperlink r:id="rId82" w:history="1">
        <w:r w:rsidRPr="00EB29FA">
          <w:rPr>
            <w:color w:val="0000FF"/>
            <w:u w:val="single"/>
          </w:rPr>
          <w:t>10.1016/j.gca.2014.01.042</w:t>
        </w:r>
      </w:hyperlink>
      <w:r w:rsidRPr="00EB29FA">
        <w:t>.</w:t>
      </w:r>
    </w:p>
    <w:p w14:paraId="51B2627A" w14:textId="77777777" w:rsidR="00EB29FA" w:rsidRPr="00EB29FA" w:rsidRDefault="00EB29FA" w:rsidP="00CA08DF">
      <w:pPr>
        <w:spacing w:line="480" w:lineRule="auto"/>
        <w:ind w:left="450" w:hanging="450"/>
      </w:pPr>
      <w:r w:rsidRPr="00EB29FA">
        <w:t>Dygert, N., Lin, J.-F., Marshall, E.W., Kono, Y., and Gardner, J.E., 2017, A Low Viscosity Lunar Magma Ocean Forms a Stratified Anorthitic Flotation Crust With Mafic Poor and Rich Units: Geophysical Research Letters, v. 44, p. 11,282-11,291, doi:</w:t>
      </w:r>
      <w:hyperlink r:id="rId83" w:history="1">
        <w:r w:rsidRPr="00EB29FA">
          <w:rPr>
            <w:color w:val="0000FF"/>
            <w:u w:val="single"/>
          </w:rPr>
          <w:t>10.1002/2017GL075703</w:t>
        </w:r>
      </w:hyperlink>
      <w:r w:rsidRPr="00EB29FA">
        <w:t>.</w:t>
      </w:r>
    </w:p>
    <w:p w14:paraId="4378C65A" w14:textId="77777777" w:rsidR="00EB29FA" w:rsidRPr="00EB29FA" w:rsidRDefault="00EB29FA" w:rsidP="00CA08DF">
      <w:pPr>
        <w:spacing w:line="480" w:lineRule="auto"/>
        <w:ind w:left="450" w:hanging="450"/>
      </w:pPr>
      <w:r w:rsidRPr="00EB29FA">
        <w:t xml:space="preserve">Elardo, S.M., Draper, D.S., and Shearer, C.K., 2011, Lunar Magma Ocean crystallization revisited: Bulk composition, early cumulate mineralogy, and the source regions of </w:t>
      </w:r>
      <w:r w:rsidRPr="00EB29FA">
        <w:lastRenderedPageBreak/>
        <w:t>the highlands Mg-suite: Geochimica et Cosmochimica Acta, v. 75, p. 3024–3045, doi:</w:t>
      </w:r>
      <w:hyperlink r:id="rId84" w:history="1">
        <w:r w:rsidRPr="00EB29FA">
          <w:rPr>
            <w:color w:val="0000FF"/>
            <w:u w:val="single"/>
          </w:rPr>
          <w:t>10.1016/j.gca.2011.02.033</w:t>
        </w:r>
      </w:hyperlink>
      <w:r w:rsidRPr="00EB29FA">
        <w:t>.</w:t>
      </w:r>
    </w:p>
    <w:p w14:paraId="0B5E30FB" w14:textId="77777777" w:rsidR="00EB29FA" w:rsidRPr="00EB29FA" w:rsidRDefault="00EB29FA" w:rsidP="00CA08DF">
      <w:pPr>
        <w:spacing w:line="480" w:lineRule="auto"/>
        <w:ind w:left="450" w:hanging="450"/>
      </w:pPr>
      <w:r w:rsidRPr="00EB29FA">
        <w:t>Elkins Tanton, L.T., Van Orman, J.A., Hager, B.H., and Grove, T.L., 2002, Re-examination of the lunar magma ocean cumulate overturn hypothesis: melting or mixing is required: Earth and Planetary Science Letters, v. 196, p. 239–249, doi:</w:t>
      </w:r>
      <w:hyperlink r:id="rId85" w:history="1">
        <w:r w:rsidRPr="00EB29FA">
          <w:rPr>
            <w:color w:val="0000FF"/>
            <w:u w:val="single"/>
          </w:rPr>
          <w:t>10.1016/S0012-821X(01)00613-6</w:t>
        </w:r>
      </w:hyperlink>
      <w:r w:rsidRPr="00EB29FA">
        <w:t>.</w:t>
      </w:r>
    </w:p>
    <w:p w14:paraId="3789CF32" w14:textId="77777777" w:rsidR="00EB29FA" w:rsidRPr="00EB29FA" w:rsidRDefault="00EB29FA" w:rsidP="00CA08DF">
      <w:pPr>
        <w:spacing w:line="480" w:lineRule="auto"/>
        <w:ind w:left="450" w:hanging="450"/>
      </w:pPr>
      <w:r w:rsidRPr="00EB29FA">
        <w:t>Elkins-Tanton, L.T., 2012, Magma Oceans in the Inner Solar System: Annual Review of Earth and Planetary Sciences, v. 40, p. 113–139, doi:</w:t>
      </w:r>
      <w:hyperlink r:id="rId86" w:history="1">
        <w:r w:rsidRPr="00EB29FA">
          <w:rPr>
            <w:color w:val="0000FF"/>
            <w:u w:val="single"/>
          </w:rPr>
          <w:t>10.1146/annurev-earth-042711-105503</w:t>
        </w:r>
      </w:hyperlink>
      <w:r w:rsidRPr="00EB29FA">
        <w:t>.</w:t>
      </w:r>
    </w:p>
    <w:p w14:paraId="3CDE8BFA" w14:textId="77777777" w:rsidR="00EB29FA" w:rsidRPr="00EB29FA" w:rsidRDefault="00EB29FA" w:rsidP="00CA08DF">
      <w:pPr>
        <w:spacing w:line="480" w:lineRule="auto"/>
        <w:ind w:left="450" w:hanging="450"/>
      </w:pPr>
      <w:r w:rsidRPr="00EB29FA">
        <w:t>Elkins-Tanton, L.T., Burgess, S., and Yin, Q.-Z., 2011, The lunar magma ocean: Reconciling the solidification process with lunar petrology and geochronology: Earth and Planetary Science Letters, v. 304, p. 326–336, doi:</w:t>
      </w:r>
      <w:hyperlink r:id="rId87" w:history="1">
        <w:r w:rsidRPr="00EB29FA">
          <w:rPr>
            <w:color w:val="0000FF"/>
            <w:u w:val="single"/>
          </w:rPr>
          <w:t>10.1016/j.epsl.2011.02.004</w:t>
        </w:r>
      </w:hyperlink>
      <w:r w:rsidRPr="00EB29FA">
        <w:t>.</w:t>
      </w:r>
    </w:p>
    <w:p w14:paraId="40ACD55B" w14:textId="77777777" w:rsidR="00EB29FA" w:rsidRPr="00EB29FA" w:rsidRDefault="00EB29FA" w:rsidP="00CA08DF">
      <w:pPr>
        <w:spacing w:line="480" w:lineRule="auto"/>
        <w:ind w:left="450" w:hanging="450"/>
      </w:pPr>
      <w:r w:rsidRPr="00EB29FA">
        <w:t>Elkins-Tanton, L.T., Chatterjee, N., and Grove, T.L., 2003, Experimental and petrological constraints on lunar differentiation from the Apollo 15 green picritic glasses: Meteoritics &amp; Planetary Science, v. 38, p. 515–527, doi:</w:t>
      </w:r>
      <w:hyperlink r:id="rId88" w:history="1">
        <w:r w:rsidRPr="00EB29FA">
          <w:rPr>
            <w:color w:val="0000FF"/>
            <w:u w:val="single"/>
          </w:rPr>
          <w:t>10.1111/j.1945-5100.2003.tb00024.x</w:t>
        </w:r>
      </w:hyperlink>
      <w:r w:rsidRPr="00EB29FA">
        <w:t>.</w:t>
      </w:r>
    </w:p>
    <w:p w14:paraId="4181CE3D" w14:textId="77777777" w:rsidR="00EB29FA" w:rsidRPr="00EB29FA" w:rsidRDefault="00EB29FA" w:rsidP="00CA08DF">
      <w:pPr>
        <w:spacing w:line="480" w:lineRule="auto"/>
        <w:ind w:left="450" w:hanging="450"/>
      </w:pPr>
      <w:r w:rsidRPr="00EB29FA">
        <w:t>Elthon, D., and Scarfe, C.M., 1984, High-pressure phase equilibria of a high-magnesia basalt and the genesis of primary oceanic basalts: American Mineralogist, v. 69, p. 1–15.</w:t>
      </w:r>
    </w:p>
    <w:p w14:paraId="2BD1CD42" w14:textId="77777777" w:rsidR="00EB29FA" w:rsidRPr="00EB29FA" w:rsidRDefault="00EB29FA" w:rsidP="00CA08DF">
      <w:pPr>
        <w:spacing w:line="480" w:lineRule="auto"/>
        <w:ind w:left="450" w:hanging="450"/>
      </w:pPr>
      <w:r w:rsidRPr="00EB29FA">
        <w:lastRenderedPageBreak/>
        <w:t>Farver, J.R., Yund, R.A., and Rubie, D.C., 1994, Magnesium grain boundary diffusion in forsterite aggregates at 1000°–1300°C and 0.1 MPa to 10 GPa: Journal of Geophysical Research: Solid Earth, v. 99, p. 19809–19819, doi:</w:t>
      </w:r>
      <w:hyperlink r:id="rId89" w:history="1">
        <w:r w:rsidRPr="00EB29FA">
          <w:rPr>
            <w:color w:val="0000FF"/>
            <w:u w:val="single"/>
          </w:rPr>
          <w:t>10.1029/94JB01250</w:t>
        </w:r>
      </w:hyperlink>
      <w:r w:rsidRPr="00EB29FA">
        <w:t>.</w:t>
      </w:r>
    </w:p>
    <w:p w14:paraId="2ABC2150" w14:textId="77777777" w:rsidR="00EB29FA" w:rsidRPr="00EB29FA" w:rsidRDefault="00EB29FA" w:rsidP="00CA08DF">
      <w:pPr>
        <w:spacing w:line="480" w:lineRule="auto"/>
        <w:ind w:left="450" w:hanging="450"/>
      </w:pPr>
      <w:r w:rsidRPr="00EB29FA">
        <w:t>Friel, J.J., Harker, R.I., and Ulmer, G.C., 1977, Armalcolite stability as a function of pressure and oxygen fugacity: Geochimica et Cosmochimica Acta, v. 41, p. 403–410, doi:</w:t>
      </w:r>
      <w:hyperlink r:id="rId90" w:history="1">
        <w:r w:rsidRPr="00EB29FA">
          <w:rPr>
            <w:color w:val="0000FF"/>
            <w:u w:val="single"/>
          </w:rPr>
          <w:t>10.1016/0016-7037(77)90268-X</w:t>
        </w:r>
      </w:hyperlink>
      <w:r w:rsidRPr="00EB29FA">
        <w:t>.</w:t>
      </w:r>
    </w:p>
    <w:p w14:paraId="0E56C6B8" w14:textId="77777777" w:rsidR="00EB29FA" w:rsidRPr="00EB29FA" w:rsidRDefault="00EB29FA" w:rsidP="00CA08DF">
      <w:pPr>
        <w:spacing w:line="480" w:lineRule="auto"/>
        <w:ind w:left="450" w:hanging="450"/>
      </w:pPr>
      <w:r w:rsidRPr="00EB29FA">
        <w:t>Fujino, K., 1990, Direct determination of cation diffusion coefficients in pyroxene.: Eos, v. 71, p. 943.</w:t>
      </w:r>
    </w:p>
    <w:p w14:paraId="32122D5A" w14:textId="77777777" w:rsidR="00EB29FA" w:rsidRPr="00EB29FA" w:rsidRDefault="00EB29FA" w:rsidP="00CA08DF">
      <w:pPr>
        <w:spacing w:line="480" w:lineRule="auto"/>
        <w:ind w:left="450" w:hanging="450"/>
      </w:pPr>
      <w:r w:rsidRPr="00EB29FA">
        <w:t>Ganguly, J., Cheng, W., and Chakraborty, S., 1998, Cation diffusion in aluminosilicate garnets: experimental determination in pyrope-almandine diffusion couples: Contributions to Mineralogy and Petrology, v. 131, p. 171–180, doi:</w:t>
      </w:r>
      <w:hyperlink r:id="rId91" w:history="1">
        <w:r w:rsidRPr="00EB29FA">
          <w:rPr>
            <w:color w:val="0000FF"/>
            <w:u w:val="single"/>
          </w:rPr>
          <w:t>10.1007/s004100050386</w:t>
        </w:r>
      </w:hyperlink>
      <w:r w:rsidRPr="00EB29FA">
        <w:t>.</w:t>
      </w:r>
    </w:p>
    <w:p w14:paraId="7E62AB7C" w14:textId="77777777" w:rsidR="00EB29FA" w:rsidRPr="00EB29FA" w:rsidRDefault="00EB29FA" w:rsidP="00CA08DF">
      <w:pPr>
        <w:spacing w:line="480" w:lineRule="auto"/>
        <w:ind w:left="450" w:hanging="450"/>
      </w:pPr>
      <w:r w:rsidRPr="00EB29FA">
        <w:t>Giguere, T.A., Taylor, G.J., Hawke, B.R., and Lucey, P.G., 2000, The titanium contents of lunar mare basalts: Meteoritics &amp; Planetary Science, v. 35, p. 193–200, doi:</w:t>
      </w:r>
      <w:hyperlink r:id="rId92" w:history="1">
        <w:r w:rsidRPr="00EB29FA">
          <w:rPr>
            <w:color w:val="0000FF"/>
            <w:u w:val="single"/>
          </w:rPr>
          <w:t>10.1111/j.1945-5100.2000.tb01985.x</w:t>
        </w:r>
      </w:hyperlink>
      <w:r w:rsidRPr="00EB29FA">
        <w:t>.</w:t>
      </w:r>
    </w:p>
    <w:p w14:paraId="2A59B36D" w14:textId="77777777" w:rsidR="00EB29FA" w:rsidRPr="00EB29FA" w:rsidRDefault="00EB29FA" w:rsidP="00CA08DF">
      <w:pPr>
        <w:spacing w:line="480" w:lineRule="auto"/>
        <w:ind w:left="450" w:hanging="450"/>
      </w:pPr>
      <w:r w:rsidRPr="00EB29FA">
        <w:t>Grove, T.L., and Krawczynski, M.J., 2009, Lunar Mare Volcanism: Where Did the Magmas Come From? Elements, v. 5, p. 29–34, doi:</w:t>
      </w:r>
      <w:hyperlink r:id="rId93" w:history="1">
        <w:r w:rsidRPr="00EB29FA">
          <w:rPr>
            <w:color w:val="0000FF"/>
            <w:u w:val="single"/>
          </w:rPr>
          <w:t>10.2113/gselements.5.1.29</w:t>
        </w:r>
      </w:hyperlink>
      <w:r w:rsidRPr="00EB29FA">
        <w:t>.</w:t>
      </w:r>
    </w:p>
    <w:p w14:paraId="4E452E58" w14:textId="77777777" w:rsidR="00EB29FA" w:rsidRPr="00EB29FA" w:rsidRDefault="00EB29FA" w:rsidP="00CA08DF">
      <w:pPr>
        <w:spacing w:line="480" w:lineRule="auto"/>
        <w:ind w:left="450" w:hanging="450"/>
      </w:pPr>
      <w:r w:rsidRPr="00EB29FA">
        <w:t>Haggerty, S.E., 1973, Armalcolite and genetically associated opaque minerals in the lunar samples: Lunar and Planetary Science Conference Proceedings, v. 4, p. 777.</w:t>
      </w:r>
    </w:p>
    <w:p w14:paraId="4F0FC653" w14:textId="77777777" w:rsidR="00EB29FA" w:rsidRPr="00EB29FA" w:rsidRDefault="00EB29FA" w:rsidP="00CA08DF">
      <w:pPr>
        <w:spacing w:line="480" w:lineRule="auto"/>
        <w:ind w:left="450" w:hanging="450"/>
      </w:pPr>
      <w:r w:rsidRPr="00EB29FA">
        <w:t>Haggerty, S.E., and Lindsley, D.H., 1970, Stability of the pseudobrookite (Fe2TiO5)-ferropseudobrookite (FeTi2O5) series.: Carnegie Inst. Washington Year Book, v. 68, p. 247–249.</w:t>
      </w:r>
    </w:p>
    <w:p w14:paraId="2B384E9F" w14:textId="77777777" w:rsidR="00EB29FA" w:rsidRPr="00EB29FA" w:rsidRDefault="00EB29FA" w:rsidP="00CA08DF">
      <w:pPr>
        <w:spacing w:line="480" w:lineRule="auto"/>
        <w:ind w:left="450" w:hanging="450"/>
      </w:pPr>
      <w:r w:rsidRPr="00EB29FA">
        <w:lastRenderedPageBreak/>
        <w:t xml:space="preserve">Haskin, L.A., and Warren, P.H., 1991, Lunar chemistry., </w:t>
      </w:r>
      <w:r w:rsidRPr="00EB29FA">
        <w:rPr>
          <w:i/>
          <w:iCs/>
        </w:rPr>
        <w:t>in</w:t>
      </w:r>
      <w:r w:rsidRPr="00EB29FA">
        <w:t xml:space="preserve"> Lunar sourcebook, v. 4, p. 357–474.</w:t>
      </w:r>
    </w:p>
    <w:p w14:paraId="2A2CF5E4" w14:textId="77777777" w:rsidR="00EB29FA" w:rsidRPr="00EB29FA" w:rsidRDefault="00EB29FA" w:rsidP="00CA08DF">
      <w:pPr>
        <w:spacing w:line="480" w:lineRule="auto"/>
        <w:ind w:left="450" w:hanging="450"/>
      </w:pPr>
      <w:r w:rsidRPr="00EB29FA">
        <w:t>Hess, P.C., and Parmentier, E.M., 1995, A model for the thermal and chemical evolution of the Moon’s interior: implications for the onset of mare volcanism: Earth and Planetary Science Letters, v. 134, p. 501–514, doi:</w:t>
      </w:r>
      <w:hyperlink r:id="rId94" w:history="1">
        <w:r w:rsidRPr="00EB29FA">
          <w:rPr>
            <w:color w:val="0000FF"/>
            <w:u w:val="single"/>
          </w:rPr>
          <w:t>10.1016/0012-821X(95)00138-3</w:t>
        </w:r>
      </w:hyperlink>
      <w:r w:rsidRPr="00EB29FA">
        <w:t>.</w:t>
      </w:r>
    </w:p>
    <w:p w14:paraId="19E1F449" w14:textId="77777777" w:rsidR="00EB29FA" w:rsidRPr="00EB29FA" w:rsidRDefault="00EB29FA" w:rsidP="00CA08DF">
      <w:pPr>
        <w:spacing w:line="480" w:lineRule="auto"/>
        <w:ind w:left="450" w:hanging="450"/>
      </w:pPr>
      <w:r w:rsidRPr="00EB29FA">
        <w:t xml:space="preserve">Hubbard, N.J., and Minear, J.W., 1975, A physical and chemical model of early lunar history, </w:t>
      </w:r>
      <w:r w:rsidRPr="00EB29FA">
        <w:rPr>
          <w:i/>
          <w:iCs/>
        </w:rPr>
        <w:t>in</w:t>
      </w:r>
      <w:r w:rsidRPr="00EB29FA">
        <w:t xml:space="preserve"> Lunar and Planetary Science Conference Proceedings, v. 6, p. 1057–1085.</w:t>
      </w:r>
    </w:p>
    <w:p w14:paraId="0C6560CD" w14:textId="77777777" w:rsidR="00EB29FA" w:rsidRPr="00EB29FA" w:rsidRDefault="00EB29FA" w:rsidP="00CA08DF">
      <w:pPr>
        <w:spacing w:line="480" w:lineRule="auto"/>
        <w:ind w:left="450" w:hanging="450"/>
      </w:pPr>
      <w:r w:rsidRPr="00EB29FA">
        <w:t>Hughes, S.S., Delano, J.W., and Schmitt, R.A., 1990, Chemistry of individual mare volcanic glasses: evidence for distinct regions of hybridized mantle and a KREEP component in Apollo 14 magmatic sources.: Lunar and Planetary Science Conference Proceedings, v. 20, p. 127–138.</w:t>
      </w:r>
    </w:p>
    <w:p w14:paraId="283F4881" w14:textId="77777777" w:rsidR="00EB29FA" w:rsidRPr="00EB29FA" w:rsidRDefault="00EB29FA" w:rsidP="00CA08DF">
      <w:pPr>
        <w:spacing w:line="480" w:lineRule="auto"/>
        <w:ind w:left="450" w:hanging="450"/>
      </w:pPr>
      <w:r w:rsidRPr="00EB29FA">
        <w:t xml:space="preserve">Ito, K., and Kennedy, G.C., 1971, An Experimental Study of the Basalt-Garnet Granulite-Eclogite Transition, </w:t>
      </w:r>
      <w:r w:rsidRPr="00EB29FA">
        <w:rPr>
          <w:i/>
          <w:iCs/>
        </w:rPr>
        <w:t>in</w:t>
      </w:r>
      <w:r w:rsidRPr="00EB29FA">
        <w:t xml:space="preserve"> The Structure and Physical Properties of the Earth’s Crust, Geophysical Monograph Series, p. 303–314, doi:</w:t>
      </w:r>
      <w:hyperlink r:id="rId95" w:history="1">
        <w:r w:rsidRPr="00EB29FA">
          <w:rPr>
            <w:color w:val="0000FF"/>
            <w:u w:val="single"/>
          </w:rPr>
          <w:t>10.1029/GM014p0303</w:t>
        </w:r>
      </w:hyperlink>
      <w:r w:rsidRPr="00EB29FA">
        <w:t>.</w:t>
      </w:r>
    </w:p>
    <w:p w14:paraId="1ECD40E7" w14:textId="77777777" w:rsidR="00EB29FA" w:rsidRPr="00EB29FA" w:rsidRDefault="00EB29FA" w:rsidP="00CA08DF">
      <w:pPr>
        <w:spacing w:line="480" w:lineRule="auto"/>
        <w:ind w:left="450" w:hanging="450"/>
      </w:pPr>
      <w:r w:rsidRPr="00EB29FA">
        <w:t>Ji, D., and Dygert, N., 2023, Trace element partitioning between apatite and silicate melts: Effects of major element composition, temperature, and oxygen fugacity, and implications for the volatile element budget of the lunar magma ocean: Geochimica et Cosmochimica Acta, doi:</w:t>
      </w:r>
      <w:hyperlink r:id="rId96" w:history="1">
        <w:r w:rsidRPr="00EB29FA">
          <w:rPr>
            <w:color w:val="0000FF"/>
            <w:u w:val="single"/>
          </w:rPr>
          <w:t>10.1016/j.gca.2023.11.004</w:t>
        </w:r>
      </w:hyperlink>
      <w:r w:rsidRPr="00EB29FA">
        <w:t>.</w:t>
      </w:r>
    </w:p>
    <w:p w14:paraId="433F8EB2" w14:textId="77777777" w:rsidR="00EB29FA" w:rsidRPr="00EB29FA" w:rsidRDefault="00EB29FA" w:rsidP="00CA08DF">
      <w:pPr>
        <w:spacing w:line="480" w:lineRule="auto"/>
        <w:ind w:left="450" w:hanging="450"/>
      </w:pPr>
      <w:r w:rsidRPr="00EB29FA">
        <w:t>Jing, J.-J., Lin, Y., Knibbe, J.S., and van Westrenen, W., 2022, Garnet stability in the deep lunar mantle: Constraints on the physics and chemistry of the interior of the Moon: Earth and Planetary Science Letters, v. 584, p. 117491, doi:</w:t>
      </w:r>
      <w:hyperlink r:id="rId97" w:history="1">
        <w:r w:rsidRPr="00EB29FA">
          <w:rPr>
            <w:color w:val="0000FF"/>
            <w:u w:val="single"/>
          </w:rPr>
          <w:t>10.1016/j.epsl.2022.117491</w:t>
        </w:r>
      </w:hyperlink>
      <w:r w:rsidRPr="00EB29FA">
        <w:t>.</w:t>
      </w:r>
    </w:p>
    <w:p w14:paraId="78522604" w14:textId="77777777" w:rsidR="00EB29FA" w:rsidRPr="00EB29FA" w:rsidRDefault="00EB29FA" w:rsidP="00CA08DF">
      <w:pPr>
        <w:spacing w:line="480" w:lineRule="auto"/>
        <w:ind w:left="450" w:hanging="450"/>
      </w:pPr>
      <w:r w:rsidRPr="00EB29FA">
        <w:lastRenderedPageBreak/>
        <w:t>Jurewicz, A.J.G., and Watson, E.B., 1988, Cations in olivine, Part 2: Diffusion in olivine xenocrysts, with applications to petrology and mineral physics: Contributions to Mineralogy and Petrology, v. 99, p. 186–201, doi:</w:t>
      </w:r>
      <w:hyperlink r:id="rId98" w:history="1">
        <w:r w:rsidRPr="00EB29FA">
          <w:rPr>
            <w:color w:val="0000FF"/>
            <w:u w:val="single"/>
          </w:rPr>
          <w:t>10.1007/BF00371460</w:t>
        </w:r>
      </w:hyperlink>
      <w:r w:rsidRPr="00EB29FA">
        <w:t>.</w:t>
      </w:r>
    </w:p>
    <w:p w14:paraId="0289621D" w14:textId="77777777" w:rsidR="00EB29FA" w:rsidRPr="00EB29FA" w:rsidRDefault="00EB29FA" w:rsidP="00CA08DF">
      <w:pPr>
        <w:spacing w:line="480" w:lineRule="auto"/>
        <w:ind w:left="450" w:hanging="450"/>
      </w:pPr>
      <w:r w:rsidRPr="00EB29FA">
        <w:t>Kerr, R.C., 1995, Convective crystal dissolution: Contributions to Mineralogy and Petrology, v. 121, p. 237–246, doi:</w:t>
      </w:r>
      <w:hyperlink r:id="rId99" w:history="1">
        <w:r w:rsidRPr="00EB29FA">
          <w:rPr>
            <w:color w:val="0000FF"/>
            <w:u w:val="single"/>
          </w:rPr>
          <w:t>10.1007/BF02688239</w:t>
        </w:r>
      </w:hyperlink>
      <w:r w:rsidRPr="00EB29FA">
        <w:t>.</w:t>
      </w:r>
    </w:p>
    <w:p w14:paraId="6B85B359" w14:textId="77777777" w:rsidR="00EB29FA" w:rsidRPr="00EB29FA" w:rsidRDefault="00EB29FA" w:rsidP="00CA08DF">
      <w:pPr>
        <w:spacing w:line="480" w:lineRule="auto"/>
        <w:ind w:left="450" w:hanging="450"/>
      </w:pPr>
      <w:r w:rsidRPr="00EB29FA">
        <w:t>Kraettli, G., Schmidt, M.W., and Liebske, C., 2022, Fractional crystallization of a basal lunar magma ocean: A dense melt-bearing garnetite layer above the core? Icarus, v. 371, p. 114699, doi:</w:t>
      </w:r>
      <w:hyperlink r:id="rId100" w:history="1">
        <w:r w:rsidRPr="00EB29FA">
          <w:rPr>
            <w:color w:val="0000FF"/>
            <w:u w:val="single"/>
          </w:rPr>
          <w:t>10.1016/j.icarus.2021.114699</w:t>
        </w:r>
      </w:hyperlink>
      <w:r w:rsidRPr="00EB29FA">
        <w:t>.</w:t>
      </w:r>
    </w:p>
    <w:p w14:paraId="033E3BC0" w14:textId="77777777" w:rsidR="00EB29FA" w:rsidRPr="00EB29FA" w:rsidRDefault="00EB29FA" w:rsidP="00CA08DF">
      <w:pPr>
        <w:spacing w:line="480" w:lineRule="auto"/>
        <w:ind w:left="450" w:hanging="450"/>
      </w:pPr>
      <w:r w:rsidRPr="00EB29FA">
        <w:t>Krawczynski, M.J., and Grove, T.L., 2012, Experimental investigation of the influence of oxygen fugacity on the source depths for high titanium lunar ultramafic magmas: Geochimica et Cosmochimica Acta, v. 79, p. 1–19, doi:</w:t>
      </w:r>
      <w:hyperlink r:id="rId101" w:history="1">
        <w:r w:rsidRPr="00EB29FA">
          <w:rPr>
            <w:color w:val="0000FF"/>
            <w:u w:val="single"/>
          </w:rPr>
          <w:t>10.1016/j.gca.2011.10.043</w:t>
        </w:r>
      </w:hyperlink>
      <w:r w:rsidRPr="00EB29FA">
        <w:t>.</w:t>
      </w:r>
    </w:p>
    <w:p w14:paraId="0586D3D9" w14:textId="77777777" w:rsidR="00EB29FA" w:rsidRPr="00EB29FA" w:rsidRDefault="00EB29FA" w:rsidP="00CA08DF">
      <w:pPr>
        <w:spacing w:line="480" w:lineRule="auto"/>
        <w:ind w:left="450" w:hanging="450"/>
      </w:pPr>
      <w:r w:rsidRPr="00EB29FA">
        <w:t>Kress, V.C., and Carmichael, I.S.E., 1991, The compressibility of silicate liquids containing Fe2O3 and the effect of composition, temperature, oxygen fugacity and pressure on their redox states: Contributions to Mineralogy and Petrology, v. 108, p. 82–92, doi:</w:t>
      </w:r>
      <w:hyperlink r:id="rId102" w:history="1">
        <w:r w:rsidRPr="00EB29FA">
          <w:rPr>
            <w:color w:val="0000FF"/>
            <w:u w:val="single"/>
          </w:rPr>
          <w:t>10.1007/BF00307328</w:t>
        </w:r>
      </w:hyperlink>
      <w:r w:rsidRPr="00EB29FA">
        <w:t>.</w:t>
      </w:r>
    </w:p>
    <w:p w14:paraId="2079EDEC" w14:textId="77777777" w:rsidR="00EB29FA" w:rsidRPr="00EB29FA" w:rsidRDefault="00EB29FA" w:rsidP="00CA08DF">
      <w:pPr>
        <w:spacing w:line="480" w:lineRule="auto"/>
        <w:ind w:left="450" w:hanging="450"/>
      </w:pPr>
      <w:r w:rsidRPr="00EB29FA">
        <w:t>van der Laan, S., Zhang, Y., Kennedy, A.K., and Wyllie, P.J., 1994, Comparison of element and isotope diffusion of K and Ca in multicomponent silicate melts: Earth and Planetary Science Letters, v. 123, p. 155–166, doi:</w:t>
      </w:r>
      <w:hyperlink r:id="rId103" w:history="1">
        <w:r w:rsidRPr="00EB29FA">
          <w:rPr>
            <w:color w:val="0000FF"/>
            <w:u w:val="single"/>
          </w:rPr>
          <w:t>10.1016/0012-821X(94)90264-X</w:t>
        </w:r>
      </w:hyperlink>
      <w:r w:rsidRPr="00EB29FA">
        <w:t>.</w:t>
      </w:r>
    </w:p>
    <w:p w14:paraId="00A94926" w14:textId="77777777" w:rsidR="00EB29FA" w:rsidRPr="00EB29FA" w:rsidRDefault="00EB29FA" w:rsidP="00CA08DF">
      <w:pPr>
        <w:spacing w:line="480" w:lineRule="auto"/>
        <w:ind w:left="450" w:hanging="450"/>
      </w:pPr>
      <w:r w:rsidRPr="00EB29FA">
        <w:t xml:space="preserve">Lange, R.A., and Carmichael, I.S.E., 1987, Densities of Na2O-K2O-CaO-MgO-FeO-Fe2O3-Al2O3-TiO2-SiO2 liquids: New measurements and derived partial molar </w:t>
      </w:r>
      <w:r w:rsidRPr="00EB29FA">
        <w:lastRenderedPageBreak/>
        <w:t>properties: Geochimica et Cosmochimica Acta, v. 51, p. 2931–2946, doi:</w:t>
      </w:r>
      <w:hyperlink r:id="rId104" w:history="1">
        <w:r w:rsidRPr="00EB29FA">
          <w:rPr>
            <w:color w:val="0000FF"/>
            <w:u w:val="single"/>
          </w:rPr>
          <w:t>10.1016/0016-7037(87)90368-1</w:t>
        </w:r>
      </w:hyperlink>
      <w:r w:rsidRPr="00EB29FA">
        <w:t>.</w:t>
      </w:r>
    </w:p>
    <w:p w14:paraId="7967F9E6" w14:textId="77777777" w:rsidR="00EB29FA" w:rsidRPr="00EB29FA" w:rsidRDefault="00EB29FA" w:rsidP="00CA08DF">
      <w:pPr>
        <w:spacing w:line="480" w:lineRule="auto"/>
        <w:ind w:left="450" w:hanging="450"/>
      </w:pPr>
      <w:r w:rsidRPr="00EB29FA">
        <w:t>Li, B., Ge, J., and Zhang, B., 2018, Diffusion in garnet: a review: Acta Geochimica, v. 37, p. 19–31, doi:</w:t>
      </w:r>
      <w:hyperlink r:id="rId105" w:history="1">
        <w:r w:rsidRPr="00EB29FA">
          <w:rPr>
            <w:color w:val="0000FF"/>
            <w:u w:val="single"/>
          </w:rPr>
          <w:t>10.1007/s11631-017-0187-x</w:t>
        </w:r>
      </w:hyperlink>
      <w:r w:rsidRPr="00EB29FA">
        <w:t>.</w:t>
      </w:r>
    </w:p>
    <w:p w14:paraId="24EAF2DE" w14:textId="77777777" w:rsidR="00EB29FA" w:rsidRPr="00EB29FA" w:rsidRDefault="00EB29FA" w:rsidP="00CA08DF">
      <w:pPr>
        <w:spacing w:line="480" w:lineRule="auto"/>
        <w:ind w:left="450" w:hanging="450"/>
      </w:pPr>
      <w:r w:rsidRPr="00EB29FA">
        <w:t>Li, H., Zhang, N., Liang, Y., Wu, B., Dygert, N.J., Huang, J., and Parmentier, E.M., 2019, Lunar Cumulate Mantle Overturn: A Model Constrained by Ilmenite Rheology: Journal of Geophysical Research: Planets, v. 124, p. 1357–1378, doi:</w:t>
      </w:r>
      <w:hyperlink r:id="rId106" w:history="1">
        <w:r w:rsidRPr="00EB29FA">
          <w:rPr>
            <w:color w:val="0000FF"/>
            <w:u w:val="single"/>
          </w:rPr>
          <w:t>10.1029/2018JE005905</w:t>
        </w:r>
      </w:hyperlink>
      <w:r w:rsidRPr="00EB29FA">
        <w:t>.</w:t>
      </w:r>
    </w:p>
    <w:p w14:paraId="6473F11C" w14:textId="77777777" w:rsidR="00EB29FA" w:rsidRPr="00EB29FA" w:rsidRDefault="00EB29FA" w:rsidP="00CA08DF">
      <w:pPr>
        <w:spacing w:line="480" w:lineRule="auto"/>
        <w:ind w:left="450" w:hanging="450"/>
      </w:pPr>
      <w:r w:rsidRPr="00EB29FA">
        <w:t>Liang, Y., 2000, Dissolution in molten silicates: effects of solid solution: Geochimica et Cosmochimica Acta, v. 64, p. 1617–1627, doi:</w:t>
      </w:r>
      <w:hyperlink r:id="rId107" w:history="1">
        <w:r w:rsidRPr="00EB29FA">
          <w:rPr>
            <w:color w:val="0000FF"/>
            <w:u w:val="single"/>
          </w:rPr>
          <w:t>10.1016/S0016-7037(00)00331-8</w:t>
        </w:r>
      </w:hyperlink>
      <w:r w:rsidRPr="00EB29FA">
        <w:t>.</w:t>
      </w:r>
    </w:p>
    <w:p w14:paraId="4EF59D6E" w14:textId="77777777" w:rsidR="00EB29FA" w:rsidRPr="00EB29FA" w:rsidRDefault="00EB29FA" w:rsidP="00CA08DF">
      <w:pPr>
        <w:spacing w:line="480" w:lineRule="auto"/>
        <w:ind w:left="450" w:hanging="450"/>
      </w:pPr>
      <w:r w:rsidRPr="00EB29FA">
        <w:t>Liang, Y., 2010, Multicomponent Diffusion in Molten Silicates: Theory, Experiments, and Geological Applications: Reviews in Mineralogy and Geochemistry, v. 72, p. 409–446, doi:</w:t>
      </w:r>
      <w:hyperlink r:id="rId108" w:history="1">
        <w:r w:rsidRPr="00EB29FA">
          <w:rPr>
            <w:color w:val="0000FF"/>
            <w:u w:val="single"/>
          </w:rPr>
          <w:t>10.2138/rmg.2010.72.9</w:t>
        </w:r>
      </w:hyperlink>
      <w:r w:rsidRPr="00EB29FA">
        <w:t>.</w:t>
      </w:r>
    </w:p>
    <w:p w14:paraId="3FA57222" w14:textId="77777777" w:rsidR="00EB29FA" w:rsidRPr="00EB29FA" w:rsidRDefault="00EB29FA" w:rsidP="00CA08DF">
      <w:pPr>
        <w:spacing w:line="480" w:lineRule="auto"/>
        <w:ind w:left="450" w:hanging="450"/>
      </w:pPr>
      <w:r w:rsidRPr="00EB29FA">
        <w:t>Lin, Y., Tronche, E.J., Steenstra, E.S., and van Westrenen, W., 2017, Evidence for an early wet Moon from experimental crystallization of the lunar magma ocean: Nature Geoscience, v. 10, p. 14–18, doi:</w:t>
      </w:r>
      <w:hyperlink r:id="rId109" w:history="1">
        <w:r w:rsidRPr="00EB29FA">
          <w:rPr>
            <w:color w:val="0000FF"/>
            <w:u w:val="single"/>
          </w:rPr>
          <w:t>10.1038/ngeo2845</w:t>
        </w:r>
      </w:hyperlink>
      <w:r w:rsidRPr="00EB29FA">
        <w:t>.</w:t>
      </w:r>
    </w:p>
    <w:p w14:paraId="49184EC7" w14:textId="77777777" w:rsidR="00EB29FA" w:rsidRPr="00EB29FA" w:rsidRDefault="00EB29FA" w:rsidP="00CA08DF">
      <w:pPr>
        <w:spacing w:line="480" w:lineRule="auto"/>
        <w:ind w:left="450" w:hanging="450"/>
      </w:pPr>
      <w:r w:rsidRPr="00EB29FA">
        <w:t>Lin, Y., Tronche, E.J., Steenstra, E.S., and van Westrenen, W., 2016, Solidification Evolution of a Dry Lunar Magma Ocean: Constraints from Experimental Petrology: v. 47, p. 1296.</w:t>
      </w:r>
    </w:p>
    <w:p w14:paraId="44930C9F" w14:textId="77777777" w:rsidR="00EB29FA" w:rsidRPr="00EB29FA" w:rsidRDefault="00EB29FA" w:rsidP="00CA08DF">
      <w:pPr>
        <w:spacing w:line="480" w:lineRule="auto"/>
        <w:ind w:left="450" w:hanging="450"/>
      </w:pPr>
      <w:r w:rsidRPr="00EB29FA">
        <w:t>Longhi, J., 1991, Comparative liquidus equilibria of hypersthene-normative basalts at low pressure: American Mineralogist, v. 76, p. 785–800.</w:t>
      </w:r>
    </w:p>
    <w:p w14:paraId="585811EB" w14:textId="77777777" w:rsidR="00EB29FA" w:rsidRPr="00EB29FA" w:rsidRDefault="00EB29FA" w:rsidP="00CA08DF">
      <w:pPr>
        <w:spacing w:line="480" w:lineRule="auto"/>
        <w:ind w:left="450" w:hanging="450"/>
      </w:pPr>
      <w:r w:rsidRPr="00EB29FA">
        <w:lastRenderedPageBreak/>
        <w:t xml:space="preserve">Longhi, J., 1982, Multicomponent phase diagrams and the phase equilibria of basalts, </w:t>
      </w:r>
      <w:r w:rsidRPr="00EB29FA">
        <w:rPr>
          <w:i/>
          <w:iCs/>
        </w:rPr>
        <w:t>in</w:t>
      </w:r>
      <w:r w:rsidRPr="00EB29FA">
        <w:t xml:space="preserve"> Magmatic Processes of Early Planetary Crusts: Magma Oceans and Stratiform Layered Intrusions, p. 90.</w:t>
      </w:r>
    </w:p>
    <w:p w14:paraId="45B43C43" w14:textId="77777777" w:rsidR="00EB29FA" w:rsidRPr="00EB29FA" w:rsidRDefault="00EB29FA" w:rsidP="00CA08DF">
      <w:pPr>
        <w:spacing w:line="480" w:lineRule="auto"/>
        <w:ind w:left="450" w:hanging="450"/>
      </w:pPr>
      <w:r w:rsidRPr="00EB29FA">
        <w:t>Longhi, J., 2006, Petrogenesis of picritic mare magmas: Constraints on the extent of early lunar differentiation: A Special Issue Dedicated to Larry A. Haskin, v. 70, p. 5919–5934, doi:</w:t>
      </w:r>
      <w:hyperlink r:id="rId110" w:history="1">
        <w:r w:rsidRPr="00EB29FA">
          <w:rPr>
            <w:color w:val="0000FF"/>
            <w:u w:val="single"/>
          </w:rPr>
          <w:t>10.1016/j.gca.2006.09.023</w:t>
        </w:r>
      </w:hyperlink>
      <w:r w:rsidRPr="00EB29FA">
        <w:t>.</w:t>
      </w:r>
    </w:p>
    <w:p w14:paraId="2E78B2A7" w14:textId="77777777" w:rsidR="00EB29FA" w:rsidRPr="00EB29FA" w:rsidRDefault="00EB29FA" w:rsidP="00CA08DF">
      <w:pPr>
        <w:spacing w:line="480" w:lineRule="auto"/>
        <w:ind w:left="450" w:hanging="450"/>
      </w:pPr>
      <w:r w:rsidRPr="00EB29FA">
        <w:t>Longhi, J., and Ashwal, L.D., 1985, Two-stage models for lunar and terrestrial anorthosites: Petrogenesis without a magma ocean: Journal of Geophysical Research: Solid Earth, v. 90, p. C571–C584.</w:t>
      </w:r>
    </w:p>
    <w:p w14:paraId="676A821D" w14:textId="77777777" w:rsidR="00EB29FA" w:rsidRPr="00EB29FA" w:rsidRDefault="00EB29FA" w:rsidP="00CA08DF">
      <w:pPr>
        <w:spacing w:line="480" w:lineRule="auto"/>
        <w:ind w:left="450" w:hanging="450"/>
      </w:pPr>
      <w:r w:rsidRPr="00EB29FA">
        <w:t>Longhi, J., Walker, D., Grove, T.L., Stolper, E.M., and Hays, J.F., 1974, The petrology of the Apollo 17 mare basalts.: Lunar and Planetary Science Conference Proceedings, v. 1, p. 447–469.</w:t>
      </w:r>
    </w:p>
    <w:p w14:paraId="7C0E7D61" w14:textId="77777777" w:rsidR="00EB29FA" w:rsidRPr="00EB29FA" w:rsidRDefault="00EB29FA" w:rsidP="00CA08DF">
      <w:pPr>
        <w:spacing w:line="480" w:lineRule="auto"/>
        <w:ind w:left="450" w:hanging="450"/>
      </w:pPr>
      <w:r w:rsidRPr="00EB29FA">
        <w:t>Longhi, J., Walker, D., and Hays, J.F., 1978, The distribution of Fe and Mg between olivine and lunar basaltic liquids: Geochimica et Cosmochimica Acta, v. 42, p. 1545–1558, doi:</w:t>
      </w:r>
      <w:hyperlink r:id="rId111" w:history="1">
        <w:r w:rsidRPr="00EB29FA">
          <w:rPr>
            <w:color w:val="0000FF"/>
            <w:u w:val="single"/>
          </w:rPr>
          <w:t>10.1016/0016-7037(78)90025-X</w:t>
        </w:r>
      </w:hyperlink>
      <w:r w:rsidRPr="00EB29FA">
        <w:t>.</w:t>
      </w:r>
    </w:p>
    <w:p w14:paraId="52ECF330" w14:textId="77777777" w:rsidR="00EB29FA" w:rsidRPr="00EB29FA" w:rsidRDefault="00EB29FA" w:rsidP="00CA08DF">
      <w:pPr>
        <w:spacing w:line="480" w:lineRule="auto"/>
        <w:ind w:left="450" w:hanging="450"/>
      </w:pPr>
      <w:r w:rsidRPr="00EB29FA">
        <w:t>Loomis, T.P., Ganguly, J., and Elphick, S.C., 1985, Experimental determination of cation diffusivities in aluminosilicate garnets: Contributions to Mineralogy and Petrology, v. 90, p. 45–51, doi:</w:t>
      </w:r>
      <w:hyperlink r:id="rId112" w:history="1">
        <w:r w:rsidRPr="00EB29FA">
          <w:rPr>
            <w:color w:val="0000FF"/>
            <w:u w:val="single"/>
          </w:rPr>
          <w:t>10.1007/BF00373040</w:t>
        </w:r>
      </w:hyperlink>
      <w:r w:rsidRPr="00EB29FA">
        <w:t>.</w:t>
      </w:r>
    </w:p>
    <w:p w14:paraId="673A6981" w14:textId="77777777" w:rsidR="00EB29FA" w:rsidRPr="00EB29FA" w:rsidRDefault="00EB29FA" w:rsidP="00CA08DF">
      <w:pPr>
        <w:spacing w:line="480" w:lineRule="auto"/>
        <w:ind w:left="450" w:hanging="450"/>
      </w:pPr>
      <w:r w:rsidRPr="00EB29FA">
        <w:t>Lucey, P.G., Taylor, G.J., Hawke, B.R., and Spudis, P.D., 1998, FeO and TiO2 concentrations in the South Pole-Aitken basin: Implications for mantle composition and basin formation: Journal of Geophysical Research: Planets, v. 103, p. 3701–3708, doi:</w:t>
      </w:r>
      <w:hyperlink r:id="rId113" w:history="1">
        <w:r w:rsidRPr="00EB29FA">
          <w:rPr>
            <w:color w:val="0000FF"/>
            <w:u w:val="single"/>
          </w:rPr>
          <w:t>10.1029/97JE03146</w:t>
        </w:r>
      </w:hyperlink>
      <w:r w:rsidRPr="00EB29FA">
        <w:t>.</w:t>
      </w:r>
    </w:p>
    <w:p w14:paraId="46EE5760" w14:textId="77777777" w:rsidR="00EB29FA" w:rsidRPr="00EB29FA" w:rsidRDefault="00EB29FA" w:rsidP="00CA08DF">
      <w:pPr>
        <w:spacing w:line="480" w:lineRule="auto"/>
        <w:ind w:left="450" w:hanging="450"/>
      </w:pPr>
      <w:r w:rsidRPr="00EB29FA">
        <w:lastRenderedPageBreak/>
        <w:t>Mallik, A., Ejaz, T., Shcheka, S., and Garapic, G., 2019, A petrologic study on the effect of mantle overturn: Implications for evolution of the lunar interior: Geochimica et Cosmochimica Acta, v. 250, p. 238–250, doi:</w:t>
      </w:r>
      <w:hyperlink r:id="rId114" w:history="1">
        <w:r w:rsidRPr="00EB29FA">
          <w:rPr>
            <w:color w:val="0000FF"/>
            <w:u w:val="single"/>
          </w:rPr>
          <w:t>10.1016/j.gca.2019.02.014</w:t>
        </w:r>
      </w:hyperlink>
      <w:r w:rsidRPr="00EB29FA">
        <w:t>.</w:t>
      </w:r>
    </w:p>
    <w:p w14:paraId="409ACBBA" w14:textId="77777777" w:rsidR="00EB29FA" w:rsidRPr="00EB29FA" w:rsidRDefault="00EB29FA" w:rsidP="00CA08DF">
      <w:pPr>
        <w:spacing w:line="480" w:lineRule="auto"/>
        <w:ind w:left="450" w:hanging="450"/>
      </w:pPr>
      <w:r w:rsidRPr="00EB29FA">
        <w:t>Maurice, M., Tosi, N., and Hüttig, C., 2024, Small-Scale Overturn of High-Ti Cumulates Promoted by the Long Lifetime of the Lunar Magma Ocean: Journal of Geophysical Research: Planets, v. 129, p. e2023JE008060, doi:</w:t>
      </w:r>
      <w:hyperlink r:id="rId115" w:history="1">
        <w:r w:rsidRPr="00EB29FA">
          <w:rPr>
            <w:color w:val="0000FF"/>
            <w:u w:val="single"/>
          </w:rPr>
          <w:t>10.1029/2023JE008060</w:t>
        </w:r>
      </w:hyperlink>
      <w:r w:rsidRPr="00EB29FA">
        <w:t>.</w:t>
      </w:r>
    </w:p>
    <w:p w14:paraId="0D866DD9" w14:textId="77777777" w:rsidR="00EB29FA" w:rsidRPr="00EB29FA" w:rsidRDefault="00EB29FA" w:rsidP="00CA08DF">
      <w:pPr>
        <w:spacing w:line="480" w:lineRule="auto"/>
        <w:ind w:left="450" w:hanging="450"/>
      </w:pPr>
      <w:r w:rsidRPr="00EB29FA">
        <w:t>Maurice, M., Tosi, N., Schwinger, S., Breuer, D., and Kleine, T., 2020, A long-lived magma ocean on a young Moon: Science Advances, v. 6, doi:</w:t>
      </w:r>
      <w:hyperlink r:id="rId116" w:history="1">
        <w:r w:rsidRPr="00EB29FA">
          <w:rPr>
            <w:color w:val="0000FF"/>
            <w:u w:val="single"/>
          </w:rPr>
          <w:t>10.1126/sciadv.aba8949</w:t>
        </w:r>
      </w:hyperlink>
      <w:r w:rsidRPr="00EB29FA">
        <w:t>.</w:t>
      </w:r>
    </w:p>
    <w:p w14:paraId="7930D80C" w14:textId="77777777" w:rsidR="00EB29FA" w:rsidRPr="00EB29FA" w:rsidRDefault="00EB29FA" w:rsidP="00CA08DF">
      <w:pPr>
        <w:spacing w:line="480" w:lineRule="auto"/>
        <w:ind w:left="450" w:hanging="450"/>
      </w:pPr>
      <w:r w:rsidRPr="00EB29FA">
        <w:t>Morgan, Z., and Liang, Y., 2003, An experimental and numerical study of the kinetics of harzburgite reactive dissolution with applications to dunite dike formation: Earth and Planetary Science Letters, v. 214, p. 59–74, doi:</w:t>
      </w:r>
      <w:hyperlink r:id="rId117" w:history="1">
        <w:r w:rsidRPr="00EB29FA">
          <w:rPr>
            <w:color w:val="0000FF"/>
            <w:u w:val="single"/>
          </w:rPr>
          <w:t>10.1016/S0012-821X(03)00375-3</w:t>
        </w:r>
      </w:hyperlink>
      <w:r w:rsidRPr="00EB29FA">
        <w:t>.</w:t>
      </w:r>
    </w:p>
    <w:p w14:paraId="61DD49BB" w14:textId="77777777" w:rsidR="00EB29FA" w:rsidRPr="00EB29FA" w:rsidRDefault="00EB29FA" w:rsidP="00CA08DF">
      <w:pPr>
        <w:spacing w:line="480" w:lineRule="auto"/>
        <w:ind w:left="450" w:hanging="450"/>
      </w:pPr>
      <w:r w:rsidRPr="00EB29FA">
        <w:t>Morgan, Z., and Liang, Y., 2005, An experimental study of the kinetics of lherzolite reactive dissolution with applications to melt channel formation: Contributions to Mineralogy and Petrology, v. 150, p. 369–385, doi:</w:t>
      </w:r>
      <w:hyperlink r:id="rId118" w:history="1">
        <w:r w:rsidRPr="00EB29FA">
          <w:rPr>
            <w:color w:val="0000FF"/>
            <w:u w:val="single"/>
          </w:rPr>
          <w:t>10.1007/s00410-005-0033-8</w:t>
        </w:r>
      </w:hyperlink>
      <w:r w:rsidRPr="00EB29FA">
        <w:t>.</w:t>
      </w:r>
    </w:p>
    <w:p w14:paraId="01627111" w14:textId="77777777" w:rsidR="00EB29FA" w:rsidRPr="00EB29FA" w:rsidRDefault="00EB29FA" w:rsidP="00CA08DF">
      <w:pPr>
        <w:spacing w:line="480" w:lineRule="auto"/>
        <w:ind w:left="450" w:hanging="450"/>
      </w:pPr>
      <w:r w:rsidRPr="00EB29FA">
        <w:t>Morgan, Z., Liang, Y., and Hess, P., 2006, An experimental study of anorthosite dissolution in lunar picritic magmas: Implications for crustal assimilation processes: Geochimica et Cosmochimica Acta, v. 70, p. 3477–3491, doi:</w:t>
      </w:r>
      <w:hyperlink r:id="rId119" w:history="1">
        <w:r w:rsidRPr="00EB29FA">
          <w:rPr>
            <w:color w:val="0000FF"/>
            <w:u w:val="single"/>
          </w:rPr>
          <w:t>10.1016/j.gca.2006.04.027</w:t>
        </w:r>
      </w:hyperlink>
      <w:r w:rsidRPr="00EB29FA">
        <w:t>.</w:t>
      </w:r>
    </w:p>
    <w:p w14:paraId="38983C65" w14:textId="77777777" w:rsidR="00EB29FA" w:rsidRPr="00EB29FA" w:rsidRDefault="00EB29FA" w:rsidP="00CA08DF">
      <w:pPr>
        <w:spacing w:line="480" w:lineRule="auto"/>
        <w:ind w:left="450" w:hanging="450"/>
      </w:pPr>
      <w:r w:rsidRPr="00EB29FA">
        <w:t>Müller, T., Dohmen, R., Becker, H.W., ter Heege, J.H., and Chakraborty, S., 2013, Fe–Mg interdiffusion rates in clinopyroxene: experimental data and implications for Fe–</w:t>
      </w:r>
      <w:r w:rsidRPr="00EB29FA">
        <w:lastRenderedPageBreak/>
        <w:t>Mg exchange geothermometers: Contributions to Mineralogy and Petrology, v. 166, p. 1563–1576, doi:</w:t>
      </w:r>
      <w:hyperlink r:id="rId120" w:history="1">
        <w:r w:rsidRPr="00EB29FA">
          <w:rPr>
            <w:color w:val="0000FF"/>
            <w:u w:val="single"/>
          </w:rPr>
          <w:t>10.1007/s00410-013-0941-y</w:t>
        </w:r>
      </w:hyperlink>
      <w:r w:rsidRPr="00EB29FA">
        <w:t>.</w:t>
      </w:r>
    </w:p>
    <w:p w14:paraId="4351B068" w14:textId="77777777" w:rsidR="00EB29FA" w:rsidRPr="00EB29FA" w:rsidRDefault="00EB29FA" w:rsidP="00CA08DF">
      <w:pPr>
        <w:spacing w:line="480" w:lineRule="auto"/>
        <w:ind w:left="450" w:hanging="450"/>
      </w:pPr>
      <w:r w:rsidRPr="00EB29FA">
        <w:t>Nagy, K.L., and Lasaga, A.C., 1992, Dissolution and precipitation kinetics of gibbsite at 80°C and pH 3: The dependence on solution saturation state: Geochimica et Cosmochimica Acta, v. 56, p. 3093–3111, doi:</w:t>
      </w:r>
      <w:hyperlink r:id="rId121" w:history="1">
        <w:r w:rsidRPr="00EB29FA">
          <w:rPr>
            <w:color w:val="0000FF"/>
            <w:u w:val="single"/>
          </w:rPr>
          <w:t>10.1016/0016-7037(92)90291-P</w:t>
        </w:r>
      </w:hyperlink>
      <w:r w:rsidRPr="00EB29FA">
        <w:t>.</w:t>
      </w:r>
    </w:p>
    <w:p w14:paraId="2FE95030" w14:textId="77777777" w:rsidR="00EB29FA" w:rsidRPr="00EB29FA" w:rsidRDefault="00EB29FA" w:rsidP="00CA08DF">
      <w:pPr>
        <w:spacing w:line="480" w:lineRule="auto"/>
        <w:ind w:left="450" w:hanging="450"/>
      </w:pPr>
      <w:r w:rsidRPr="00EB29FA">
        <w:t>Nakamura, A., and Schmalzried, H., 1984, On the Fe2+ –Mg2+-Interdiffusion in Olivine (II): Berichte der Bunsengesellschaft für physikalische Chemie, v. 88, p. 140–145, doi:</w:t>
      </w:r>
      <w:hyperlink r:id="rId122" w:history="1">
        <w:r w:rsidRPr="00EB29FA">
          <w:rPr>
            <w:color w:val="0000FF"/>
            <w:u w:val="single"/>
          </w:rPr>
          <w:t>10.1002/bbpc.19840880212</w:t>
        </w:r>
      </w:hyperlink>
      <w:r w:rsidRPr="00EB29FA">
        <w:t>.</w:t>
      </w:r>
    </w:p>
    <w:p w14:paraId="24B60314" w14:textId="77777777" w:rsidR="00EB29FA" w:rsidRPr="00EB29FA" w:rsidRDefault="00EB29FA" w:rsidP="00CA08DF">
      <w:pPr>
        <w:spacing w:line="480" w:lineRule="auto"/>
        <w:ind w:left="450" w:hanging="450"/>
      </w:pPr>
      <w:r w:rsidRPr="00EB29FA">
        <w:t>Neal, C.R., 2001, Interior of the Moon: The presence of garnet in the primitive deep lunar mantle: Journal of Geophysical Research: Planets, v. 106, p. 27865–27885, doi:</w:t>
      </w:r>
      <w:hyperlink r:id="rId123" w:history="1">
        <w:r w:rsidRPr="00EB29FA">
          <w:rPr>
            <w:color w:val="0000FF"/>
            <w:u w:val="single"/>
          </w:rPr>
          <w:t>10.1029/2000JE001386</w:t>
        </w:r>
      </w:hyperlink>
      <w:r w:rsidRPr="00EB29FA">
        <w:t>.</w:t>
      </w:r>
    </w:p>
    <w:p w14:paraId="75A0CE3C" w14:textId="77777777" w:rsidR="00EB29FA" w:rsidRPr="00EB29FA" w:rsidRDefault="00EB29FA" w:rsidP="00CA08DF">
      <w:pPr>
        <w:spacing w:line="480" w:lineRule="auto"/>
        <w:ind w:left="450" w:hanging="450"/>
      </w:pPr>
      <w:r w:rsidRPr="00EB29FA">
        <w:t>Nicholis, M.G., and Rutherford, M.J., 2009, Graphite oxidation in the Apollo 17 orange glass magma: Implications for the generation of a lunar volcanic gas phase: Geochimica et Cosmochimica Acta, v. 73, p. 5905–5917, doi:</w:t>
      </w:r>
      <w:hyperlink r:id="rId124" w:history="1">
        <w:r w:rsidRPr="00EB29FA">
          <w:rPr>
            <w:color w:val="0000FF"/>
            <w:u w:val="single"/>
          </w:rPr>
          <w:t>10.1016/j.gca.2009.06.022</w:t>
        </w:r>
      </w:hyperlink>
      <w:r w:rsidRPr="00EB29FA">
        <w:t>.</w:t>
      </w:r>
    </w:p>
    <w:p w14:paraId="3514C7F0" w14:textId="77777777" w:rsidR="00EB29FA" w:rsidRPr="00EB29FA" w:rsidRDefault="00EB29FA" w:rsidP="00CA08DF">
      <w:pPr>
        <w:spacing w:line="480" w:lineRule="auto"/>
        <w:ind w:left="450" w:hanging="450"/>
      </w:pPr>
      <w:r w:rsidRPr="00EB29FA">
        <w:t>Paces, J.B., Nakai, S., Neal, C.R., Taylor, L.A., Halliday, A.N., and Lee, D.-C., 1991, A strontium and neodymium isotopic study of Apollo 17 high-Ti mare basalts: Resolution of ages, evolution of magmas, and origins of source heterogeneities: Geochimica et Cosmochimica Acta, v. 55, p. 2025–2043, doi:</w:t>
      </w:r>
      <w:hyperlink r:id="rId125" w:history="1">
        <w:r w:rsidRPr="00EB29FA">
          <w:rPr>
            <w:color w:val="0000FF"/>
            <w:u w:val="single"/>
          </w:rPr>
          <w:t>10.1016/0016-7037(91)90040-C</w:t>
        </w:r>
      </w:hyperlink>
      <w:r w:rsidRPr="00EB29FA">
        <w:t>.</w:t>
      </w:r>
    </w:p>
    <w:p w14:paraId="79470AA4" w14:textId="77777777" w:rsidR="00EB29FA" w:rsidRPr="00EB29FA" w:rsidRDefault="00EB29FA" w:rsidP="00CA08DF">
      <w:pPr>
        <w:spacing w:line="480" w:lineRule="auto"/>
        <w:ind w:left="450" w:hanging="450"/>
      </w:pPr>
      <w:r w:rsidRPr="00EB29FA">
        <w:t>Papike, J.J., Ryder, G., and Shearer, C.K., 1998, Lunar samples: Reviews in Mineralogy and Geochemistry, v. 36, p. 5– 01.</w:t>
      </w:r>
    </w:p>
    <w:p w14:paraId="35702838" w14:textId="77777777" w:rsidR="00EB29FA" w:rsidRPr="00EB29FA" w:rsidRDefault="00EB29FA" w:rsidP="00CA08DF">
      <w:pPr>
        <w:spacing w:line="480" w:lineRule="auto"/>
        <w:ind w:left="450" w:hanging="450"/>
      </w:pPr>
      <w:r w:rsidRPr="00EB29FA">
        <w:lastRenderedPageBreak/>
        <w:t>Pec, M., Holtzman, B.K., Zimmerman, M.E., and Kohlstedt, D.L., 2020, Influence of Lithology on Reactive Melt Flow Channelization: Geochemistry, Geophysics, Geosystems, v. 21, p. e2020GC008937, doi:</w:t>
      </w:r>
      <w:hyperlink r:id="rId126" w:history="1">
        <w:r w:rsidRPr="00EB29FA">
          <w:rPr>
            <w:color w:val="0000FF"/>
            <w:u w:val="single"/>
          </w:rPr>
          <w:t>10.1029/2020GC008937</w:t>
        </w:r>
      </w:hyperlink>
      <w:r w:rsidRPr="00EB29FA">
        <w:t>.</w:t>
      </w:r>
    </w:p>
    <w:p w14:paraId="2AC3C2E3" w14:textId="77777777" w:rsidR="00EB29FA" w:rsidRPr="00EB29FA" w:rsidRDefault="00EB29FA" w:rsidP="00CA08DF">
      <w:pPr>
        <w:spacing w:line="480" w:lineRule="auto"/>
        <w:ind w:left="450" w:hanging="450"/>
      </w:pPr>
      <w:r w:rsidRPr="00EB29FA">
        <w:t>Perchuk, A.L., Burchard, M., Schertl, H.-P., Maresch, W.V., Gerya, T.V., Bernhardt, H.-J., and Vidal, O., 2009, Diffusion of divalent cations in garnet: multi-couple experiments: Contributions to Mineralogy and Petrology, v. 157, p. 573–592, doi:</w:t>
      </w:r>
      <w:hyperlink r:id="rId127" w:history="1">
        <w:r w:rsidRPr="00EB29FA">
          <w:rPr>
            <w:color w:val="0000FF"/>
            <w:u w:val="single"/>
          </w:rPr>
          <w:t>10.1007/s00410-008-0353-6</w:t>
        </w:r>
      </w:hyperlink>
      <w:r w:rsidRPr="00EB29FA">
        <w:t>.</w:t>
      </w:r>
    </w:p>
    <w:p w14:paraId="33185070" w14:textId="77777777" w:rsidR="00EB29FA" w:rsidRPr="00EB29FA" w:rsidRDefault="00EB29FA" w:rsidP="00CA08DF">
      <w:pPr>
        <w:spacing w:line="480" w:lineRule="auto"/>
        <w:ind w:left="450" w:hanging="450"/>
      </w:pPr>
      <w:r w:rsidRPr="00EB29FA">
        <w:t>Petry, C., Chakraborty, S., and Palme, H., 2004, Experimental determination of Ni diffusion coefficients in olivine and their dependence on temperature, composition, oxygen fugacity, and crystallographic orientation: Geochimica et Cosmochimica Acta, v. 68, p. 4179–4188, doi:</w:t>
      </w:r>
      <w:hyperlink r:id="rId128" w:history="1">
        <w:r w:rsidRPr="00EB29FA">
          <w:rPr>
            <w:color w:val="0000FF"/>
            <w:u w:val="single"/>
          </w:rPr>
          <w:t>10.1016/j.gca.2004.02.024</w:t>
        </w:r>
      </w:hyperlink>
      <w:r w:rsidRPr="00EB29FA">
        <w:t>.</w:t>
      </w:r>
    </w:p>
    <w:p w14:paraId="46D2A796" w14:textId="77777777" w:rsidR="00EB29FA" w:rsidRPr="00EB29FA" w:rsidRDefault="00EB29FA" w:rsidP="00CA08DF">
      <w:pPr>
        <w:spacing w:line="480" w:lineRule="auto"/>
        <w:ind w:left="450" w:hanging="450"/>
      </w:pPr>
      <w:r w:rsidRPr="00EB29FA">
        <w:t>Rapp, J.F., and Draper, D.S., 2018, Fractional crystallization of the lunar magma ocean: Updating the dominant paradigm: Meteoritics &amp; Planetary Science, v. 53, p. 1432–1455, doi:</w:t>
      </w:r>
      <w:hyperlink r:id="rId129" w:history="1">
        <w:r w:rsidRPr="00EB29FA">
          <w:rPr>
            <w:color w:val="0000FF"/>
            <w:u w:val="single"/>
          </w:rPr>
          <w:t>10.1111/maps.13086</w:t>
        </w:r>
      </w:hyperlink>
      <w:r w:rsidRPr="00EB29FA">
        <w:t>.</w:t>
      </w:r>
    </w:p>
    <w:p w14:paraId="1A740999" w14:textId="77777777" w:rsidR="00EB29FA" w:rsidRPr="00EB29FA" w:rsidRDefault="00EB29FA" w:rsidP="00CA08DF">
      <w:pPr>
        <w:spacing w:line="480" w:lineRule="auto"/>
        <w:ind w:left="450" w:hanging="450"/>
      </w:pPr>
      <w:r w:rsidRPr="00EB29FA">
        <w:t xml:space="preserve">Ringwood, A.E., and Kesson, S.E., 1976, A dynamic model for mare basalt petrogenesis, </w:t>
      </w:r>
      <w:r w:rsidRPr="00EB29FA">
        <w:rPr>
          <w:i/>
          <w:iCs/>
        </w:rPr>
        <w:t>in</w:t>
      </w:r>
      <w:r w:rsidRPr="00EB29FA">
        <w:t xml:space="preserve"> Lunar and Planetary Science Conference Proceedings, v. 7, p. 1697–1722.</w:t>
      </w:r>
    </w:p>
    <w:p w14:paraId="70A0FFD5" w14:textId="77777777" w:rsidR="00EB29FA" w:rsidRPr="00EB29FA" w:rsidRDefault="00EB29FA" w:rsidP="00CA08DF">
      <w:pPr>
        <w:spacing w:line="480" w:lineRule="auto"/>
        <w:ind w:left="450" w:hanging="450"/>
      </w:pPr>
      <w:r w:rsidRPr="00EB29FA">
        <w:t>Roeder, P.L., and Emslie, R.F., 1970, Olivine-liquid equilibrium: Contributions to Mineralogy and Petrology, v. 29, p. 275–289, doi:</w:t>
      </w:r>
      <w:hyperlink r:id="rId130" w:history="1">
        <w:r w:rsidRPr="00EB29FA">
          <w:rPr>
            <w:color w:val="0000FF"/>
            <w:u w:val="single"/>
          </w:rPr>
          <w:t>10.1007/BF00371276</w:t>
        </w:r>
      </w:hyperlink>
      <w:r w:rsidRPr="00EB29FA">
        <w:t>.</w:t>
      </w:r>
    </w:p>
    <w:p w14:paraId="6B8372A1" w14:textId="77777777" w:rsidR="00EB29FA" w:rsidRPr="00EB29FA" w:rsidRDefault="00EB29FA" w:rsidP="00CA08DF">
      <w:pPr>
        <w:spacing w:line="480" w:lineRule="auto"/>
        <w:ind w:left="450" w:hanging="450"/>
      </w:pPr>
      <w:r w:rsidRPr="00EB29FA">
        <w:t>Sato, M., 1979, The driving mechanism of lunar pyroclastic eruptions inferred from the oxygen fugacity behaviour of Apollo 17 orange glass.: Lunar and Planetary Science Conference Proceedings, v. 1, p. 311–325.</w:t>
      </w:r>
    </w:p>
    <w:p w14:paraId="2CD18C31" w14:textId="77777777" w:rsidR="00EB29FA" w:rsidRPr="00EB29FA" w:rsidRDefault="00EB29FA" w:rsidP="00CA08DF">
      <w:pPr>
        <w:spacing w:line="480" w:lineRule="auto"/>
        <w:ind w:left="450" w:hanging="450"/>
      </w:pPr>
      <w:r w:rsidRPr="00EB29FA">
        <w:lastRenderedPageBreak/>
        <w:t>Schmidt, M.W., and Kraettli, G., 2022, Experimental Crystallization of the Lunar Magma Ocean, Initial Selenotherm and Density Stratification, and Implications for Crust Formation, Overturn and the Bulk Silicate Moon Composition: Journal of Geophysical Research: Planets, v. 127, p. e2022JE007187, doi:</w:t>
      </w:r>
      <w:hyperlink r:id="rId131" w:history="1">
        <w:r w:rsidRPr="00EB29FA">
          <w:rPr>
            <w:color w:val="0000FF"/>
            <w:u w:val="single"/>
          </w:rPr>
          <w:t>10.1029/2022JE007187</w:t>
        </w:r>
      </w:hyperlink>
      <w:r w:rsidRPr="00EB29FA">
        <w:t>.</w:t>
      </w:r>
    </w:p>
    <w:p w14:paraId="7DFBF775" w14:textId="77777777" w:rsidR="00EB29FA" w:rsidRPr="00EB29FA" w:rsidRDefault="00EB29FA" w:rsidP="00CA08DF">
      <w:pPr>
        <w:spacing w:line="480" w:lineRule="auto"/>
        <w:ind w:left="450" w:hanging="450"/>
      </w:pPr>
      <w:r w:rsidRPr="00EB29FA">
        <w:t>Shearer, C.K., Elardo, S.M., Petro, N.E., Borg, L.E., and McCubbin, F.M., 2015, Origin Of The Lunar Highlands Mg-Suite: An Integrated Petrology, Geochemistry, Chronology, And Remote Sensing Perspective: v. 100, p. 294–325, doi:</w:t>
      </w:r>
      <w:hyperlink r:id="rId132" w:history="1">
        <w:r w:rsidRPr="00EB29FA">
          <w:rPr>
            <w:color w:val="0000FF"/>
            <w:u w:val="single"/>
          </w:rPr>
          <w:t>10.2138/am-2015-4817</w:t>
        </w:r>
      </w:hyperlink>
      <w:r w:rsidRPr="00EB29FA">
        <w:t>.</w:t>
      </w:r>
    </w:p>
    <w:p w14:paraId="46514488" w14:textId="77777777" w:rsidR="00EB29FA" w:rsidRPr="00EB29FA" w:rsidRDefault="00EB29FA" w:rsidP="00CA08DF">
      <w:pPr>
        <w:spacing w:line="480" w:lineRule="auto"/>
        <w:ind w:left="450" w:hanging="450"/>
      </w:pPr>
      <w:r w:rsidRPr="00EB29FA">
        <w:t>Shearer, C.K., and Papike, J.J., 1993, Basaltic magmatism on the Moon: A perspective from volcanic picritic glass beads: Geochimica et Cosmochimica Acta, v. 57, p. 4785–4812, doi:</w:t>
      </w:r>
      <w:hyperlink r:id="rId133" w:history="1">
        <w:r w:rsidRPr="00EB29FA">
          <w:rPr>
            <w:color w:val="0000FF"/>
            <w:u w:val="single"/>
          </w:rPr>
          <w:t>10.1016/0016-7037(93)90200-G</w:t>
        </w:r>
      </w:hyperlink>
      <w:r w:rsidRPr="00EB29FA">
        <w:t>.</w:t>
      </w:r>
    </w:p>
    <w:p w14:paraId="36BEE727" w14:textId="77777777" w:rsidR="00EB29FA" w:rsidRPr="00EB29FA" w:rsidRDefault="00EB29FA" w:rsidP="00CA08DF">
      <w:pPr>
        <w:spacing w:line="480" w:lineRule="auto"/>
        <w:ind w:left="450" w:hanging="450"/>
      </w:pPr>
      <w:r w:rsidRPr="00EB29FA">
        <w:t>Shearer, C.K., Papike, J.J., Galbreath, K.C., and Shimizu, N., 1991, Exploring the lunar mantle with secondary ion mass spectrometry: a comparison of lunar picritic glass beads from the Apollo 14 and Apollo 17 sites: Earth and Planetary Science Letters, v. 102, p. 134–147, doi:</w:t>
      </w:r>
      <w:hyperlink r:id="rId134" w:history="1">
        <w:r w:rsidRPr="00EB29FA">
          <w:rPr>
            <w:color w:val="0000FF"/>
            <w:u w:val="single"/>
          </w:rPr>
          <w:t>10.1016/0012-821X(91)90003-Z</w:t>
        </w:r>
      </w:hyperlink>
      <w:r w:rsidRPr="00EB29FA">
        <w:t>.</w:t>
      </w:r>
    </w:p>
    <w:p w14:paraId="54B6A386" w14:textId="77777777" w:rsidR="00EB29FA" w:rsidRPr="00EB29FA" w:rsidRDefault="00EB29FA" w:rsidP="00CA08DF">
      <w:pPr>
        <w:spacing w:line="480" w:lineRule="auto"/>
        <w:ind w:left="450" w:hanging="450"/>
      </w:pPr>
      <w:r w:rsidRPr="00EB29FA">
        <w:t>Shepherd, K., Namur, O., Toplis, M.J., Devidal, J.-L., and Charlier, B., 2022, Trace element partitioning between clinopyroxene, magnetite, ilmenite and ferrobasaltic to dacitic magmas: an experimental study on the role of oxygen fugacity and melt composition: Contributions to Mineralogy and Petrology, v. 177, p. 90, doi:</w:t>
      </w:r>
      <w:hyperlink r:id="rId135" w:history="1">
        <w:r w:rsidRPr="00EB29FA">
          <w:rPr>
            <w:color w:val="0000FF"/>
            <w:u w:val="single"/>
          </w:rPr>
          <w:t>10.1007/s00410-022-01957-y</w:t>
        </w:r>
      </w:hyperlink>
      <w:r w:rsidRPr="00EB29FA">
        <w:t>.</w:t>
      </w:r>
    </w:p>
    <w:p w14:paraId="7DAC3C25" w14:textId="77777777" w:rsidR="00EB29FA" w:rsidRPr="00EB29FA" w:rsidRDefault="00EB29FA" w:rsidP="00CA08DF">
      <w:pPr>
        <w:spacing w:line="480" w:lineRule="auto"/>
        <w:ind w:left="450" w:hanging="450"/>
      </w:pPr>
      <w:r w:rsidRPr="00EB29FA">
        <w:lastRenderedPageBreak/>
        <w:t>Singletary, S., and Grove, T., 2008, Origin of lunar high-titanium ultramafic glasses: A hybridized source? Earth and Planetary Science Letters, v. 268, p. 182–189, doi:</w:t>
      </w:r>
      <w:hyperlink r:id="rId136" w:history="1">
        <w:r w:rsidRPr="00EB29FA">
          <w:rPr>
            <w:color w:val="0000FF"/>
            <w:u w:val="single"/>
          </w:rPr>
          <w:t>10.1016/j.epsl.2008.01.019</w:t>
        </w:r>
      </w:hyperlink>
      <w:r w:rsidRPr="00EB29FA">
        <w:t>.</w:t>
      </w:r>
    </w:p>
    <w:p w14:paraId="538C49EE" w14:textId="77777777" w:rsidR="00EB29FA" w:rsidRPr="00EB29FA" w:rsidRDefault="00EB29FA" w:rsidP="00CA08DF">
      <w:pPr>
        <w:spacing w:line="480" w:lineRule="auto"/>
        <w:ind w:left="450" w:hanging="450"/>
      </w:pPr>
      <w:r w:rsidRPr="00EB29FA">
        <w:t xml:space="preserve">Snyder, G.A., Taylor, L.A., and Neal, C.R., 1992, Combined equilibrium and fractional crystallization of a magma ocean and formation of the upper mantle of the Moon, </w:t>
      </w:r>
      <w:r w:rsidRPr="00EB29FA">
        <w:rPr>
          <w:i/>
          <w:iCs/>
        </w:rPr>
        <w:t>in</w:t>
      </w:r>
      <w:r w:rsidRPr="00EB29FA">
        <w:t xml:space="preserve"> Lunar and Planetary Science Conference, v. 23.</w:t>
      </w:r>
    </w:p>
    <w:p w14:paraId="47FD1E48" w14:textId="77777777" w:rsidR="00EB29FA" w:rsidRPr="00EB29FA" w:rsidRDefault="00EB29FA" w:rsidP="00CA08DF">
      <w:pPr>
        <w:spacing w:line="480" w:lineRule="auto"/>
        <w:ind w:left="450" w:hanging="450"/>
      </w:pPr>
      <w:r w:rsidRPr="00EB29FA">
        <w:t xml:space="preserve">Solomon, S.C., and Longhi, J., 1977, Magma oceanography. I-Thermal evolution, </w:t>
      </w:r>
      <w:r w:rsidRPr="00EB29FA">
        <w:rPr>
          <w:i/>
          <w:iCs/>
        </w:rPr>
        <w:t>in</w:t>
      </w:r>
      <w:r w:rsidRPr="00EB29FA">
        <w:t xml:space="preserve"> Lunar and planetary science conference proceedings, v. 8, p. 583–599.</w:t>
      </w:r>
    </w:p>
    <w:p w14:paraId="547F7C6F" w14:textId="77777777" w:rsidR="00EB29FA" w:rsidRPr="00EB29FA" w:rsidRDefault="00EB29FA" w:rsidP="00CA08DF">
      <w:pPr>
        <w:spacing w:line="480" w:lineRule="auto"/>
        <w:ind w:left="450" w:hanging="450"/>
      </w:pPr>
      <w:r w:rsidRPr="00EB29FA">
        <w:t>Springer, W., and Seck, H.A., 1997, Partial fusion of basic granulites at 5 to 15 kbar: implications for the origin of TTG magmas: Contributions to Mineralogy and Petrology, v. 127, p. 30–45, doi:</w:t>
      </w:r>
      <w:hyperlink r:id="rId137" w:history="1">
        <w:r w:rsidRPr="00EB29FA">
          <w:rPr>
            <w:color w:val="0000FF"/>
            <w:u w:val="single"/>
          </w:rPr>
          <w:t>10.1007/s004100050263</w:t>
        </w:r>
      </w:hyperlink>
      <w:r w:rsidRPr="00EB29FA">
        <w:t>.</w:t>
      </w:r>
    </w:p>
    <w:p w14:paraId="39D584B8" w14:textId="77777777" w:rsidR="00EB29FA" w:rsidRPr="00EB29FA" w:rsidRDefault="00EB29FA" w:rsidP="00CA08DF">
      <w:pPr>
        <w:spacing w:line="480" w:lineRule="auto"/>
        <w:ind w:left="450" w:hanging="450"/>
      </w:pPr>
      <w:r w:rsidRPr="00EB29FA">
        <w:t>Sprung, P., Kleine, T., and Scherer, E.E., 2013, Isotopic evidence for chondritic Lu/Hf and Sm/Nd of the Moon: Earth and Planetary Science Letters, v. 380, p. 77–87, doi:</w:t>
      </w:r>
      <w:hyperlink r:id="rId138" w:history="1">
        <w:r w:rsidRPr="00EB29FA">
          <w:rPr>
            <w:color w:val="0000FF"/>
            <w:u w:val="single"/>
          </w:rPr>
          <w:t>10.1016/j.epsl.2013.08.018</w:t>
        </w:r>
      </w:hyperlink>
      <w:r w:rsidRPr="00EB29FA">
        <w:t>.</w:t>
      </w:r>
    </w:p>
    <w:p w14:paraId="4F514AE1" w14:textId="77777777" w:rsidR="00EB29FA" w:rsidRPr="00EB29FA" w:rsidRDefault="00EB29FA" w:rsidP="00CA08DF">
      <w:pPr>
        <w:spacing w:line="480" w:lineRule="auto"/>
        <w:ind w:left="450" w:hanging="450"/>
      </w:pPr>
      <w:r w:rsidRPr="00EB29FA">
        <w:t>Stolper, E., and Walker, D., 1980, Melt density and the average composition of basalt: Contributions to Mineralogy and Petrology, v. 74, p. 7–12, doi:</w:t>
      </w:r>
      <w:hyperlink r:id="rId139" w:history="1">
        <w:r w:rsidRPr="00EB29FA">
          <w:rPr>
            <w:color w:val="0000FF"/>
            <w:u w:val="single"/>
          </w:rPr>
          <w:t>10.1007/BF00375484</w:t>
        </w:r>
      </w:hyperlink>
      <w:r w:rsidRPr="00EB29FA">
        <w:t>.</w:t>
      </w:r>
    </w:p>
    <w:p w14:paraId="7CB270E0" w14:textId="77777777" w:rsidR="00EB29FA" w:rsidRPr="00EB29FA" w:rsidRDefault="00EB29FA" w:rsidP="00CA08DF">
      <w:pPr>
        <w:spacing w:line="480" w:lineRule="auto"/>
        <w:ind w:left="450" w:hanging="450"/>
      </w:pPr>
      <w:r w:rsidRPr="00EB29FA">
        <w:t>Sun, C., and Liang, Y., 2015, A REE-in-garnet–clinopyroxene thermobarometer for eclogites, granulites and garnet peridotites: Chemical Geology, v. 393–394, p. 79–92, doi:</w:t>
      </w:r>
      <w:hyperlink r:id="rId140" w:history="1">
        <w:r w:rsidRPr="00EB29FA">
          <w:rPr>
            <w:color w:val="0000FF"/>
            <w:u w:val="single"/>
          </w:rPr>
          <w:t>10.1016/j.chemgeo.2014.11.014</w:t>
        </w:r>
      </w:hyperlink>
      <w:r w:rsidRPr="00EB29FA">
        <w:t>.</w:t>
      </w:r>
    </w:p>
    <w:p w14:paraId="64A14B17" w14:textId="77777777" w:rsidR="00EB29FA" w:rsidRPr="00EB29FA" w:rsidRDefault="00EB29FA" w:rsidP="00CA08DF">
      <w:pPr>
        <w:spacing w:line="480" w:lineRule="auto"/>
        <w:ind w:left="450" w:hanging="450"/>
      </w:pPr>
      <w:r w:rsidRPr="00EB29FA">
        <w:lastRenderedPageBreak/>
        <w:t>Taylor, A.S., Blum, J.D., and Lasaga, A.C., 2000, The dependence of labradorite dissolution and Sr isotope release rates on solution saturation state: Geochimica et Cosmochimica Acta, v. 64, p. 2389–2400, doi:</w:t>
      </w:r>
      <w:hyperlink r:id="rId141" w:history="1">
        <w:r w:rsidRPr="00EB29FA">
          <w:rPr>
            <w:color w:val="0000FF"/>
            <w:u w:val="single"/>
          </w:rPr>
          <w:t>10.1016/S0016-7037(00)00361-6</w:t>
        </w:r>
      </w:hyperlink>
      <w:r w:rsidRPr="00EB29FA">
        <w:t>.</w:t>
      </w:r>
    </w:p>
    <w:p w14:paraId="1ACAAC2A" w14:textId="77777777" w:rsidR="00EB29FA" w:rsidRPr="00EB29FA" w:rsidRDefault="00EB29FA" w:rsidP="00CA08DF">
      <w:pPr>
        <w:spacing w:line="480" w:lineRule="auto"/>
        <w:ind w:left="450" w:hanging="450"/>
      </w:pPr>
      <w:r w:rsidRPr="00EB29FA">
        <w:t>Taylor, G.J., and Wieczorek, M.A., 2014, Lunar bulk chemical composition: a post-Gravity Recovery and Interior Laboratory reassessment: Philosophical Transactions of the Royal Society A: Mathematical, Physical and Engineering Sciences, v. 372, p. 20130242, doi:</w:t>
      </w:r>
      <w:hyperlink r:id="rId142" w:history="1">
        <w:r w:rsidRPr="00EB29FA">
          <w:rPr>
            <w:color w:val="0000FF"/>
            <w:u w:val="single"/>
          </w:rPr>
          <w:t>10.1098/rsta.2013.0242</w:t>
        </w:r>
      </w:hyperlink>
      <w:r w:rsidRPr="00EB29FA">
        <w:t>.</w:t>
      </w:r>
    </w:p>
    <w:p w14:paraId="6C3B95EE" w14:textId="77777777" w:rsidR="00EB29FA" w:rsidRPr="00EB29FA" w:rsidRDefault="00EB29FA" w:rsidP="00CA08DF">
      <w:pPr>
        <w:spacing w:line="480" w:lineRule="auto"/>
        <w:ind w:left="450" w:hanging="450"/>
      </w:pPr>
      <w:r w:rsidRPr="00EB29FA">
        <w:t>Thacker, C., Liang, Y., Peng, Q., and Hess, P., 2009, The stability and major element partitioning of ilmenite and armalcolite during lunar cumulate mantle overturn: Geochimica et Cosmochimica Acta, v. 73, p. 820–836, doi:</w:t>
      </w:r>
      <w:hyperlink r:id="rId143" w:history="1">
        <w:r w:rsidRPr="00EB29FA">
          <w:rPr>
            <w:color w:val="0000FF"/>
            <w:u w:val="single"/>
          </w:rPr>
          <w:t>10.1016/j.gca.2008.10.038</w:t>
        </w:r>
      </w:hyperlink>
      <w:r w:rsidRPr="00EB29FA">
        <w:t>.</w:t>
      </w:r>
    </w:p>
    <w:p w14:paraId="44F3C106" w14:textId="77777777" w:rsidR="00EB29FA" w:rsidRPr="00EB29FA" w:rsidRDefault="00EB29FA" w:rsidP="00CA08DF">
      <w:pPr>
        <w:spacing w:line="480" w:lineRule="auto"/>
        <w:ind w:left="450" w:hanging="450"/>
      </w:pPr>
      <w:r w:rsidRPr="00EB29FA">
        <w:t>Tokle, L., Hirth, G., Liang, Y., Raterron, P., and Dygert, N., 2021, The Effect of Pressure and Mg-Content on Ilmenite Rheology: Implications for Lunar Cumulate Mantle Overturn: Journal of Geophysical Research: Planets, v. 126, p. e2020JE006494, doi:</w:t>
      </w:r>
      <w:hyperlink r:id="rId144" w:history="1">
        <w:r w:rsidRPr="00EB29FA">
          <w:rPr>
            <w:color w:val="0000FF"/>
            <w:u w:val="single"/>
          </w:rPr>
          <w:t>10.1029/2020JE006494</w:t>
        </w:r>
      </w:hyperlink>
      <w:r w:rsidRPr="00EB29FA">
        <w:t>.</w:t>
      </w:r>
    </w:p>
    <w:p w14:paraId="5640DCDE" w14:textId="77777777" w:rsidR="00EB29FA" w:rsidRPr="00EB29FA" w:rsidRDefault="00EB29FA" w:rsidP="00CA08DF">
      <w:pPr>
        <w:spacing w:line="480" w:lineRule="auto"/>
        <w:ind w:left="450" w:hanging="450"/>
      </w:pPr>
      <w:r w:rsidRPr="00EB29FA">
        <w:t>Unruh, D.M., Stille, P., Patchett, P.J., and Tatsumoto, M., 1984, Lu-Hf and Sm-Nd evolution in lunar mare basalts: Journal of Geophysical Research: Solid Earth, v. 89, p. B459–B477, doi:</w:t>
      </w:r>
      <w:hyperlink r:id="rId145" w:history="1">
        <w:r w:rsidRPr="00EB29FA">
          <w:rPr>
            <w:color w:val="0000FF"/>
            <w:u w:val="single"/>
          </w:rPr>
          <w:t>10.1029/JB089iS02p0B459</w:t>
        </w:r>
      </w:hyperlink>
      <w:r w:rsidRPr="00EB29FA">
        <w:t>.</w:t>
      </w:r>
    </w:p>
    <w:p w14:paraId="11661AC0" w14:textId="77777777" w:rsidR="00EB29FA" w:rsidRPr="00EB29FA" w:rsidRDefault="00EB29FA" w:rsidP="00CA08DF">
      <w:pPr>
        <w:spacing w:line="480" w:lineRule="auto"/>
        <w:ind w:left="450" w:hanging="450"/>
      </w:pPr>
      <w:r w:rsidRPr="00EB29FA">
        <w:t>Van Den Bleeken, G., Müntener, O., and Ulmer, P., 2010, Reaction Processes between Tholeiitic Melt and Residual Peridotite in the Uppermost Mantle: an Experimental Study at 0·8 GPa: Journal of Petrology, v. 51, p. 153–183, doi:</w:t>
      </w:r>
      <w:hyperlink r:id="rId146" w:history="1">
        <w:r w:rsidRPr="00EB29FA">
          <w:rPr>
            <w:color w:val="0000FF"/>
            <w:u w:val="single"/>
          </w:rPr>
          <w:t>10.1093/petrology/egp066</w:t>
        </w:r>
      </w:hyperlink>
      <w:r w:rsidRPr="00EB29FA">
        <w:t>.</w:t>
      </w:r>
    </w:p>
    <w:p w14:paraId="151CF305" w14:textId="77777777" w:rsidR="00EB29FA" w:rsidRPr="00EB29FA" w:rsidRDefault="00EB29FA" w:rsidP="00CA08DF">
      <w:pPr>
        <w:spacing w:line="480" w:lineRule="auto"/>
        <w:ind w:left="450" w:hanging="450"/>
      </w:pPr>
      <w:r w:rsidRPr="00EB29FA">
        <w:lastRenderedPageBreak/>
        <w:t>Van der Wal, D., Chopra, P., Drury, M., and Gerald, J.F., 1993, Relationships between dynamically recrystallized grain size and deformation conditions in experimentally deformed olivine rocks: Geophysical Research Letters, v. 20, p. 1479–1482, doi:</w:t>
      </w:r>
      <w:hyperlink r:id="rId147" w:history="1">
        <w:r w:rsidRPr="00EB29FA">
          <w:rPr>
            <w:color w:val="0000FF"/>
            <w:u w:val="single"/>
          </w:rPr>
          <w:t>10.1029/93GL01382</w:t>
        </w:r>
      </w:hyperlink>
      <w:r w:rsidRPr="00EB29FA">
        <w:t>.</w:t>
      </w:r>
    </w:p>
    <w:p w14:paraId="12A3D44C" w14:textId="77777777" w:rsidR="00EB29FA" w:rsidRPr="00EB29FA" w:rsidRDefault="00EB29FA" w:rsidP="00CA08DF">
      <w:pPr>
        <w:spacing w:line="480" w:lineRule="auto"/>
        <w:ind w:left="450" w:hanging="450"/>
      </w:pPr>
      <w:r w:rsidRPr="00EB29FA">
        <w:t>Van Orman, J.A., and Grove, T.L., 2000, Origin of lunar high-titanium ultramafic glasses: Constraints from phase relations and dissolution kinetics of clinopyroxene-ilmenite cumulates: Meteoritics &amp; Planetary Science, v. 35, p. 783–794, doi:</w:t>
      </w:r>
      <w:hyperlink r:id="rId148" w:history="1">
        <w:r w:rsidRPr="00EB29FA">
          <w:rPr>
            <w:color w:val="0000FF"/>
            <w:u w:val="single"/>
          </w:rPr>
          <w:t>10.1111/j.1945-5100.2000.tb01462.x</w:t>
        </w:r>
      </w:hyperlink>
      <w:r w:rsidRPr="00EB29FA">
        <w:t>.</w:t>
      </w:r>
    </w:p>
    <w:p w14:paraId="3214140B" w14:textId="77777777" w:rsidR="00EB29FA" w:rsidRPr="00EB29FA" w:rsidRDefault="00EB29FA" w:rsidP="00CA08DF">
      <w:pPr>
        <w:spacing w:line="480" w:lineRule="auto"/>
        <w:ind w:left="450" w:hanging="450"/>
      </w:pPr>
      <w:r w:rsidRPr="00EB29FA">
        <w:t>Wagner, T.P., and Grove, T.L., 1997, Experimental constraints on the origin of lunar high-Ti ultramafic glasses: Geochimica et Cosmochimica Acta, v. 61, p. 1315–1327, doi:</w:t>
      </w:r>
      <w:hyperlink r:id="rId149" w:history="1">
        <w:r w:rsidRPr="00EB29FA">
          <w:rPr>
            <w:color w:val="0000FF"/>
            <w:u w:val="single"/>
          </w:rPr>
          <w:t>10.1016/S0016-7037(96)00387-0</w:t>
        </w:r>
      </w:hyperlink>
      <w:r w:rsidRPr="00EB29FA">
        <w:t>.</w:t>
      </w:r>
    </w:p>
    <w:p w14:paraId="4751B8D2" w14:textId="77777777" w:rsidR="00EB29FA" w:rsidRPr="00EB29FA" w:rsidRDefault="00EB29FA" w:rsidP="00CA08DF">
      <w:pPr>
        <w:spacing w:line="480" w:lineRule="auto"/>
        <w:ind w:left="450" w:hanging="450"/>
      </w:pPr>
      <w:r w:rsidRPr="00EB29FA">
        <w:t>Walker, D., and Hays, J.F., 1977, Plagioclase flotation and lunar crust formation: Geology, v. 5, p. 425–428, doi:</w:t>
      </w:r>
      <w:hyperlink r:id="rId150" w:history="1">
        <w:r w:rsidRPr="00EB29FA">
          <w:rPr>
            <w:color w:val="0000FF"/>
            <w:u w:val="single"/>
          </w:rPr>
          <w:t>10.1130/0091-7613(1977)5&lt;425:PFALCF&gt;2.0.CO;2</w:t>
        </w:r>
      </w:hyperlink>
      <w:r w:rsidRPr="00EB29FA">
        <w:t>.</w:t>
      </w:r>
    </w:p>
    <w:p w14:paraId="252C2D6D" w14:textId="77777777" w:rsidR="00EB29FA" w:rsidRPr="00EB29FA" w:rsidRDefault="00EB29FA" w:rsidP="00CA08DF">
      <w:pPr>
        <w:spacing w:line="480" w:lineRule="auto"/>
        <w:ind w:left="450" w:hanging="450"/>
      </w:pPr>
      <w:r w:rsidRPr="00EB29FA">
        <w:t xml:space="preserve">Walker, D., Longhi, J., Stolper, E., Grove, T., and Hays, J.F., 1974, Experimental Petrology and Origin of Titaniferous Lunar Basalts, </w:t>
      </w:r>
      <w:r w:rsidRPr="00EB29FA">
        <w:rPr>
          <w:i/>
          <w:iCs/>
        </w:rPr>
        <w:t>in</w:t>
      </w:r>
      <w:r w:rsidRPr="00EB29FA">
        <w:t xml:space="preserve"> Lunar and Planetary Science Conference, Lunar and Planetary Science Conference, v. 5, p. 814.</w:t>
      </w:r>
    </w:p>
    <w:p w14:paraId="2AD77FF9" w14:textId="77777777" w:rsidR="00EB29FA" w:rsidRPr="00EB29FA" w:rsidRDefault="00EB29FA" w:rsidP="00CA08DF">
      <w:pPr>
        <w:spacing w:line="480" w:lineRule="auto"/>
        <w:ind w:left="450" w:hanging="450"/>
      </w:pPr>
      <w:r w:rsidRPr="00EB29FA">
        <w:t>Wang, C., Liang, Y., Xu, W., and Dygert, N., 2013, Effect of melt composition on basalt and peridotite interaction: laboratory dissolution experiments with applications to mineral compositional variations in mantle xenoliths from the North China Craton: Contributions to Mineralogy and Petrology, v. 166, p. 1469–1488, doi:</w:t>
      </w:r>
      <w:hyperlink r:id="rId151" w:history="1">
        <w:r w:rsidRPr="00EB29FA">
          <w:rPr>
            <w:color w:val="0000FF"/>
            <w:u w:val="single"/>
          </w:rPr>
          <w:t>10.1007/s00410-013-0938-6</w:t>
        </w:r>
      </w:hyperlink>
      <w:r w:rsidRPr="00EB29FA">
        <w:t>.</w:t>
      </w:r>
    </w:p>
    <w:p w14:paraId="285530FA" w14:textId="77777777" w:rsidR="00EB29FA" w:rsidRPr="00EB29FA" w:rsidRDefault="00EB29FA" w:rsidP="00CA08DF">
      <w:pPr>
        <w:spacing w:line="480" w:lineRule="auto"/>
        <w:ind w:left="450" w:hanging="450"/>
      </w:pPr>
      <w:r w:rsidRPr="00EB29FA">
        <w:lastRenderedPageBreak/>
        <w:t xml:space="preserve">Watson, E.B., and Baker, D.R., 1991, Chemical Diffusion in Magmas: An Overview of Experimental Results and Geochemical Applications, </w:t>
      </w:r>
      <w:r w:rsidRPr="00EB29FA">
        <w:rPr>
          <w:i/>
          <w:iCs/>
        </w:rPr>
        <w:t>in</w:t>
      </w:r>
      <w:r w:rsidRPr="00EB29FA">
        <w:t xml:space="preserve"> Perchuk, L.L. and Kushiro, I. eds., Physical Chemistry of Magmas, New York, NY, Springer New York, p. 120–151, doi:</w:t>
      </w:r>
      <w:hyperlink r:id="rId152" w:history="1">
        <w:r w:rsidRPr="00EB29FA">
          <w:rPr>
            <w:color w:val="0000FF"/>
            <w:u w:val="single"/>
          </w:rPr>
          <w:t>10.1007/978-1-4612-3128-8_4</w:t>
        </w:r>
      </w:hyperlink>
      <w:r w:rsidRPr="00EB29FA">
        <w:t>.</w:t>
      </w:r>
    </w:p>
    <w:p w14:paraId="67449F2A" w14:textId="77777777" w:rsidR="00EB29FA" w:rsidRPr="00EB29FA" w:rsidRDefault="00EB29FA" w:rsidP="00CA08DF">
      <w:pPr>
        <w:spacing w:line="480" w:lineRule="auto"/>
        <w:ind w:left="450" w:hanging="450"/>
      </w:pPr>
      <w:r w:rsidRPr="00EB29FA">
        <w:t>Watson, E.B., Sneeringer, M.A., and Ross, A., 1982, Diffusion of dissolved carbonate in magmas: Experimental results and applications: Earth and Planetary Science Letters, v. 61, p. 346–358, doi:</w:t>
      </w:r>
      <w:hyperlink r:id="rId153" w:history="1">
        <w:r w:rsidRPr="00EB29FA">
          <w:rPr>
            <w:color w:val="0000FF"/>
            <w:u w:val="single"/>
          </w:rPr>
          <w:t>10.1016/0012-821X(82)90065-6</w:t>
        </w:r>
      </w:hyperlink>
      <w:r w:rsidRPr="00EB29FA">
        <w:t>.</w:t>
      </w:r>
    </w:p>
    <w:p w14:paraId="4E9AFEE0" w14:textId="77777777" w:rsidR="00EB29FA" w:rsidRPr="00EB29FA" w:rsidRDefault="00EB29FA" w:rsidP="00CA08DF">
      <w:pPr>
        <w:spacing w:line="480" w:lineRule="auto"/>
        <w:ind w:left="450" w:hanging="450"/>
      </w:pPr>
      <w:r w:rsidRPr="00EB29FA">
        <w:t>Weitz, C.M., Rutherford, M.J., and Head, J.W., 1997, Oxidation states and ascent history of the Apollo 17 volcanic beads as inferred from metal-glass equilibria: Geochimica et Cosmochimica Acta, v. 61, p. 2765–2775, doi:</w:t>
      </w:r>
      <w:hyperlink r:id="rId154" w:history="1">
        <w:r w:rsidRPr="00EB29FA">
          <w:rPr>
            <w:color w:val="0000FF"/>
            <w:u w:val="single"/>
          </w:rPr>
          <w:t>10.1016/S0016-7037(97)00119-1</w:t>
        </w:r>
      </w:hyperlink>
      <w:r w:rsidRPr="00EB29FA">
        <w:t>.</w:t>
      </w:r>
    </w:p>
    <w:p w14:paraId="2B30B171" w14:textId="77777777" w:rsidR="00EB29FA" w:rsidRPr="00EB29FA" w:rsidRDefault="00EB29FA" w:rsidP="00CA08DF">
      <w:pPr>
        <w:spacing w:line="480" w:lineRule="auto"/>
        <w:ind w:left="450" w:hanging="450"/>
      </w:pPr>
      <w:r w:rsidRPr="00EB29FA">
        <w:t>Wood, J.A., Dickey Jr, J.S., Marvin, U.B., and Powell, B.N., 1970, Lunar anorthosites and a geophysical model of the moon: Geochimica et Cosmochimica Acta Supplement, v. 1, p. 965.</w:t>
      </w:r>
    </w:p>
    <w:p w14:paraId="0613FC45" w14:textId="77777777" w:rsidR="00EB29FA" w:rsidRPr="00EB29FA" w:rsidRDefault="00EB29FA" w:rsidP="00CA08DF">
      <w:pPr>
        <w:spacing w:line="480" w:lineRule="auto"/>
        <w:ind w:left="450" w:hanging="450"/>
      </w:pPr>
      <w:r w:rsidRPr="00EB29FA">
        <w:t>Wyatt, B.A., 1977, The melting and crystallisation behaviour of a natural clinopyroxene-ilmenite intergrowth: Contributions to Mineralogy and Petrology, v. 61, p. 1–9, doi:</w:t>
      </w:r>
      <w:hyperlink r:id="rId155" w:history="1">
        <w:r w:rsidRPr="00EB29FA">
          <w:rPr>
            <w:color w:val="0000FF"/>
            <w:u w:val="single"/>
          </w:rPr>
          <w:t>10.1007/BF00375941</w:t>
        </w:r>
      </w:hyperlink>
      <w:r w:rsidRPr="00EB29FA">
        <w:t>.</w:t>
      </w:r>
    </w:p>
    <w:p w14:paraId="47C189BB" w14:textId="77777777" w:rsidR="00EB29FA" w:rsidRPr="00EB29FA" w:rsidRDefault="00EB29FA" w:rsidP="00CA08DF">
      <w:pPr>
        <w:spacing w:line="480" w:lineRule="auto"/>
        <w:ind w:left="450" w:hanging="450"/>
      </w:pPr>
      <w:r w:rsidRPr="00EB29FA">
        <w:t>Xirouchakis, D.M., 2007, Pseudobrookite-group oxide solutions and basaltic melts: The Role of Accessory Minerals in Rocks: Petrogenetic Indicators of Metamorphic and Igneous Processes, v. 95, p. 1–9, doi:</w:t>
      </w:r>
      <w:hyperlink r:id="rId156" w:history="1">
        <w:r w:rsidRPr="00EB29FA">
          <w:rPr>
            <w:color w:val="0000FF"/>
            <w:u w:val="single"/>
          </w:rPr>
          <w:t>10.1016/j.lithos.2006.07.009</w:t>
        </w:r>
      </w:hyperlink>
      <w:r w:rsidRPr="00EB29FA">
        <w:t>.</w:t>
      </w:r>
    </w:p>
    <w:p w14:paraId="66CD9A48" w14:textId="77777777" w:rsidR="00EB29FA" w:rsidRPr="00EB29FA" w:rsidRDefault="00EB29FA" w:rsidP="00CA08DF">
      <w:pPr>
        <w:spacing w:line="480" w:lineRule="auto"/>
        <w:ind w:left="450" w:hanging="450"/>
      </w:pPr>
      <w:r w:rsidRPr="00EB29FA">
        <w:t xml:space="preserve">Xirouchakis, D., Hirschmann, M.M., and Simpson, J.A., 2001, The effect of titanium on the silica content and on mineral-liquid partitioning of mantle-equilibrated melts: </w:t>
      </w:r>
      <w:r w:rsidRPr="00EB29FA">
        <w:lastRenderedPageBreak/>
        <w:t>Geochimica et Cosmochimica Acta, v. 65, p. 2201–2217, doi:</w:t>
      </w:r>
      <w:hyperlink r:id="rId157" w:history="1">
        <w:r w:rsidRPr="00EB29FA">
          <w:rPr>
            <w:color w:val="0000FF"/>
            <w:u w:val="single"/>
          </w:rPr>
          <w:t>10.1016/S0016-7037(00)00549-4</w:t>
        </w:r>
      </w:hyperlink>
      <w:r w:rsidRPr="00EB29FA">
        <w:t>.</w:t>
      </w:r>
    </w:p>
    <w:p w14:paraId="78A4A3B4" w14:textId="77777777" w:rsidR="00EB29FA" w:rsidRPr="00EB29FA" w:rsidRDefault="00EB29FA" w:rsidP="00CA08DF">
      <w:pPr>
        <w:spacing w:line="480" w:lineRule="auto"/>
        <w:ind w:left="450" w:hanging="450"/>
      </w:pPr>
      <w:r w:rsidRPr="00EB29FA">
        <w:t>Xirouchakis, D., Smirnov, A., Woody, K., Lindsley, D.H., and Andersen, D.J., 2002, Thermodynamics and stability of pseudobrookite-type MgTi2O5 (karrooite): American Mineralogist, v. 87, p. 658–667, doi:</w:t>
      </w:r>
      <w:hyperlink r:id="rId158" w:history="1">
        <w:r w:rsidRPr="00EB29FA">
          <w:rPr>
            <w:color w:val="0000FF"/>
            <w:u w:val="single"/>
          </w:rPr>
          <w:t>10.2138/am-2002-5-608</w:t>
        </w:r>
      </w:hyperlink>
      <w:r w:rsidRPr="00EB29FA">
        <w:t>.</w:t>
      </w:r>
    </w:p>
    <w:p w14:paraId="5F2931A4" w14:textId="77777777" w:rsidR="00EB29FA" w:rsidRPr="00EB29FA" w:rsidRDefault="00EB29FA" w:rsidP="00CA08DF">
      <w:pPr>
        <w:spacing w:line="480" w:lineRule="auto"/>
        <w:ind w:left="450" w:hanging="450"/>
      </w:pPr>
      <w:r w:rsidRPr="00EB29FA">
        <w:t xml:space="preserve">Yao, L., and Liang, Y., 2012, An Experimental Study of the Solidus of a Hybrid Lunar Cumulate Mantle: Implications for the Temperature at the Core-Mantle Boundary of the Moon, </w:t>
      </w:r>
      <w:r w:rsidRPr="00EB29FA">
        <w:rPr>
          <w:i/>
          <w:iCs/>
        </w:rPr>
        <w:t>in</w:t>
      </w:r>
      <w:r w:rsidRPr="00EB29FA">
        <w:t xml:space="preserve"> 43rd Annual Lunar and Planetary Science Conference, Lunar and Planetary Science Conference, p. 2258.</w:t>
      </w:r>
    </w:p>
    <w:p w14:paraId="4A624728" w14:textId="77777777" w:rsidR="00EB29FA" w:rsidRPr="00EB29FA" w:rsidRDefault="00EB29FA" w:rsidP="00CA08DF">
      <w:pPr>
        <w:spacing w:line="480" w:lineRule="auto"/>
        <w:ind w:left="450" w:hanging="450"/>
      </w:pPr>
      <w:r w:rsidRPr="00EB29FA">
        <w:t>Zhang, Y., 1993, A modified effective binary diffusion model: Journal of Geophysical Research: Solid Earth, v. 98, p. 11901–11920, doi:</w:t>
      </w:r>
      <w:hyperlink r:id="rId159" w:history="1">
        <w:r w:rsidRPr="00EB29FA">
          <w:rPr>
            <w:color w:val="0000FF"/>
            <w:u w:val="single"/>
          </w:rPr>
          <w:t>10.1029/93JB00422</w:t>
        </w:r>
      </w:hyperlink>
      <w:r w:rsidRPr="00EB29FA">
        <w:t>.</w:t>
      </w:r>
    </w:p>
    <w:p w14:paraId="3750968F" w14:textId="77777777" w:rsidR="00EB29FA" w:rsidRPr="00EB29FA" w:rsidRDefault="00EB29FA" w:rsidP="00CA08DF">
      <w:pPr>
        <w:spacing w:line="480" w:lineRule="auto"/>
        <w:ind w:left="450" w:hanging="450"/>
      </w:pPr>
      <w:r w:rsidRPr="00EB29FA">
        <w:t>Zhang, Y., 2009, Geochemical Kinetics: Princetion University Press, 664 p.</w:t>
      </w:r>
    </w:p>
    <w:p w14:paraId="29ACBB4D" w14:textId="77777777" w:rsidR="00EB29FA" w:rsidRPr="00EB29FA" w:rsidRDefault="00EB29FA" w:rsidP="00CA08DF">
      <w:pPr>
        <w:spacing w:line="480" w:lineRule="auto"/>
        <w:ind w:left="450" w:hanging="450"/>
      </w:pPr>
      <w:r w:rsidRPr="00EB29FA">
        <w:t>Zhang, N., Ding, M., Zhu, M.-H., Li, H., Li, H., and Yue, Z., 2022, Lunar compositional asymmetry explained by mantle overturn following the South Pole–Aitken impact: Nature Geoscience, v. 15, p. 37–41, doi:</w:t>
      </w:r>
      <w:hyperlink r:id="rId160" w:history="1">
        <w:r w:rsidRPr="00EB29FA">
          <w:rPr>
            <w:color w:val="0000FF"/>
            <w:u w:val="single"/>
          </w:rPr>
          <w:t>10.1038/s41561-021-00872-4</w:t>
        </w:r>
      </w:hyperlink>
      <w:r w:rsidRPr="00EB29FA">
        <w:t>.</w:t>
      </w:r>
    </w:p>
    <w:p w14:paraId="629A3A29" w14:textId="77777777" w:rsidR="00EB29FA" w:rsidRPr="00EB29FA" w:rsidRDefault="00EB29FA" w:rsidP="00CA08DF">
      <w:pPr>
        <w:spacing w:line="480" w:lineRule="auto"/>
        <w:ind w:left="450" w:hanging="450"/>
      </w:pPr>
      <w:r w:rsidRPr="00EB29FA">
        <w:t>Zhang, N., Dygert, N., Liang, Y., and Parmentier, E.M., 2017, The effect of ilmenite viscosity on the dynamics and evolution of an overturned lunar cumulate mantle: Geophysical Research Letters, v. 44, p. 6543–6552, doi:</w:t>
      </w:r>
      <w:hyperlink r:id="rId161" w:history="1">
        <w:r w:rsidRPr="00EB29FA">
          <w:rPr>
            <w:color w:val="0000FF"/>
            <w:u w:val="single"/>
          </w:rPr>
          <w:t>10.1002/2017GL073702</w:t>
        </w:r>
      </w:hyperlink>
      <w:r w:rsidRPr="00EB29FA">
        <w:t>.</w:t>
      </w:r>
    </w:p>
    <w:p w14:paraId="51B611C8" w14:textId="77777777" w:rsidR="00EB29FA" w:rsidRPr="00EB29FA" w:rsidRDefault="00EB29FA" w:rsidP="00CA08DF">
      <w:pPr>
        <w:spacing w:line="480" w:lineRule="auto"/>
        <w:ind w:left="450" w:hanging="450"/>
      </w:pPr>
      <w:r w:rsidRPr="00EB29FA">
        <w:t>Zhang, X., Ganguly, J., and Ito, M., 2010a, Ca–Mg diffusion in diopside: tracer and chemical inter-diffusion coefficients: Contributions to Mineralogy and Petrology, v. 159, p. 175–186, doi:</w:t>
      </w:r>
      <w:hyperlink r:id="rId162" w:history="1">
        <w:r w:rsidRPr="00EB29FA">
          <w:rPr>
            <w:color w:val="0000FF"/>
            <w:u w:val="single"/>
          </w:rPr>
          <w:t>10.1007/s00410-009-0422-5</w:t>
        </w:r>
      </w:hyperlink>
      <w:r w:rsidRPr="00EB29FA">
        <w:t>.</w:t>
      </w:r>
    </w:p>
    <w:p w14:paraId="50D50C28" w14:textId="77777777" w:rsidR="00EB29FA" w:rsidRPr="00EB29FA" w:rsidRDefault="00EB29FA" w:rsidP="00CA08DF">
      <w:pPr>
        <w:spacing w:line="480" w:lineRule="auto"/>
        <w:ind w:left="450" w:hanging="450"/>
      </w:pPr>
      <w:r w:rsidRPr="00EB29FA">
        <w:lastRenderedPageBreak/>
        <w:t>Zhang, Y., Ni, H., and Chen, Y., 2010b, Diffusion Data in Silicate Melts: Reviews in Mineralogy and Geochemistry, v. 72, p. 311–408, doi:</w:t>
      </w:r>
      <w:hyperlink r:id="rId163" w:history="1">
        <w:r w:rsidRPr="00EB29FA">
          <w:rPr>
            <w:color w:val="0000FF"/>
            <w:u w:val="single"/>
          </w:rPr>
          <w:t>10.2138/rmg.2010.72.8</w:t>
        </w:r>
      </w:hyperlink>
      <w:r w:rsidRPr="00EB29FA">
        <w:t>.</w:t>
      </w:r>
    </w:p>
    <w:p w14:paraId="184046F5" w14:textId="77777777" w:rsidR="00EB29FA" w:rsidRPr="00EB29FA" w:rsidRDefault="00EB29FA" w:rsidP="00CA08DF">
      <w:pPr>
        <w:spacing w:line="480" w:lineRule="auto"/>
        <w:ind w:left="450" w:hanging="450"/>
      </w:pPr>
      <w:r w:rsidRPr="00EB29FA">
        <w:t>Zhang, Y., Walker, D., and Lesher, C.E., 1989, Diffusive crystal dissolution: Contributions to Mineralogy and Petrology, v. 102, p. 492–513, doi:</w:t>
      </w:r>
      <w:hyperlink r:id="rId164" w:history="1">
        <w:r w:rsidRPr="00EB29FA">
          <w:rPr>
            <w:color w:val="0000FF"/>
            <w:u w:val="single"/>
          </w:rPr>
          <w:t>10.1007/BF00371090</w:t>
        </w:r>
      </w:hyperlink>
      <w:r w:rsidRPr="00EB29FA">
        <w:t>.</w:t>
      </w:r>
    </w:p>
    <w:p w14:paraId="74EED21C" w14:textId="77777777" w:rsidR="00EB29FA" w:rsidRPr="00EB29FA" w:rsidRDefault="00EB29FA" w:rsidP="00CA08DF">
      <w:pPr>
        <w:spacing w:line="480" w:lineRule="auto"/>
        <w:ind w:left="450" w:hanging="450"/>
      </w:pPr>
      <w:r w:rsidRPr="00EB29FA">
        <w:t>Zhang, Y., and Xu, Z., 2003, Kinetics of convective crystal dissolution and melting, with applications to methane hydrate dissolution and dissociation in seawater: Earth and Planetary Science Letters, v. 213, p. 133–148, doi:</w:t>
      </w:r>
      <w:hyperlink r:id="rId165" w:history="1">
        <w:r w:rsidRPr="00EB29FA">
          <w:rPr>
            <w:color w:val="0000FF"/>
            <w:u w:val="single"/>
          </w:rPr>
          <w:t>10.1016/S0012-821X(03)00297-8</w:t>
        </w:r>
      </w:hyperlink>
      <w:r w:rsidRPr="00EB29FA">
        <w:t>.</w:t>
      </w:r>
    </w:p>
    <w:p w14:paraId="08FF635A" w14:textId="77777777" w:rsidR="00EB29FA" w:rsidRPr="00EB29FA" w:rsidRDefault="00EB29FA" w:rsidP="00CA08DF">
      <w:pPr>
        <w:spacing w:line="480" w:lineRule="auto"/>
        <w:ind w:left="450" w:hanging="450"/>
      </w:pPr>
      <w:r w:rsidRPr="00EB29FA">
        <w:t>Zhao, Y., de Vries, J., van den Berg, A.P., Jacobs, M.H.G., and van Westrenen, W., 2019, The participation of ilmenite-bearing cumulates in lunar mantle overturn: Earth and Planetary Science Letters, v. 511, p. 1–11, doi:</w:t>
      </w:r>
      <w:hyperlink r:id="rId166" w:history="1">
        <w:r w:rsidRPr="00EB29FA">
          <w:rPr>
            <w:color w:val="0000FF"/>
            <w:u w:val="single"/>
          </w:rPr>
          <w:t>10.1016/j.epsl.2019.01.022</w:t>
        </w:r>
      </w:hyperlink>
      <w:r w:rsidRPr="00EB29FA">
        <w:t>.</w:t>
      </w:r>
    </w:p>
    <w:p w14:paraId="162B5D56" w14:textId="77777777" w:rsidR="005906A3" w:rsidRDefault="005906A3" w:rsidP="004F5F65">
      <w:pPr>
        <w:ind w:left="450" w:hanging="450"/>
      </w:pPr>
    </w:p>
    <w:p w14:paraId="1091EED1" w14:textId="49838D75" w:rsidR="005906A3" w:rsidRDefault="005906A3">
      <w:r>
        <w:br w:type="page"/>
      </w:r>
    </w:p>
    <w:p w14:paraId="102CDC9C" w14:textId="108FA7B0" w:rsidR="00192B32" w:rsidRPr="00876B7C" w:rsidRDefault="00192B32" w:rsidP="00324C5D">
      <w:pPr>
        <w:pStyle w:val="NonNumberedHeading2"/>
        <w:spacing w:line="480" w:lineRule="auto"/>
      </w:pPr>
      <w:bookmarkStart w:id="225" w:name="_Toc185325636"/>
      <w:r w:rsidRPr="00876B7C">
        <w:lastRenderedPageBreak/>
        <w:t>Appendix A</w:t>
      </w:r>
      <w:bookmarkEnd w:id="225"/>
    </w:p>
    <w:p w14:paraId="71599202" w14:textId="4EACCA6C" w:rsidR="004F5F65" w:rsidRDefault="00B70452" w:rsidP="00F87E6D">
      <w:r>
        <w:rPr>
          <w:noProof/>
        </w:rPr>
        <w:drawing>
          <wp:inline distT="0" distB="0" distL="0" distR="0" wp14:anchorId="55DE6CA5" wp14:editId="5F5A7E60">
            <wp:extent cx="5486400" cy="1900555"/>
            <wp:effectExtent l="0" t="0" r="0" b="4445"/>
            <wp:docPr id="443306643" name="Picture 3" descr="A close-up of a cross-section of a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06643" name="Picture 3" descr="A close-up of a cross-section of a sea&#10;&#10;Description automatically generated"/>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5486400" cy="1900555"/>
                    </a:xfrm>
                    <a:prstGeom prst="rect">
                      <a:avLst/>
                    </a:prstGeom>
                  </pic:spPr>
                </pic:pic>
              </a:graphicData>
            </a:graphic>
          </wp:inline>
        </w:drawing>
      </w:r>
    </w:p>
    <w:p w14:paraId="0B592C7B" w14:textId="6C976D99" w:rsidR="004D7A2B" w:rsidRPr="00DC4651" w:rsidRDefault="00EC5C57" w:rsidP="009040BB">
      <w:r>
        <w:rPr>
          <w:b/>
          <w:bCs/>
        </w:rPr>
        <w:t>Figure A</w:t>
      </w:r>
      <w:r w:rsidR="00E415C7">
        <w:rPr>
          <w:b/>
          <w:bCs/>
        </w:rPr>
        <w:t>1.</w:t>
      </w:r>
      <w:r w:rsidR="004D7A2B" w:rsidRPr="00DC4651">
        <w:t xml:space="preserve"> (a) Backscatter electron image of reaction interface in MRx#1. (b) Combined Fe (green), Mg (blue), and Al (orange) false color elemental map of the reaction interface in MRx#1 showing the diffusive exchange boundary and mineral phases labeled. Al-rich hedenbergite crystals are light green and is often surrounded by dark green low degree interstitial melt. Garnets are light orange and are distributed throughout the IBC side of the reaction couple. Rare, dispersed enstatite crystals in the dunite originate from the starting material.</w:t>
      </w:r>
    </w:p>
    <w:p w14:paraId="42B0FB24" w14:textId="77777777" w:rsidR="00B70452" w:rsidRDefault="00B70452" w:rsidP="009040BB"/>
    <w:p w14:paraId="3559904C" w14:textId="77777777" w:rsidR="004D7A2B" w:rsidRDefault="004D7A2B" w:rsidP="009040BB">
      <w:r>
        <w:br w:type="page"/>
      </w:r>
    </w:p>
    <w:p w14:paraId="6FAAB4AA" w14:textId="7E3AEB15" w:rsidR="00B70452" w:rsidRDefault="00B70452" w:rsidP="009040BB">
      <w:r>
        <w:rPr>
          <w:noProof/>
        </w:rPr>
        <w:lastRenderedPageBreak/>
        <w:drawing>
          <wp:inline distT="0" distB="0" distL="0" distR="0" wp14:anchorId="0220534C" wp14:editId="34133163">
            <wp:extent cx="5486400" cy="3083560"/>
            <wp:effectExtent l="0" t="0" r="0" b="2540"/>
            <wp:docPr id="578223914" name="Picture 4" descr="A close-up of a cross-section of a rock 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223914" name="Picture 4" descr="A close-up of a cross-section of a rock formation&#10;&#10;Description automatically generated"/>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5486400" cy="3083560"/>
                    </a:xfrm>
                    <a:prstGeom prst="rect">
                      <a:avLst/>
                    </a:prstGeom>
                  </pic:spPr>
                </pic:pic>
              </a:graphicData>
            </a:graphic>
          </wp:inline>
        </w:drawing>
      </w:r>
    </w:p>
    <w:p w14:paraId="7804D408" w14:textId="62CF3B04" w:rsidR="008272E3" w:rsidRPr="008272E3" w:rsidRDefault="008272E3" w:rsidP="009040BB">
      <w:r w:rsidRPr="008272E3">
        <w:rPr>
          <w:b/>
          <w:bCs/>
        </w:rPr>
        <w:t>Figure A2.</w:t>
      </w:r>
      <w:r w:rsidRPr="008272E3">
        <w:t xml:space="preserve"> (a) Backscatter electron image of reaction interface in MRx#8. (b) Combined Fe (green), Mg (blue), and Al (orange) false color elemental map of the reaction interface. Al-rich hedenbergite crystals are light green and ilmenite crystals are dark green. Garnets are light orange and are distributed throughout the IBC side of the reaction couple. The black dashed line represents the interface between the IBC and dunite sides of the reaction couple. The light blue material on the IBC side of the reaction interface is augitic Cpx with Mg-enriched compositions. The dark blue fragment in the fracture is a piece of MgO from the experiment assembly that became entrained in the impregnation epoxy during sample preparation for EPMA analysis. </w:t>
      </w:r>
    </w:p>
    <w:p w14:paraId="510D9AF8" w14:textId="77777777" w:rsidR="00B70452" w:rsidRDefault="00B70452" w:rsidP="009040BB"/>
    <w:p w14:paraId="7C2F6261" w14:textId="77777777" w:rsidR="004D7A2B" w:rsidRDefault="004D7A2B" w:rsidP="009040BB">
      <w:r>
        <w:br w:type="page"/>
      </w:r>
    </w:p>
    <w:p w14:paraId="7DA65E10" w14:textId="48017D44" w:rsidR="00B70452" w:rsidRDefault="00B70452" w:rsidP="009040BB">
      <w:r>
        <w:rPr>
          <w:noProof/>
        </w:rPr>
        <w:lastRenderedPageBreak/>
        <w:drawing>
          <wp:inline distT="0" distB="0" distL="0" distR="0" wp14:anchorId="1A347544" wp14:editId="1DFDFE58">
            <wp:extent cx="5486400" cy="2743200"/>
            <wp:effectExtent l="0" t="0" r="0" b="0"/>
            <wp:docPr id="1558156760" name="Picture 5" descr="A close-up of a rock 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156760" name="Picture 5" descr="A close-up of a rock formation&#10;&#10;Description automatically generated"/>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5486400" cy="2743200"/>
                    </a:xfrm>
                    <a:prstGeom prst="rect">
                      <a:avLst/>
                    </a:prstGeom>
                  </pic:spPr>
                </pic:pic>
              </a:graphicData>
            </a:graphic>
          </wp:inline>
        </w:drawing>
      </w:r>
    </w:p>
    <w:p w14:paraId="7AEBAF5C" w14:textId="06C9E37D" w:rsidR="00DD5835" w:rsidRPr="00DC4651" w:rsidRDefault="00DD5835" w:rsidP="009040BB">
      <w:r w:rsidRPr="00E04FFB">
        <w:rPr>
          <w:b/>
          <w:bCs/>
        </w:rPr>
        <w:t xml:space="preserve">Figure </w:t>
      </w:r>
      <w:r>
        <w:rPr>
          <w:b/>
          <w:bCs/>
        </w:rPr>
        <w:t>A</w:t>
      </w:r>
      <w:r w:rsidRPr="00E04FFB">
        <w:rPr>
          <w:b/>
          <w:bCs/>
        </w:rPr>
        <w:t>3.</w:t>
      </w:r>
      <w:r w:rsidRPr="00DC4651">
        <w:t xml:space="preserve"> Backscatter electron images of the reaction interface and sector zoned pyroxenes in MRx#5. (a) </w:t>
      </w:r>
      <w:r>
        <w:t>R</w:t>
      </w:r>
      <w:r w:rsidRPr="00DC4651">
        <w:t xml:space="preserve">eaction interface. The blue dotted line represents the pre-reaction interface position. The box with a pink dashed border highlights the area imaged in (b). The box with a pink dotted border highlights the area of interest imaged in (c). (b) Close-up BSE image of the Cpx crystals that formed away from the interface. (c) Close-up BSE image of the reaction interface. IBC melt infilrated into the dunite at the reaction interface (a </w:t>
      </w:r>
      <w:r w:rsidR="003C0F64">
        <w:t>and</w:t>
      </w:r>
      <w:r w:rsidRPr="00DC4651">
        <w:t xml:space="preserve"> c) and down the right edge of the dunite material at the assembly interface (a). Pyroxenes that form away from the reaction interface form as individual crystals or as crystal clusters (a </w:t>
      </w:r>
      <w:r w:rsidR="003C0F64">
        <w:t>and</w:t>
      </w:r>
      <w:r w:rsidRPr="00DC4651">
        <w:t xml:space="preserve"> c). Bright acicular Cpx crystals nucleate from the reaction interface. </w:t>
      </w:r>
    </w:p>
    <w:p w14:paraId="2CC7091B" w14:textId="77777777" w:rsidR="00B70452" w:rsidRDefault="00B70452" w:rsidP="009040BB"/>
    <w:p w14:paraId="261C2B20" w14:textId="77777777" w:rsidR="004D7A2B" w:rsidRDefault="004D7A2B" w:rsidP="009040BB">
      <w:r>
        <w:br w:type="page"/>
      </w:r>
    </w:p>
    <w:p w14:paraId="41AB0591" w14:textId="40DE2AC9" w:rsidR="00B70452" w:rsidRDefault="00B70452" w:rsidP="009040BB">
      <w:r>
        <w:rPr>
          <w:noProof/>
        </w:rPr>
        <w:lastRenderedPageBreak/>
        <w:drawing>
          <wp:inline distT="0" distB="0" distL="0" distR="0" wp14:anchorId="54B28009" wp14:editId="76D9D645">
            <wp:extent cx="5486400" cy="3289935"/>
            <wp:effectExtent l="0" t="0" r="0" b="0"/>
            <wp:docPr id="512478806" name="Picture 6" descr="A close-up of a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78806" name="Picture 6" descr="A close-up of a microscope&#10;&#10;Description automatically generated"/>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5486400" cy="3289935"/>
                    </a:xfrm>
                    <a:prstGeom prst="rect">
                      <a:avLst/>
                    </a:prstGeom>
                  </pic:spPr>
                </pic:pic>
              </a:graphicData>
            </a:graphic>
          </wp:inline>
        </w:drawing>
      </w:r>
    </w:p>
    <w:p w14:paraId="332B7290" w14:textId="60C56794" w:rsidR="00DD5835" w:rsidRPr="00DC4651" w:rsidRDefault="00DD5835" w:rsidP="009040BB">
      <w:r w:rsidRPr="00E04FFB">
        <w:rPr>
          <w:b/>
          <w:bCs/>
        </w:rPr>
        <w:t xml:space="preserve">Figure </w:t>
      </w:r>
      <w:r>
        <w:rPr>
          <w:b/>
          <w:bCs/>
        </w:rPr>
        <w:t>A</w:t>
      </w:r>
      <w:r w:rsidRPr="00E04FFB">
        <w:rPr>
          <w:b/>
          <w:bCs/>
        </w:rPr>
        <w:t>4.</w:t>
      </w:r>
      <w:r w:rsidRPr="00DC4651">
        <w:t xml:space="preserve"> (a) Backscatter electron image of the reaction interface in MRx#10. (b) Combined Fe (green) and Mg (blue) false color elemental map of the reaction interface. A narrow concentration gradient in the olivine produced by diffusive exchange is visible in the dunite side of the reaction couple. Pyroxene crystals are easiest to see in the BSE image (a) and the elemental maps show that their dark green rims are Fe-rich (b). (a) A thin bright layer of Fe-rich acicular Cpx is present on the IBC side of the reaction interface (dark green in elemental map). This layer is likely quench pyroxene growth and likely formed at the same time as the bright Cpx rims.</w:t>
      </w:r>
    </w:p>
    <w:p w14:paraId="14C41714" w14:textId="77777777" w:rsidR="00B70452" w:rsidRDefault="00B70452" w:rsidP="009040BB"/>
    <w:p w14:paraId="59D45291" w14:textId="77777777" w:rsidR="004D7A2B" w:rsidRDefault="004D7A2B" w:rsidP="009040BB">
      <w:r>
        <w:br w:type="page"/>
      </w:r>
    </w:p>
    <w:p w14:paraId="48A09AB6" w14:textId="21AF36C1" w:rsidR="00B70452" w:rsidRDefault="00B70452" w:rsidP="009040BB">
      <w:r>
        <w:rPr>
          <w:noProof/>
        </w:rPr>
        <w:lastRenderedPageBreak/>
        <w:drawing>
          <wp:inline distT="0" distB="0" distL="0" distR="0" wp14:anchorId="63052AB0" wp14:editId="1C90B76F">
            <wp:extent cx="5486400" cy="3379470"/>
            <wp:effectExtent l="0" t="0" r="0" b="0"/>
            <wp:docPr id="1002817314" name="Picture 7" descr="A diagram of a cross section of a cross s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17314" name="Picture 7" descr="A diagram of a cross section of a cross section&#10;&#10;Description automatically generated"/>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5486400" cy="3379470"/>
                    </a:xfrm>
                    <a:prstGeom prst="rect">
                      <a:avLst/>
                    </a:prstGeom>
                  </pic:spPr>
                </pic:pic>
              </a:graphicData>
            </a:graphic>
          </wp:inline>
        </w:drawing>
      </w:r>
    </w:p>
    <w:p w14:paraId="42D8401D" w14:textId="32CD4154" w:rsidR="00DD5835" w:rsidRPr="00DC4651" w:rsidRDefault="00DD5835" w:rsidP="009040BB">
      <w:r w:rsidRPr="00E04FFB">
        <w:rPr>
          <w:b/>
          <w:bCs/>
        </w:rPr>
        <w:t xml:space="preserve">Figure </w:t>
      </w:r>
      <w:r>
        <w:rPr>
          <w:b/>
          <w:bCs/>
        </w:rPr>
        <w:t>A</w:t>
      </w:r>
      <w:r w:rsidRPr="00E04FFB">
        <w:rPr>
          <w:b/>
          <w:bCs/>
        </w:rPr>
        <w:t>5.</w:t>
      </w:r>
      <w:r w:rsidRPr="00DC4651">
        <w:t xml:space="preserve"> Backscatter electron image of the reaction interface in MRx#9. The chemical transect location for data presented in Figure </w:t>
      </w:r>
      <w:r w:rsidR="007E4C5B">
        <w:t>(</w:t>
      </w:r>
      <w:r w:rsidR="001131A4">
        <w:t>1.</w:t>
      </w:r>
      <w:r>
        <w:t>9</w:t>
      </w:r>
      <w:r w:rsidR="007E4C5B">
        <w:t>)</w:t>
      </w:r>
      <w:r w:rsidRPr="00DC4651">
        <w:t xml:space="preserve"> within </w:t>
      </w:r>
      <w:r w:rsidR="001131A4">
        <w:t>Chapter 1</w:t>
      </w:r>
      <w:r w:rsidRPr="00DC4651">
        <w:t xml:space="preserve"> is represented by the red line. The location of the initial interface is represented by the blue dotted line. The post-reaction interface is highly irregular and receded into the dunite side of the reaction couple. Melt infiltration can be seen along the right-side edge of the dunite material. A small Cpx crystal is present within the dunite material. This Cpx is the from original peridotite that the natural olivine was sourced from and is not a product of the experimental reaction.</w:t>
      </w:r>
    </w:p>
    <w:p w14:paraId="7BB172B4" w14:textId="77777777" w:rsidR="00B70452" w:rsidRDefault="00B70452" w:rsidP="009040BB"/>
    <w:p w14:paraId="129E34D2" w14:textId="77777777" w:rsidR="004D7A2B" w:rsidRDefault="004D7A2B" w:rsidP="009040BB">
      <w:r>
        <w:br w:type="page"/>
      </w:r>
    </w:p>
    <w:p w14:paraId="12D9CA0A" w14:textId="41707751" w:rsidR="00B70452" w:rsidRDefault="00B70452" w:rsidP="009040BB">
      <w:r>
        <w:rPr>
          <w:noProof/>
        </w:rPr>
        <w:lastRenderedPageBreak/>
        <w:drawing>
          <wp:inline distT="0" distB="0" distL="0" distR="0" wp14:anchorId="41B14D07" wp14:editId="0006B66A">
            <wp:extent cx="5486400" cy="4796155"/>
            <wp:effectExtent l="0" t="0" r="0" b="4445"/>
            <wp:docPr id="1458343161" name="Picture 8" descr="A close-up of several images of a rock 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343161" name="Picture 8" descr="A close-up of several images of a rock formation&#10;&#10;Description automatically generated"/>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5486400" cy="4796155"/>
                    </a:xfrm>
                    <a:prstGeom prst="rect">
                      <a:avLst/>
                    </a:prstGeom>
                  </pic:spPr>
                </pic:pic>
              </a:graphicData>
            </a:graphic>
          </wp:inline>
        </w:drawing>
      </w:r>
    </w:p>
    <w:p w14:paraId="7FE240EA" w14:textId="52914FF8" w:rsidR="00B70452" w:rsidRDefault="00DD5835" w:rsidP="009040BB">
      <w:r w:rsidRPr="00E04FFB">
        <w:rPr>
          <w:b/>
          <w:bCs/>
        </w:rPr>
        <w:t xml:space="preserve">Figure </w:t>
      </w:r>
      <w:r>
        <w:rPr>
          <w:b/>
          <w:bCs/>
        </w:rPr>
        <w:t>A</w:t>
      </w:r>
      <w:r w:rsidRPr="00E04FFB">
        <w:rPr>
          <w:b/>
          <w:bCs/>
        </w:rPr>
        <w:t>6.</w:t>
      </w:r>
      <w:r w:rsidRPr="00DC4651">
        <w:t xml:space="preserve"> (a) Backscatter electron image of the reaction interface in MRx#11 </w:t>
      </w:r>
      <w:r>
        <w:t>showing</w:t>
      </w:r>
      <w:r w:rsidRPr="00DC4651">
        <w:t xml:space="preserve"> the position of the initial reaction interface (blue dashed line). The box with a pink dashed border highlights </w:t>
      </w:r>
      <w:r>
        <w:t>an</w:t>
      </w:r>
      <w:r w:rsidRPr="00DC4651">
        <w:t xml:space="preserve"> area of interest backscatter imaged in (b) and elemental mapped in (c). (b) Close-up BSE image of the reaction interface in MRx#11. (c) Combined Fe (green), Mg (blue), and Al (orange) false color elemental map of the reaction interface. Al-rich hedenbergite crystals are light green and ulvöspinel crystals are dark green. Interstitial melt is light orange. A rare enstatite crystal within the dunite side of the reaction couple is visible in the elemental map which originates from the natural dunitic starting material. The black dashed line represents the interface between the IBC and dunite sides of the reaction couple. The thin layer of light blue material on the IBC side of the reaction interface is augitic Cpx with Mg-enriched compositions. This material is slightly easier to see in the BSE image (b) as it is a dark layer between light cpx on the IBC side and the light olivine in the dunite side of the reaction interface.</w:t>
      </w:r>
    </w:p>
    <w:p w14:paraId="41ADE74B" w14:textId="77777777" w:rsidR="004D7A2B" w:rsidRDefault="004D7A2B" w:rsidP="009040BB">
      <w:r>
        <w:br w:type="page"/>
      </w:r>
    </w:p>
    <w:p w14:paraId="52315CB4" w14:textId="5A5D2053" w:rsidR="00B70452" w:rsidRDefault="00B70452" w:rsidP="009040BB">
      <w:r>
        <w:rPr>
          <w:noProof/>
        </w:rPr>
        <w:lastRenderedPageBreak/>
        <w:drawing>
          <wp:inline distT="0" distB="0" distL="0" distR="0" wp14:anchorId="3454609F" wp14:editId="5341026B">
            <wp:extent cx="5486400" cy="2752090"/>
            <wp:effectExtent l="0" t="0" r="0" b="3810"/>
            <wp:docPr id="2076180438" name="Picture 9" descr="A close-up of a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180438" name="Picture 9" descr="A close-up of a microscope&#10;&#10;Description automatically generated"/>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5486400" cy="2752090"/>
                    </a:xfrm>
                    <a:prstGeom prst="rect">
                      <a:avLst/>
                    </a:prstGeom>
                  </pic:spPr>
                </pic:pic>
              </a:graphicData>
            </a:graphic>
          </wp:inline>
        </w:drawing>
      </w:r>
    </w:p>
    <w:p w14:paraId="3E8B4373" w14:textId="73F8AED9" w:rsidR="00DD5835" w:rsidRPr="00DC4651" w:rsidRDefault="00DD5835" w:rsidP="009040BB">
      <w:r w:rsidRPr="00E04FFB">
        <w:rPr>
          <w:b/>
          <w:bCs/>
        </w:rPr>
        <w:t xml:space="preserve">Figure </w:t>
      </w:r>
      <w:r>
        <w:rPr>
          <w:b/>
          <w:bCs/>
        </w:rPr>
        <w:t>A</w:t>
      </w:r>
      <w:r w:rsidRPr="00E04FFB">
        <w:rPr>
          <w:b/>
          <w:bCs/>
        </w:rPr>
        <w:t>7.</w:t>
      </w:r>
      <w:r w:rsidRPr="00DC4651">
        <w:t xml:space="preserve"> (a) Backscatter electron image of the IBC melt infiltration along grain boundaries in MRx#12. (b) Combined Ca (purple), Mg (blue), and Al (orange) false color elemental map of IBC melt infiltration along grain boundaries at the reaction interface. (b) Dotted white line represents the IBC-dunite reaction interface. IBC melt “pockets” are segments of veins propagating along grain boundaries, perhaps into and out of the view plane in the third dimension.</w:t>
      </w:r>
    </w:p>
    <w:p w14:paraId="172DDA75" w14:textId="77777777" w:rsidR="00B70452" w:rsidRDefault="00B70452" w:rsidP="009040BB"/>
    <w:p w14:paraId="55BCE73D" w14:textId="77777777" w:rsidR="004D7A2B" w:rsidRDefault="004D7A2B" w:rsidP="009040BB">
      <w:r>
        <w:br w:type="page"/>
      </w:r>
    </w:p>
    <w:p w14:paraId="260A1A89" w14:textId="478F0B9A" w:rsidR="00B70452" w:rsidRDefault="00B70452" w:rsidP="009040BB">
      <w:r>
        <w:rPr>
          <w:noProof/>
        </w:rPr>
        <w:lastRenderedPageBreak/>
        <w:drawing>
          <wp:inline distT="0" distB="0" distL="0" distR="0" wp14:anchorId="6B46BCB2" wp14:editId="3C168A70">
            <wp:extent cx="5486400" cy="4410710"/>
            <wp:effectExtent l="0" t="0" r="0" b="0"/>
            <wp:docPr id="15959253" name="Picture 10" descr="A diagram of a press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9253" name="Picture 10" descr="A diagram of a pressure&#10;&#10;Description automatically generated"/>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5486400" cy="4410710"/>
                    </a:xfrm>
                    <a:prstGeom prst="rect">
                      <a:avLst/>
                    </a:prstGeom>
                  </pic:spPr>
                </pic:pic>
              </a:graphicData>
            </a:graphic>
          </wp:inline>
        </w:drawing>
      </w:r>
    </w:p>
    <w:p w14:paraId="655C4093" w14:textId="348ABFE9" w:rsidR="00DD5835" w:rsidRPr="00DC4651" w:rsidRDefault="00DD5835" w:rsidP="009040BB">
      <w:r w:rsidRPr="00E04FFB">
        <w:rPr>
          <w:b/>
          <w:bCs/>
        </w:rPr>
        <w:t xml:space="preserve">Figure </w:t>
      </w:r>
      <w:r>
        <w:rPr>
          <w:b/>
          <w:bCs/>
        </w:rPr>
        <w:t>A</w:t>
      </w:r>
      <w:r w:rsidRPr="00E04FFB">
        <w:rPr>
          <w:b/>
          <w:bCs/>
        </w:rPr>
        <w:t>8.</w:t>
      </w:r>
      <w:r w:rsidRPr="00DC4651">
        <w:t xml:space="preserve"> Phase diagram for IBC compared with modeled pre- and post-overturn thermal gradients and Ol-Opx multi-saturation conditions of lunar picritic glasses. Dashed red, green, pink, and light blue lines represent the modeled thermal gradients from previous studies (Elkins-Tanton et al., 2011; Lin et al., 201</w:t>
      </w:r>
      <w:r>
        <w:t>7</w:t>
      </w:r>
      <w:r w:rsidRPr="00DC4651">
        <w:t>, Zhang et al., 2017). Shaded red, orange, yellow, and green regions represent the Ol-Opx multi-saturation conditions of red, orange, yellow, and green picritic glasses (Elkins-Tanton et al., 2003; Draper et al., 2006; Krawczynski and Grove, 2012; Barr and Grove, 2013; Brown and Grove, 2015). Phases: Liquid (Liq), Clinopyroxene (Cpx), Plagioclase (Plag), Garnet (Grnt), Fe-Ti Oxide or Spinel (Ti-Ox/Sp), Ilmenite (Ilm), Ulvöspinel (Usp), Armalcolite (Arm), Rutile (Rt).</w:t>
      </w:r>
    </w:p>
    <w:p w14:paraId="6D1300D6" w14:textId="77777777" w:rsidR="00B70452" w:rsidRPr="007F2D9E" w:rsidRDefault="00B70452" w:rsidP="00B70452"/>
    <w:p w14:paraId="6032A74C" w14:textId="77777777" w:rsidR="00F6138D" w:rsidRDefault="00F6138D">
      <w:r>
        <w:br w:type="page"/>
      </w:r>
    </w:p>
    <w:p w14:paraId="156E6E65" w14:textId="4A3ED3EE" w:rsidR="00F6138D" w:rsidRPr="00C80DD3" w:rsidRDefault="00F6138D" w:rsidP="00C80DD3">
      <w:pPr>
        <w:spacing w:line="480" w:lineRule="auto"/>
        <w:rPr>
          <w:b/>
          <w:bCs/>
        </w:rPr>
      </w:pPr>
      <w:r w:rsidRPr="00C80DD3">
        <w:rPr>
          <w:b/>
          <w:bCs/>
        </w:rPr>
        <w:lastRenderedPageBreak/>
        <w:t>Solid-State Diffusion Modeling</w:t>
      </w:r>
    </w:p>
    <w:p w14:paraId="488DE126" w14:textId="598BF185" w:rsidR="00F6138D" w:rsidRPr="00D12CF0" w:rsidRDefault="00F6138D" w:rsidP="00550A55">
      <w:pPr>
        <w:spacing w:line="480" w:lineRule="auto"/>
        <w:ind w:firstLine="720"/>
        <w:rPr>
          <w:color w:val="000000" w:themeColor="text1"/>
        </w:rPr>
      </w:pPr>
      <w:r w:rsidRPr="00D12CF0">
        <w:t>In MRx#1 and MRx#8, the IBC side of the couple exhibits a downward shift in Fe/(Fe+Mg)x100, while the dunite side of the couple exhibits an upward shift (</w:t>
      </w:r>
      <w:r w:rsidRPr="00F84446">
        <w:rPr>
          <w:b/>
          <w:bCs/>
        </w:rPr>
        <w:t xml:space="preserve">Figure </w:t>
      </w:r>
      <w:r w:rsidR="00EC6F80" w:rsidRPr="00F84446">
        <w:rPr>
          <w:b/>
          <w:bCs/>
        </w:rPr>
        <w:t>1.</w:t>
      </w:r>
      <w:r w:rsidRPr="00F84446">
        <w:rPr>
          <w:b/>
          <w:bCs/>
        </w:rPr>
        <w:t>8</w:t>
      </w:r>
      <w:r w:rsidRPr="00D12CF0">
        <w:t>). Both experiments exhibit similar interface conditions with compositional variations trending toward molar Fe/(Fe+Mg)x100 values between 40 and 50. Compositional variations in 24 hr experiment MRx#8 (1150</w:t>
      </w:r>
      <w:r w:rsidRPr="00D12CF0">
        <w:rPr>
          <w:vertAlign w:val="superscript"/>
        </w:rPr>
        <w:t>º</w:t>
      </w:r>
      <w:r w:rsidRPr="00D12CF0">
        <w:t>C) are approximately twice width of the variations in 6 hr experiment MRx#1 (1200</w:t>
      </w:r>
      <w:r w:rsidRPr="00D12CF0">
        <w:rPr>
          <w:vertAlign w:val="superscript"/>
        </w:rPr>
        <w:t>º</w:t>
      </w:r>
      <w:r w:rsidRPr="00D12CF0">
        <w:t xml:space="preserve">C). These compositional variations were modeled using an analytical solution to the one-dimensional diffusion </w:t>
      </w:r>
      <w:r w:rsidRPr="00D12CF0">
        <w:rPr>
          <w:color w:val="000000" w:themeColor="text1"/>
        </w:rPr>
        <w:t>equation assuming exchange between two semi-infinite media with differing diffusivities and a partitioning relationship across the interface (Zhang</w:t>
      </w:r>
      <w:r w:rsidR="008C6DD5" w:rsidRPr="00D12CF0">
        <w:rPr>
          <w:color w:val="000000" w:themeColor="text1"/>
        </w:rPr>
        <w:t>,</w:t>
      </w:r>
      <w:r w:rsidRPr="00D12CF0">
        <w:rPr>
          <w:color w:val="000000" w:themeColor="text1"/>
        </w:rPr>
        <w:t xml:space="preserve"> 2009). </w:t>
      </w:r>
    </w:p>
    <w:p w14:paraId="06033B16" w14:textId="401AEC67" w:rsidR="00F6138D" w:rsidRPr="00D12CF0" w:rsidRDefault="00000000" w:rsidP="002D2CF9">
      <w:pPr>
        <w:spacing w:line="480" w:lineRule="auto"/>
        <w:jc w:val="right"/>
        <w:rPr>
          <w:color w:val="000000" w:themeColor="text1"/>
        </w:rPr>
      </w:pPr>
      <m:oMath>
        <m:sSup>
          <m:sSupPr>
            <m:ctrlPr>
              <w:rPr>
                <w:rFonts w:ascii="Cambria Math" w:hAnsi="Cambria Math"/>
                <w:color w:val="000000" w:themeColor="text1"/>
              </w:rPr>
            </m:ctrlPr>
          </m:sSupPr>
          <m:e>
            <m:r>
              <w:rPr>
                <w:rFonts w:ascii="Cambria Math" w:hAnsi="Cambria Math"/>
                <w:color w:val="000000" w:themeColor="text1"/>
              </w:rPr>
              <m:t>C</m:t>
            </m:r>
          </m:e>
          <m:sup>
            <m:r>
              <w:rPr>
                <w:rFonts w:ascii="Cambria Math" w:hAnsi="Cambria Math"/>
                <w:color w:val="000000" w:themeColor="text1"/>
              </w:rPr>
              <m:t>L</m:t>
            </m:r>
          </m:sup>
        </m:sSup>
        <m:d>
          <m:dPr>
            <m:ctrlPr>
              <w:rPr>
                <w:rFonts w:ascii="Cambria Math" w:hAnsi="Cambria Math"/>
                <w:color w:val="000000" w:themeColor="text1"/>
              </w:rPr>
            </m:ctrlPr>
          </m:dPr>
          <m:e>
            <m:r>
              <w:rPr>
                <w:rFonts w:ascii="Cambria Math" w:hAnsi="Cambria Math"/>
                <w:color w:val="000000" w:themeColor="text1"/>
              </w:rPr>
              <m:t>x</m:t>
            </m:r>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C</m:t>
            </m:r>
          </m:e>
          <m:sub>
            <m:r>
              <m:rPr>
                <m:sty m:val="p"/>
              </m:rPr>
              <w:rPr>
                <w:rFonts w:ascii="Cambria Math" w:hAnsi="Cambria Math"/>
                <w:color w:val="000000" w:themeColor="text1"/>
              </w:rPr>
              <m:t>∞</m:t>
            </m:r>
          </m:sub>
          <m:sup>
            <m:r>
              <w:rPr>
                <w:rFonts w:ascii="Cambria Math" w:hAnsi="Cambria Math"/>
                <w:color w:val="000000" w:themeColor="text1"/>
              </w:rPr>
              <m:t>L</m:t>
            </m:r>
          </m:sup>
        </m:sSubSup>
        <m:r>
          <m:rPr>
            <m:sty m:val="p"/>
          </m:rP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olor w:val="000000" w:themeColor="text1"/>
                  </w:rPr>
                </m:ctrlPr>
              </m:dPr>
              <m:e>
                <m:sSubSup>
                  <m:sSubSupPr>
                    <m:ctrlPr>
                      <w:rPr>
                        <w:rFonts w:ascii="Cambria Math" w:hAnsi="Cambria Math"/>
                        <w:color w:val="000000" w:themeColor="text1"/>
                      </w:rPr>
                    </m:ctrlPr>
                  </m:sSubSupPr>
                  <m:e>
                    <m:r>
                      <w:rPr>
                        <w:rFonts w:ascii="Cambria Math" w:hAnsi="Cambria Math"/>
                        <w:color w:val="000000" w:themeColor="text1"/>
                      </w:rPr>
                      <m:t>C</m:t>
                    </m:r>
                  </m:e>
                  <m:sub>
                    <m:r>
                      <m:rPr>
                        <m:sty m:val="p"/>
                      </m:rPr>
                      <w:rPr>
                        <w:rFonts w:ascii="Cambria Math" w:hAnsi="Cambria Math"/>
                        <w:color w:val="000000" w:themeColor="text1"/>
                      </w:rPr>
                      <m:t>∞</m:t>
                    </m:r>
                  </m:sub>
                  <m:sup>
                    <m:r>
                      <w:rPr>
                        <w:rFonts w:ascii="Cambria Math" w:hAnsi="Cambria Math"/>
                        <w:color w:val="000000" w:themeColor="text1"/>
                      </w:rPr>
                      <m:t>R</m:t>
                    </m:r>
                  </m:sup>
                </m:sSubSup>
                <m:r>
                  <m:rPr>
                    <m:sty m:val="p"/>
                  </m:rPr>
                  <w:rPr>
                    <w:rFonts w:ascii="Cambria Math" w:hAnsi="Cambria Math"/>
                    <w:color w:val="000000" w:themeColor="text1"/>
                  </w:rPr>
                  <m:t>-</m:t>
                </m:r>
                <m:r>
                  <w:rPr>
                    <w:rFonts w:ascii="Cambria Math" w:hAnsi="Cambria Math"/>
                    <w:color w:val="000000" w:themeColor="text1"/>
                  </w:rPr>
                  <m:t>K</m:t>
                </m:r>
                <m:sSubSup>
                  <m:sSubSupPr>
                    <m:ctrlPr>
                      <w:rPr>
                        <w:rFonts w:ascii="Cambria Math" w:hAnsi="Cambria Math"/>
                        <w:color w:val="000000" w:themeColor="text1"/>
                      </w:rPr>
                    </m:ctrlPr>
                  </m:sSubSupPr>
                  <m:e>
                    <m:r>
                      <w:rPr>
                        <w:rFonts w:ascii="Cambria Math" w:hAnsi="Cambria Math"/>
                        <w:color w:val="000000" w:themeColor="text1"/>
                      </w:rPr>
                      <m:t>C</m:t>
                    </m:r>
                  </m:e>
                  <m:sub>
                    <m:r>
                      <m:rPr>
                        <m:sty m:val="p"/>
                      </m:rPr>
                      <w:rPr>
                        <w:rFonts w:ascii="Cambria Math" w:hAnsi="Cambria Math"/>
                        <w:color w:val="000000" w:themeColor="text1"/>
                      </w:rPr>
                      <m:t>∞</m:t>
                    </m:r>
                  </m:sub>
                  <m:sup>
                    <m:r>
                      <w:rPr>
                        <w:rFonts w:ascii="Cambria Math" w:hAnsi="Cambria Math"/>
                        <w:color w:val="000000" w:themeColor="text1"/>
                      </w:rPr>
                      <m:t>L</m:t>
                    </m:r>
                  </m:sup>
                </m:sSubSup>
              </m:e>
            </m:d>
          </m:num>
          <m:den>
            <m:r>
              <m:rPr>
                <m:sty m:val="p"/>
              </m:rPr>
              <w:rPr>
                <w:rFonts w:ascii="Cambria Math" w:hAnsi="Cambria Math"/>
                <w:color w:val="000000" w:themeColor="text1"/>
              </w:rPr>
              <m:t>1+</m:t>
            </m:r>
            <m:r>
              <w:rPr>
                <w:rFonts w:ascii="Cambria Math" w:hAnsi="Cambria Math"/>
                <w:color w:val="000000" w:themeColor="text1"/>
              </w:rPr>
              <m:t>Kγ</m:t>
            </m:r>
          </m:den>
        </m:f>
        <m:r>
          <m:rPr>
            <m:sty m:val="p"/>
          </m:rPr>
          <w:rPr>
            <w:rFonts w:ascii="Cambria Math" w:hAnsi="Cambria Math"/>
            <w:color w:val="000000" w:themeColor="text1"/>
          </w:rPr>
          <m:t>∙</m:t>
        </m:r>
        <m:r>
          <w:rPr>
            <w:rFonts w:ascii="Cambria Math" w:hAnsi="Cambria Math"/>
            <w:color w:val="000000" w:themeColor="text1"/>
          </w:rPr>
          <m:t>erfc</m:t>
        </m:r>
        <m:d>
          <m:dPr>
            <m:ctrlPr>
              <w:rPr>
                <w:rFonts w:ascii="Cambria Math" w:hAnsi="Cambria Math"/>
                <w:color w:val="000000" w:themeColor="text1"/>
              </w:rPr>
            </m:ctrlPr>
          </m:dPr>
          <m:e>
            <m:f>
              <m:fPr>
                <m:ctrlPr>
                  <w:rPr>
                    <w:rFonts w:ascii="Cambria Math" w:hAnsi="Cambria Math"/>
                    <w:color w:val="000000" w:themeColor="text1"/>
                  </w:rPr>
                </m:ctrlPr>
              </m:fPr>
              <m:num>
                <m:d>
                  <m:dPr>
                    <m:begChr m:val="|"/>
                    <m:endChr m:val="|"/>
                    <m:ctrlPr>
                      <w:rPr>
                        <w:rFonts w:ascii="Cambria Math" w:hAnsi="Cambria Math"/>
                        <w:color w:val="000000" w:themeColor="text1"/>
                      </w:rPr>
                    </m:ctrlPr>
                  </m:dPr>
                  <m:e>
                    <m:r>
                      <w:rPr>
                        <w:rFonts w:ascii="Cambria Math" w:hAnsi="Cambria Math"/>
                        <w:color w:val="000000" w:themeColor="text1"/>
                      </w:rPr>
                      <m:t>x</m:t>
                    </m:r>
                  </m:e>
                </m:d>
              </m:num>
              <m:den>
                <m:r>
                  <m:rPr>
                    <m:sty m:val="p"/>
                  </m:rPr>
                  <w:rPr>
                    <w:rFonts w:ascii="Cambria Math" w:hAnsi="Cambria Math"/>
                    <w:color w:val="000000" w:themeColor="text1"/>
                  </w:rPr>
                  <m:t>2</m:t>
                </m:r>
                <m:rad>
                  <m:radPr>
                    <m:degHide m:val="1"/>
                    <m:ctrlPr>
                      <w:rPr>
                        <w:rFonts w:ascii="Cambria Math" w:hAnsi="Cambria Math"/>
                        <w:color w:val="000000" w:themeColor="text1"/>
                      </w:rPr>
                    </m:ctrlPr>
                  </m:radPr>
                  <m:deg/>
                  <m:e>
                    <m:sSup>
                      <m:sSupPr>
                        <m:ctrlPr>
                          <w:rPr>
                            <w:rFonts w:ascii="Cambria Math" w:hAnsi="Cambria Math"/>
                            <w:color w:val="000000" w:themeColor="text1"/>
                          </w:rPr>
                        </m:ctrlPr>
                      </m:sSupPr>
                      <m:e>
                        <m:r>
                          <w:rPr>
                            <w:rFonts w:ascii="Cambria Math" w:hAnsi="Cambria Math"/>
                            <w:color w:val="000000" w:themeColor="text1"/>
                          </w:rPr>
                          <m:t>D</m:t>
                        </m:r>
                      </m:e>
                      <m:sup>
                        <m:r>
                          <w:rPr>
                            <w:rFonts w:ascii="Cambria Math" w:hAnsi="Cambria Math"/>
                            <w:color w:val="000000" w:themeColor="text1"/>
                          </w:rPr>
                          <m:t>L</m:t>
                        </m:r>
                      </m:sup>
                    </m:sSup>
                    <m:r>
                      <w:rPr>
                        <w:rFonts w:ascii="Cambria Math" w:hAnsi="Cambria Math"/>
                        <w:color w:val="000000" w:themeColor="text1"/>
                      </w:rPr>
                      <m:t>t</m:t>
                    </m:r>
                  </m:e>
                </m:rad>
              </m:den>
            </m:f>
          </m:e>
        </m:d>
        <m:r>
          <m:rPr>
            <m:sty m:val="p"/>
          </m:rPr>
          <w:rPr>
            <w:rFonts w:ascii="Cambria Math" w:hAnsi="Cambria Math"/>
            <w:color w:val="000000" w:themeColor="text1"/>
          </w:rPr>
          <m:t xml:space="preserve">,  for </m:t>
        </m:r>
        <m:r>
          <w:rPr>
            <w:rFonts w:ascii="Cambria Math" w:hAnsi="Cambria Math"/>
            <w:color w:val="000000" w:themeColor="text1"/>
          </w:rPr>
          <m:t>x</m:t>
        </m:r>
        <m:r>
          <m:rPr>
            <m:sty m:val="p"/>
          </m:rPr>
          <w:rPr>
            <w:rFonts w:ascii="Cambria Math" w:hAnsi="Cambria Math"/>
            <w:color w:val="000000" w:themeColor="text1"/>
          </w:rPr>
          <m:t>&lt;0</m:t>
        </m:r>
      </m:oMath>
      <w:r w:rsidR="00F6138D" w:rsidRPr="00D12CF0">
        <w:rPr>
          <w:color w:val="000000" w:themeColor="text1"/>
        </w:rPr>
        <w:t>, and</w:t>
      </w:r>
      <w:r w:rsidR="00F6138D" w:rsidRPr="00D12CF0">
        <w:rPr>
          <w:color w:val="000000" w:themeColor="text1"/>
        </w:rPr>
        <w:tab/>
      </w:r>
      <w:r w:rsidR="00F6138D" w:rsidRPr="00D12CF0">
        <w:rPr>
          <w:color w:val="000000" w:themeColor="text1"/>
        </w:rPr>
        <w:tab/>
        <w:t>(</w:t>
      </w:r>
      <w:r w:rsidR="00982D65" w:rsidRPr="00D12CF0">
        <w:rPr>
          <w:color w:val="000000" w:themeColor="text1"/>
        </w:rPr>
        <w:t>A</w:t>
      </w:r>
      <w:r w:rsidR="00F6138D" w:rsidRPr="00D12CF0">
        <w:rPr>
          <w:color w:val="000000" w:themeColor="text1"/>
        </w:rPr>
        <w:t>1a)</w:t>
      </w:r>
    </w:p>
    <w:p w14:paraId="44FE6B05" w14:textId="63EBEF87" w:rsidR="00F6138D" w:rsidRPr="00D12CF0" w:rsidRDefault="00000000" w:rsidP="002D2CF9">
      <w:pPr>
        <w:spacing w:line="480" w:lineRule="auto"/>
        <w:jc w:val="right"/>
        <w:rPr>
          <w:color w:val="000000" w:themeColor="text1"/>
        </w:rPr>
      </w:pPr>
      <m:oMath>
        <m:sSup>
          <m:sSupPr>
            <m:ctrlPr>
              <w:rPr>
                <w:rFonts w:ascii="Cambria Math" w:hAnsi="Cambria Math"/>
                <w:color w:val="000000" w:themeColor="text1"/>
              </w:rPr>
            </m:ctrlPr>
          </m:sSupPr>
          <m:e>
            <m:r>
              <w:rPr>
                <w:rFonts w:ascii="Cambria Math" w:hAnsi="Cambria Math"/>
                <w:color w:val="000000" w:themeColor="text1"/>
              </w:rPr>
              <m:t>C</m:t>
            </m:r>
          </m:e>
          <m:sup>
            <m:r>
              <w:rPr>
                <w:rFonts w:ascii="Cambria Math" w:hAnsi="Cambria Math"/>
                <w:color w:val="000000" w:themeColor="text1"/>
              </w:rPr>
              <m:t>R</m:t>
            </m:r>
          </m:sup>
        </m:sSup>
        <m:d>
          <m:dPr>
            <m:ctrlPr>
              <w:rPr>
                <w:rFonts w:ascii="Cambria Math" w:hAnsi="Cambria Math"/>
                <w:color w:val="000000" w:themeColor="text1"/>
              </w:rPr>
            </m:ctrlPr>
          </m:dPr>
          <m:e>
            <m:r>
              <w:rPr>
                <w:rFonts w:ascii="Cambria Math" w:hAnsi="Cambria Math"/>
                <w:color w:val="000000" w:themeColor="text1"/>
              </w:rPr>
              <m:t>x</m:t>
            </m:r>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C</m:t>
            </m:r>
          </m:e>
          <m:sub>
            <m:r>
              <m:rPr>
                <m:sty m:val="p"/>
              </m:rPr>
              <w:rPr>
                <w:rFonts w:ascii="Cambria Math" w:hAnsi="Cambria Math"/>
                <w:color w:val="000000" w:themeColor="text1"/>
              </w:rPr>
              <m:t>∞</m:t>
            </m:r>
          </m:sub>
          <m:sup>
            <m:r>
              <w:rPr>
                <w:rFonts w:ascii="Cambria Math" w:hAnsi="Cambria Math"/>
                <w:color w:val="000000" w:themeColor="text1"/>
              </w:rPr>
              <m:t>R</m:t>
            </m:r>
          </m:sup>
        </m:sSubSup>
        <m:r>
          <m:rPr>
            <m:sty m:val="p"/>
          </m:rP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olor w:val="000000" w:themeColor="text1"/>
                  </w:rPr>
                </m:ctrlPr>
              </m:dPr>
              <m:e>
                <m:sSubSup>
                  <m:sSubSupPr>
                    <m:ctrlPr>
                      <w:rPr>
                        <w:rFonts w:ascii="Cambria Math" w:hAnsi="Cambria Math"/>
                        <w:color w:val="000000" w:themeColor="text1"/>
                      </w:rPr>
                    </m:ctrlPr>
                  </m:sSubSupPr>
                  <m:e>
                    <m:r>
                      <w:rPr>
                        <w:rFonts w:ascii="Cambria Math" w:hAnsi="Cambria Math"/>
                        <w:color w:val="000000" w:themeColor="text1"/>
                      </w:rPr>
                      <m:t>KC</m:t>
                    </m:r>
                  </m:e>
                  <m:sub>
                    <m:r>
                      <m:rPr>
                        <m:sty m:val="p"/>
                      </m:rPr>
                      <w:rPr>
                        <w:rFonts w:ascii="Cambria Math" w:hAnsi="Cambria Math"/>
                        <w:color w:val="000000" w:themeColor="text1"/>
                      </w:rPr>
                      <m:t>∞</m:t>
                    </m:r>
                  </m:sub>
                  <m:sup>
                    <m:r>
                      <w:rPr>
                        <w:rFonts w:ascii="Cambria Math" w:hAnsi="Cambria Math"/>
                        <w:color w:val="000000" w:themeColor="text1"/>
                      </w:rPr>
                      <m:t>L</m:t>
                    </m:r>
                  </m:sup>
                </m:sSubSup>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C</m:t>
                    </m:r>
                  </m:e>
                  <m:sub>
                    <m:r>
                      <m:rPr>
                        <m:sty m:val="p"/>
                      </m:rPr>
                      <w:rPr>
                        <w:rFonts w:ascii="Cambria Math" w:hAnsi="Cambria Math"/>
                        <w:color w:val="000000" w:themeColor="text1"/>
                      </w:rPr>
                      <m:t>∞</m:t>
                    </m:r>
                  </m:sub>
                  <m:sup>
                    <m:r>
                      <w:rPr>
                        <w:rFonts w:ascii="Cambria Math" w:hAnsi="Cambria Math"/>
                        <w:color w:val="000000" w:themeColor="text1"/>
                      </w:rPr>
                      <m:t>R</m:t>
                    </m:r>
                  </m:sup>
                </m:sSubSup>
              </m:e>
            </m:d>
          </m:num>
          <m:den>
            <m:r>
              <m:rPr>
                <m:sty m:val="p"/>
              </m:rPr>
              <w:rPr>
                <w:rFonts w:ascii="Cambria Math" w:hAnsi="Cambria Math"/>
                <w:color w:val="000000" w:themeColor="text1"/>
              </w:rPr>
              <m:t>1+</m:t>
            </m:r>
            <m:r>
              <w:rPr>
                <w:rFonts w:ascii="Cambria Math" w:hAnsi="Cambria Math"/>
                <w:color w:val="000000" w:themeColor="text1"/>
              </w:rPr>
              <m:t>Kγ</m:t>
            </m:r>
          </m:den>
        </m:f>
        <m:r>
          <m:rPr>
            <m:sty m:val="p"/>
          </m:rPr>
          <w:rPr>
            <w:rFonts w:ascii="Cambria Math" w:hAnsi="Cambria Math"/>
            <w:color w:val="000000" w:themeColor="text1"/>
          </w:rPr>
          <m:t>∙</m:t>
        </m:r>
        <m:r>
          <w:rPr>
            <w:rFonts w:ascii="Cambria Math" w:hAnsi="Cambria Math"/>
            <w:color w:val="000000" w:themeColor="text1"/>
          </w:rPr>
          <m:t>erfc</m:t>
        </m:r>
        <m:d>
          <m:dPr>
            <m:ctrlPr>
              <w:rPr>
                <w:rFonts w:ascii="Cambria Math" w:hAnsi="Cambria Math"/>
                <w:color w:val="000000" w:themeColor="text1"/>
              </w:rPr>
            </m:ctrlPr>
          </m:dPr>
          <m:e>
            <m:f>
              <m:fPr>
                <m:ctrlPr>
                  <w:rPr>
                    <w:rFonts w:ascii="Cambria Math" w:hAnsi="Cambria Math"/>
                    <w:color w:val="000000" w:themeColor="text1"/>
                  </w:rPr>
                </m:ctrlPr>
              </m:fPr>
              <m:num>
                <m:r>
                  <w:rPr>
                    <w:rFonts w:ascii="Cambria Math" w:hAnsi="Cambria Math"/>
                    <w:color w:val="000000" w:themeColor="text1"/>
                  </w:rPr>
                  <m:t>x</m:t>
                </m:r>
              </m:num>
              <m:den>
                <m:r>
                  <m:rPr>
                    <m:sty m:val="p"/>
                  </m:rPr>
                  <w:rPr>
                    <w:rFonts w:ascii="Cambria Math" w:hAnsi="Cambria Math"/>
                    <w:color w:val="000000" w:themeColor="text1"/>
                  </w:rPr>
                  <m:t>2</m:t>
                </m:r>
                <m:rad>
                  <m:radPr>
                    <m:degHide m:val="1"/>
                    <m:ctrlPr>
                      <w:rPr>
                        <w:rFonts w:ascii="Cambria Math" w:hAnsi="Cambria Math"/>
                        <w:color w:val="000000" w:themeColor="text1"/>
                      </w:rPr>
                    </m:ctrlPr>
                  </m:radPr>
                  <m:deg/>
                  <m:e>
                    <m:sSup>
                      <m:sSupPr>
                        <m:ctrlPr>
                          <w:rPr>
                            <w:rFonts w:ascii="Cambria Math" w:hAnsi="Cambria Math"/>
                            <w:color w:val="000000" w:themeColor="text1"/>
                          </w:rPr>
                        </m:ctrlPr>
                      </m:sSupPr>
                      <m:e>
                        <m:r>
                          <w:rPr>
                            <w:rFonts w:ascii="Cambria Math" w:hAnsi="Cambria Math"/>
                            <w:color w:val="000000" w:themeColor="text1"/>
                          </w:rPr>
                          <m:t>D</m:t>
                        </m:r>
                      </m:e>
                      <m:sup>
                        <m:r>
                          <w:rPr>
                            <w:rFonts w:ascii="Cambria Math" w:hAnsi="Cambria Math"/>
                            <w:color w:val="000000" w:themeColor="text1"/>
                          </w:rPr>
                          <m:t>R</m:t>
                        </m:r>
                      </m:sup>
                    </m:sSup>
                    <m:r>
                      <w:rPr>
                        <w:rFonts w:ascii="Cambria Math" w:hAnsi="Cambria Math"/>
                        <w:color w:val="000000" w:themeColor="text1"/>
                      </w:rPr>
                      <m:t>t</m:t>
                    </m:r>
                  </m:e>
                </m:rad>
              </m:den>
            </m:f>
          </m:e>
        </m:d>
        <m:r>
          <m:rPr>
            <m:sty m:val="p"/>
          </m:rPr>
          <w:rPr>
            <w:rFonts w:ascii="Cambria Math" w:hAnsi="Cambria Math"/>
            <w:color w:val="000000" w:themeColor="text1"/>
          </w:rPr>
          <m:t xml:space="preserve">,  for </m:t>
        </m:r>
        <m:r>
          <w:rPr>
            <w:rFonts w:ascii="Cambria Math" w:hAnsi="Cambria Math"/>
            <w:color w:val="000000" w:themeColor="text1"/>
          </w:rPr>
          <m:t>x</m:t>
        </m:r>
        <m:r>
          <m:rPr>
            <m:sty m:val="p"/>
          </m:rPr>
          <w:rPr>
            <w:rFonts w:ascii="Cambria Math" w:hAnsi="Cambria Math"/>
            <w:color w:val="000000" w:themeColor="text1"/>
          </w:rPr>
          <m:t>&gt;0</m:t>
        </m:r>
      </m:oMath>
      <w:r w:rsidR="00F6138D" w:rsidRPr="00D12CF0">
        <w:rPr>
          <w:color w:val="000000" w:themeColor="text1"/>
        </w:rPr>
        <w:t>,</w:t>
      </w:r>
      <w:r w:rsidR="00F6138D" w:rsidRPr="00D12CF0">
        <w:rPr>
          <w:color w:val="000000" w:themeColor="text1"/>
        </w:rPr>
        <w:tab/>
      </w:r>
      <w:r w:rsidR="00F6138D" w:rsidRPr="00D12CF0">
        <w:rPr>
          <w:color w:val="000000" w:themeColor="text1"/>
        </w:rPr>
        <w:tab/>
        <w:t>(</w:t>
      </w:r>
      <w:r w:rsidR="00982D65" w:rsidRPr="00D12CF0">
        <w:rPr>
          <w:color w:val="000000" w:themeColor="text1"/>
        </w:rPr>
        <w:t>A</w:t>
      </w:r>
      <w:r w:rsidR="00F6138D" w:rsidRPr="00D12CF0">
        <w:rPr>
          <w:color w:val="000000" w:themeColor="text1"/>
        </w:rPr>
        <w:t>1b)</w:t>
      </w:r>
    </w:p>
    <w:p w14:paraId="4C08DA1F" w14:textId="0FA9D046" w:rsidR="00F6138D" w:rsidRPr="00D12CF0" w:rsidRDefault="00F6138D" w:rsidP="00644F46">
      <w:pPr>
        <w:spacing w:line="480" w:lineRule="auto"/>
      </w:pPr>
      <w:r w:rsidRPr="00D12CF0">
        <w:rPr>
          <w:color w:val="000000" w:themeColor="text1"/>
        </w:rPr>
        <w:t xml:space="preserve">where </w:t>
      </w:r>
      <m:oMath>
        <m:sSup>
          <m:sSupPr>
            <m:ctrlPr>
              <w:rPr>
                <w:rFonts w:ascii="Cambria Math" w:hAnsi="Cambria Math"/>
                <w:i/>
                <w:color w:val="000000" w:themeColor="text1"/>
              </w:rPr>
            </m:ctrlPr>
          </m:sSupPr>
          <m:e>
            <m:r>
              <w:rPr>
                <w:rFonts w:ascii="Cambria Math" w:hAnsi="Cambria Math"/>
                <w:color w:val="000000" w:themeColor="text1"/>
              </w:rPr>
              <m:t>C</m:t>
            </m:r>
          </m:e>
          <m:sup>
            <m:r>
              <w:rPr>
                <w:rFonts w:ascii="Cambria Math" w:hAnsi="Cambria Math"/>
                <w:color w:val="000000" w:themeColor="text1"/>
              </w:rPr>
              <m:t>L</m:t>
            </m:r>
          </m:sup>
        </m:sSup>
        <m:r>
          <w:rPr>
            <w:rFonts w:ascii="Cambria Math" w:hAnsi="Cambria Math"/>
            <w:color w:val="000000" w:themeColor="text1"/>
          </w:rPr>
          <m:t>(x,t)</m:t>
        </m:r>
      </m:oMath>
      <w:r w:rsidRPr="00D12CF0">
        <w:rPr>
          <w:color w:val="000000" w:themeColor="text1"/>
        </w:rPr>
        <w:t xml:space="preserve"> is the concentration of a given element on the left side of the diffusion couple and </w:t>
      </w:r>
      <m:oMath>
        <m:sSup>
          <m:sSupPr>
            <m:ctrlPr>
              <w:rPr>
                <w:rFonts w:ascii="Cambria Math" w:hAnsi="Cambria Math"/>
                <w:i/>
                <w:color w:val="000000" w:themeColor="text1"/>
              </w:rPr>
            </m:ctrlPr>
          </m:sSupPr>
          <m:e>
            <m:r>
              <w:rPr>
                <w:rFonts w:ascii="Cambria Math" w:hAnsi="Cambria Math"/>
                <w:color w:val="000000" w:themeColor="text1"/>
              </w:rPr>
              <m:t>C</m:t>
            </m:r>
          </m:e>
          <m:sup>
            <m:r>
              <w:rPr>
                <w:rFonts w:ascii="Cambria Math" w:hAnsi="Cambria Math"/>
                <w:color w:val="000000" w:themeColor="text1"/>
              </w:rPr>
              <m:t>R</m:t>
            </m:r>
          </m:sup>
        </m:sSup>
        <m:r>
          <w:rPr>
            <w:rFonts w:ascii="Cambria Math" w:hAnsi="Cambria Math"/>
            <w:color w:val="000000" w:themeColor="text1"/>
          </w:rPr>
          <m:t>(x,t)</m:t>
        </m:r>
      </m:oMath>
      <w:r w:rsidRPr="00D12CF0">
        <w:rPr>
          <w:color w:val="000000" w:themeColor="text1"/>
        </w:rPr>
        <w:t xml:space="preserve"> is the concentration of that element on the right side of the diffusion couple at distance </w:t>
      </w:r>
      <m:oMath>
        <m:r>
          <w:rPr>
            <w:rFonts w:ascii="Cambria Math" w:hAnsi="Cambria Math"/>
            <w:color w:val="000000" w:themeColor="text1"/>
          </w:rPr>
          <m:t>x</m:t>
        </m:r>
      </m:oMath>
      <w:r w:rsidRPr="00D12CF0">
        <w:rPr>
          <w:color w:val="000000" w:themeColor="text1"/>
        </w:rPr>
        <w:t xml:space="preserve"> from the interface at time </w:t>
      </w:r>
      <m:oMath>
        <m:r>
          <w:rPr>
            <w:rFonts w:ascii="Cambria Math" w:hAnsi="Cambria Math"/>
            <w:color w:val="000000" w:themeColor="text1"/>
          </w:rPr>
          <m:t>t</m:t>
        </m:r>
      </m:oMath>
      <w:r w:rsidRPr="00D12CF0">
        <w:rPr>
          <w:color w:val="000000" w:themeColor="text1"/>
        </w:rPr>
        <w:t xml:space="preserve">. </w:t>
      </w:r>
      <m:oMath>
        <m:sSubSup>
          <m:sSubSupPr>
            <m:ctrlPr>
              <w:rPr>
                <w:rFonts w:ascii="Cambria Math" w:hAnsi="Cambria Math"/>
                <w:i/>
                <w:color w:val="000000" w:themeColor="text1"/>
              </w:rPr>
            </m:ctrlPr>
          </m:sSubSupPr>
          <m:e>
            <m:r>
              <w:rPr>
                <w:rFonts w:ascii="Cambria Math" w:hAnsi="Cambria Math"/>
                <w:color w:val="000000" w:themeColor="text1"/>
              </w:rPr>
              <m:t>C</m:t>
            </m:r>
          </m:e>
          <m:sub>
            <m:r>
              <w:rPr>
                <w:rFonts w:ascii="Cambria Math" w:hAnsi="Cambria Math"/>
                <w:color w:val="000000" w:themeColor="text1"/>
              </w:rPr>
              <m:t>∞</m:t>
            </m:r>
          </m:sub>
          <m:sup>
            <m:r>
              <w:rPr>
                <w:rFonts w:ascii="Cambria Math" w:hAnsi="Cambria Math"/>
                <w:color w:val="000000" w:themeColor="text1"/>
              </w:rPr>
              <m:t>L</m:t>
            </m:r>
          </m:sup>
        </m:sSubSup>
      </m:oMath>
      <w:r w:rsidRPr="00D12CF0">
        <w:rPr>
          <w:color w:val="000000" w:themeColor="text1"/>
        </w:rPr>
        <w:t xml:space="preserve"> and </w:t>
      </w:r>
      <m:oMath>
        <m:sSubSup>
          <m:sSubSupPr>
            <m:ctrlPr>
              <w:rPr>
                <w:rFonts w:ascii="Cambria Math" w:hAnsi="Cambria Math"/>
                <w:i/>
                <w:color w:val="000000" w:themeColor="text1"/>
              </w:rPr>
            </m:ctrlPr>
          </m:sSubSupPr>
          <m:e>
            <m:r>
              <w:rPr>
                <w:rFonts w:ascii="Cambria Math" w:hAnsi="Cambria Math"/>
                <w:color w:val="000000" w:themeColor="text1"/>
              </w:rPr>
              <m:t>C</m:t>
            </m:r>
          </m:e>
          <m:sub>
            <m:r>
              <w:rPr>
                <w:rFonts w:ascii="Cambria Math" w:hAnsi="Cambria Math"/>
                <w:color w:val="000000" w:themeColor="text1"/>
              </w:rPr>
              <m:t>∞</m:t>
            </m:r>
          </m:sub>
          <m:sup>
            <m:r>
              <w:rPr>
                <w:rFonts w:ascii="Cambria Math" w:hAnsi="Cambria Math"/>
                <w:color w:val="000000" w:themeColor="text1"/>
              </w:rPr>
              <m:t>R</m:t>
            </m:r>
          </m:sup>
        </m:sSubSup>
      </m:oMath>
      <w:r w:rsidRPr="00D12CF0">
        <w:rPr>
          <w:color w:val="000000" w:themeColor="text1"/>
        </w:rPr>
        <w:t xml:space="preserve"> represent the concentration at an infinite distance from the boundary on the left or right side of the diffusion couple. </w:t>
      </w:r>
      <m:oMath>
        <m:sSup>
          <m:sSupPr>
            <m:ctrlPr>
              <w:rPr>
                <w:rFonts w:ascii="Cambria Math" w:hAnsi="Cambria Math"/>
                <w:i/>
                <w:color w:val="000000" w:themeColor="text1"/>
              </w:rPr>
            </m:ctrlPr>
          </m:sSupPr>
          <m:e>
            <m:r>
              <w:rPr>
                <w:rFonts w:ascii="Cambria Math" w:hAnsi="Cambria Math"/>
                <w:color w:val="000000" w:themeColor="text1"/>
              </w:rPr>
              <m:t>D</m:t>
            </m:r>
          </m:e>
          <m:sup>
            <m:r>
              <w:rPr>
                <w:rFonts w:ascii="Cambria Math" w:hAnsi="Cambria Math"/>
                <w:color w:val="000000" w:themeColor="text1"/>
              </w:rPr>
              <m:t>L</m:t>
            </m:r>
          </m:sup>
        </m:sSup>
      </m:oMath>
      <w:r w:rsidRPr="00D12CF0">
        <w:rPr>
          <w:color w:val="000000" w:themeColor="text1"/>
        </w:rPr>
        <w:t xml:space="preserve"> and </w:t>
      </w:r>
      <m:oMath>
        <m:sSup>
          <m:sSupPr>
            <m:ctrlPr>
              <w:rPr>
                <w:rFonts w:ascii="Cambria Math" w:hAnsi="Cambria Math"/>
                <w:i/>
                <w:color w:val="000000" w:themeColor="text1"/>
              </w:rPr>
            </m:ctrlPr>
          </m:sSupPr>
          <m:e>
            <m:r>
              <w:rPr>
                <w:rFonts w:ascii="Cambria Math" w:hAnsi="Cambria Math"/>
                <w:color w:val="000000" w:themeColor="text1"/>
              </w:rPr>
              <m:t>D</m:t>
            </m:r>
          </m:e>
          <m:sup>
            <m:r>
              <w:rPr>
                <w:rFonts w:ascii="Cambria Math" w:hAnsi="Cambria Math"/>
                <w:color w:val="000000" w:themeColor="text1"/>
              </w:rPr>
              <m:t>R</m:t>
            </m:r>
          </m:sup>
        </m:sSup>
      </m:oMath>
      <w:r w:rsidRPr="00D12CF0">
        <w:rPr>
          <w:color w:val="000000" w:themeColor="text1"/>
        </w:rPr>
        <w:t xml:space="preserve"> represent the effective diffusivities of the element on the left or right side of the diffusion couple. The partition coefficient </w:t>
      </w:r>
      <m:oMath>
        <m:r>
          <w:rPr>
            <w:rFonts w:ascii="Cambria Math" w:hAnsi="Cambria Math"/>
            <w:color w:val="000000" w:themeColor="text1"/>
          </w:rPr>
          <m:t>K</m:t>
        </m:r>
      </m:oMath>
      <w:r w:rsidRPr="00D12CF0">
        <w:rPr>
          <w:color w:val="000000" w:themeColor="text1"/>
        </w:rPr>
        <w:t xml:space="preserve"> is the equilibrium concentration variation across the interface </w:t>
      </w:r>
      <m:oMath>
        <m:r>
          <w:rPr>
            <w:rFonts w:ascii="Cambria Math" w:hAnsi="Cambria Math"/>
            <w:color w:val="000000" w:themeColor="text1"/>
          </w:rPr>
          <m:t>(</m:t>
        </m:r>
        <m:f>
          <m:fPr>
            <m:type m:val="lin"/>
            <m:ctrlPr>
              <w:rPr>
                <w:rFonts w:ascii="Cambria Math" w:hAnsi="Cambria Math"/>
                <w:i/>
                <w:color w:val="000000" w:themeColor="text1"/>
              </w:rPr>
            </m:ctrlPr>
          </m:fPr>
          <m:num>
            <m:sSubSup>
              <m:sSubSupPr>
                <m:ctrlPr>
                  <w:rPr>
                    <w:rFonts w:ascii="Cambria Math" w:hAnsi="Cambria Math"/>
                    <w:i/>
                    <w:color w:val="000000" w:themeColor="text1"/>
                  </w:rPr>
                </m:ctrlPr>
              </m:sSubSupPr>
              <m:e>
                <m:r>
                  <w:rPr>
                    <w:rFonts w:ascii="Cambria Math" w:hAnsi="Cambria Math"/>
                    <w:color w:val="000000" w:themeColor="text1"/>
                  </w:rPr>
                  <m:t>C</m:t>
                </m:r>
              </m:e>
              <m:sub>
                <m:r>
                  <w:rPr>
                    <w:rFonts w:ascii="Cambria Math" w:hAnsi="Cambria Math"/>
                    <w:color w:val="000000" w:themeColor="text1"/>
                  </w:rPr>
                  <m:t>interface</m:t>
                </m:r>
              </m:sub>
              <m:sup>
                <m:r>
                  <w:rPr>
                    <w:rFonts w:ascii="Cambria Math" w:hAnsi="Cambria Math"/>
                    <w:color w:val="000000" w:themeColor="text1"/>
                  </w:rPr>
                  <m:t>R</m:t>
                </m:r>
              </m:sup>
            </m:sSubSup>
          </m:num>
          <m:den>
            <m:sSubSup>
              <m:sSubSupPr>
                <m:ctrlPr>
                  <w:rPr>
                    <w:rFonts w:ascii="Cambria Math" w:hAnsi="Cambria Math"/>
                    <w:i/>
                    <w:color w:val="000000" w:themeColor="text1"/>
                  </w:rPr>
                </m:ctrlPr>
              </m:sSubSupPr>
              <m:e>
                <m:r>
                  <w:rPr>
                    <w:rFonts w:ascii="Cambria Math" w:hAnsi="Cambria Math"/>
                    <w:color w:val="000000" w:themeColor="text1"/>
                  </w:rPr>
                  <m:t>C</m:t>
                </m:r>
              </m:e>
              <m:sub>
                <m:r>
                  <w:rPr>
                    <w:rFonts w:ascii="Cambria Math" w:hAnsi="Cambria Math"/>
                    <w:color w:val="000000" w:themeColor="text1"/>
                  </w:rPr>
                  <m:t>interface</m:t>
                </m:r>
              </m:sub>
              <m:sup>
                <m:r>
                  <w:rPr>
                    <w:rFonts w:ascii="Cambria Math" w:hAnsi="Cambria Math"/>
                    <w:color w:val="000000" w:themeColor="text1"/>
                  </w:rPr>
                  <m:t>L</m:t>
                </m:r>
              </m:sup>
            </m:sSubSup>
          </m:den>
        </m:f>
        <m:r>
          <w:rPr>
            <w:rFonts w:ascii="Cambria Math" w:hAnsi="Cambria Math"/>
            <w:color w:val="000000" w:themeColor="text1"/>
          </w:rPr>
          <m:t>)</m:t>
        </m:r>
      </m:oMath>
      <w:r w:rsidRPr="00D12CF0">
        <w:rPr>
          <w:color w:val="000000" w:themeColor="text1"/>
        </w:rPr>
        <w:t xml:space="preserve"> and variable </w:t>
      </w:r>
      <m:oMath>
        <m:r>
          <w:rPr>
            <w:rFonts w:ascii="Cambria Math" w:hAnsi="Cambria Math"/>
            <w:color w:val="000000" w:themeColor="text1"/>
          </w:rPr>
          <m:t>γ</m:t>
        </m:r>
      </m:oMath>
      <w:r w:rsidRPr="00D12CF0">
        <w:rPr>
          <w:color w:val="000000" w:themeColor="text1"/>
        </w:rPr>
        <w:t xml:space="preserve"> incorporates the phase densities and diffusivities </w:t>
      </w:r>
      <m:oMath>
        <m:sSup>
          <m:sSupPr>
            <m:ctrlPr>
              <w:rPr>
                <w:rFonts w:ascii="Cambria Math" w:hAnsi="Cambria Math"/>
                <w:i/>
                <w:color w:val="000000" w:themeColor="text1"/>
              </w:rPr>
            </m:ctrlPr>
          </m:sSupPr>
          <m:e>
            <m:r>
              <w:rPr>
                <w:rFonts w:ascii="Cambria Math" w:hAnsi="Cambria Math"/>
                <w:color w:val="000000" w:themeColor="text1"/>
              </w:rPr>
              <m:t>((</m:t>
            </m:r>
            <m:f>
              <m:fPr>
                <m:type m:val="lin"/>
                <m:ctrlPr>
                  <w:rPr>
                    <w:rFonts w:ascii="Cambria Math" w:hAnsi="Cambria Math"/>
                    <w:i/>
                    <w:color w:val="000000" w:themeColor="text1"/>
                  </w:rPr>
                </m:ctrlPr>
              </m:fPr>
              <m:num>
                <m:sSup>
                  <m:sSupPr>
                    <m:ctrlPr>
                      <w:rPr>
                        <w:rFonts w:ascii="Cambria Math" w:hAnsi="Cambria Math"/>
                        <w:i/>
                        <w:color w:val="000000" w:themeColor="text1"/>
                      </w:rPr>
                    </m:ctrlPr>
                  </m:sSupPr>
                  <m:e>
                    <m:r>
                      <w:rPr>
                        <w:rFonts w:ascii="Cambria Math" w:hAnsi="Cambria Math"/>
                        <w:color w:val="000000" w:themeColor="text1"/>
                      </w:rPr>
                      <m:t>ρ</m:t>
                    </m:r>
                  </m:e>
                  <m:sup>
                    <m:r>
                      <w:rPr>
                        <w:rFonts w:ascii="Cambria Math" w:hAnsi="Cambria Math"/>
                        <w:color w:val="000000" w:themeColor="text1"/>
                      </w:rPr>
                      <m:t>R</m:t>
                    </m:r>
                  </m:sup>
                </m:sSup>
              </m:num>
              <m:den>
                <m:sSup>
                  <m:sSupPr>
                    <m:ctrlPr>
                      <w:rPr>
                        <w:rFonts w:ascii="Cambria Math" w:hAnsi="Cambria Math"/>
                        <w:i/>
                        <w:color w:val="000000" w:themeColor="text1"/>
                      </w:rPr>
                    </m:ctrlPr>
                  </m:sSupPr>
                  <m:e>
                    <m:r>
                      <w:rPr>
                        <w:rFonts w:ascii="Cambria Math" w:hAnsi="Cambria Math"/>
                        <w:color w:val="000000" w:themeColor="text1"/>
                      </w:rPr>
                      <m:t>ρ</m:t>
                    </m:r>
                  </m:e>
                  <m:sup>
                    <m:r>
                      <w:rPr>
                        <w:rFonts w:ascii="Cambria Math" w:hAnsi="Cambria Math"/>
                        <w:color w:val="000000" w:themeColor="text1"/>
                      </w:rPr>
                      <m:t>L</m:t>
                    </m:r>
                  </m:sup>
                </m:sSup>
              </m:den>
            </m:f>
            <m:r>
              <w:rPr>
                <w:rFonts w:ascii="Cambria Math" w:hAnsi="Cambria Math"/>
                <w:color w:val="000000" w:themeColor="text1"/>
              </w:rPr>
              <m:t>)(</m:t>
            </m:r>
            <m:f>
              <m:fPr>
                <m:type m:val="lin"/>
                <m:ctrlPr>
                  <w:rPr>
                    <w:rFonts w:ascii="Cambria Math" w:hAnsi="Cambria Math"/>
                    <w:i/>
                    <w:color w:val="000000" w:themeColor="text1"/>
                  </w:rPr>
                </m:ctrlPr>
              </m:fPr>
              <m:num>
                <m:sSup>
                  <m:sSupPr>
                    <m:ctrlPr>
                      <w:rPr>
                        <w:rFonts w:ascii="Cambria Math" w:hAnsi="Cambria Math"/>
                        <w:i/>
                        <w:color w:val="000000" w:themeColor="text1"/>
                      </w:rPr>
                    </m:ctrlPr>
                  </m:sSupPr>
                  <m:e>
                    <m:r>
                      <w:rPr>
                        <w:rFonts w:ascii="Cambria Math" w:hAnsi="Cambria Math"/>
                        <w:color w:val="000000" w:themeColor="text1"/>
                      </w:rPr>
                      <m:t>D</m:t>
                    </m:r>
                  </m:e>
                  <m:sup>
                    <m:r>
                      <w:rPr>
                        <w:rFonts w:ascii="Cambria Math" w:hAnsi="Cambria Math"/>
                        <w:color w:val="000000" w:themeColor="text1"/>
                      </w:rPr>
                      <m:t>R</m:t>
                    </m:r>
                  </m:sup>
                </m:sSup>
              </m:num>
              <m:den>
                <m:sSup>
                  <m:sSupPr>
                    <m:ctrlPr>
                      <w:rPr>
                        <w:rFonts w:ascii="Cambria Math" w:hAnsi="Cambria Math"/>
                        <w:i/>
                        <w:color w:val="000000" w:themeColor="text1"/>
                      </w:rPr>
                    </m:ctrlPr>
                  </m:sSupPr>
                  <m:e>
                    <m:r>
                      <w:rPr>
                        <w:rFonts w:ascii="Cambria Math" w:hAnsi="Cambria Math"/>
                        <w:color w:val="000000" w:themeColor="text1"/>
                      </w:rPr>
                      <m:t>D</m:t>
                    </m:r>
                  </m:e>
                  <m:sup>
                    <m:r>
                      <w:rPr>
                        <w:rFonts w:ascii="Cambria Math" w:hAnsi="Cambria Math"/>
                        <w:color w:val="000000" w:themeColor="text1"/>
                      </w:rPr>
                      <m:t>L</m:t>
                    </m:r>
                  </m:sup>
                </m:sSup>
              </m:den>
            </m:f>
            <m:r>
              <w:rPr>
                <w:rFonts w:ascii="Cambria Math" w:hAnsi="Cambria Math"/>
                <w:color w:val="000000" w:themeColor="text1"/>
              </w:rPr>
              <m:t>)</m:t>
            </m:r>
          </m:e>
          <m:sup>
            <m:f>
              <m:fPr>
                <m:type m:val="lin"/>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2</m:t>
                </m:r>
              </m:den>
            </m:f>
          </m:sup>
        </m:sSup>
        <m:r>
          <w:rPr>
            <w:rFonts w:ascii="Cambria Math" w:hAnsi="Cambria Math"/>
            <w:color w:val="000000" w:themeColor="text1"/>
          </w:rPr>
          <m:t xml:space="preserve"> )</m:t>
        </m:r>
      </m:oMath>
      <w:r w:rsidRPr="00D12CF0">
        <w:rPr>
          <w:color w:val="000000" w:themeColor="text1"/>
        </w:rPr>
        <w:t xml:space="preserve">. Material densities </w:t>
      </w:r>
      <m:oMath>
        <m:sSup>
          <m:sSupPr>
            <m:ctrlPr>
              <w:rPr>
                <w:rFonts w:ascii="Cambria Math" w:hAnsi="Cambria Math"/>
                <w:i/>
                <w:color w:val="000000" w:themeColor="text1"/>
              </w:rPr>
            </m:ctrlPr>
          </m:sSupPr>
          <m:e>
            <m:r>
              <w:rPr>
                <w:rFonts w:ascii="Cambria Math" w:hAnsi="Cambria Math"/>
                <w:color w:val="000000" w:themeColor="text1"/>
              </w:rPr>
              <m:t>ρ</m:t>
            </m:r>
          </m:e>
          <m:sup>
            <m:r>
              <w:rPr>
                <w:rFonts w:ascii="Cambria Math" w:hAnsi="Cambria Math"/>
                <w:color w:val="000000" w:themeColor="text1"/>
              </w:rPr>
              <m:t>R</m:t>
            </m:r>
          </m:sup>
        </m:sSup>
      </m:oMath>
      <w:r w:rsidRPr="00D12CF0">
        <w:rPr>
          <w:color w:val="000000" w:themeColor="text1"/>
        </w:rPr>
        <w:t xml:space="preserve"> and </w:t>
      </w:r>
      <m:oMath>
        <m:sSup>
          <m:sSupPr>
            <m:ctrlPr>
              <w:rPr>
                <w:rFonts w:ascii="Cambria Math" w:hAnsi="Cambria Math"/>
                <w:i/>
                <w:color w:val="000000" w:themeColor="text1"/>
              </w:rPr>
            </m:ctrlPr>
          </m:sSupPr>
          <m:e>
            <m:r>
              <w:rPr>
                <w:rFonts w:ascii="Cambria Math" w:hAnsi="Cambria Math"/>
                <w:color w:val="000000" w:themeColor="text1"/>
              </w:rPr>
              <m:t>ρ</m:t>
            </m:r>
          </m:e>
          <m:sup>
            <m:r>
              <w:rPr>
                <w:rFonts w:ascii="Cambria Math" w:hAnsi="Cambria Math"/>
                <w:color w:val="000000" w:themeColor="text1"/>
              </w:rPr>
              <m:t>L</m:t>
            </m:r>
          </m:sup>
        </m:sSup>
      </m:oMath>
      <w:r w:rsidRPr="00D12CF0">
        <w:rPr>
          <w:color w:val="000000" w:themeColor="text1"/>
        </w:rPr>
        <w:t xml:space="preserve"> at the experimental P-T conditions were estimated using the third-order Birch-Murnaghan </w:t>
      </w:r>
      <w:r w:rsidRPr="00D12CF0">
        <w:rPr>
          <w:color w:val="000000" w:themeColor="text1"/>
        </w:rPr>
        <w:lastRenderedPageBreak/>
        <w:t>equation of state and compressibility parameters for Fo90 olivine (Liu and L</w:t>
      </w:r>
      <w:r w:rsidR="00430BB7" w:rsidRPr="00D12CF0">
        <w:rPr>
          <w:color w:val="000000" w:themeColor="text1"/>
        </w:rPr>
        <w:t>i, 20</w:t>
      </w:r>
      <w:r w:rsidRPr="00D12CF0">
        <w:rPr>
          <w:color w:val="000000" w:themeColor="text1"/>
        </w:rPr>
        <w:t xml:space="preserve">06) and hedenbergite (Hu </w:t>
      </w:r>
      <w:r w:rsidR="008F5CFC" w:rsidRPr="00D12CF0">
        <w:rPr>
          <w:color w:val="000000" w:themeColor="text1"/>
        </w:rPr>
        <w:t>et al., 20</w:t>
      </w:r>
      <w:r w:rsidRPr="00D12CF0">
        <w:rPr>
          <w:color w:val="000000" w:themeColor="text1"/>
        </w:rPr>
        <w:t>15). For both experiments, the calculated densities of Fo90 olivine and hedenbergite are ~3449 kg/m</w:t>
      </w:r>
      <w:r w:rsidRPr="00D12CF0">
        <w:rPr>
          <w:color w:val="000000" w:themeColor="text1"/>
          <w:vertAlign w:val="superscript"/>
        </w:rPr>
        <w:t>3</w:t>
      </w:r>
      <w:r w:rsidRPr="00D12CF0">
        <w:rPr>
          <w:color w:val="000000" w:themeColor="text1"/>
        </w:rPr>
        <w:t xml:space="preserve"> and ~3626 kg/m</w:t>
      </w:r>
      <w:r w:rsidRPr="00D12CF0">
        <w:rPr>
          <w:color w:val="000000" w:themeColor="text1"/>
          <w:vertAlign w:val="superscript"/>
        </w:rPr>
        <w:t>3</w:t>
      </w:r>
      <w:r w:rsidRPr="00D12CF0">
        <w:rPr>
          <w:color w:val="000000" w:themeColor="text1"/>
        </w:rPr>
        <w:t xml:space="preserve"> respectively. The coupled diffusion model assumes that the effective diffusivities differ in the mat</w:t>
      </w:r>
      <w:r w:rsidRPr="00D12CF0">
        <w:t>erials on either side of the reaction interface but are constant with time. The effective diffusivities were inverted from the compositional observations by nonlinear least squares regression and are presented in the Solid-State Diffusion subsection of the main text.</w:t>
      </w:r>
    </w:p>
    <w:p w14:paraId="0AA4BAB2" w14:textId="1C18C9D8" w:rsidR="00F6138D" w:rsidRPr="00235960" w:rsidRDefault="00F6138D" w:rsidP="00235960">
      <w:pPr>
        <w:spacing w:line="480" w:lineRule="auto"/>
        <w:rPr>
          <w:b/>
          <w:bCs/>
        </w:rPr>
      </w:pPr>
      <w:r w:rsidRPr="00235960">
        <w:rPr>
          <w:b/>
          <w:bCs/>
        </w:rPr>
        <w:t>Diffusion Through Silicate Melt</w:t>
      </w:r>
      <w:r w:rsidR="00426B5A" w:rsidRPr="00235960">
        <w:rPr>
          <w:b/>
          <w:bCs/>
        </w:rPr>
        <w:t>s</w:t>
      </w:r>
    </w:p>
    <w:p w14:paraId="6C9AF390" w14:textId="5E906918" w:rsidR="00F6138D" w:rsidRPr="00D12CF0" w:rsidRDefault="00F6138D" w:rsidP="00D12CF0">
      <w:pPr>
        <w:spacing w:line="480" w:lineRule="auto"/>
        <w:ind w:firstLine="720"/>
        <w:rPr>
          <w:color w:val="000000" w:themeColor="text1"/>
        </w:rPr>
      </w:pPr>
      <w:r w:rsidRPr="00D12CF0">
        <w:t xml:space="preserve">Chemical profiles from MRx#9 were modeled using an analytical solution for one-dimensional diffusion-controlled dissolution into a semi-infinite melt </w:t>
      </w:r>
      <w:r w:rsidRPr="00D12CF0">
        <w:rPr>
          <w:color w:val="000000" w:themeColor="text1"/>
        </w:rPr>
        <w:t xml:space="preserve">reservoir (e.g., Zhang </w:t>
      </w:r>
      <w:r w:rsidR="008F5CFC" w:rsidRPr="00D12CF0">
        <w:rPr>
          <w:color w:val="000000" w:themeColor="text1"/>
        </w:rPr>
        <w:t>et al., 19</w:t>
      </w:r>
      <w:r w:rsidRPr="00D12CF0">
        <w:rPr>
          <w:color w:val="000000" w:themeColor="text1"/>
        </w:rPr>
        <w:t>89; Van Orman and Grove</w:t>
      </w:r>
      <w:r w:rsidR="00EC6F80" w:rsidRPr="00D12CF0">
        <w:rPr>
          <w:color w:val="000000" w:themeColor="text1"/>
        </w:rPr>
        <w:t>,</w:t>
      </w:r>
      <w:r w:rsidRPr="00D12CF0">
        <w:rPr>
          <w:color w:val="000000" w:themeColor="text1"/>
        </w:rPr>
        <w:t xml:space="preserve"> 2000) (</w:t>
      </w:r>
      <w:r w:rsidRPr="00F84446">
        <w:rPr>
          <w:b/>
          <w:bCs/>
          <w:color w:val="000000" w:themeColor="text1"/>
        </w:rPr>
        <w:t xml:space="preserve">Figure </w:t>
      </w:r>
      <w:r w:rsidR="00EC6F80" w:rsidRPr="00F84446">
        <w:rPr>
          <w:b/>
          <w:bCs/>
          <w:color w:val="000000" w:themeColor="text1"/>
        </w:rPr>
        <w:t>1.</w:t>
      </w:r>
      <w:r w:rsidRPr="00F84446">
        <w:rPr>
          <w:b/>
          <w:bCs/>
          <w:color w:val="000000" w:themeColor="text1"/>
        </w:rPr>
        <w:t>10</w:t>
      </w:r>
      <w:r w:rsidRPr="00D12CF0">
        <w:rPr>
          <w:color w:val="000000" w:themeColor="text1"/>
        </w:rPr>
        <w:t>). The one-dimensional diffusion-controlled dissolution model assumes that the far field and interface melt compositions are constant throughout the dissolution process. Effective binary diffusion coefficients (EBDC) for MgO, FeO, Al</w:t>
      </w:r>
      <w:r w:rsidRPr="00D12CF0">
        <w:rPr>
          <w:color w:val="000000" w:themeColor="text1"/>
          <w:vertAlign w:val="subscript"/>
        </w:rPr>
        <w:t>2</w:t>
      </w:r>
      <w:r w:rsidRPr="00D12CF0">
        <w:rPr>
          <w:color w:val="000000" w:themeColor="text1"/>
        </w:rPr>
        <w:t>O</w:t>
      </w:r>
      <w:r w:rsidRPr="00D12CF0">
        <w:rPr>
          <w:color w:val="000000" w:themeColor="text1"/>
          <w:vertAlign w:val="subscript"/>
        </w:rPr>
        <w:t>3</w:t>
      </w:r>
      <w:r w:rsidRPr="00D12CF0">
        <w:rPr>
          <w:color w:val="000000" w:themeColor="text1"/>
        </w:rPr>
        <w:t>, and TiO</w:t>
      </w:r>
      <w:r w:rsidRPr="00D12CF0">
        <w:rPr>
          <w:color w:val="000000" w:themeColor="text1"/>
          <w:vertAlign w:val="subscript"/>
        </w:rPr>
        <w:t>2</w:t>
      </w:r>
      <w:r w:rsidRPr="00D12CF0">
        <w:rPr>
          <w:color w:val="000000" w:themeColor="text1"/>
        </w:rPr>
        <w:t xml:space="preserve"> for MRx#9 were modeled using Eq. </w:t>
      </w:r>
      <w:r w:rsidR="00EC6F80" w:rsidRPr="00D12CF0">
        <w:rPr>
          <w:color w:val="000000" w:themeColor="text1"/>
        </w:rPr>
        <w:t>A</w:t>
      </w:r>
      <w:r w:rsidR="003A229E" w:rsidRPr="00D12CF0">
        <w:rPr>
          <w:color w:val="000000" w:themeColor="text1"/>
        </w:rPr>
        <w:t>2</w:t>
      </w:r>
      <w:r w:rsidRPr="00D12CF0">
        <w:rPr>
          <w:color w:val="000000" w:themeColor="text1"/>
        </w:rPr>
        <w:t xml:space="preserve"> (also Eq. 3 in Van Orman and Grove, 2000):</w:t>
      </w:r>
    </w:p>
    <w:p w14:paraId="0F7EBE4C" w14:textId="638A0174" w:rsidR="00F6138D" w:rsidRPr="00D12CF0" w:rsidRDefault="00F6138D" w:rsidP="002D2CF9">
      <w:pPr>
        <w:spacing w:line="480" w:lineRule="auto"/>
        <w:jc w:val="right"/>
        <w:rPr>
          <w:color w:val="000000" w:themeColor="text1"/>
        </w:rPr>
      </w:pPr>
      <m:oMath>
        <m:r>
          <w:rPr>
            <w:rFonts w:ascii="Cambria Math" w:hAnsi="Cambria Math"/>
            <w:color w:val="000000" w:themeColor="text1"/>
          </w:rPr>
          <m:t>C</m:t>
        </m:r>
        <m:d>
          <m:dPr>
            <m:ctrlPr>
              <w:rPr>
                <w:rFonts w:ascii="Cambria Math" w:hAnsi="Cambria Math"/>
                <w:color w:val="000000" w:themeColor="text1"/>
              </w:rPr>
            </m:ctrlPr>
          </m:dPr>
          <m:e>
            <m:r>
              <w:rPr>
                <w:rFonts w:ascii="Cambria Math" w:hAnsi="Cambria Math"/>
                <w:color w:val="000000" w:themeColor="text1"/>
              </w:rPr>
              <m:t>x</m:t>
            </m:r>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C</m:t>
            </m:r>
          </m:e>
          <m:sub>
            <m:r>
              <m:rPr>
                <m:sty m:val="p"/>
              </m:rPr>
              <w:rPr>
                <w:rFonts w:ascii="Cambria Math" w:hAnsi="Cambria Math"/>
                <w:color w:val="000000" w:themeColor="text1"/>
              </w:rPr>
              <m:t>∞</m:t>
            </m:r>
          </m:sub>
        </m:sSub>
        <m:r>
          <m:rPr>
            <m:sty m:val="p"/>
          </m:rP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C</m:t>
                    </m:r>
                  </m:e>
                  <m:sub>
                    <m:r>
                      <m:rPr>
                        <m:sty m:val="p"/>
                      </m:rPr>
                      <w:rPr>
                        <w:rFonts w:ascii="Cambria Math" w:hAnsi="Cambria Math"/>
                        <w:color w:val="000000" w:themeColor="text1"/>
                      </w:rPr>
                      <m:t>0</m:t>
                    </m:r>
                  </m:sub>
                </m:sSub>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C</m:t>
                    </m:r>
                  </m:e>
                  <m:sub>
                    <m:r>
                      <m:rPr>
                        <m:sty m:val="p"/>
                      </m:rPr>
                      <w:rPr>
                        <w:rFonts w:ascii="Cambria Math" w:hAnsi="Cambria Math"/>
                        <w:color w:val="000000" w:themeColor="text1"/>
                      </w:rPr>
                      <m:t>∞</m:t>
                    </m:r>
                  </m:sub>
                </m:sSub>
              </m:e>
            </m:d>
          </m:num>
          <m:den>
            <m:r>
              <w:rPr>
                <w:rFonts w:ascii="Cambria Math" w:hAnsi="Cambria Math"/>
                <w:color w:val="000000" w:themeColor="text1"/>
              </w:rPr>
              <m:t>erfc</m:t>
            </m:r>
            <m:d>
              <m:dPr>
                <m:ctrlPr>
                  <w:rPr>
                    <w:rFonts w:ascii="Cambria Math" w:hAnsi="Cambria Math"/>
                    <w:color w:val="000000" w:themeColor="text1"/>
                  </w:rPr>
                </m:ctrlPr>
              </m:dPr>
              <m:e>
                <m:r>
                  <m:rPr>
                    <m:sty m:val="p"/>
                  </m:rPr>
                  <w:rPr>
                    <w:rFonts w:ascii="Cambria Math" w:hAnsi="Cambria Math"/>
                    <w:color w:val="000000" w:themeColor="text1"/>
                  </w:rPr>
                  <m:t>-</m:t>
                </m:r>
                <m:r>
                  <w:rPr>
                    <w:rFonts w:ascii="Cambria Math" w:hAnsi="Cambria Math"/>
                    <w:color w:val="000000" w:themeColor="text1"/>
                  </w:rPr>
                  <m:t>a</m:t>
                </m:r>
              </m:e>
            </m:d>
          </m:den>
        </m:f>
        <m:r>
          <m:rPr>
            <m:sty m:val="p"/>
          </m:rPr>
          <w:rPr>
            <w:rFonts w:ascii="Cambria Math" w:hAnsi="Cambria Math"/>
            <w:color w:val="000000" w:themeColor="text1"/>
          </w:rPr>
          <m:t>∙</m:t>
        </m:r>
        <m:r>
          <w:rPr>
            <w:rFonts w:ascii="Cambria Math" w:hAnsi="Cambria Math"/>
            <w:color w:val="000000" w:themeColor="text1"/>
          </w:rPr>
          <m:t>erfc</m:t>
        </m:r>
        <m:r>
          <m:rPr>
            <m:sty m:val="p"/>
          </m:rP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x</m:t>
            </m:r>
          </m:num>
          <m:den>
            <m:r>
              <m:rPr>
                <m:sty m:val="p"/>
              </m:rPr>
              <w:rPr>
                <w:rFonts w:ascii="Cambria Math" w:hAnsi="Cambria Math"/>
                <w:color w:val="000000" w:themeColor="text1"/>
              </w:rPr>
              <m:t>2</m:t>
            </m:r>
            <m:rad>
              <m:radPr>
                <m:degHide m:val="1"/>
                <m:ctrlPr>
                  <w:rPr>
                    <w:rFonts w:ascii="Cambria Math" w:hAnsi="Cambria Math"/>
                    <w:color w:val="000000" w:themeColor="text1"/>
                  </w:rPr>
                </m:ctrlPr>
              </m:radPr>
              <m:deg/>
              <m:e>
                <m:r>
                  <w:rPr>
                    <w:rFonts w:ascii="Cambria Math" w:hAnsi="Cambria Math"/>
                    <w:color w:val="000000" w:themeColor="text1"/>
                  </w:rPr>
                  <m:t>Dt</m:t>
                </m:r>
              </m:e>
            </m:rad>
          </m:den>
        </m:f>
        <m:r>
          <m:rPr>
            <m:sty m:val="p"/>
          </m:rPr>
          <w:rPr>
            <w:rFonts w:ascii="Cambria Math" w:hAnsi="Cambria Math"/>
            <w:color w:val="000000" w:themeColor="text1"/>
          </w:rPr>
          <m:t>-</m:t>
        </m:r>
        <m:r>
          <w:rPr>
            <w:rFonts w:ascii="Cambria Math" w:hAnsi="Cambria Math"/>
            <w:color w:val="000000" w:themeColor="text1"/>
          </w:rPr>
          <m:t>a</m:t>
        </m:r>
        <m:r>
          <m:rPr>
            <m:sty m:val="p"/>
          </m:rPr>
          <w:rPr>
            <w:rFonts w:ascii="Cambria Math" w:hAnsi="Cambria Math"/>
            <w:color w:val="000000" w:themeColor="text1"/>
          </w:rPr>
          <m:t>)</m:t>
        </m:r>
      </m:oMath>
      <w:r w:rsidRPr="00D12CF0">
        <w:rPr>
          <w:color w:val="000000" w:themeColor="text1"/>
        </w:rPr>
        <w:tab/>
      </w:r>
      <w:r w:rsidRPr="00D12CF0">
        <w:rPr>
          <w:color w:val="000000" w:themeColor="text1"/>
        </w:rPr>
        <w:tab/>
      </w:r>
      <w:r w:rsidRPr="00D12CF0">
        <w:rPr>
          <w:color w:val="000000" w:themeColor="text1"/>
        </w:rPr>
        <w:tab/>
        <w:t>(</w:t>
      </w:r>
      <w:r w:rsidR="00982D65" w:rsidRPr="00D12CF0">
        <w:rPr>
          <w:color w:val="000000" w:themeColor="text1"/>
        </w:rPr>
        <w:t>A</w:t>
      </w:r>
      <w:r w:rsidRPr="00D12CF0">
        <w:rPr>
          <w:color w:val="000000" w:themeColor="text1"/>
        </w:rPr>
        <w:t>2)</w:t>
      </w:r>
    </w:p>
    <w:p w14:paraId="0C571B24" w14:textId="3C10FF5F" w:rsidR="00F6138D" w:rsidRPr="00D12CF0" w:rsidRDefault="00F6138D" w:rsidP="00D12CF0">
      <w:pPr>
        <w:spacing w:line="480" w:lineRule="auto"/>
        <w:rPr>
          <w:color w:val="000000" w:themeColor="text1"/>
        </w:rPr>
      </w:pPr>
      <w:r w:rsidRPr="00D12CF0">
        <w:rPr>
          <w:color w:val="000000" w:themeColor="text1"/>
        </w:rPr>
        <w:t xml:space="preserve">where </w:t>
      </w:r>
      <m:oMath>
        <m:sSub>
          <m:sSubPr>
            <m:ctrlPr>
              <w:rPr>
                <w:rFonts w:ascii="Cambria Math" w:hAnsi="Cambria Math"/>
                <w:i/>
                <w:color w:val="000000" w:themeColor="text1"/>
              </w:rPr>
            </m:ctrlPr>
          </m:sSubPr>
          <m:e>
            <m:r>
              <w:rPr>
                <w:rFonts w:ascii="Cambria Math" w:hAnsi="Cambria Math"/>
                <w:color w:val="000000" w:themeColor="text1"/>
              </w:rPr>
              <m:t>C</m:t>
            </m:r>
          </m:e>
          <m:sub>
            <m:r>
              <w:rPr>
                <w:rFonts w:ascii="Cambria Math" w:hAnsi="Cambria Math"/>
                <w:color w:val="000000" w:themeColor="text1"/>
              </w:rPr>
              <m:t>∞</m:t>
            </m:r>
          </m:sub>
        </m:sSub>
      </m:oMath>
      <w:r w:rsidRPr="00D12CF0">
        <w:rPr>
          <w:color w:val="000000" w:themeColor="text1"/>
        </w:rPr>
        <w:t xml:space="preserve"> is the concentration of a given element at infinite distance from the interface, </w:t>
      </w:r>
      <m:oMath>
        <m:sSub>
          <m:sSubPr>
            <m:ctrlPr>
              <w:rPr>
                <w:rFonts w:ascii="Cambria Math" w:hAnsi="Cambria Math"/>
                <w:color w:val="000000" w:themeColor="text1"/>
              </w:rPr>
            </m:ctrlPr>
          </m:sSubPr>
          <m:e>
            <m:r>
              <w:rPr>
                <w:rFonts w:ascii="Cambria Math" w:hAnsi="Cambria Math"/>
                <w:color w:val="000000" w:themeColor="text1"/>
              </w:rPr>
              <m:t>C</m:t>
            </m:r>
          </m:e>
          <m:sub>
            <m:r>
              <m:rPr>
                <m:sty m:val="p"/>
              </m:rPr>
              <w:rPr>
                <w:rFonts w:ascii="Cambria Math" w:hAnsi="Cambria Math"/>
                <w:color w:val="000000" w:themeColor="text1"/>
              </w:rPr>
              <m:t>0</m:t>
            </m:r>
          </m:sub>
        </m:sSub>
      </m:oMath>
      <w:r w:rsidRPr="00D12CF0">
        <w:rPr>
          <w:color w:val="000000" w:themeColor="text1"/>
        </w:rPr>
        <w:t xml:space="preserve"> is the concentration in the melt at the interface, </w:t>
      </w:r>
      <m:oMath>
        <m:r>
          <w:rPr>
            <w:rFonts w:ascii="Cambria Math" w:hAnsi="Cambria Math"/>
            <w:color w:val="000000" w:themeColor="text1"/>
          </w:rPr>
          <m:t>x</m:t>
        </m:r>
      </m:oMath>
      <w:r w:rsidRPr="00D12CF0">
        <w:rPr>
          <w:color w:val="000000" w:themeColor="text1"/>
        </w:rPr>
        <w:t xml:space="preserve"> is the distance from the interface, </w:t>
      </w:r>
      <m:oMath>
        <m:r>
          <w:rPr>
            <w:rFonts w:ascii="Cambria Math" w:hAnsi="Cambria Math"/>
            <w:color w:val="000000" w:themeColor="text1"/>
          </w:rPr>
          <m:t>t</m:t>
        </m:r>
      </m:oMath>
      <w:r w:rsidRPr="00D12CF0">
        <w:rPr>
          <w:color w:val="000000" w:themeColor="text1"/>
        </w:rPr>
        <w:t xml:space="preserve"> is the run duration, </w:t>
      </w:r>
      <m:oMath>
        <m:r>
          <w:rPr>
            <w:rFonts w:ascii="Cambria Math" w:hAnsi="Cambria Math"/>
            <w:color w:val="000000" w:themeColor="text1"/>
          </w:rPr>
          <m:t>D</m:t>
        </m:r>
      </m:oMath>
      <w:r w:rsidRPr="00D12CF0">
        <w:rPr>
          <w:color w:val="000000" w:themeColor="text1"/>
        </w:rPr>
        <w:t xml:space="preserve"> is the effective binary diffusion coefficient in the melt, and </w:t>
      </w:r>
      <m:oMath>
        <m:r>
          <w:rPr>
            <w:rFonts w:ascii="Cambria Math" w:hAnsi="Cambria Math"/>
            <w:color w:val="000000" w:themeColor="text1"/>
          </w:rPr>
          <m:t>erfc</m:t>
        </m:r>
      </m:oMath>
      <w:r w:rsidRPr="00D12CF0">
        <w:rPr>
          <w:color w:val="000000" w:themeColor="text1"/>
        </w:rPr>
        <w:t xml:space="preserve"> is the complementary error function. In application to data from MRx#9, </w:t>
      </w:r>
      <m:oMath>
        <m:sSub>
          <m:sSubPr>
            <m:ctrlPr>
              <w:rPr>
                <w:rFonts w:ascii="Cambria Math" w:hAnsi="Cambria Math"/>
                <w:color w:val="000000" w:themeColor="text1"/>
              </w:rPr>
            </m:ctrlPr>
          </m:sSubPr>
          <m:e>
            <m:r>
              <w:rPr>
                <w:rFonts w:ascii="Cambria Math" w:hAnsi="Cambria Math"/>
                <w:color w:val="000000" w:themeColor="text1"/>
              </w:rPr>
              <m:t>C</m:t>
            </m:r>
          </m:e>
          <m:sub>
            <m:r>
              <m:rPr>
                <m:sty m:val="p"/>
              </m:rPr>
              <w:rPr>
                <w:rFonts w:ascii="Cambria Math" w:hAnsi="Cambria Math"/>
                <w:color w:val="000000" w:themeColor="text1"/>
              </w:rPr>
              <m:t>0</m:t>
            </m:r>
          </m:sub>
        </m:sSub>
      </m:oMath>
      <w:r w:rsidRPr="00D12CF0">
        <w:rPr>
          <w:color w:val="000000" w:themeColor="text1"/>
        </w:rPr>
        <w:t xml:space="preserve"> is assumed to be equal to the composition if the IBC melt at the interface. The variable </w:t>
      </w:r>
      <m:oMath>
        <m:r>
          <w:rPr>
            <w:rFonts w:ascii="Cambria Math" w:hAnsi="Cambria Math"/>
            <w:color w:val="000000" w:themeColor="text1"/>
          </w:rPr>
          <m:t>a</m:t>
        </m:r>
      </m:oMath>
      <w:r w:rsidRPr="00D12CF0">
        <w:rPr>
          <w:color w:val="000000" w:themeColor="text1"/>
        </w:rPr>
        <w:t xml:space="preserve"> from Eq. (</w:t>
      </w:r>
      <w:r w:rsidR="00EC6F80" w:rsidRPr="00D12CF0">
        <w:rPr>
          <w:color w:val="000000" w:themeColor="text1"/>
        </w:rPr>
        <w:t>A</w:t>
      </w:r>
      <w:r w:rsidRPr="00D12CF0">
        <w:rPr>
          <w:color w:val="000000" w:themeColor="text1"/>
        </w:rPr>
        <w:t>3) is a dimensionless parameter from Zhang et al. (1989) that satisfies:</w:t>
      </w:r>
    </w:p>
    <w:p w14:paraId="04B8EA08" w14:textId="4066BAD9" w:rsidR="00F6138D" w:rsidRPr="00D12CF0" w:rsidRDefault="00000000" w:rsidP="002D2CF9">
      <w:pPr>
        <w:spacing w:line="480" w:lineRule="auto"/>
        <w:jc w:val="right"/>
        <w:rPr>
          <w:color w:val="000000" w:themeColor="text1"/>
        </w:rPr>
      </w:pPr>
      <m:oMath>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C</m:t>
                </m:r>
              </m:e>
              <m:sub>
                <m:r>
                  <m:rPr>
                    <m:sty m:val="p"/>
                  </m:rPr>
                  <w:rPr>
                    <w:rFonts w:ascii="Cambria Math" w:hAnsi="Cambria Math"/>
                    <w:color w:val="000000" w:themeColor="text1"/>
                  </w:rPr>
                  <m:t>0</m:t>
                </m:r>
              </m:sub>
            </m:sSub>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C</m:t>
                </m:r>
              </m:e>
              <m:sub>
                <m:r>
                  <m:rPr>
                    <m:sty m:val="p"/>
                  </m:rPr>
                  <w:rPr>
                    <w:rFonts w:ascii="Cambria Math" w:hAnsi="Cambria Math"/>
                    <w:color w:val="000000" w:themeColor="text1"/>
                  </w:rPr>
                  <m:t>∞</m:t>
                </m:r>
              </m:sub>
            </m:sSub>
          </m:num>
          <m:den>
            <m:sSub>
              <m:sSubPr>
                <m:ctrlPr>
                  <w:rPr>
                    <w:rFonts w:ascii="Cambria Math" w:hAnsi="Cambria Math"/>
                    <w:color w:val="000000" w:themeColor="text1"/>
                  </w:rPr>
                </m:ctrlPr>
              </m:sSubPr>
              <m:e>
                <m:r>
                  <w:rPr>
                    <w:rFonts w:ascii="Cambria Math" w:hAnsi="Cambria Math"/>
                    <w:color w:val="000000" w:themeColor="text1"/>
                  </w:rPr>
                  <m:t>C</m:t>
                </m:r>
              </m:e>
              <m:sub>
                <m:r>
                  <w:rPr>
                    <w:rFonts w:ascii="Cambria Math" w:hAnsi="Cambria Math"/>
                    <w:color w:val="000000" w:themeColor="text1"/>
                  </w:rPr>
                  <m:t>s</m:t>
                </m:r>
              </m:sub>
            </m:sSub>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C</m:t>
                </m:r>
              </m:e>
              <m:sub>
                <m:r>
                  <m:rPr>
                    <m:sty m:val="p"/>
                  </m:rPr>
                  <w:rPr>
                    <w:rFonts w:ascii="Cambria Math" w:hAnsi="Cambria Math"/>
                    <w:color w:val="000000" w:themeColor="text1"/>
                  </w:rPr>
                  <m:t>0</m:t>
                </m:r>
              </m:sub>
            </m:sSub>
          </m:den>
        </m:f>
        <m:r>
          <m:rPr>
            <m:sty m:val="p"/>
          </m:rPr>
          <w:rPr>
            <w:rFonts w:ascii="Cambria Math" w:hAnsi="Cambria Math"/>
            <w:color w:val="000000" w:themeColor="text1"/>
          </w:rPr>
          <m:t>=</m:t>
        </m:r>
        <m:rad>
          <m:radPr>
            <m:degHide m:val="1"/>
            <m:ctrlPr>
              <w:rPr>
                <w:rFonts w:ascii="Cambria Math" w:hAnsi="Cambria Math"/>
                <w:color w:val="000000" w:themeColor="text1"/>
              </w:rPr>
            </m:ctrlPr>
          </m:radPr>
          <m:deg/>
          <m:e>
            <m:r>
              <w:rPr>
                <w:rFonts w:ascii="Cambria Math" w:hAnsi="Cambria Math"/>
                <w:color w:val="000000" w:themeColor="text1"/>
              </w:rPr>
              <m:t>π</m:t>
            </m:r>
          </m:e>
        </m:rad>
        <m:r>
          <w:rPr>
            <w:rFonts w:ascii="Cambria Math" w:hAnsi="Cambria Math"/>
            <w:color w:val="000000" w:themeColor="text1"/>
          </w:rPr>
          <m:t>a</m:t>
        </m:r>
        <m:sSup>
          <m:sSupPr>
            <m:ctrlPr>
              <w:rPr>
                <w:rFonts w:ascii="Cambria Math" w:hAnsi="Cambria Math"/>
                <w:color w:val="000000" w:themeColor="text1"/>
              </w:rPr>
            </m:ctrlPr>
          </m:sSupPr>
          <m:e>
            <m:r>
              <w:rPr>
                <w:rFonts w:ascii="Cambria Math" w:hAnsi="Cambria Math"/>
                <w:color w:val="000000" w:themeColor="text1"/>
              </w:rPr>
              <m:t>e</m:t>
            </m:r>
          </m:e>
          <m:sup>
            <m:sSup>
              <m:sSupPr>
                <m:ctrlPr>
                  <w:rPr>
                    <w:rFonts w:ascii="Cambria Math" w:hAnsi="Cambria Math"/>
                    <w:color w:val="000000" w:themeColor="text1"/>
                  </w:rPr>
                </m:ctrlPr>
              </m:sSupPr>
              <m:e>
                <m:r>
                  <w:rPr>
                    <w:rFonts w:ascii="Cambria Math" w:hAnsi="Cambria Math"/>
                    <w:color w:val="000000" w:themeColor="text1"/>
                  </w:rPr>
                  <m:t>a</m:t>
                </m:r>
              </m:e>
              <m:sup>
                <m:r>
                  <m:rPr>
                    <m:sty m:val="p"/>
                  </m:rPr>
                  <w:rPr>
                    <w:rFonts w:ascii="Cambria Math" w:hAnsi="Cambria Math"/>
                    <w:color w:val="000000" w:themeColor="text1"/>
                  </w:rPr>
                  <m:t>2</m:t>
                </m:r>
              </m:sup>
            </m:sSup>
          </m:sup>
        </m:sSup>
        <m:r>
          <m:rPr>
            <m:sty m:val="p"/>
          </m:rPr>
          <w:rPr>
            <w:rFonts w:ascii="Cambria Math" w:hAnsi="Cambria Math"/>
            <w:color w:val="000000" w:themeColor="text1"/>
          </w:rPr>
          <m:t>∙</m:t>
        </m:r>
        <m:r>
          <w:rPr>
            <w:rFonts w:ascii="Cambria Math" w:hAnsi="Cambria Math"/>
            <w:color w:val="000000" w:themeColor="text1"/>
          </w:rPr>
          <m:t>erfc</m:t>
        </m:r>
        <m:r>
          <m:rPr>
            <m:sty m:val="p"/>
          </m:rPr>
          <w:rPr>
            <w:rFonts w:ascii="Cambria Math" w:hAnsi="Cambria Math"/>
            <w:color w:val="000000" w:themeColor="text1"/>
          </w:rPr>
          <m:t>(-</m:t>
        </m:r>
        <m:r>
          <w:rPr>
            <w:rFonts w:ascii="Cambria Math" w:hAnsi="Cambria Math"/>
            <w:color w:val="000000" w:themeColor="text1"/>
          </w:rPr>
          <m:t>a</m:t>
        </m:r>
        <m:r>
          <m:rPr>
            <m:sty m:val="p"/>
          </m:rPr>
          <w:rPr>
            <w:rFonts w:ascii="Cambria Math" w:hAnsi="Cambria Math"/>
            <w:color w:val="000000" w:themeColor="text1"/>
          </w:rPr>
          <m:t>)</m:t>
        </m:r>
      </m:oMath>
      <w:r w:rsidR="00F6138D" w:rsidRPr="00D12CF0">
        <w:rPr>
          <w:color w:val="000000" w:themeColor="text1"/>
        </w:rPr>
        <w:tab/>
      </w:r>
      <w:r w:rsidR="00F6138D" w:rsidRPr="00D12CF0">
        <w:rPr>
          <w:color w:val="000000" w:themeColor="text1"/>
        </w:rPr>
        <w:tab/>
      </w:r>
      <w:r w:rsidR="00F6138D" w:rsidRPr="00D12CF0">
        <w:rPr>
          <w:color w:val="000000" w:themeColor="text1"/>
        </w:rPr>
        <w:tab/>
      </w:r>
      <w:r w:rsidR="00F6138D" w:rsidRPr="00D12CF0">
        <w:rPr>
          <w:color w:val="000000" w:themeColor="text1"/>
        </w:rPr>
        <w:tab/>
        <w:t>(</w:t>
      </w:r>
      <w:r w:rsidR="00982D65" w:rsidRPr="00D12CF0">
        <w:rPr>
          <w:color w:val="000000" w:themeColor="text1"/>
        </w:rPr>
        <w:t>A</w:t>
      </w:r>
      <w:r w:rsidR="00F6138D" w:rsidRPr="00D12CF0">
        <w:rPr>
          <w:color w:val="000000" w:themeColor="text1"/>
        </w:rPr>
        <w:t>3)</w:t>
      </w:r>
    </w:p>
    <w:p w14:paraId="4DFBD7C2" w14:textId="4E22F7E0" w:rsidR="00F6138D" w:rsidRPr="00D12CF0" w:rsidRDefault="00F6138D" w:rsidP="00CC76AD">
      <w:pPr>
        <w:spacing w:line="480" w:lineRule="auto"/>
        <w:rPr>
          <w:color w:val="000000" w:themeColor="text1"/>
        </w:rPr>
      </w:pPr>
      <w:r w:rsidRPr="00D12CF0">
        <w:rPr>
          <w:color w:val="000000" w:themeColor="text1"/>
        </w:rPr>
        <w:t xml:space="preserve">where </w:t>
      </w:r>
      <m:oMath>
        <m:sSub>
          <m:sSubPr>
            <m:ctrlPr>
              <w:rPr>
                <w:rFonts w:ascii="Cambria Math" w:hAnsi="Cambria Math"/>
                <w:color w:val="000000" w:themeColor="text1"/>
              </w:rPr>
            </m:ctrlPr>
          </m:sSubPr>
          <m:e>
            <m:r>
              <w:rPr>
                <w:rFonts w:ascii="Cambria Math" w:hAnsi="Cambria Math"/>
                <w:color w:val="000000" w:themeColor="text1"/>
              </w:rPr>
              <m:t>C</m:t>
            </m:r>
          </m:e>
          <m:sub>
            <m:r>
              <w:rPr>
                <w:rFonts w:ascii="Cambria Math" w:hAnsi="Cambria Math"/>
                <w:color w:val="000000" w:themeColor="text1"/>
              </w:rPr>
              <m:t>s</m:t>
            </m:r>
          </m:sub>
        </m:sSub>
      </m:oMath>
      <w:r w:rsidRPr="00D12CF0">
        <w:rPr>
          <w:color w:val="000000" w:themeColor="text1"/>
        </w:rPr>
        <w:t xml:space="preserve"> in the concentration in the synthetic dunite. As stated above, the concentration at the interface </w:t>
      </w:r>
      <m:oMath>
        <m:sSub>
          <m:sSubPr>
            <m:ctrlPr>
              <w:rPr>
                <w:rFonts w:ascii="Cambria Math" w:hAnsi="Cambria Math"/>
                <w:color w:val="000000" w:themeColor="text1"/>
              </w:rPr>
            </m:ctrlPr>
          </m:sSubPr>
          <m:e>
            <m:r>
              <w:rPr>
                <w:rFonts w:ascii="Cambria Math" w:hAnsi="Cambria Math"/>
                <w:color w:val="000000" w:themeColor="text1"/>
              </w:rPr>
              <m:t>C</m:t>
            </m:r>
          </m:e>
          <m:sub>
            <m:r>
              <m:rPr>
                <m:sty m:val="p"/>
              </m:rPr>
              <w:rPr>
                <w:rFonts w:ascii="Cambria Math" w:hAnsi="Cambria Math"/>
                <w:color w:val="000000" w:themeColor="text1"/>
              </w:rPr>
              <m:t>0</m:t>
            </m:r>
          </m:sub>
        </m:sSub>
      </m:oMath>
      <w:r w:rsidRPr="00D12CF0">
        <w:rPr>
          <w:color w:val="000000" w:themeColor="text1"/>
        </w:rPr>
        <w:t>, is assumed to be constant throughout the experiment. Effective binary diffusion coefficients for MgO, FeO, MnO, Al</w:t>
      </w:r>
      <w:r w:rsidRPr="00D12CF0">
        <w:rPr>
          <w:color w:val="000000" w:themeColor="text1"/>
          <w:vertAlign w:val="subscript"/>
        </w:rPr>
        <w:t>2</w:t>
      </w:r>
      <w:r w:rsidRPr="00D12CF0">
        <w:rPr>
          <w:color w:val="000000" w:themeColor="text1"/>
        </w:rPr>
        <w:t>O</w:t>
      </w:r>
      <w:r w:rsidRPr="00D12CF0">
        <w:rPr>
          <w:color w:val="000000" w:themeColor="text1"/>
          <w:vertAlign w:val="subscript"/>
        </w:rPr>
        <w:t>3</w:t>
      </w:r>
      <w:r w:rsidRPr="00D12CF0">
        <w:rPr>
          <w:color w:val="000000" w:themeColor="text1"/>
        </w:rPr>
        <w:t>, TiO</w:t>
      </w:r>
      <w:r w:rsidRPr="00D12CF0">
        <w:rPr>
          <w:color w:val="000000" w:themeColor="text1"/>
          <w:vertAlign w:val="subscript"/>
        </w:rPr>
        <w:t>2</w:t>
      </w:r>
      <w:r w:rsidRPr="00D12CF0">
        <w:rPr>
          <w:color w:val="000000" w:themeColor="text1"/>
        </w:rPr>
        <w:t>, and CaO in the IBC melt were inverted from the compositional observations by a nonlinear least squares regression and are presented in the Dunite Dissolution Rates, and Effects of Dunite Dissolution on IBC Liquid subsection of the main text.</w:t>
      </w:r>
    </w:p>
    <w:p w14:paraId="51910810" w14:textId="698F1CC9" w:rsidR="00F6138D" w:rsidRPr="00926469" w:rsidRDefault="00F6138D" w:rsidP="00926469">
      <w:pPr>
        <w:spacing w:line="480" w:lineRule="auto"/>
        <w:rPr>
          <w:b/>
          <w:bCs/>
        </w:rPr>
      </w:pPr>
      <w:r w:rsidRPr="00926469">
        <w:rPr>
          <w:b/>
          <w:bCs/>
        </w:rPr>
        <w:t>Diffusion Around The IBC Plume</w:t>
      </w:r>
    </w:p>
    <w:p w14:paraId="43EF3ECE" w14:textId="676757A1" w:rsidR="00F6138D" w:rsidRPr="00D12CF0" w:rsidRDefault="00F6138D" w:rsidP="00CC76AD">
      <w:pPr>
        <w:spacing w:line="480" w:lineRule="auto"/>
        <w:ind w:firstLine="720"/>
        <w:rPr>
          <w:color w:val="000000" w:themeColor="text1"/>
        </w:rPr>
      </w:pPr>
      <w:r w:rsidRPr="00D12CF0">
        <w:rPr>
          <w:color w:val="000000" w:themeColor="text1"/>
        </w:rPr>
        <w:t xml:space="preserve">To model chemical diffusion from an IBC vein or downwelling plume into the ambient mantle we use one-dimensional models for diffusive Fe-Mg exchange. Models were solved numerically using an explicit </w:t>
      </w:r>
      <w:r w:rsidRPr="00D12CF0">
        <w:rPr>
          <w:rFonts w:eastAsiaTheme="minorEastAsia"/>
          <w:color w:val="000000" w:themeColor="text1"/>
        </w:rPr>
        <w:t>finite difference method (e.g., Crank</w:t>
      </w:r>
      <w:r w:rsidR="00EC6F80" w:rsidRPr="00D12CF0">
        <w:rPr>
          <w:rFonts w:eastAsiaTheme="minorEastAsia"/>
          <w:color w:val="000000" w:themeColor="text1"/>
        </w:rPr>
        <w:t>,</w:t>
      </w:r>
      <w:r w:rsidRPr="00D12CF0">
        <w:rPr>
          <w:rFonts w:eastAsiaTheme="minorEastAsia"/>
          <w:color w:val="000000" w:themeColor="text1"/>
        </w:rPr>
        <w:t xml:space="preserve"> 1975; Ozisik</w:t>
      </w:r>
      <w:r w:rsidR="00EC6F80" w:rsidRPr="00D12CF0">
        <w:rPr>
          <w:rFonts w:eastAsiaTheme="minorEastAsia"/>
          <w:color w:val="000000" w:themeColor="text1"/>
        </w:rPr>
        <w:t>,</w:t>
      </w:r>
      <w:r w:rsidRPr="00D12CF0">
        <w:rPr>
          <w:rFonts w:eastAsiaTheme="minorEastAsia"/>
          <w:color w:val="000000" w:themeColor="text1"/>
        </w:rPr>
        <w:t xml:space="preserve"> 1993):</w:t>
      </w:r>
    </w:p>
    <w:p w14:paraId="4C493B61" w14:textId="32351D63" w:rsidR="00F6138D" w:rsidRPr="00D12CF0" w:rsidRDefault="00000000" w:rsidP="002D2CF9">
      <w:pPr>
        <w:spacing w:line="480" w:lineRule="auto"/>
        <w:jc w:val="right"/>
      </w:pPr>
      <m:oMath>
        <m:sSubSup>
          <m:sSubSupPr>
            <m:ctrlPr>
              <w:rPr>
                <w:rFonts w:ascii="Cambria Math" w:eastAsiaTheme="minorEastAsia" w:hAnsi="Cambria Math"/>
              </w:rPr>
            </m:ctrlPr>
          </m:sSubSupPr>
          <m:e>
            <m:r>
              <w:rPr>
                <w:rFonts w:ascii="Cambria Math" w:eastAsiaTheme="minorEastAsia" w:hAnsi="Cambria Math"/>
              </w:rPr>
              <m:t>C</m:t>
            </m:r>
          </m:e>
          <m:sub>
            <m:r>
              <w:rPr>
                <w:rFonts w:ascii="Cambria Math" w:eastAsiaTheme="minorEastAsia" w:hAnsi="Cambria Math"/>
              </w:rPr>
              <m:t>i</m:t>
            </m:r>
          </m:sub>
          <m:sup>
            <m:r>
              <w:rPr>
                <w:rFonts w:ascii="Cambria Math" w:eastAsiaTheme="minorEastAsia" w:hAnsi="Cambria Math"/>
              </w:rPr>
              <m:t>n</m:t>
            </m:r>
          </m:sup>
        </m:sSubSup>
        <m:r>
          <m:rPr>
            <m:sty m:val="p"/>
          </m:rPr>
          <w:rPr>
            <w:rFonts w:ascii="Cambria Math" w:eastAsiaTheme="minorEastAsia" w:hAnsi="Cambria Math"/>
          </w:rPr>
          <m:t>=</m:t>
        </m:r>
        <m:d>
          <m:dPr>
            <m:begChr m:val="{"/>
            <m:endChr m:val=""/>
            <m:ctrlPr>
              <w:rPr>
                <w:rFonts w:ascii="Cambria Math" w:eastAsiaTheme="minorEastAsia" w:hAnsi="Cambria Math"/>
              </w:rPr>
            </m:ctrlPr>
          </m:dPr>
          <m:e>
            <m:eqArr>
              <m:eqArrPr>
                <m:ctrlPr>
                  <w:rPr>
                    <w:rFonts w:ascii="Cambria Math" w:eastAsiaTheme="minorEastAsia" w:hAnsi="Cambria Math"/>
                  </w:rPr>
                </m:ctrlPr>
              </m:eqArrPr>
              <m:e>
                <m:sSubSup>
                  <m:sSubSupPr>
                    <m:ctrlPr>
                      <w:rPr>
                        <w:rFonts w:ascii="Cambria Math" w:eastAsiaTheme="minorEastAsia" w:hAnsi="Cambria Math"/>
                      </w:rPr>
                    </m:ctrlPr>
                  </m:sSubSupPr>
                  <m:e>
                    <m:r>
                      <w:rPr>
                        <w:rFonts w:ascii="Cambria Math" w:eastAsiaTheme="minorEastAsia" w:hAnsi="Cambria Math"/>
                      </w:rPr>
                      <m:t>C</m:t>
                    </m:r>
                  </m:e>
                  <m:sub>
                    <m:r>
                      <w:rPr>
                        <w:rFonts w:ascii="Cambria Math" w:eastAsiaTheme="minorEastAsia" w:hAnsi="Cambria Math"/>
                      </w:rPr>
                      <m:t>i+1</m:t>
                    </m:r>
                  </m:sub>
                  <m:sup>
                    <m:r>
                      <w:rPr>
                        <w:rFonts w:ascii="Cambria Math" w:eastAsiaTheme="minorEastAsia" w:hAnsi="Cambria Math"/>
                      </w:rPr>
                      <m:t>n-1</m:t>
                    </m:r>
                  </m:sup>
                </m:sSubSup>
                <m:r>
                  <m:rPr>
                    <m:sty m:val="p"/>
                  </m:rPr>
                  <w:rPr>
                    <w:rFonts w:ascii="Cambria Math" w:eastAsiaTheme="minorEastAsia" w:hAnsi="Cambria Math"/>
                  </w:rPr>
                  <m:t xml:space="preserve">,   </m:t>
                </m:r>
                <m:r>
                  <m:rPr>
                    <m:nor/>
                  </m:rPr>
                  <w:rPr>
                    <w:rFonts w:ascii="Cambria Math" w:eastAsiaTheme="minorEastAsia" w:hAnsi="Cambria Math"/>
                    <w:iCs/>
                  </w:rPr>
                  <m:t>if</m:t>
                </m:r>
                <m:r>
                  <m:rPr>
                    <m:sty m:val="p"/>
                  </m:rPr>
                  <w:rPr>
                    <w:rFonts w:ascii="Cambria Math" w:eastAsiaTheme="minorEastAsia" w:hAnsi="Cambria Math"/>
                  </w:rPr>
                  <m:t xml:space="preserve"> </m:t>
                </m:r>
                <m:r>
                  <w:rPr>
                    <w:rFonts w:ascii="Cambria Math" w:eastAsiaTheme="minorEastAsia" w:hAnsi="Cambria Math"/>
                  </w:rPr>
                  <m:t>i</m:t>
                </m:r>
                <m:r>
                  <m:rPr>
                    <m:sty m:val="p"/>
                  </m:rPr>
                  <w:rPr>
                    <w:rFonts w:ascii="Cambria Math" w:eastAsiaTheme="minorEastAsia" w:hAnsi="Cambria Math"/>
                  </w:rPr>
                  <m:t>=0</m:t>
                </m:r>
              </m:e>
              <m:e>
                <m:sSub>
                  <m:sSubPr>
                    <m:ctrlPr>
                      <w:rPr>
                        <w:rFonts w:ascii="Cambria Math" w:eastAsiaTheme="minorEastAsia" w:hAnsi="Cambria Math"/>
                        <w:i/>
                      </w:rPr>
                    </m:ctrlPr>
                  </m:sSubPr>
                  <m:e>
                    <m:sSubSup>
                      <m:sSubSupPr>
                        <m:ctrlPr>
                          <w:rPr>
                            <w:rFonts w:ascii="Cambria Math" w:eastAsiaTheme="minorEastAsia" w:hAnsi="Cambria Math"/>
                          </w:rPr>
                        </m:ctrlPr>
                      </m:sSubSupPr>
                      <m:e>
                        <m:r>
                          <w:rPr>
                            <w:rFonts w:ascii="Cambria Math" w:eastAsiaTheme="minorEastAsia" w:hAnsi="Cambria Math"/>
                          </w:rPr>
                          <m:t>C</m:t>
                        </m:r>
                      </m:e>
                      <m:sub>
                        <m:r>
                          <w:rPr>
                            <w:rFonts w:ascii="Cambria Math" w:eastAsiaTheme="minorEastAsia" w:hAnsi="Cambria Math"/>
                          </w:rPr>
                          <m:t>i</m:t>
                        </m:r>
                      </m:sub>
                      <m:sup>
                        <m:r>
                          <w:rPr>
                            <w:rFonts w:ascii="Cambria Math" w:eastAsiaTheme="minorEastAsia" w:hAnsi="Cambria Math"/>
                          </w:rPr>
                          <m:t>n</m:t>
                        </m:r>
                        <m:r>
                          <m:rPr>
                            <m:sty m:val="p"/>
                          </m:rPr>
                          <w:rPr>
                            <w:rFonts w:ascii="Cambria Math" w:eastAsiaTheme="minorEastAsia" w:hAnsi="Cambria Math"/>
                          </w:rPr>
                          <m:t>-1</m:t>
                        </m:r>
                      </m:sup>
                    </m:sSubSup>
                    <m:r>
                      <w:rPr>
                        <w:rFonts w:ascii="Cambria Math" w:eastAsiaTheme="minorEastAsia" w:hAnsi="Cambria Math"/>
                      </w:rPr>
                      <m:t>+α</m:t>
                    </m:r>
                  </m:e>
                  <m:sub>
                    <m:r>
                      <w:rPr>
                        <w:rFonts w:ascii="Cambria Math" w:eastAsiaTheme="minorEastAsia" w:hAnsi="Cambria Math"/>
                      </w:rPr>
                      <m:t>i</m:t>
                    </m:r>
                  </m:sub>
                </m:sSub>
                <m:d>
                  <m:dPr>
                    <m:ctrlPr>
                      <w:rPr>
                        <w:rFonts w:ascii="Cambria Math" w:hAnsi="Cambria Math"/>
                      </w:rPr>
                    </m:ctrlPr>
                  </m:dPr>
                  <m:e>
                    <m:sSubSup>
                      <m:sSubSupPr>
                        <m:ctrlPr>
                          <w:rPr>
                            <w:rFonts w:ascii="Cambria Math" w:hAnsi="Cambria Math"/>
                          </w:rPr>
                        </m:ctrlPr>
                      </m:sSubSupPr>
                      <m:e>
                        <m:r>
                          <w:rPr>
                            <w:rFonts w:ascii="Cambria Math" w:hAnsi="Cambria Math"/>
                          </w:rPr>
                          <m:t>C</m:t>
                        </m:r>
                      </m:e>
                      <m:sub>
                        <m:r>
                          <w:rPr>
                            <w:rFonts w:ascii="Cambria Math" w:hAnsi="Cambria Math"/>
                          </w:rPr>
                          <m:t>i+1</m:t>
                        </m:r>
                      </m:sub>
                      <m:sup>
                        <m:r>
                          <w:rPr>
                            <w:rFonts w:ascii="Cambria Math" w:hAnsi="Cambria Math"/>
                          </w:rPr>
                          <m:t>n-1</m:t>
                        </m:r>
                      </m:sup>
                    </m:sSubSup>
                    <m:r>
                      <m:rPr>
                        <m:sty m:val="p"/>
                      </m:rPr>
                      <w:rPr>
                        <w:rFonts w:ascii="Cambria Math" w:hAnsi="Cambria Math"/>
                      </w:rPr>
                      <m:t>-2</m:t>
                    </m:r>
                    <m:sSubSup>
                      <m:sSubSupPr>
                        <m:ctrlPr>
                          <w:rPr>
                            <w:rFonts w:ascii="Cambria Math" w:hAnsi="Cambria Math"/>
                          </w:rPr>
                        </m:ctrlPr>
                      </m:sSubSupPr>
                      <m:e>
                        <m:r>
                          <w:rPr>
                            <w:rFonts w:ascii="Cambria Math" w:hAnsi="Cambria Math"/>
                          </w:rPr>
                          <m:t>C</m:t>
                        </m:r>
                      </m:e>
                      <m:sub>
                        <m:r>
                          <w:rPr>
                            <w:rFonts w:ascii="Cambria Math" w:hAnsi="Cambria Math"/>
                          </w:rPr>
                          <m:t>i</m:t>
                        </m:r>
                      </m:sub>
                      <m:sup>
                        <m:r>
                          <w:rPr>
                            <w:rFonts w:ascii="Cambria Math" w:hAnsi="Cambria Math"/>
                          </w:rPr>
                          <m:t>n-1</m:t>
                        </m:r>
                      </m:sup>
                    </m:sSubSup>
                    <m:r>
                      <m:rPr>
                        <m:sty m:val="p"/>
                      </m:rPr>
                      <w:rPr>
                        <w:rFonts w:ascii="Cambria Math" w:hAnsi="Cambria Math"/>
                      </w:rPr>
                      <m:t>+</m:t>
                    </m:r>
                    <m:sSubSup>
                      <m:sSubSupPr>
                        <m:ctrlPr>
                          <w:rPr>
                            <w:rFonts w:ascii="Cambria Math" w:hAnsi="Cambria Math"/>
                          </w:rPr>
                        </m:ctrlPr>
                      </m:sSubSupPr>
                      <m:e>
                        <m:r>
                          <w:rPr>
                            <w:rFonts w:ascii="Cambria Math" w:hAnsi="Cambria Math"/>
                          </w:rPr>
                          <m:t>C</m:t>
                        </m:r>
                      </m:e>
                      <m:sub>
                        <m:r>
                          <w:rPr>
                            <w:rFonts w:ascii="Cambria Math" w:hAnsi="Cambria Math"/>
                          </w:rPr>
                          <m:t>i-1</m:t>
                        </m:r>
                      </m:sub>
                      <m:sup>
                        <m:r>
                          <w:rPr>
                            <w:rFonts w:ascii="Cambria Math" w:hAnsi="Cambria Math"/>
                          </w:rPr>
                          <m:t>n-1</m:t>
                        </m:r>
                      </m:sup>
                    </m:sSubSup>
                  </m:e>
                </m:d>
                <m:r>
                  <m:rPr>
                    <m:sty m:val="p"/>
                  </m:rPr>
                  <w:rPr>
                    <w:rFonts w:ascii="Cambria Math" w:hAnsi="Cambria Math"/>
                  </w:rPr>
                  <m:t xml:space="preserve">,  </m:t>
                </m:r>
                <m:r>
                  <m:rPr>
                    <m:nor/>
                  </m:rPr>
                  <w:rPr>
                    <w:rFonts w:ascii="Cambria Math" w:hAnsi="Cambria Math"/>
                  </w:rPr>
                  <m:t xml:space="preserve"> </m:t>
                </m:r>
                <m:r>
                  <m:rPr>
                    <m:nor/>
                  </m:rPr>
                  <w:rPr>
                    <w:rFonts w:ascii="Cambria Math" w:hAnsi="Cambria Math"/>
                    <w:iCs/>
                  </w:rPr>
                  <m:t>if</m:t>
                </m:r>
                <m:r>
                  <m:rPr>
                    <m:sty m:val="p"/>
                  </m:rPr>
                  <w:rPr>
                    <w:rFonts w:ascii="Cambria Math" w:hAnsi="Cambria Math"/>
                  </w:rPr>
                  <m:t xml:space="preserve"> </m:t>
                </m:r>
                <m:r>
                  <w:rPr>
                    <w:rFonts w:ascii="Cambria Math" w:hAnsi="Cambria Math"/>
                  </w:rPr>
                  <m:t>i</m:t>
                </m:r>
                <m:r>
                  <m:rPr>
                    <m:sty m:val="p"/>
                  </m:rPr>
                  <w:rPr>
                    <w:rFonts w:ascii="Cambria Math" w:hAnsi="Cambria Math"/>
                  </w:rPr>
                  <m:t>=1,2,…,</m:t>
                </m:r>
                <m:r>
                  <w:rPr>
                    <w:rFonts w:ascii="Cambria Math" w:hAnsi="Cambria Math"/>
                  </w:rPr>
                  <m:t>N</m:t>
                </m:r>
                <m:r>
                  <m:rPr>
                    <m:sty m:val="p"/>
                  </m:rPr>
                  <w:rPr>
                    <w:rFonts w:ascii="Cambria Math" w:hAnsi="Cambria Math"/>
                  </w:rPr>
                  <m:t>-1</m:t>
                </m:r>
              </m:e>
              <m:e>
                <m:sSubSup>
                  <m:sSubSupPr>
                    <m:ctrlPr>
                      <w:rPr>
                        <w:rFonts w:ascii="Cambria Math" w:eastAsiaTheme="minorEastAsia" w:hAnsi="Cambria Math"/>
                      </w:rPr>
                    </m:ctrlPr>
                  </m:sSubSupPr>
                  <m:e>
                    <m:r>
                      <w:rPr>
                        <w:rFonts w:ascii="Cambria Math" w:eastAsiaTheme="minorEastAsia" w:hAnsi="Cambria Math"/>
                      </w:rPr>
                      <m:t>C</m:t>
                    </m:r>
                  </m:e>
                  <m:sub>
                    <m:r>
                      <w:rPr>
                        <w:rFonts w:ascii="Cambria Math" w:eastAsiaTheme="minorEastAsia" w:hAnsi="Cambria Math"/>
                      </w:rPr>
                      <m:t>i-1</m:t>
                    </m:r>
                  </m:sub>
                  <m:sup>
                    <m:r>
                      <w:rPr>
                        <w:rFonts w:ascii="Cambria Math" w:eastAsiaTheme="minorEastAsia" w:hAnsi="Cambria Math"/>
                      </w:rPr>
                      <m:t>n-1</m:t>
                    </m:r>
                  </m:sup>
                </m:sSubSup>
                <m:r>
                  <m:rPr>
                    <m:sty m:val="p"/>
                  </m:rPr>
                  <w:rPr>
                    <w:rFonts w:ascii="Cambria Math" w:eastAsiaTheme="minorEastAsia" w:hAnsi="Cambria Math"/>
                  </w:rPr>
                  <m:t xml:space="preserve">,    </m:t>
                </m:r>
                <m:r>
                  <m:rPr>
                    <m:nor/>
                  </m:rPr>
                  <w:rPr>
                    <w:rFonts w:ascii="Cambria Math" w:eastAsiaTheme="minorEastAsia" w:hAnsi="Cambria Math"/>
                    <w:iCs/>
                  </w:rPr>
                  <m:t>if</m:t>
                </m:r>
                <m:r>
                  <m:rPr>
                    <m:sty m:val="p"/>
                  </m:rPr>
                  <w:rPr>
                    <w:rFonts w:ascii="Cambria Math" w:eastAsiaTheme="minorEastAsia" w:hAnsi="Cambria Math"/>
                  </w:rPr>
                  <m:t xml:space="preserve"> </m:t>
                </m:r>
                <m:r>
                  <w:rPr>
                    <w:rFonts w:ascii="Cambria Math" w:eastAsiaTheme="minorEastAsia" w:hAnsi="Cambria Math"/>
                  </w:rPr>
                  <m:t>i</m:t>
                </m:r>
                <m:r>
                  <m:rPr>
                    <m:sty m:val="p"/>
                  </m:rPr>
                  <w:rPr>
                    <w:rFonts w:ascii="Cambria Math" w:eastAsiaTheme="minorEastAsia" w:hAnsi="Cambria Math"/>
                  </w:rPr>
                  <m:t>=</m:t>
                </m:r>
                <m:r>
                  <w:rPr>
                    <w:rFonts w:ascii="Cambria Math" w:eastAsiaTheme="minorEastAsia" w:hAnsi="Cambria Math"/>
                  </w:rPr>
                  <m:t>N</m:t>
                </m:r>
              </m:e>
            </m:eqArr>
          </m:e>
        </m:d>
      </m:oMath>
      <w:r w:rsidR="00F6138D" w:rsidRPr="00D12CF0">
        <w:rPr>
          <w:rFonts w:eastAsiaTheme="minorEastAsia"/>
        </w:rPr>
        <w:tab/>
      </w:r>
      <w:r w:rsidR="00F6138D" w:rsidRPr="00D12CF0">
        <w:rPr>
          <w:rFonts w:eastAsiaTheme="minorEastAsia"/>
        </w:rPr>
        <w:tab/>
      </w:r>
      <w:r w:rsidR="00F6138D" w:rsidRPr="00D12CF0">
        <w:t>(</w:t>
      </w:r>
      <w:r w:rsidR="00982D65" w:rsidRPr="00D12CF0">
        <w:t>A</w:t>
      </w:r>
      <w:r w:rsidR="00F6138D" w:rsidRPr="00D12CF0">
        <w:t>4)</w:t>
      </w:r>
    </w:p>
    <w:p w14:paraId="3077CA36" w14:textId="77777777" w:rsidR="00F6138D" w:rsidRPr="00D12CF0" w:rsidRDefault="00F6138D" w:rsidP="00D12CF0">
      <w:pPr>
        <w:spacing w:line="480" w:lineRule="auto"/>
        <w:rPr>
          <w:rFonts w:eastAsiaTheme="minorEastAsia"/>
        </w:rPr>
      </w:pPr>
      <w:r w:rsidRPr="00D12CF0">
        <w:rPr>
          <w:rFonts w:eastAsiaTheme="minorEastAsia"/>
        </w:rPr>
        <w:t xml:space="preserve">where </w:t>
      </w:r>
      <m:oMath>
        <m:r>
          <w:rPr>
            <w:rFonts w:ascii="Cambria Math" w:eastAsiaTheme="minorEastAsia" w:hAnsi="Cambria Math"/>
          </w:rPr>
          <m:t>i</m:t>
        </m:r>
      </m:oMath>
      <w:r w:rsidRPr="00D12CF0">
        <w:rPr>
          <w:rFonts w:eastAsiaTheme="minorEastAsia"/>
        </w:rPr>
        <w:t xml:space="preserve"> is the special interval, </w:t>
      </w:r>
      <m:oMath>
        <m:r>
          <w:rPr>
            <w:rFonts w:ascii="Cambria Math" w:eastAsiaTheme="minorEastAsia" w:hAnsi="Cambria Math"/>
          </w:rPr>
          <m:t>N</m:t>
        </m:r>
      </m:oMath>
      <w:r w:rsidRPr="00D12CF0">
        <w:rPr>
          <w:rFonts w:eastAsiaTheme="minorEastAsia"/>
        </w:rPr>
        <w:t xml:space="preserve"> is the total number of spatial intervals, </w:t>
      </w:r>
      <m:oMath>
        <m:r>
          <w:rPr>
            <w:rFonts w:ascii="Cambria Math" w:eastAsiaTheme="minorEastAsia" w:hAnsi="Cambria Math"/>
          </w:rPr>
          <m:t>n</m:t>
        </m:r>
      </m:oMath>
      <w:r w:rsidRPr="00D12CF0">
        <w:rPr>
          <w:rFonts w:eastAsiaTheme="minorEastAsia"/>
        </w:rPr>
        <w:t xml:space="preserve"> is the time interval,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i</m:t>
            </m:r>
          </m:sub>
        </m:sSub>
      </m:oMath>
      <w:r w:rsidRPr="00D12CF0">
        <w:rPr>
          <w:rFonts w:eastAsiaTheme="minorEastAsia"/>
        </w:rPr>
        <w:t xml:space="preserve"> is the concentration at a given interval </w:t>
      </w:r>
      <m:oMath>
        <m:r>
          <w:rPr>
            <w:rFonts w:ascii="Cambria Math" w:eastAsiaTheme="minorEastAsia" w:hAnsi="Cambria Math"/>
          </w:rPr>
          <m:t>i</m:t>
        </m:r>
      </m:oMath>
      <w:r w:rsidRPr="00D12CF0">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i</m:t>
            </m:r>
          </m:sub>
        </m:sSub>
      </m:oMath>
      <w:r w:rsidRPr="00D12CF0">
        <w:rPr>
          <w:rFonts w:eastAsiaTheme="minorEastAsia"/>
        </w:rPr>
        <w:t xml:space="preserve"> is the scaled diffusivity at a given interval </w:t>
      </w:r>
      <m:oMath>
        <m:r>
          <w:rPr>
            <w:rFonts w:ascii="Cambria Math" w:eastAsiaTheme="minorEastAsia" w:hAnsi="Cambria Math"/>
          </w:rPr>
          <m:t>i</m:t>
        </m:r>
      </m:oMath>
      <w:r w:rsidRPr="00D12CF0">
        <w:rPr>
          <w:rFonts w:eastAsiaTheme="minorEastAsia"/>
        </w:rPr>
        <w:t>. The is the dimensionless time is:</w:t>
      </w:r>
    </w:p>
    <w:p w14:paraId="7E954883" w14:textId="26C401E8" w:rsidR="00F6138D" w:rsidRPr="00D12CF0" w:rsidRDefault="00000000" w:rsidP="002D2CF9">
      <w:pPr>
        <w:spacing w:line="480" w:lineRule="auto"/>
        <w:jc w:val="right"/>
      </w:pPr>
      <m:oMath>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i</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i</m:t>
                </m:r>
              </m:sub>
            </m:sSub>
            <m:r>
              <w:rPr>
                <w:rFonts w:ascii="Cambria Math" w:eastAsiaTheme="minorEastAsia" w:hAnsi="Cambria Math"/>
              </w:rPr>
              <m:t>∆t</m:t>
            </m:r>
          </m:num>
          <m:den>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den>
        </m:f>
      </m:oMath>
      <w:r w:rsidR="00F6138D" w:rsidRPr="00D12CF0">
        <w:rPr>
          <w:rFonts w:eastAsiaTheme="minorEastAsia"/>
        </w:rPr>
        <w:tab/>
      </w:r>
      <w:r w:rsidR="00F6138D" w:rsidRPr="00D12CF0">
        <w:rPr>
          <w:rFonts w:eastAsiaTheme="minorEastAsia"/>
        </w:rPr>
        <w:tab/>
      </w:r>
      <w:r w:rsidR="00F6138D" w:rsidRPr="00D12CF0">
        <w:rPr>
          <w:rFonts w:eastAsiaTheme="minorEastAsia"/>
        </w:rPr>
        <w:tab/>
      </w:r>
      <w:r w:rsidR="00F6138D" w:rsidRPr="00D12CF0">
        <w:rPr>
          <w:rFonts w:eastAsiaTheme="minorEastAsia"/>
        </w:rPr>
        <w:tab/>
      </w:r>
      <w:r w:rsidR="00F6138D" w:rsidRPr="00D12CF0">
        <w:rPr>
          <w:rFonts w:eastAsiaTheme="minorEastAsia"/>
        </w:rPr>
        <w:tab/>
      </w:r>
      <w:r w:rsidR="00F6138D" w:rsidRPr="00D12CF0">
        <w:t>(</w:t>
      </w:r>
      <w:r w:rsidR="00982D65" w:rsidRPr="00D12CF0">
        <w:t>A</w:t>
      </w:r>
      <w:r w:rsidR="00F6138D" w:rsidRPr="00D12CF0">
        <w:t>5)</w:t>
      </w:r>
    </w:p>
    <w:p w14:paraId="400BD40F" w14:textId="37FBDC45" w:rsidR="005F061E" w:rsidRPr="00D12CF0" w:rsidRDefault="00F6138D" w:rsidP="00D12CF0">
      <w:pPr>
        <w:spacing w:line="480" w:lineRule="auto"/>
        <w:rPr>
          <w:rFonts w:eastAsiaTheme="minorEastAsia"/>
        </w:rPr>
      </w:pPr>
      <w:r w:rsidRPr="00D12CF0">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i</m:t>
            </m:r>
          </m:sub>
        </m:sSub>
      </m:oMath>
      <w:r w:rsidRPr="00D12CF0">
        <w:rPr>
          <w:rFonts w:eastAsiaTheme="minorEastAsia"/>
        </w:rPr>
        <w:t xml:space="preserve"> is the diffusivity of the material (m</w:t>
      </w:r>
      <w:r w:rsidRPr="00D12CF0">
        <w:rPr>
          <w:rFonts w:eastAsiaTheme="minorEastAsia"/>
          <w:vertAlign w:val="superscript"/>
        </w:rPr>
        <w:t>2</w:t>
      </w:r>
      <w:r w:rsidRPr="00D12CF0">
        <w:rPr>
          <w:rFonts w:eastAsiaTheme="minorEastAsia"/>
        </w:rPr>
        <w:t xml:space="preserve">/s) at a given interval </w:t>
      </w:r>
      <w:r w:rsidRPr="00D12CF0">
        <w:rPr>
          <w:rFonts w:eastAsiaTheme="minorEastAsia"/>
          <w:i/>
          <w:iCs/>
        </w:rPr>
        <w:t>i</w:t>
      </w:r>
      <w:r w:rsidRPr="00D12CF0">
        <w:rPr>
          <w:rFonts w:eastAsiaTheme="minorEastAsia"/>
        </w:rPr>
        <w:t xml:space="preserve">, </w:t>
      </w:r>
      <m:oMath>
        <m:r>
          <w:rPr>
            <w:rFonts w:ascii="Cambria Math" w:eastAsiaTheme="minorEastAsia" w:hAnsi="Cambria Math"/>
          </w:rPr>
          <m:t>x</m:t>
        </m:r>
      </m:oMath>
      <w:r w:rsidRPr="00D12CF0">
        <w:rPr>
          <w:rFonts w:eastAsiaTheme="minorEastAsia"/>
        </w:rPr>
        <w:t xml:space="preserve"> is the distance between grid points in (m), and </w:t>
      </w:r>
      <m:oMath>
        <m:r>
          <w:rPr>
            <w:rFonts w:ascii="Cambria Math" w:eastAsiaTheme="minorEastAsia" w:hAnsi="Cambria Math"/>
          </w:rPr>
          <m:t>∆t</m:t>
        </m:r>
      </m:oMath>
      <w:r w:rsidRPr="00D12CF0">
        <w:rPr>
          <w:rFonts w:eastAsiaTheme="minorEastAsia"/>
          <w:i/>
          <w:iCs/>
        </w:rPr>
        <w:t xml:space="preserve"> </w:t>
      </w:r>
      <w:r w:rsidRPr="00D12CF0">
        <w:rPr>
          <w:rFonts w:eastAsiaTheme="minorEastAsia"/>
        </w:rPr>
        <w:t xml:space="preserve">is the variation in time between intervals of </w:t>
      </w:r>
      <w:r w:rsidRPr="00D12CF0">
        <w:rPr>
          <w:rFonts w:eastAsiaTheme="minorEastAsia"/>
          <w:i/>
          <w:iCs/>
        </w:rPr>
        <w:t>n</w:t>
      </w:r>
      <w:r w:rsidRPr="00D12CF0">
        <w:rPr>
          <w:rFonts w:eastAsiaTheme="minorEastAsia"/>
        </w:rPr>
        <w:t xml:space="preserve"> in (sec).</w:t>
      </w:r>
    </w:p>
    <w:p w14:paraId="543E1869" w14:textId="29D96340" w:rsidR="005F061E" w:rsidRDefault="005F061E" w:rsidP="00D12CF0">
      <w:pPr>
        <w:spacing w:line="480" w:lineRule="auto"/>
        <w:rPr>
          <w:rFonts w:eastAsiaTheme="minorEastAsia"/>
          <w:sz w:val="21"/>
          <w:szCs w:val="21"/>
        </w:rPr>
      </w:pPr>
      <w:r w:rsidRPr="00D12CF0">
        <w:rPr>
          <w:rFonts w:eastAsiaTheme="minorEastAsia"/>
        </w:rPr>
        <w:br w:type="page"/>
      </w:r>
      <w:r>
        <w:rPr>
          <w:rFonts w:eastAsiaTheme="minorEastAsia"/>
          <w:noProof/>
          <w:sz w:val="21"/>
          <w:szCs w:val="21"/>
        </w:rPr>
        <w:lastRenderedPageBreak/>
        <w:drawing>
          <wp:inline distT="0" distB="0" distL="0" distR="0" wp14:anchorId="13C15CA1" wp14:editId="287F70C9">
            <wp:extent cx="5411449" cy="2237234"/>
            <wp:effectExtent l="0" t="0" r="0" b="0"/>
            <wp:docPr id="10604502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450232" name="Picture 1060450232"/>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5412948" cy="2237854"/>
                    </a:xfrm>
                    <a:prstGeom prst="rect">
                      <a:avLst/>
                    </a:prstGeom>
                  </pic:spPr>
                </pic:pic>
              </a:graphicData>
            </a:graphic>
          </wp:inline>
        </w:drawing>
      </w:r>
    </w:p>
    <w:p w14:paraId="57194C40" w14:textId="4ADBC06C" w:rsidR="005F061E" w:rsidRPr="00D14F02" w:rsidRDefault="005F061E" w:rsidP="009040BB">
      <w:bookmarkStart w:id="226" w:name="_Toc420995896"/>
      <w:bookmarkStart w:id="227" w:name="_Toc422997483"/>
      <w:r w:rsidRPr="00E04FFB">
        <w:rPr>
          <w:b/>
          <w:bCs/>
        </w:rPr>
        <w:t xml:space="preserve">Figure </w:t>
      </w:r>
      <w:r>
        <w:rPr>
          <w:b/>
          <w:bCs/>
        </w:rPr>
        <w:t>A9</w:t>
      </w:r>
      <w:r w:rsidRPr="00E04FFB">
        <w:rPr>
          <w:b/>
          <w:bCs/>
        </w:rPr>
        <w:t>.</w:t>
      </w:r>
      <w:r w:rsidRPr="00971536">
        <w:t xml:space="preserve"> </w:t>
      </w:r>
      <w:r>
        <w:t xml:space="preserve">One-dimensional diffusive </w:t>
      </w:r>
      <w:r w:rsidRPr="00971536">
        <w:t xml:space="preserve">Fe-Mg </w:t>
      </w:r>
      <w:r>
        <w:t>exchange</w:t>
      </w:r>
      <w:r w:rsidRPr="00971536">
        <w:t xml:space="preserve"> </w:t>
      </w:r>
      <w:r>
        <w:t>simulations</w:t>
      </w:r>
      <w:r w:rsidRPr="00971536">
        <w:t xml:space="preserve"> </w:t>
      </w:r>
      <w:r>
        <w:t>modeling interaction</w:t>
      </w:r>
      <w:r w:rsidRPr="00971536">
        <w:t xml:space="preserve"> between a</w:t>
      </w:r>
      <w:r>
        <w:t>n</w:t>
      </w:r>
      <w:r w:rsidRPr="00971536">
        <w:t xml:space="preserve"> IBC vein and </w:t>
      </w:r>
      <w:r>
        <w:t xml:space="preserve">ambient </w:t>
      </w:r>
      <w:r w:rsidRPr="00971536">
        <w:t>mantle. (a) Numerical model for vein-mantle Fe-Mg reequilibration where</w:t>
      </w:r>
      <w:r>
        <w:t xml:space="preserve"> a diffusivity for</w:t>
      </w:r>
      <w:r w:rsidRPr="00971536">
        <w:t xml:space="preserve"> volume diffusion in olivine at 1200</w:t>
      </w:r>
      <w:r w:rsidRPr="00971536">
        <w:rPr>
          <w:vertAlign w:val="superscript"/>
        </w:rPr>
        <w:t>º</w:t>
      </w:r>
      <w:r w:rsidRPr="00971536">
        <w:t xml:space="preserve">C is </w:t>
      </w:r>
      <w:r w:rsidRPr="00D14F02">
        <w:t>assumed (Dohmen and Chakraborty</w:t>
      </w:r>
      <w:r w:rsidR="00EC6F80">
        <w:t>,</w:t>
      </w:r>
      <w:r w:rsidRPr="00D14F02">
        <w:t xml:space="preserve"> 2007). (b) Numerical model for vein-mantle Fe-Mg reequilibration where a three orders of magnitude faster diffusivity is assumed owing to multidomain effects (Farver </w:t>
      </w:r>
      <w:r w:rsidR="008F5CFC">
        <w:t>et al., 19</w:t>
      </w:r>
      <w:r w:rsidRPr="00D14F02">
        <w:t xml:space="preserve">94). Note the different spatial scales in the two figures (the vein has the same width in both cases). Models assume that the vein and surrounding mantle have the same diffusivities, the equilibrium </w:t>
      </w:r>
      <m:oMath>
        <m:sSubSup>
          <m:sSubSupPr>
            <m:ctrlPr>
              <w:rPr>
                <w:rFonts w:ascii="Cambria Math" w:hAnsi="Cambria Math"/>
              </w:rPr>
            </m:ctrlPr>
          </m:sSubSupPr>
          <m:e>
            <m:sSub>
              <m:sSubPr>
                <m:ctrlPr>
                  <w:rPr>
                    <w:rFonts w:ascii="Cambria Math" w:hAnsi="Cambria Math"/>
                  </w:rPr>
                </m:ctrlPr>
              </m:sSubPr>
              <m:e>
                <m:r>
                  <m:rPr>
                    <m:sty m:val="p"/>
                  </m:rPr>
                  <w:rPr>
                    <w:rFonts w:ascii="Cambria Math" w:hAnsi="Cambria Math"/>
                  </w:rPr>
                  <m:t>K</m:t>
                </m:r>
              </m:e>
              <m:sub>
                <m:r>
                  <m:rPr>
                    <m:sty m:val="p"/>
                  </m:rPr>
                  <w:rPr>
                    <w:rFonts w:ascii="Cambria Math" w:hAnsi="Cambria Math"/>
                  </w:rPr>
                  <m:t>D</m:t>
                </m:r>
              </m:sub>
            </m:sSub>
          </m:e>
          <m:sub>
            <m:r>
              <m:rPr>
                <m:sty m:val="p"/>
              </m:rPr>
              <w:rPr>
                <w:rFonts w:ascii="Cambria Math" w:hAnsi="Cambria Math"/>
              </w:rPr>
              <m:t>Mantle-Vein</m:t>
            </m:r>
          </m:sub>
          <m:sup>
            <m:r>
              <m:rPr>
                <m:sty m:val="p"/>
              </m:rPr>
              <w:rPr>
                <w:rFonts w:ascii="Cambria Math" w:hAnsi="Cambria Math"/>
              </w:rPr>
              <m:t>Fe-Mg</m:t>
            </m:r>
          </m:sup>
        </m:sSubSup>
        <m:r>
          <m:rPr>
            <m:sty m:val="p"/>
          </m:rPr>
          <w:rPr>
            <w:rFonts w:ascii="Cambria Math" w:eastAsiaTheme="minorEastAsia" w:hAnsi="Cambria Math"/>
          </w:rPr>
          <m:t>=</m:t>
        </m:r>
      </m:oMath>
      <w:r w:rsidRPr="00D14F02">
        <w:rPr>
          <w:rFonts w:eastAsiaTheme="minorEastAsia"/>
        </w:rPr>
        <w:t xml:space="preserve"> 1, the initial Mg# of the vein is 28, the initial Mg# of the surrounding mantle is 90, the vein width is 10 m. The assumed diffusivities are 10</w:t>
      </w:r>
      <w:r w:rsidRPr="00D14F02">
        <w:rPr>
          <w:rFonts w:eastAsiaTheme="minorEastAsia"/>
          <w:vertAlign w:val="superscript"/>
        </w:rPr>
        <w:t>-16</w:t>
      </w:r>
      <w:r w:rsidRPr="00D14F02">
        <w:rPr>
          <w:rFonts w:eastAsiaTheme="minorEastAsia"/>
        </w:rPr>
        <w:t xml:space="preserve"> m</w:t>
      </w:r>
      <w:r w:rsidRPr="00D14F02">
        <w:rPr>
          <w:rFonts w:eastAsiaTheme="minorEastAsia"/>
          <w:vertAlign w:val="superscript"/>
        </w:rPr>
        <w:t>2</w:t>
      </w:r>
      <w:r w:rsidRPr="00D14F02">
        <w:rPr>
          <w:rFonts w:eastAsiaTheme="minorEastAsia"/>
        </w:rPr>
        <w:t>/s in (a) and 10</w:t>
      </w:r>
      <w:r w:rsidRPr="00D14F02">
        <w:rPr>
          <w:rFonts w:eastAsiaTheme="minorEastAsia"/>
          <w:vertAlign w:val="superscript"/>
        </w:rPr>
        <w:t>-13</w:t>
      </w:r>
      <w:r w:rsidRPr="00D14F02">
        <w:rPr>
          <w:rFonts w:eastAsiaTheme="minorEastAsia"/>
        </w:rPr>
        <w:t xml:space="preserve"> m</w:t>
      </w:r>
      <w:r w:rsidRPr="00D14F02">
        <w:rPr>
          <w:rFonts w:eastAsiaTheme="minorEastAsia"/>
          <w:vertAlign w:val="superscript"/>
        </w:rPr>
        <w:t>2</w:t>
      </w:r>
      <w:r w:rsidRPr="00D14F02">
        <w:rPr>
          <w:rFonts w:eastAsiaTheme="minorEastAsia"/>
        </w:rPr>
        <w:t xml:space="preserve">/s in (b) </w:t>
      </w:r>
      <w:r w:rsidRPr="00D14F02">
        <w:t xml:space="preserve">(Farver </w:t>
      </w:r>
      <w:r w:rsidR="008F5CFC">
        <w:t>et al., 19</w:t>
      </w:r>
      <w:r w:rsidRPr="00D14F02">
        <w:t>94; Dohmen and Chakraborty</w:t>
      </w:r>
      <w:r w:rsidR="00EC6F80">
        <w:t>,</w:t>
      </w:r>
      <w:r w:rsidRPr="00D14F02">
        <w:t xml:space="preserve"> 2007)</w:t>
      </w:r>
      <w:r w:rsidRPr="00D14F02">
        <w:rPr>
          <w:rFonts w:eastAsiaTheme="minorEastAsia"/>
        </w:rPr>
        <w:t xml:space="preserve">. </w:t>
      </w:r>
    </w:p>
    <w:p w14:paraId="17AE6CD4" w14:textId="77777777" w:rsidR="00F12C72" w:rsidRDefault="00F12C72">
      <w:r>
        <w:br w:type="page"/>
      </w:r>
    </w:p>
    <w:p w14:paraId="6B4B86F2" w14:textId="47EB42A2" w:rsidR="00BF52C7" w:rsidRPr="00BF52C7" w:rsidRDefault="00BF52C7" w:rsidP="00BF52C7">
      <w:pPr>
        <w:rPr>
          <w:b/>
          <w:bCs/>
        </w:rPr>
        <w:sectPr w:rsidR="00BF52C7" w:rsidRPr="00BF52C7" w:rsidSect="00B60E1C">
          <w:pgSz w:w="12240" w:h="15840" w:code="1"/>
          <w:pgMar w:top="1440" w:right="1800" w:bottom="1872" w:left="1800" w:header="720" w:footer="1440" w:gutter="0"/>
          <w:cols w:space="720"/>
          <w:noEndnote/>
          <w:docGrid w:linePitch="360"/>
        </w:sectPr>
      </w:pPr>
    </w:p>
    <w:p w14:paraId="14EE4BB4" w14:textId="2EC6683D" w:rsidR="00BF52C7" w:rsidRDefault="00BF52C7" w:rsidP="00210F03">
      <w:pPr>
        <w:spacing w:line="480" w:lineRule="auto"/>
        <w:jc w:val="center"/>
        <w:rPr>
          <w:rStyle w:val="Strong"/>
        </w:rPr>
      </w:pPr>
      <w:r>
        <w:rPr>
          <w:rStyle w:val="Strong"/>
        </w:rPr>
        <w:lastRenderedPageBreak/>
        <w:t>Appendix A References</w:t>
      </w:r>
    </w:p>
    <w:p w14:paraId="122BAAB0" w14:textId="77777777" w:rsidR="00E213AF" w:rsidRPr="00E213AF" w:rsidRDefault="00E213AF" w:rsidP="009B382D">
      <w:pPr>
        <w:spacing w:line="480" w:lineRule="auto"/>
        <w:ind w:left="450" w:hanging="450"/>
      </w:pPr>
      <w:r w:rsidRPr="00E213AF">
        <w:t>Barr, J.A., and Grove, T.L., 2013, Experimental petrology of the Apollo 15 group A green glasses: Melting primordial lunar mantle and magma ocean cumulate assimilation: Geochimica et Cosmochimica Acta, v. 106, p. 216–230, doi:</w:t>
      </w:r>
      <w:hyperlink r:id="rId176" w:history="1">
        <w:r w:rsidRPr="00E213AF">
          <w:rPr>
            <w:color w:val="0000FF"/>
            <w:u w:val="single"/>
          </w:rPr>
          <w:t>10.1016/j.gca.2012.12.035</w:t>
        </w:r>
      </w:hyperlink>
      <w:r w:rsidRPr="00E213AF">
        <w:t>.</w:t>
      </w:r>
    </w:p>
    <w:p w14:paraId="303FEF44" w14:textId="77777777" w:rsidR="00E213AF" w:rsidRPr="00E213AF" w:rsidRDefault="00E213AF" w:rsidP="009B382D">
      <w:pPr>
        <w:spacing w:line="480" w:lineRule="auto"/>
        <w:ind w:left="450" w:hanging="450"/>
      </w:pPr>
      <w:r w:rsidRPr="00E213AF">
        <w:t>Brown, S.M., and Grove, T.L., 2015, Origin of the Apollo 14, 15, and 17 yellow ultramafic glasses by mixing of deep cumulate remelts: Geochimica et Cosmochimica Acta, v. 171, p. 201–215, doi:</w:t>
      </w:r>
      <w:hyperlink r:id="rId177" w:history="1">
        <w:r w:rsidRPr="00E213AF">
          <w:rPr>
            <w:color w:val="0000FF"/>
            <w:u w:val="single"/>
          </w:rPr>
          <w:t>10.1016/j.gca.2015.09.001</w:t>
        </w:r>
      </w:hyperlink>
      <w:r w:rsidRPr="00E213AF">
        <w:t>.</w:t>
      </w:r>
    </w:p>
    <w:p w14:paraId="1FCAC891" w14:textId="77777777" w:rsidR="00E213AF" w:rsidRPr="00E213AF" w:rsidRDefault="00E213AF" w:rsidP="009B382D">
      <w:pPr>
        <w:spacing w:line="480" w:lineRule="auto"/>
        <w:ind w:left="450" w:hanging="450"/>
      </w:pPr>
      <w:r w:rsidRPr="00E213AF">
        <w:t xml:space="preserve">Crank, J., 1975, Infinite and Semi-Infinite Media, </w:t>
      </w:r>
      <w:r w:rsidRPr="00E213AF">
        <w:rPr>
          <w:i/>
          <w:iCs/>
        </w:rPr>
        <w:t>in</w:t>
      </w:r>
      <w:r w:rsidRPr="00E213AF">
        <w:t xml:space="preserve"> The Manthematics of Diffusion, Oxford university press, p. 28–43.</w:t>
      </w:r>
    </w:p>
    <w:p w14:paraId="417D1361" w14:textId="77777777" w:rsidR="00E213AF" w:rsidRPr="00E213AF" w:rsidRDefault="00E213AF" w:rsidP="009B382D">
      <w:pPr>
        <w:spacing w:line="480" w:lineRule="auto"/>
        <w:ind w:left="450" w:hanging="450"/>
      </w:pPr>
      <w:r w:rsidRPr="00E213AF">
        <w:t>Dohmen, R., and Chakraborty, S., 2007, Fe–Mg diffusion in olivine II: point defect chemistry, change of diffusion mechanisms and a model for calculation of diffusion coefficients in natural olivine: Physics and Chemistry of Minerals, v. 34, p. 409–430, doi:</w:t>
      </w:r>
      <w:hyperlink r:id="rId178" w:history="1">
        <w:r w:rsidRPr="00E213AF">
          <w:rPr>
            <w:color w:val="0000FF"/>
            <w:u w:val="single"/>
          </w:rPr>
          <w:t>10.1007/s00269-007-0158-6</w:t>
        </w:r>
      </w:hyperlink>
      <w:r w:rsidRPr="00E213AF">
        <w:t>.</w:t>
      </w:r>
    </w:p>
    <w:p w14:paraId="765D4C9F" w14:textId="77777777" w:rsidR="00E213AF" w:rsidRPr="00E213AF" w:rsidRDefault="00E213AF" w:rsidP="009B382D">
      <w:pPr>
        <w:spacing w:line="480" w:lineRule="auto"/>
        <w:ind w:left="450" w:hanging="450"/>
      </w:pPr>
      <w:r w:rsidRPr="00E213AF">
        <w:t>Draper, D.S., duFrane, S.A., Shearer, C.K., Dwarzski, R.E., and Agee, C.B., 2006, High-pressure phase equilibria and element partitioning experiments on Apollo 15 green C picritic glass: Implications for the role of garnet in the deep lunar interior: Geochimica et Cosmochimica Acta, v. 70, p. 2400–2416, doi:</w:t>
      </w:r>
      <w:hyperlink r:id="rId179" w:history="1">
        <w:r w:rsidRPr="00E213AF">
          <w:rPr>
            <w:color w:val="0000FF"/>
            <w:u w:val="single"/>
          </w:rPr>
          <w:t>10.1016/j.gca.2006.01.027</w:t>
        </w:r>
      </w:hyperlink>
      <w:r w:rsidRPr="00E213AF">
        <w:t>.</w:t>
      </w:r>
    </w:p>
    <w:p w14:paraId="74516E8A" w14:textId="77777777" w:rsidR="00E213AF" w:rsidRPr="00E213AF" w:rsidRDefault="00E213AF" w:rsidP="009B382D">
      <w:pPr>
        <w:spacing w:line="480" w:lineRule="auto"/>
        <w:ind w:left="450" w:hanging="450"/>
      </w:pPr>
      <w:r w:rsidRPr="00E213AF">
        <w:t xml:space="preserve">Elkins-Tanton, L.T., Burgess, S., and Yin, Q.-Z., 2011, The lunar magma ocean: Reconciling the solidification process with lunar petrology and geochronology: </w:t>
      </w:r>
      <w:r w:rsidRPr="00E213AF">
        <w:lastRenderedPageBreak/>
        <w:t>Earth and Planetary Science Letters, v. 304, p. 326–336, doi:</w:t>
      </w:r>
      <w:hyperlink r:id="rId180" w:history="1">
        <w:r w:rsidRPr="00E213AF">
          <w:rPr>
            <w:color w:val="0000FF"/>
            <w:u w:val="single"/>
          </w:rPr>
          <w:t>10.1016/j.epsl.2011.02.004</w:t>
        </w:r>
      </w:hyperlink>
      <w:r w:rsidRPr="00E213AF">
        <w:t>.</w:t>
      </w:r>
    </w:p>
    <w:p w14:paraId="730A8ADB" w14:textId="77777777" w:rsidR="00E213AF" w:rsidRPr="00E213AF" w:rsidRDefault="00E213AF" w:rsidP="009B382D">
      <w:pPr>
        <w:spacing w:line="480" w:lineRule="auto"/>
        <w:ind w:left="450" w:hanging="450"/>
      </w:pPr>
      <w:r w:rsidRPr="00E213AF">
        <w:t>Elkins-Tanton, L.T., Chatterjee, N., and Grove, T.L., 2003, Experimental and petrological constraints on lunar differentiation from the Apollo 15 green picritic glasses: Meteoritics &amp; Planetary Science, v. 38, p. 515–527, doi:</w:t>
      </w:r>
      <w:hyperlink r:id="rId181" w:history="1">
        <w:r w:rsidRPr="00E213AF">
          <w:rPr>
            <w:color w:val="0000FF"/>
            <w:u w:val="single"/>
          </w:rPr>
          <w:t>10.1111/j.1945-5100.2003.tb00024.x</w:t>
        </w:r>
      </w:hyperlink>
      <w:r w:rsidRPr="00E213AF">
        <w:t>.</w:t>
      </w:r>
    </w:p>
    <w:p w14:paraId="767DF4F5" w14:textId="77777777" w:rsidR="00E213AF" w:rsidRPr="00E213AF" w:rsidRDefault="00E213AF" w:rsidP="009B382D">
      <w:pPr>
        <w:spacing w:line="480" w:lineRule="auto"/>
        <w:ind w:left="450" w:hanging="450"/>
      </w:pPr>
      <w:r w:rsidRPr="00E213AF">
        <w:t>Farver, J.R., Yund, R.A., and Rubie, D.C., 1994, Magnesium grain boundary diffusion in forsterite aggregates at 1000°–1300°C and 0.1 MPa to 10 GPa: Journal of Geophysical Research: Solid Earth, v. 99, p. 19809–19819, doi:</w:t>
      </w:r>
      <w:hyperlink r:id="rId182" w:history="1">
        <w:r w:rsidRPr="00E213AF">
          <w:rPr>
            <w:color w:val="0000FF"/>
            <w:u w:val="single"/>
          </w:rPr>
          <w:t>10.1029/94JB01250</w:t>
        </w:r>
      </w:hyperlink>
      <w:r w:rsidRPr="00E213AF">
        <w:t>.</w:t>
      </w:r>
    </w:p>
    <w:p w14:paraId="592B4F84" w14:textId="77777777" w:rsidR="00E213AF" w:rsidRPr="00E213AF" w:rsidRDefault="00E213AF" w:rsidP="009B382D">
      <w:pPr>
        <w:spacing w:line="480" w:lineRule="auto"/>
        <w:ind w:left="450" w:hanging="450"/>
      </w:pPr>
      <w:r w:rsidRPr="00E213AF">
        <w:t>Hu, Y., Dera, P., and Zhuravlev, K., 2015, Single-crystal diffraction and Raman spectroscopy of hedenbergite up to 33 GPa: Physics and Chemistry of Minerals, v. 42, p. 595–608, doi:</w:t>
      </w:r>
      <w:hyperlink r:id="rId183" w:history="1">
        <w:r w:rsidRPr="00E213AF">
          <w:rPr>
            <w:color w:val="0000FF"/>
            <w:u w:val="single"/>
          </w:rPr>
          <w:t>10.1007/s00269-015-0747-8</w:t>
        </w:r>
      </w:hyperlink>
      <w:r w:rsidRPr="00E213AF">
        <w:t>.</w:t>
      </w:r>
    </w:p>
    <w:p w14:paraId="6D96662C" w14:textId="77777777" w:rsidR="00E213AF" w:rsidRPr="00E213AF" w:rsidRDefault="00E213AF" w:rsidP="009B382D">
      <w:pPr>
        <w:spacing w:line="480" w:lineRule="auto"/>
        <w:ind w:left="450" w:hanging="450"/>
      </w:pPr>
      <w:r w:rsidRPr="00E213AF">
        <w:t>Krawczynski, M.J., and Grove, T.L., 2012, Experimental investigation of the influence of oxygen fugacity on the source depths for high titanium lunar ultramafic magmas: Geochimica et Cosmochimica Acta, v. 79, p. 1–19, doi:</w:t>
      </w:r>
      <w:hyperlink r:id="rId184" w:history="1">
        <w:r w:rsidRPr="00E213AF">
          <w:rPr>
            <w:color w:val="0000FF"/>
            <w:u w:val="single"/>
          </w:rPr>
          <w:t>10.1016/j.gca.2011.10.043</w:t>
        </w:r>
      </w:hyperlink>
      <w:r w:rsidRPr="00E213AF">
        <w:t>.</w:t>
      </w:r>
    </w:p>
    <w:p w14:paraId="3DDAA36A" w14:textId="77777777" w:rsidR="00E213AF" w:rsidRPr="00E213AF" w:rsidRDefault="00E213AF" w:rsidP="009B382D">
      <w:pPr>
        <w:spacing w:line="480" w:lineRule="auto"/>
        <w:ind w:left="450" w:hanging="450"/>
      </w:pPr>
      <w:r w:rsidRPr="00E213AF">
        <w:t>Lin, Y., Tronche, E.J., Steenstra, E.S., and van Westrenen, W., 2017, Evidence for an early wet Moon from experimental crystallization of the lunar magma ocean: Nature Geoscience, v. 10, p. 14–18, doi:</w:t>
      </w:r>
      <w:hyperlink r:id="rId185" w:history="1">
        <w:r w:rsidRPr="00E213AF">
          <w:rPr>
            <w:color w:val="0000FF"/>
            <w:u w:val="single"/>
          </w:rPr>
          <w:t>10.1038/ngeo2845</w:t>
        </w:r>
      </w:hyperlink>
      <w:r w:rsidRPr="00E213AF">
        <w:t>.</w:t>
      </w:r>
    </w:p>
    <w:p w14:paraId="07BBF60C" w14:textId="77777777" w:rsidR="00E213AF" w:rsidRPr="00E213AF" w:rsidRDefault="00E213AF" w:rsidP="009B382D">
      <w:pPr>
        <w:spacing w:line="480" w:lineRule="auto"/>
        <w:ind w:left="450" w:hanging="450"/>
      </w:pPr>
      <w:r w:rsidRPr="00E213AF">
        <w:t>Liu, W., and Li, B., 2006, Thermal equation of state of (Mg0.9Fe0.1)2SiO4 olivine: Physics of the Earth and Planetary Interiors, v. 157, p. 188–195, doi:</w:t>
      </w:r>
      <w:hyperlink r:id="rId186" w:history="1">
        <w:r w:rsidRPr="00E213AF">
          <w:rPr>
            <w:color w:val="0000FF"/>
            <w:u w:val="single"/>
          </w:rPr>
          <w:t>10.1016/j.pepi.2006.04.003</w:t>
        </w:r>
      </w:hyperlink>
      <w:r w:rsidRPr="00E213AF">
        <w:t>.</w:t>
      </w:r>
    </w:p>
    <w:p w14:paraId="50DAEA59" w14:textId="77777777" w:rsidR="00E213AF" w:rsidRPr="00E213AF" w:rsidRDefault="00E213AF" w:rsidP="009B382D">
      <w:pPr>
        <w:spacing w:line="480" w:lineRule="auto"/>
        <w:ind w:left="450" w:hanging="450"/>
      </w:pPr>
      <w:r w:rsidRPr="00E213AF">
        <w:lastRenderedPageBreak/>
        <w:t xml:space="preserve">Özısık, M.N., 1993, Finite-difference Methods, </w:t>
      </w:r>
      <w:r w:rsidRPr="00E213AF">
        <w:rPr>
          <w:i/>
          <w:iCs/>
        </w:rPr>
        <w:t>in</w:t>
      </w:r>
      <w:r w:rsidRPr="00E213AF">
        <w:t xml:space="preserve"> Heat conduction, John Wiley &amp; Sons, p. 436–501.</w:t>
      </w:r>
    </w:p>
    <w:p w14:paraId="795D36D0" w14:textId="77777777" w:rsidR="00E213AF" w:rsidRPr="00E213AF" w:rsidRDefault="00E213AF" w:rsidP="009B382D">
      <w:pPr>
        <w:spacing w:line="480" w:lineRule="auto"/>
        <w:ind w:left="450" w:hanging="450"/>
      </w:pPr>
      <w:r w:rsidRPr="00E213AF">
        <w:t>Van Orman, J.A., and Grove, T.L., 2000, Origin of lunar high-titanium ultramafic glasses: Constraints from phase relations and dissolution kinetics of clinopyroxene-ilmenite cumulates: Meteoritics &amp; Planetary Science, v. 35, p. 783–794, doi:</w:t>
      </w:r>
      <w:hyperlink r:id="rId187" w:history="1">
        <w:r w:rsidRPr="00E213AF">
          <w:rPr>
            <w:color w:val="0000FF"/>
            <w:u w:val="single"/>
          </w:rPr>
          <w:t>10.1111/j.1945-5100.2000.tb01462.x</w:t>
        </w:r>
      </w:hyperlink>
      <w:r w:rsidRPr="00E213AF">
        <w:t>.</w:t>
      </w:r>
    </w:p>
    <w:p w14:paraId="080CCBA4" w14:textId="77777777" w:rsidR="00E213AF" w:rsidRPr="00E213AF" w:rsidRDefault="00E213AF" w:rsidP="009B382D">
      <w:pPr>
        <w:spacing w:line="480" w:lineRule="auto"/>
        <w:ind w:left="450" w:hanging="450"/>
      </w:pPr>
      <w:r w:rsidRPr="00E213AF">
        <w:t>Zhang, Y., 2009, Geochemical Kinetics: Princetion University Press, 664 p.</w:t>
      </w:r>
    </w:p>
    <w:p w14:paraId="6DED12A4" w14:textId="77777777" w:rsidR="00E213AF" w:rsidRPr="00E213AF" w:rsidRDefault="00E213AF" w:rsidP="009B382D">
      <w:pPr>
        <w:spacing w:line="480" w:lineRule="auto"/>
        <w:ind w:left="450" w:hanging="450"/>
      </w:pPr>
      <w:r w:rsidRPr="00E213AF">
        <w:t>Zhang, N., Dygert, N., Liang, Y., and Parmentier, E.M., 2017, The effect of ilmenite viscosity on the dynamics and evolution of an overturned lunar cumulate mantle: Geophysical Research Letters, v. 44, p. 6543–6552, doi:</w:t>
      </w:r>
      <w:hyperlink r:id="rId188" w:history="1">
        <w:r w:rsidRPr="00E213AF">
          <w:rPr>
            <w:color w:val="0000FF"/>
            <w:u w:val="single"/>
          </w:rPr>
          <w:t>10.1002/2017GL073702</w:t>
        </w:r>
      </w:hyperlink>
      <w:r w:rsidRPr="00E213AF">
        <w:t>.</w:t>
      </w:r>
    </w:p>
    <w:p w14:paraId="3AF10308" w14:textId="77777777" w:rsidR="00E213AF" w:rsidRPr="00E213AF" w:rsidRDefault="00E213AF" w:rsidP="009B382D">
      <w:pPr>
        <w:spacing w:line="480" w:lineRule="auto"/>
        <w:ind w:left="450" w:hanging="450"/>
      </w:pPr>
      <w:r w:rsidRPr="00E213AF">
        <w:t>Zhang, Y., Walker, D., and Lesher, C.E., 1989, Diffusive crystal dissolution: Contributions to Mineralogy and Petrology, v. 102, p. 492–513, doi:</w:t>
      </w:r>
      <w:hyperlink r:id="rId189" w:history="1">
        <w:r w:rsidRPr="00E213AF">
          <w:rPr>
            <w:color w:val="0000FF"/>
            <w:u w:val="single"/>
          </w:rPr>
          <w:t>10.1007/BF00371090</w:t>
        </w:r>
      </w:hyperlink>
      <w:r w:rsidRPr="00E213AF">
        <w:t>.</w:t>
      </w:r>
    </w:p>
    <w:p w14:paraId="26386F15" w14:textId="77777777" w:rsidR="00BF52C7" w:rsidRPr="00BF52C7" w:rsidRDefault="00BF52C7" w:rsidP="00BF52C7">
      <w:pPr>
        <w:tabs>
          <w:tab w:val="left" w:pos="1762"/>
        </w:tabs>
        <w:jc w:val="center"/>
        <w:rPr>
          <w:rStyle w:val="Strong"/>
        </w:rPr>
      </w:pPr>
    </w:p>
    <w:p w14:paraId="2F7A5F98" w14:textId="77777777" w:rsidR="00BF52C7" w:rsidRDefault="00BF52C7" w:rsidP="00BF52C7">
      <w:pPr>
        <w:tabs>
          <w:tab w:val="left" w:pos="1762"/>
        </w:tabs>
        <w:rPr>
          <w:sz w:val="28"/>
        </w:rPr>
      </w:pPr>
    </w:p>
    <w:p w14:paraId="78A55464" w14:textId="3B1F31E9" w:rsidR="00BF52C7" w:rsidRPr="00BF52C7" w:rsidRDefault="00BF52C7" w:rsidP="00BF52C7">
      <w:pPr>
        <w:tabs>
          <w:tab w:val="left" w:pos="1762"/>
        </w:tabs>
        <w:rPr>
          <w:sz w:val="28"/>
        </w:rPr>
        <w:sectPr w:rsidR="00BF52C7" w:rsidRPr="00BF52C7" w:rsidSect="004B09F9">
          <w:pgSz w:w="12240" w:h="15840" w:code="1"/>
          <w:pgMar w:top="1440" w:right="1800" w:bottom="1872" w:left="1800" w:header="720" w:footer="1440" w:gutter="0"/>
          <w:cols w:space="720"/>
          <w:noEndnote/>
          <w:docGrid w:linePitch="360"/>
        </w:sectPr>
      </w:pPr>
    </w:p>
    <w:p w14:paraId="7CC7DAE0" w14:textId="6727F0F4" w:rsidR="00676E6A" w:rsidRPr="0049466B" w:rsidRDefault="00676E6A" w:rsidP="001F2E4E">
      <w:pPr>
        <w:pStyle w:val="Chapter"/>
      </w:pPr>
      <w:bookmarkStart w:id="228" w:name="_Toc182331743"/>
      <w:bookmarkStart w:id="229" w:name="_Toc182995469"/>
      <w:bookmarkStart w:id="230" w:name="_Toc183536586"/>
      <w:bookmarkStart w:id="231" w:name="_Toc184727390"/>
      <w:bookmarkStart w:id="232" w:name="_Toc185325637"/>
      <w:r w:rsidRPr="0049466B">
        <w:lastRenderedPageBreak/>
        <w:t>Trace Element and Isotopic Evolution of the Lunar Interior During Magma Ocean Solidification, Cumulate Overturn</w:t>
      </w:r>
      <w:r w:rsidR="00AF3DDF" w:rsidRPr="0049466B">
        <w:t>,</w:t>
      </w:r>
      <w:r w:rsidRPr="0049466B">
        <w:t xml:space="preserve"> and Subsequent Melting: Insights into Lunar Melt Sources</w:t>
      </w:r>
      <w:bookmarkEnd w:id="228"/>
      <w:bookmarkEnd w:id="229"/>
      <w:bookmarkEnd w:id="230"/>
      <w:bookmarkEnd w:id="231"/>
      <w:bookmarkEnd w:id="232"/>
    </w:p>
    <w:p w14:paraId="21218E8D" w14:textId="6CA2274F" w:rsidR="00676E6A" w:rsidRPr="0049466B" w:rsidRDefault="00676E6A">
      <w:pPr>
        <w:rPr>
          <w:highlight w:val="lightGray"/>
        </w:rPr>
      </w:pPr>
    </w:p>
    <w:p w14:paraId="0C73C4DB" w14:textId="77777777" w:rsidR="00481A49" w:rsidRPr="0049466B" w:rsidRDefault="00481A49">
      <w:r w:rsidRPr="0049466B">
        <w:br w:type="page"/>
      </w:r>
    </w:p>
    <w:p w14:paraId="229464F3" w14:textId="62F7F637" w:rsidR="00AB0FF7" w:rsidRPr="0073642C" w:rsidRDefault="00332701" w:rsidP="002237F3">
      <w:pPr>
        <w:spacing w:line="480" w:lineRule="auto"/>
        <w:ind w:firstLine="720"/>
      </w:pPr>
      <w:r w:rsidRPr="002F3782">
        <w:lastRenderedPageBreak/>
        <w:t xml:space="preserve">A version of this </w:t>
      </w:r>
      <w:r w:rsidR="00997D9B">
        <w:t>c</w:t>
      </w:r>
      <w:r w:rsidRPr="002F3782">
        <w:t>hapter</w:t>
      </w:r>
      <w:r w:rsidR="0073642C">
        <w:t xml:space="preserve"> and the</w:t>
      </w:r>
      <w:r w:rsidR="00AC7865">
        <w:t xml:space="preserve"> script</w:t>
      </w:r>
      <w:r w:rsidR="0073642C">
        <w:t xml:space="preserve"> used in this chapter</w:t>
      </w:r>
      <w:r w:rsidRPr="002F3782">
        <w:t xml:space="preserve"> </w:t>
      </w:r>
      <w:r w:rsidR="00FA6CB4">
        <w:t>has been</w:t>
      </w:r>
      <w:r w:rsidR="00072F6B">
        <w:t xml:space="preserve"> submitted</w:t>
      </w:r>
      <w:r>
        <w:t xml:space="preserve"> to the </w:t>
      </w:r>
      <w:r w:rsidRPr="0073642C">
        <w:t>Journal of Geophysical Research: Planets, by Jesse L. Scholpp and Nicholas Dygert</w:t>
      </w:r>
      <w:r w:rsidR="00AC7865">
        <w:t xml:space="preserve"> for publication</w:t>
      </w:r>
      <w:r w:rsidR="00072F6B" w:rsidRPr="0073642C">
        <w:t>.</w:t>
      </w:r>
    </w:p>
    <w:p w14:paraId="711F30B8" w14:textId="32CC8749" w:rsidR="0073642C" w:rsidRPr="0073642C" w:rsidRDefault="0073642C" w:rsidP="0073642C">
      <w:pPr>
        <w:spacing w:line="480" w:lineRule="auto"/>
        <w:ind w:firstLine="720"/>
        <w:jc w:val="both"/>
      </w:pPr>
      <w:r w:rsidRPr="0073642C">
        <w:t>J.</w:t>
      </w:r>
      <w:r>
        <w:t>L.</w:t>
      </w:r>
      <w:r w:rsidRPr="0073642C">
        <w:t xml:space="preserve"> Scholpp and N. Dygert. (2024b) “A Geochemical Model for Lunar Magma Ocean Solidification.” Zenodo, </w:t>
      </w:r>
      <w:r w:rsidR="00694EE3" w:rsidRPr="00E213AF">
        <w:t>doi:</w:t>
      </w:r>
      <w:hyperlink r:id="rId190" w:history="1">
        <w:r w:rsidR="00694EE3">
          <w:rPr>
            <w:color w:val="0000FF"/>
            <w:u w:val="single"/>
          </w:rPr>
          <w:t>10.5281/zenodo.14172014</w:t>
        </w:r>
      </w:hyperlink>
    </w:p>
    <w:p w14:paraId="7B9DD5C7" w14:textId="753C3D91" w:rsidR="0073642C" w:rsidRDefault="0073642C" w:rsidP="003F15E0">
      <w:pPr>
        <w:spacing w:line="480" w:lineRule="auto"/>
        <w:ind w:firstLine="720"/>
        <w:jc w:val="both"/>
      </w:pPr>
      <w:r w:rsidRPr="0073642C">
        <w:t>J.</w:t>
      </w:r>
      <w:r>
        <w:t>L.</w:t>
      </w:r>
      <w:r w:rsidRPr="0073642C">
        <w:t xml:space="preserve"> Scholpp and N. Dygert (in review) “Trace Element and Isotopic Evolution of the Lunar Interior During Magma Ocean Solidification, Cumulate Overturn and Subsequent Melting: Insights into Lunar Melt Sources” </w:t>
      </w:r>
      <w:r w:rsidRPr="0073642C">
        <w:rPr>
          <w:i/>
          <w:iCs/>
        </w:rPr>
        <w:t>The Journal of Geophysical Research: Planets</w:t>
      </w:r>
    </w:p>
    <w:p w14:paraId="0F4A521F" w14:textId="77777777" w:rsidR="00284532" w:rsidRPr="008766FC" w:rsidRDefault="00284532" w:rsidP="00284532">
      <w:pPr>
        <w:spacing w:line="480" w:lineRule="auto"/>
        <w:rPr>
          <w:b/>
          <w:bCs/>
        </w:rPr>
      </w:pPr>
      <w:r w:rsidRPr="008766FC">
        <w:rPr>
          <w:b/>
          <w:bCs/>
        </w:rPr>
        <w:t>Key Points:</w:t>
      </w:r>
    </w:p>
    <w:p w14:paraId="0DBEF876" w14:textId="77777777" w:rsidR="006D0D62" w:rsidRPr="00284532" w:rsidRDefault="006D0D62" w:rsidP="00A21A60">
      <w:pPr>
        <w:pStyle w:val="ListParagraph"/>
        <w:numPr>
          <w:ilvl w:val="0"/>
          <w:numId w:val="18"/>
        </w:numPr>
        <w:spacing w:line="480" w:lineRule="auto"/>
        <w:rPr>
          <w:i w:val="0"/>
          <w:iCs w:val="0"/>
        </w:rPr>
      </w:pPr>
      <w:bookmarkStart w:id="233" w:name="_Toc182995470"/>
      <w:r w:rsidRPr="00284532">
        <w:rPr>
          <w:i w:val="0"/>
          <w:iCs w:val="0"/>
        </w:rPr>
        <w:t>The heavy rare earth element depleted composition of some high-Ti lunar melts requires mantle garnet to explain.</w:t>
      </w:r>
    </w:p>
    <w:p w14:paraId="724E72B3" w14:textId="77777777" w:rsidR="006D0D62" w:rsidRPr="00284532" w:rsidRDefault="006D0D62" w:rsidP="00A21A60">
      <w:pPr>
        <w:pStyle w:val="ListParagraph"/>
        <w:numPr>
          <w:ilvl w:val="0"/>
          <w:numId w:val="18"/>
        </w:numPr>
        <w:spacing w:line="480" w:lineRule="auto"/>
        <w:rPr>
          <w:i w:val="0"/>
          <w:iCs w:val="0"/>
        </w:rPr>
      </w:pPr>
      <w:r w:rsidRPr="00284532">
        <w:rPr>
          <w:i w:val="0"/>
          <w:iCs w:val="0"/>
        </w:rPr>
        <w:t>Plagioclase floatation during lunar magma ocean solidification must be highly efficient to explain the Eu anomaly in lunar melts.</w:t>
      </w:r>
    </w:p>
    <w:p w14:paraId="469320D5" w14:textId="77777777" w:rsidR="006D0D62" w:rsidRPr="00E1349D" w:rsidRDefault="006D0D62" w:rsidP="00A21A60">
      <w:pPr>
        <w:pStyle w:val="ListParagraph"/>
        <w:numPr>
          <w:ilvl w:val="0"/>
          <w:numId w:val="18"/>
        </w:numPr>
        <w:spacing w:line="480" w:lineRule="auto"/>
        <w:rPr>
          <w:i w:val="0"/>
          <w:iCs w:val="0"/>
        </w:rPr>
      </w:pPr>
      <w:r w:rsidRPr="00284532">
        <w:rPr>
          <w:i w:val="0"/>
          <w:iCs w:val="0"/>
        </w:rPr>
        <w:t>Cumulate overturn, and mantle hybridization could explain the Lu-Hf and Sm-Nd isotope ratios of lunar basalts.</w:t>
      </w:r>
    </w:p>
    <w:p w14:paraId="343D8072" w14:textId="6808EF62" w:rsidR="00284532" w:rsidRPr="006F74D0" w:rsidRDefault="00284532" w:rsidP="006F74D0">
      <w:pPr>
        <w:pStyle w:val="NonNumberedHeading2"/>
        <w:spacing w:line="480" w:lineRule="auto"/>
      </w:pPr>
      <w:bookmarkStart w:id="234" w:name="_Toc183536587"/>
      <w:bookmarkStart w:id="235" w:name="_Toc184727391"/>
      <w:bookmarkStart w:id="236" w:name="_Toc185325638"/>
      <w:r w:rsidRPr="006F74D0">
        <w:t>Abstract</w:t>
      </w:r>
      <w:bookmarkEnd w:id="233"/>
      <w:bookmarkEnd w:id="234"/>
      <w:bookmarkEnd w:id="235"/>
      <w:bookmarkEnd w:id="236"/>
    </w:p>
    <w:p w14:paraId="52622079" w14:textId="714539E1" w:rsidR="00284532" w:rsidRPr="00284532" w:rsidRDefault="00284532" w:rsidP="006F74D0">
      <w:pPr>
        <w:spacing w:line="480" w:lineRule="auto"/>
        <w:ind w:firstLine="720"/>
      </w:pPr>
      <w:r w:rsidRPr="00284532">
        <w:t>Solidification of a lunar magma ocean (LMO) after a giant impact event formed the Moon’s gravitationally unstable juvenile mantle. Hybridization of the lunar mantle during the overturn of late-crystallized Fe- and Ti-rich ilmenite-bearing cumulates (IBC) in the lunar interior is called upon to explain the variable TiO</w:t>
      </w:r>
      <w:r w:rsidRPr="00284532">
        <w:rPr>
          <w:vertAlign w:val="subscript"/>
        </w:rPr>
        <w:t>2</w:t>
      </w:r>
      <w:r w:rsidRPr="00284532">
        <w:t xml:space="preserve"> and REE abundances of basalts and picritic melts. We model chemical fractionation during LMO solidification, </w:t>
      </w:r>
      <w:r w:rsidRPr="00284532">
        <w:lastRenderedPageBreak/>
        <w:t>mantle hybridization, and partial melting of hybridized and unhybridized cumulates to evaluate the formation of lunar picritic glasses. Solidification models indicate that plagioclase floatation efficiency during LMO solidification must be &gt;90% to explain the negative Eu anomaly demonstrated by lunar picritic glasses. Melting models demonstrate that unhybridized cumulates could produce low-Ti picritic glasses but not high-Ti glasses. Post-hybridization melting models demonstrate that hybridized garnet-free sources can generate elemental ratios of many intermediate to high-Ti lunar picritic glasses. The Heavy Rare Earth Element depleted compositions of orange picritic glasses require a ~0.25-5% garnet component in the downwelling IBC or hybridized sources. If the LMO extended to the core-mantle boundary, garnet may have only formed in the lunar mantle after cumulate overturn occurred. The Lu-Hf and Sm-Nd isotope ratios of lunar samples are consistent with elemental abundances, suggesting the isotopic characteristics of mantle sources reflect primary lunar differentiation. High-Ti basalt isotope ratios can be modeled as hybridized mixtures of late and early crystallizing cumulates. We argue that the combined elemental and isotopic characteristics of high-Ti picritic glasses and basalts are strong evidence of cumulate overturn during early lunar differentiation.</w:t>
      </w:r>
    </w:p>
    <w:p w14:paraId="1984AE62" w14:textId="77777777" w:rsidR="00284532" w:rsidRPr="00AA1A29" w:rsidRDefault="00284532" w:rsidP="00284532">
      <w:pPr>
        <w:spacing w:line="480" w:lineRule="auto"/>
        <w:rPr>
          <w:b/>
          <w:bCs/>
        </w:rPr>
      </w:pPr>
      <w:r w:rsidRPr="00AA1A29">
        <w:rPr>
          <w:b/>
          <w:bCs/>
        </w:rPr>
        <w:t>Plain Language Summary</w:t>
      </w:r>
    </w:p>
    <w:p w14:paraId="122292B6" w14:textId="77777777" w:rsidR="00284532" w:rsidRDefault="00284532" w:rsidP="00AA1A29">
      <w:pPr>
        <w:spacing w:line="480" w:lineRule="auto"/>
        <w:ind w:firstLine="720"/>
      </w:pPr>
      <w:r w:rsidRPr="00284532">
        <w:t xml:space="preserve">The Moon's magma ocean formed after a giant planetary impact event. Solidification of the lunar magma ocean created an unstable density distribution within the Moon’s mantle. Reorganization of unstable mantle material during overturn events would transport dense rocks from the upper to the lower lunar mantle. This could explain </w:t>
      </w:r>
      <w:r w:rsidRPr="00284532">
        <w:lastRenderedPageBreak/>
        <w:t xml:space="preserve">the varying elemental compositions observed in lunar mantle derived rock (solidified melt) samples. To better understand lunar mantle melt formation, we modeled how elements were separated during magma ocean solidification, mixing of mantle materials during overturn events, and melting of both mixed and unmixed mantle rocks. Our models suggest that more than 90% of certain minerals must have floated to the surface, forming crust during solidification. The models also show that melting of unmixed mantle rocks could have formed low-titanium mantle melts, however; mantle mixing is required to produce intermediate- to high-titanium mantle melts. Some high-titanium mantle melts need a small amount of a mineral called garnet in their source. If the magma ocean was deep, garnet should only form after an overturn event. Isotopic data from lunar rocks support the idea that density reorganization events occurred, with high-titanium basalts showing evidence of mixing between early and late crystallizing materials. </w:t>
      </w:r>
    </w:p>
    <w:p w14:paraId="2E5D868B" w14:textId="77777777" w:rsidR="00CF669C" w:rsidRPr="00557062" w:rsidRDefault="00CF669C" w:rsidP="002F7368">
      <w:pPr>
        <w:pStyle w:val="Heading2"/>
      </w:pPr>
      <w:bookmarkStart w:id="237" w:name="_Toc182995471"/>
      <w:bookmarkStart w:id="238" w:name="_Toc183536588"/>
      <w:bookmarkStart w:id="239" w:name="_Toc184727392"/>
      <w:bookmarkStart w:id="240" w:name="_Toc185325639"/>
      <w:r w:rsidRPr="00557062">
        <w:t>Introduction</w:t>
      </w:r>
      <w:bookmarkEnd w:id="237"/>
      <w:bookmarkEnd w:id="238"/>
      <w:bookmarkEnd w:id="239"/>
      <w:bookmarkEnd w:id="240"/>
    </w:p>
    <w:p w14:paraId="54FF5D75" w14:textId="77777777" w:rsidR="00CF669C" w:rsidRPr="00557062" w:rsidRDefault="00CF669C" w:rsidP="00C6638E">
      <w:pPr>
        <w:spacing w:line="480" w:lineRule="auto"/>
        <w:ind w:firstLine="720"/>
        <w:rPr>
          <w:color w:val="000000" w:themeColor="text1"/>
        </w:rPr>
      </w:pPr>
      <w:r w:rsidRPr="00557062">
        <w:rPr>
          <w:color w:val="000000" w:themeColor="text1"/>
        </w:rPr>
        <w:t xml:space="preserve">To evaluate what lunar basalt chemistry reveals about the dynamic evolution of the Moon’s interior, this study investigates lunar magmatic evolution in a series of forward models conducted in a sequence of three phases: (1) Lunar Magma Ocean (LMO) solidification, (2) gravitational redistribution of LMO cumulates during or after LMO solidification (cumulate mantle overturn), (3) partial melting of lunar mantle sources (with and without garnet). A comparison of measured Rare Earth Element (REE: La-Lu) and Hf abundances, and Sm-Nd and Lu-Hf isotopic compositions of lunar basalts with predictive models provides a means to test hypothesized processes that occurred in the lunar interior during and after the magma ocean stage. </w:t>
      </w:r>
    </w:p>
    <w:p w14:paraId="47B67CA8" w14:textId="00B685EB" w:rsidR="00707EA1" w:rsidRDefault="00CF669C" w:rsidP="003F15E0">
      <w:pPr>
        <w:spacing w:line="480" w:lineRule="auto"/>
        <w:ind w:firstLine="720"/>
        <w:rPr>
          <w:color w:val="000000" w:themeColor="text1"/>
        </w:rPr>
      </w:pPr>
      <w:r w:rsidRPr="00557062">
        <w:rPr>
          <w:color w:val="000000" w:themeColor="text1"/>
        </w:rPr>
        <w:lastRenderedPageBreak/>
        <w:t xml:space="preserve">The LMO is believed to have formed after a giant impact between the proto-Earth and another planetary body (Canup, 2004, 2012; Elkins-Tanton and Hager, 2005; Hiesinger and Head, 2006; Elkins-Tanton, 2012; Young et al., 2016; Thiemens et al., 2019; Cano et al., 2020). As the LMO cooled and began to solidify, dense minerals (i.e., olivine (Ol), orthopyroxene (Opx), clinopyroxene (Opx)) settled to the bottom of the magma ocean and the less dense plagioclase (Plag) floated to the top, forming an anorthosite floatation crust </w:t>
      </w:r>
      <w:r w:rsidRPr="00D65830">
        <w:rPr>
          <w:b/>
          <w:bCs/>
          <w:color w:val="000000" w:themeColor="text1"/>
        </w:rPr>
        <w:t xml:space="preserve">(Figure </w:t>
      </w:r>
      <w:r w:rsidR="00F619E2" w:rsidRPr="00D65830">
        <w:rPr>
          <w:b/>
          <w:bCs/>
          <w:color w:val="000000" w:themeColor="text1"/>
        </w:rPr>
        <w:t>2.</w:t>
      </w:r>
      <w:r w:rsidRPr="00D65830">
        <w:rPr>
          <w:b/>
          <w:bCs/>
          <w:color w:val="000000" w:themeColor="text1"/>
        </w:rPr>
        <w:t>1a</w:t>
      </w:r>
      <w:r w:rsidRPr="00557062">
        <w:rPr>
          <w:color w:val="000000" w:themeColor="text1"/>
        </w:rPr>
        <w:t>) (Walker and Hays, 1977; Wood et al., 1970; Elardo et al., 2011; Elkins-Tanton et al., 2011; Dygert et al., 2017; Lin et al., 2016, 2017; Charlier et al., 2018). During the late stages of LMO solidification, the residual LMO melt would have become enriched in incompatible elements (e.g., Ti, K, P), resulting in eventual precipitation of ilmenite (FeTiO</w:t>
      </w:r>
      <w:r w:rsidRPr="00557062">
        <w:rPr>
          <w:color w:val="000000" w:themeColor="text1"/>
          <w:vertAlign w:val="subscript"/>
        </w:rPr>
        <w:t>3</w:t>
      </w:r>
      <w:r w:rsidRPr="00557062">
        <w:rPr>
          <w:color w:val="000000" w:themeColor="text1"/>
        </w:rPr>
        <w:t xml:space="preserve">)-bearing cumulates (IBC) and formation of a hypothesized potassium (K), REE, and phosphorous (P)-rich residual liquid thought to have imparted its chemical signature on many lunar samples, commonly referred to as KREEP (Warren and Wasson, 1979; Snyder et al., 1992; Hess and Parmentier, 1995; Elkins-Tanton et al., 2011; Lin et al., 2017; Charlier et al., 2018; Rapp and Draper, 2018) </w:t>
      </w:r>
      <w:r w:rsidRPr="00D14921">
        <w:rPr>
          <w:color w:val="000000" w:themeColor="text1"/>
        </w:rPr>
        <w:t>(</w:t>
      </w:r>
      <w:r w:rsidRPr="00D14921">
        <w:rPr>
          <w:b/>
          <w:bCs/>
          <w:color w:val="000000" w:themeColor="text1"/>
        </w:rPr>
        <w:t xml:space="preserve">Figure </w:t>
      </w:r>
      <w:r w:rsidR="00F619E2" w:rsidRPr="00D14921">
        <w:rPr>
          <w:b/>
          <w:bCs/>
          <w:color w:val="000000" w:themeColor="text1"/>
        </w:rPr>
        <w:t>2.</w:t>
      </w:r>
      <w:r w:rsidRPr="00D14921">
        <w:rPr>
          <w:b/>
          <w:bCs/>
          <w:color w:val="000000" w:themeColor="text1"/>
        </w:rPr>
        <w:t>1a</w:t>
      </w:r>
      <w:r w:rsidRPr="00D14921">
        <w:rPr>
          <w:color w:val="000000" w:themeColor="text1"/>
        </w:rPr>
        <w:t>).</w:t>
      </w:r>
    </w:p>
    <w:p w14:paraId="5842985C" w14:textId="7603597C" w:rsidR="00707EA1" w:rsidRDefault="003F15E0" w:rsidP="003F15E0">
      <w:pPr>
        <w:spacing w:line="480" w:lineRule="auto"/>
        <w:ind w:firstLine="720"/>
        <w:rPr>
          <w:color w:val="000000" w:themeColor="text1"/>
        </w:rPr>
      </w:pPr>
      <w:r w:rsidRPr="00D14921">
        <w:rPr>
          <w:color w:val="000000" w:themeColor="text1"/>
        </w:rPr>
        <w:t>The origin and formation mechanisms of lunar mare basalt and picritic glass mantle sources have been debated since analysis of Apollo returned samples revealed that the basalts exhibit variable TiO</w:t>
      </w:r>
      <w:r w:rsidRPr="00D14921">
        <w:rPr>
          <w:color w:val="000000" w:themeColor="text1"/>
          <w:vertAlign w:val="subscript"/>
        </w:rPr>
        <w:t>2</w:t>
      </w:r>
      <w:r w:rsidRPr="00D14921">
        <w:rPr>
          <w:color w:val="000000" w:themeColor="text1"/>
        </w:rPr>
        <w:t xml:space="preserve"> and REE concentrations with a wide range of Mg#s (Mg# = (molar Mg/(Mg+Fe))x100) (Delano, 1986; Haskin and Warren, 1991; Shearer et al., 1991; Shearer and Papike, 1993; Papike et al., 1998; Neal, 2001; Shearer et al., 2015).</w:t>
      </w:r>
      <w:r w:rsidR="00707EA1">
        <w:rPr>
          <w:color w:val="000000" w:themeColor="text1"/>
        </w:rPr>
        <w:br w:type="page"/>
      </w:r>
    </w:p>
    <w:p w14:paraId="52563491" w14:textId="43D833A8" w:rsidR="00FA429F" w:rsidRDefault="00FA429F">
      <w:pPr>
        <w:rPr>
          <w:color w:val="000000" w:themeColor="text1"/>
        </w:rPr>
      </w:pPr>
      <w:r>
        <w:rPr>
          <w:noProof/>
          <w:color w:val="000000" w:themeColor="text1"/>
        </w:rPr>
        <w:lastRenderedPageBreak/>
        <w:drawing>
          <wp:inline distT="0" distB="0" distL="0" distR="0" wp14:anchorId="4C48FE71" wp14:editId="14CD04BE">
            <wp:extent cx="5486400" cy="3899535"/>
            <wp:effectExtent l="0" t="0" r="0" b="0"/>
            <wp:docPr id="629799394" name="Picture 41" descr="A diagram of lunar 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799394" name="Picture 41" descr="A diagram of lunar formation&#10;&#10;Description automatically generated"/>
                    <pic:cNvPicPr/>
                  </pic:nvPicPr>
                  <pic:blipFill>
                    <a:blip r:embed="rId191" cstate="print">
                      <a:extLst>
                        <a:ext uri="{28A0092B-C50C-407E-A947-70E740481C1C}">
                          <a14:useLocalDpi xmlns:a14="http://schemas.microsoft.com/office/drawing/2010/main" val="0"/>
                        </a:ext>
                      </a:extLst>
                    </a:blip>
                    <a:stretch>
                      <a:fillRect/>
                    </a:stretch>
                  </pic:blipFill>
                  <pic:spPr>
                    <a:xfrm>
                      <a:off x="0" y="0"/>
                      <a:ext cx="5486400" cy="3899535"/>
                    </a:xfrm>
                    <a:prstGeom prst="rect">
                      <a:avLst/>
                    </a:prstGeom>
                  </pic:spPr>
                </pic:pic>
              </a:graphicData>
            </a:graphic>
          </wp:inline>
        </w:drawing>
      </w:r>
    </w:p>
    <w:p w14:paraId="4210B8AA" w14:textId="77777777" w:rsidR="00663879" w:rsidRDefault="00FA429F" w:rsidP="00663879">
      <w:pPr>
        <w:pStyle w:val="FigureCaption"/>
      </w:pPr>
      <w:bookmarkStart w:id="241" w:name="_Toc182944861"/>
      <w:bookmarkStart w:id="242" w:name="_Toc183019408"/>
      <w:bookmarkStart w:id="243" w:name="_Toc185263418"/>
      <w:r w:rsidRPr="00663879">
        <w:rPr>
          <w:b/>
          <w:bCs/>
        </w:rPr>
        <w:t xml:space="preserve">Figure </w:t>
      </w:r>
      <w:r w:rsidR="002C7B7A" w:rsidRPr="00663879">
        <w:rPr>
          <w:b/>
          <w:bCs/>
        </w:rPr>
        <w:t>2.</w:t>
      </w:r>
      <w:r w:rsidRPr="00663879">
        <w:rPr>
          <w:b/>
          <w:bCs/>
        </w:rPr>
        <w:t>1.</w:t>
      </w:r>
      <w:r w:rsidRPr="00FA429F">
        <w:t xml:space="preserve"> </w:t>
      </w:r>
      <w:r w:rsidRPr="00CB3C9B">
        <w:t>Schematic figure of lunar evolution up to the point of cumulate overturn and mantle hybridization. (a) Progressive lunar magma ocean (LMO) solidification forms a juvenile mantle, and crustal cumulates through density-driven crystal settling and floatation. The solidification process results in the eventual formation of late KREEP-rich IBC layers. Depending on the rheologic properties of the settled mafic mantle cumulates, instabilities could form in the IBC layer during late-stage LMO solidification, resulting in a thickened and less ilmenite-rich IBC layer. (b) Following the solidification process, larger Reyleigh-Taylor instabilities in the relatively dense IBC could form and initiate a large-scale cumulate overturn event. Hybridization of the lunar mantle would occur as the downwelling diapirs of IBC material descend into the lunar mantle and chemically and mechanically interact with underlying mafic cumulates. The color change in the IBC material indicates that IBC stabilized garnet during the overturn process. High-Ti glasses: orange, red, and black picritic glass groups. FS- Fractional Solidification, FS + EM- Fractional Solidification + Early Mixing. Features in the Figure are not to scale.</w:t>
      </w:r>
      <w:bookmarkEnd w:id="241"/>
      <w:bookmarkEnd w:id="242"/>
      <w:bookmarkEnd w:id="243"/>
    </w:p>
    <w:p w14:paraId="2D24B430" w14:textId="3D56B2A8" w:rsidR="00FA429F" w:rsidRDefault="00FA429F" w:rsidP="00663879">
      <w:pPr>
        <w:pStyle w:val="FigureCaption"/>
      </w:pPr>
      <w:r>
        <w:br w:type="page"/>
      </w:r>
    </w:p>
    <w:p w14:paraId="7E074F33" w14:textId="685C3F58" w:rsidR="003F15E0" w:rsidRDefault="003F15E0" w:rsidP="003F15E0">
      <w:pPr>
        <w:spacing w:line="480" w:lineRule="auto"/>
        <w:rPr>
          <w:color w:val="000000" w:themeColor="text1"/>
        </w:rPr>
      </w:pPr>
      <w:r w:rsidRPr="00D14921">
        <w:rPr>
          <w:color w:val="000000" w:themeColor="text1"/>
        </w:rPr>
        <w:lastRenderedPageBreak/>
        <w:t>This chemical variation is attributed to the chemical diversity of lunar mantle sources (Delano, 1986; Shearer and Papike, 1993; Lucey et al., 1998; Giguere et al., 2000; Shearer et al., 2015), which may have been a direct product of solidification of the LMO. Despite the mineralogical diversity of anticipated LMO cumulate layers, they individually cannot be invoked as mantle sources capable of producing many mare basalts (Snyder et al., 1992; Elardo et al., 2011; Elkins-Tanton et al., 2011; Lin et al., 2017; Charlier et al., 2018). For example, the lunar orange picritic glasses have Mg#s of 42-55, TiO</w:t>
      </w:r>
      <w:r w:rsidRPr="00D14921">
        <w:rPr>
          <w:color w:val="000000" w:themeColor="text1"/>
          <w:vertAlign w:val="subscript"/>
        </w:rPr>
        <w:t>2</w:t>
      </w:r>
      <w:r w:rsidRPr="00D14921">
        <w:rPr>
          <w:color w:val="000000" w:themeColor="text1"/>
        </w:rPr>
        <w:t xml:space="preserve"> wt% of 8-14, and REE concentrations 10-150x higher than chondritic values. This requires a mantle source with a relatively Mg-rich composition similar to early crystallizing LMO cumulates and a Ti-rich and REE-rich composition similar to late crystallizing LMO cumulates. Thus, a post-LMO solidification mantle hybridization mechanism is often invoked to effectively mix shallow and deep magma ocean cumulates to account for the mare basalt and picritic glass chemical compositions (Ringwood and Kesson, 1976; Singletary and Grove, 2008; Thacker et al., 2009; Yao and Liang, 2012; Hallis et al., 2014; Mallik et al., 2019).</w:t>
      </w:r>
    </w:p>
    <w:p w14:paraId="67B1F90D" w14:textId="0D6530A1" w:rsidR="00746DD6" w:rsidRPr="00D14921" w:rsidRDefault="00746DD6" w:rsidP="00746DD6">
      <w:pPr>
        <w:spacing w:line="480" w:lineRule="auto"/>
        <w:ind w:firstLine="720"/>
        <w:rPr>
          <w:color w:val="000000" w:themeColor="text1"/>
        </w:rPr>
      </w:pPr>
      <w:r w:rsidRPr="00D14921">
        <w:rPr>
          <w:color w:val="000000" w:themeColor="text1"/>
        </w:rPr>
        <w:t xml:space="preserve">The late precipitation of dense IBC produces a gravitationally unstable lunar mantle stratigraphy, with less dense ilmenite-free cumulates beneath the dense IBC (Snyder et al., 1992; Hess and Parmentier, 1995; Elkins-Tanton et al., 2011; Zhang et al., 2017; Li et al., 2019). Previous studies indicate that the gravitationally unstable stratigraphy would have resulted in cumulate overturn, where dense shallow cumulates flow into the deep lunar interior as viscous solids, perhaps after progressive thickening of the IBC layer which occurred as the IBC precipitated, where the IBC sank directly into </w:t>
      </w:r>
      <w:r w:rsidRPr="00D14921">
        <w:rPr>
          <w:color w:val="000000" w:themeColor="text1"/>
        </w:rPr>
        <w:lastRenderedPageBreak/>
        <w:t>the underlying mafic cumulates before LMO solidification completed (Hess and Parmentier, 1995; Zhang et al., 2017; Li et al., 2019) (</w:t>
      </w:r>
      <w:r w:rsidRPr="00D14921">
        <w:rPr>
          <w:b/>
          <w:bCs/>
          <w:color w:val="000000" w:themeColor="text1"/>
        </w:rPr>
        <w:t>Figure 2.1b</w:t>
      </w:r>
      <w:r w:rsidRPr="00D14921">
        <w:rPr>
          <w:color w:val="000000" w:themeColor="text1"/>
        </w:rPr>
        <w:t>). The overturn of IBC into the lunar mantle would juxtapose sinking IBC against deep mafic mantle cumulates, where a combination of mechanical mixing and “assimilation” (exchange produced by diffusion and dissolution-precipitation reactions) could generate hybridized mantle sources (Hess and Parmentier 1995; Van Orman and Grove, 2000; Elkins-Tanton et al., 2002; Singletary and Grove, 2008; Brown and Grove, 2015; Mallik et al., 2019; Scholpp and Dygert, 2024a).</w:t>
      </w:r>
    </w:p>
    <w:p w14:paraId="5BC32010" w14:textId="31AC4F80" w:rsidR="00746DD6" w:rsidRDefault="00746DD6" w:rsidP="00746DD6">
      <w:pPr>
        <w:spacing w:line="480" w:lineRule="auto"/>
        <w:ind w:firstLine="720"/>
        <w:rPr>
          <w:color w:val="000000" w:themeColor="text1"/>
        </w:rPr>
      </w:pPr>
      <w:r w:rsidRPr="00D14921">
        <w:rPr>
          <w:color w:val="000000" w:themeColor="text1"/>
        </w:rPr>
        <w:t>Previous studies of lunar mare basalts hypothesized that heavy REE (HREE: Er-Lu) depletions observed in some basalts and picritic glasses may be related to garnet in the lunar mantle (Beard et al., 1998; Neal, 2001; Draper et al., 2006); however, this hypothesis is often refuted given the high pressures required to stabilize garnet in experiments on lunar materials (Longhi et al., 1974; Elkins-Tanton et al., 2003; Draper et al., 2006; Elardo et al., 2011; Krawczynski and Grove, 2012; Barr and Grove, 2013; Mallik et al., 2019; Kraettli et al., 2022; Jing et al., 2022). The recent work of Scholpp and Dygert (2024a) demonstrates that garnet should stabilize in late-crystallizing lunar magma ocean (LMO) cumulates during and after hypothesized cumulate overturn events (Hess and Parmentier, 1995; Zhang et al., 2017; Li et al., 2019). This lends support to the hypothesis from Schmidt and Kraettlli (2022) that a partial melting process akin to terrestrial granulite facies melting of mafic rocks (Cohen et al., 1967; Springer and Seck, 1997) and subsequent mantle hybridization could explain the HREE depletion observed in some lunar basalts and picritic glasses (</w:t>
      </w:r>
      <w:r w:rsidRPr="002E55AF">
        <w:rPr>
          <w:b/>
          <w:bCs/>
          <w:color w:val="000000" w:themeColor="text1"/>
        </w:rPr>
        <w:t>Figure 2.1b</w:t>
      </w:r>
      <w:r w:rsidRPr="00D14921">
        <w:rPr>
          <w:color w:val="000000" w:themeColor="text1"/>
        </w:rPr>
        <w:t>).</w:t>
      </w:r>
    </w:p>
    <w:p w14:paraId="7B5B9973" w14:textId="058F0BC4" w:rsidR="00D14921" w:rsidRPr="00D14921" w:rsidRDefault="00D14921" w:rsidP="003F3F53">
      <w:pPr>
        <w:spacing w:line="480" w:lineRule="auto"/>
        <w:ind w:firstLine="720"/>
        <w:rPr>
          <w:color w:val="000000" w:themeColor="text1"/>
        </w:rPr>
      </w:pPr>
      <w:r w:rsidRPr="00D14921">
        <w:rPr>
          <w:color w:val="000000" w:themeColor="text1"/>
        </w:rPr>
        <w:lastRenderedPageBreak/>
        <w:t xml:space="preserve">In this work, geochemical models primarily attempt to constrain processes producing the geochemical characteristics of lunar picritic glasses as they represent near-primary quenched melts (Delano, 1986; Shearer and Papike, 1993; Papike et al., 1998) that originated deep within the lunar interior (Elkins-Tanton et al., 2003, Draper et al., 2006; Krawczyncski and Grove, 2012; Barr and Grove, 2013; Brown and Grove, 2015). The relative lack of fractional crystallization in their petrogenetic history makes the picritic glasses suitable for evaluating lunar internal processes, in contrast to mare basalts, which suffered extensive crystal fractionation (Neal et al., 1994; Snyder et al., 1997; Hallis et al., 2014). Using experimentally determined LMO cumulate solidification sequences (Charlier et al., 2018) and up-to-date lunar trace element partition coefficients, we model chemical fractionation during LMO solidification, mantle hybridization, and partial melting. We investigate the effects of partial melting on primary (i.e., unhybridized) LMO cumulates and hybridized cumulate sources. We consider multiple hybridization scenarios in which modal partial melts of IBC material or unmelted IBC material are mechanically mixed into early magma ocean cumulates (EMOC) to generate hybridized mantle sources. We then apply modal partial melting models to the hybridized sources, evaluating the effect of the presence or absence of garnet in the hybridized sources and IBC material to determine the trace element and isotopic compositions of melts they would produce. </w:t>
      </w:r>
    </w:p>
    <w:p w14:paraId="041ACC90" w14:textId="77777777" w:rsidR="00D14921" w:rsidRPr="00D14921" w:rsidRDefault="00D14921" w:rsidP="002F7368">
      <w:pPr>
        <w:pStyle w:val="Heading2"/>
      </w:pPr>
      <w:bookmarkStart w:id="244" w:name="_Toc182995472"/>
      <w:bookmarkStart w:id="245" w:name="_Toc183536589"/>
      <w:bookmarkStart w:id="246" w:name="_Toc184727393"/>
      <w:bookmarkStart w:id="247" w:name="_Toc185325640"/>
      <w:r w:rsidRPr="00D14921">
        <w:lastRenderedPageBreak/>
        <w:t>Geochemical Modeling</w:t>
      </w:r>
      <w:bookmarkEnd w:id="244"/>
      <w:bookmarkEnd w:id="245"/>
      <w:bookmarkEnd w:id="246"/>
      <w:bookmarkEnd w:id="247"/>
    </w:p>
    <w:p w14:paraId="1326667D" w14:textId="77777777" w:rsidR="00D14921" w:rsidRPr="00D14921" w:rsidRDefault="00D14921" w:rsidP="006E67B1">
      <w:pPr>
        <w:pStyle w:val="Heading3"/>
      </w:pPr>
      <w:bookmarkStart w:id="248" w:name="_Toc182995473"/>
      <w:bookmarkStart w:id="249" w:name="_Toc183536590"/>
      <w:bookmarkStart w:id="250" w:name="_Toc184727394"/>
      <w:bookmarkStart w:id="251" w:name="_Toc185325641"/>
      <w:r w:rsidRPr="00D14921">
        <w:t>Model Assumptions: Lunar Bulk Composition</w:t>
      </w:r>
      <w:bookmarkEnd w:id="248"/>
      <w:bookmarkEnd w:id="249"/>
      <w:bookmarkEnd w:id="250"/>
      <w:bookmarkEnd w:id="251"/>
    </w:p>
    <w:p w14:paraId="43368966" w14:textId="77777777" w:rsidR="00D14921" w:rsidRPr="00D14921" w:rsidRDefault="00D14921" w:rsidP="00B93E42">
      <w:pPr>
        <w:spacing w:line="480" w:lineRule="auto"/>
        <w:ind w:firstLine="720"/>
        <w:rPr>
          <w:color w:val="000000" w:themeColor="text1"/>
        </w:rPr>
      </w:pPr>
      <w:r w:rsidRPr="00D14921">
        <w:rPr>
          <w:color w:val="000000" w:themeColor="text1"/>
        </w:rPr>
        <w:t xml:space="preserve">While there are multiple estimates of the bulk composition of the LMO (Taylor and Bence, 1975; Taylor, 1982; Wanke and Dreibus, 1982; Jones and Delano, 1989; O’Neill, 1991; Longhi, 2003; Warren, 2005), the Lunar Primitive Upper Mantle (LPUM; Longhi, 2003) and Taylor Whole Moon (TWM; Taylor, 1982) compositions are presently the most widely tested and debated compositional endmembers. Due to the Al-rich nature of the TWM composition, recent studies have concluded that this composition would require an unrealistically shallow magma ocean to account for the geophysical estimates of lunar crustal thickness (Wieczorek et al., 2006, 2013), as deep or whole Moon magma oceans with a TWM bulk composition would generate overly thick lunar crusts (Longhi, 2006; Charlier et al., 2018). </w:t>
      </w:r>
    </w:p>
    <w:p w14:paraId="1E41EC8B" w14:textId="77777777" w:rsidR="00D14921" w:rsidRPr="00D14921" w:rsidRDefault="00D14921" w:rsidP="00843C16">
      <w:pPr>
        <w:spacing w:line="480" w:lineRule="auto"/>
        <w:ind w:firstLine="720"/>
        <w:rPr>
          <w:noProof/>
          <w:color w:val="000000" w:themeColor="text1"/>
        </w:rPr>
      </w:pPr>
      <w:r w:rsidRPr="00D14921">
        <w:rPr>
          <w:noProof/>
          <w:color w:val="000000" w:themeColor="text1"/>
        </w:rPr>
        <w:t>Using the recent GRAIL-derived crustal thickness estimates and crust/mantle mass balance calculations, Taylor and Wieczorek (2013) conclude that the abundance of Al</w:t>
      </w:r>
      <w:r w:rsidRPr="00D14921">
        <w:rPr>
          <w:noProof/>
          <w:color w:val="000000" w:themeColor="text1"/>
          <w:vertAlign w:val="subscript"/>
        </w:rPr>
        <w:t>2</w:t>
      </w:r>
      <w:r w:rsidRPr="00D14921">
        <w:rPr>
          <w:noProof/>
          <w:color w:val="000000" w:themeColor="text1"/>
        </w:rPr>
        <w:t>O</w:t>
      </w:r>
      <w:r w:rsidRPr="00D14921">
        <w:rPr>
          <w:noProof/>
          <w:color w:val="000000" w:themeColor="text1"/>
          <w:vertAlign w:val="subscript"/>
        </w:rPr>
        <w:t>3</w:t>
      </w:r>
      <w:r w:rsidRPr="00D14921">
        <w:rPr>
          <w:noProof/>
          <w:color w:val="000000" w:themeColor="text1"/>
        </w:rPr>
        <w:t xml:space="preserve"> (a refractory element) in the bulk silicate Moon is roughly equal to that of the Earth. Assuming that the Moon has an Earth-like refractory element abundance, they also estimate the abundance of K in the lunar mantle, demonstrating that the Moon is K-depleted relative to Earth. Thus, the LPUM composition has emerged as a preferred model for the Moon’s bulk composition as it has refractory element abundances similar to Earth’s upper mantle composition (Hart and Zindler, 1986) and is depleted in volatile alkali elements (i.e., Na and K) (</w:t>
      </w:r>
      <w:r w:rsidRPr="00D14921">
        <w:rPr>
          <w:color w:val="000000" w:themeColor="text1"/>
        </w:rPr>
        <w:t>Longhi, 2003)</w:t>
      </w:r>
      <w:r w:rsidRPr="00D14921">
        <w:rPr>
          <w:noProof/>
          <w:color w:val="000000" w:themeColor="text1"/>
        </w:rPr>
        <w:t xml:space="preserve">. </w:t>
      </w:r>
    </w:p>
    <w:p w14:paraId="71B055E5" w14:textId="1C8777C7" w:rsidR="00D14921" w:rsidRPr="00D14921" w:rsidRDefault="00D14921" w:rsidP="00E95F05">
      <w:pPr>
        <w:spacing w:line="480" w:lineRule="auto"/>
        <w:ind w:firstLine="720"/>
        <w:rPr>
          <w:color w:val="000000" w:themeColor="text1"/>
        </w:rPr>
      </w:pPr>
      <w:r w:rsidRPr="00D14921">
        <w:rPr>
          <w:color w:val="000000" w:themeColor="text1"/>
        </w:rPr>
        <w:lastRenderedPageBreak/>
        <w:t>Given the abovementioned observations, we assume that LMO solidification follows a crystallization sequence experimentally constrained by Charlier et al. (2018) for an LPUM-like composition. Solidification m</w:t>
      </w:r>
      <w:r w:rsidRPr="00D14921">
        <w:rPr>
          <w:noProof/>
          <w:color w:val="000000" w:themeColor="text1"/>
        </w:rPr>
        <w:t xml:space="preserve">odels in this study assume that the starting </w:t>
      </w:r>
      <w:r w:rsidRPr="00D14921">
        <w:rPr>
          <w:color w:val="000000" w:themeColor="text1"/>
        </w:rPr>
        <w:t>REE and Hf</w:t>
      </w:r>
      <w:r w:rsidRPr="00D14921">
        <w:rPr>
          <w:noProof/>
          <w:color w:val="000000" w:themeColor="text1"/>
        </w:rPr>
        <w:t xml:space="preserve"> in the initial LMO are equal to the estimated Bulk Silicate Earth (BSE) composition from Sun and McDonough (1995).</w:t>
      </w:r>
    </w:p>
    <w:p w14:paraId="14DC17A6" w14:textId="77777777" w:rsidR="00D14921" w:rsidRPr="00D14921" w:rsidRDefault="00D14921" w:rsidP="006E67B1">
      <w:pPr>
        <w:pStyle w:val="Heading3"/>
      </w:pPr>
      <w:bookmarkStart w:id="252" w:name="_Toc182995474"/>
      <w:bookmarkStart w:id="253" w:name="_Toc183536591"/>
      <w:bookmarkStart w:id="254" w:name="_Toc184727395"/>
      <w:bookmarkStart w:id="255" w:name="_Toc185325642"/>
      <w:r w:rsidRPr="00D14921">
        <w:t>Lunar Magma Ocean Solidification Models</w:t>
      </w:r>
      <w:bookmarkEnd w:id="252"/>
      <w:bookmarkEnd w:id="253"/>
      <w:bookmarkEnd w:id="254"/>
      <w:bookmarkEnd w:id="255"/>
    </w:p>
    <w:p w14:paraId="5A83ECAE" w14:textId="31ABFCE4" w:rsidR="00D14921" w:rsidRPr="00D14921" w:rsidRDefault="00D14921" w:rsidP="00E95F05">
      <w:pPr>
        <w:spacing w:line="480" w:lineRule="auto"/>
        <w:ind w:firstLine="720"/>
        <w:rPr>
          <w:color w:val="000000" w:themeColor="text1"/>
        </w:rPr>
      </w:pPr>
      <w:r w:rsidRPr="00D14921">
        <w:rPr>
          <w:color w:val="000000" w:themeColor="text1"/>
        </w:rPr>
        <w:t>Trace element fractionation during LMO crystallization was modeled assuming Rayleigh fractionation using Eq.</w:t>
      </w:r>
      <w:r w:rsidR="00A40339">
        <w:rPr>
          <w:color w:val="000000" w:themeColor="text1"/>
        </w:rPr>
        <w:t>s</w:t>
      </w:r>
      <w:r w:rsidRPr="00D14921">
        <w:rPr>
          <w:color w:val="000000" w:themeColor="text1"/>
        </w:rPr>
        <w:t xml:space="preserve"> </w:t>
      </w:r>
      <w:r w:rsidR="00843C16">
        <w:rPr>
          <w:color w:val="000000" w:themeColor="text1"/>
        </w:rPr>
        <w:t>2.</w:t>
      </w:r>
      <w:r w:rsidRPr="00D14921">
        <w:rPr>
          <w:color w:val="000000" w:themeColor="text1"/>
        </w:rPr>
        <w:t xml:space="preserve">1 and </w:t>
      </w:r>
      <w:r w:rsidR="00843C16">
        <w:rPr>
          <w:color w:val="000000" w:themeColor="text1"/>
        </w:rPr>
        <w:t>2.</w:t>
      </w:r>
      <w:r w:rsidRPr="00D14921">
        <w:rPr>
          <w:color w:val="000000" w:themeColor="text1"/>
        </w:rPr>
        <w:t>2:</w:t>
      </w:r>
    </w:p>
    <w:p w14:paraId="121BC3F4" w14:textId="4235D2DA" w:rsidR="00D14921" w:rsidRPr="00D14921" w:rsidRDefault="00000000" w:rsidP="00081DCC">
      <w:pPr>
        <w:spacing w:line="480" w:lineRule="auto"/>
        <w:jc w:val="right"/>
        <w:rPr>
          <w:rFonts w:eastAsiaTheme="minorEastAsia"/>
          <w:color w:val="000000" w:themeColor="text1"/>
        </w:rPr>
      </w:pPr>
      <m:oMath>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L</m:t>
            </m:r>
          </m:sub>
          <m:sup>
            <m:r>
              <w:rPr>
                <w:rFonts w:ascii="Cambria Math" w:hAnsi="Cambria Math"/>
                <w:color w:val="000000" w:themeColor="text1"/>
              </w:rPr>
              <m:t>i</m:t>
            </m:r>
          </m:sup>
        </m:sSubSup>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C</m:t>
            </m:r>
          </m:e>
          <m:sub>
            <m:sSub>
              <m:sSubPr>
                <m:ctrlPr>
                  <w:rPr>
                    <w:rFonts w:ascii="Cambria Math" w:hAnsi="Cambria Math"/>
                    <w:color w:val="000000" w:themeColor="text1"/>
                  </w:rPr>
                </m:ctrlPr>
              </m:sSubPr>
              <m:e>
                <m:r>
                  <w:rPr>
                    <w:rFonts w:ascii="Cambria Math" w:hAnsi="Cambria Math"/>
                    <w:color w:val="000000" w:themeColor="text1"/>
                  </w:rPr>
                  <m:t>L</m:t>
                </m:r>
              </m:e>
              <m:sub>
                <m:r>
                  <m:rPr>
                    <m:sty m:val="p"/>
                  </m:rPr>
                  <w:rPr>
                    <w:rFonts w:ascii="Cambria Math" w:hAnsi="Cambria Math"/>
                    <w:color w:val="000000" w:themeColor="text1"/>
                  </w:rPr>
                  <m:t>0</m:t>
                </m:r>
              </m:sub>
            </m:sSub>
          </m:sub>
          <m:sup>
            <m:r>
              <w:rPr>
                <w:rFonts w:ascii="Cambria Math" w:hAnsi="Cambria Math"/>
                <w:color w:val="000000" w:themeColor="text1"/>
              </w:rPr>
              <m:t>i</m:t>
            </m:r>
          </m:sup>
        </m:sSubSup>
        <m:sSup>
          <m:sSupPr>
            <m:ctrlPr>
              <w:rPr>
                <w:rFonts w:ascii="Cambria Math" w:hAnsi="Cambria Math"/>
                <w:color w:val="000000" w:themeColor="text1"/>
              </w:rPr>
            </m:ctrlPr>
          </m:sSupPr>
          <m:e>
            <m:r>
              <w:rPr>
                <w:rFonts w:ascii="Cambria Math" w:hAnsi="Cambria Math"/>
                <w:color w:val="000000" w:themeColor="text1"/>
              </w:rPr>
              <m:t>F</m:t>
            </m:r>
          </m:e>
          <m:sup>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r>
              <m:rPr>
                <m:sty m:val="p"/>
              </m:rPr>
              <w:rPr>
                <w:rFonts w:ascii="Cambria Math" w:hAnsi="Cambria Math"/>
                <w:color w:val="000000" w:themeColor="text1"/>
              </w:rPr>
              <m:t>-1)</m:t>
            </m:r>
          </m:sup>
        </m:sSup>
      </m:oMath>
      <w:r w:rsidR="00D14921" w:rsidRPr="00D14921">
        <w:rPr>
          <w:rFonts w:eastAsiaTheme="minorEastAsia"/>
          <w:color w:val="000000" w:themeColor="text1"/>
        </w:rPr>
        <w:t xml:space="preserve"> ,</w:t>
      </w:r>
      <w:r w:rsidR="00D14921" w:rsidRPr="00D14921">
        <w:rPr>
          <w:rFonts w:eastAsiaTheme="minorEastAsia"/>
          <w:color w:val="000000" w:themeColor="text1"/>
        </w:rPr>
        <w:tab/>
      </w:r>
      <w:r w:rsidR="00D14921" w:rsidRPr="00D14921">
        <w:rPr>
          <w:rFonts w:eastAsiaTheme="minorEastAsia"/>
          <w:color w:val="000000" w:themeColor="text1"/>
        </w:rPr>
        <w:tab/>
      </w:r>
      <w:r w:rsidR="00081DCC">
        <w:rPr>
          <w:rFonts w:eastAsiaTheme="minorEastAsia"/>
          <w:color w:val="000000" w:themeColor="text1"/>
        </w:rPr>
        <w:tab/>
      </w:r>
      <w:r w:rsidR="00D14921" w:rsidRPr="00D14921">
        <w:rPr>
          <w:rFonts w:eastAsiaTheme="minorEastAsia"/>
          <w:color w:val="000000" w:themeColor="text1"/>
        </w:rPr>
        <w:tab/>
      </w:r>
      <w:r w:rsidR="00D14921" w:rsidRPr="00D14921">
        <w:rPr>
          <w:rFonts w:eastAsiaTheme="minorEastAsia"/>
          <w:color w:val="000000" w:themeColor="text1"/>
        </w:rPr>
        <w:tab/>
        <w:t>(</w:t>
      </w:r>
      <w:r w:rsidR="00843C16">
        <w:rPr>
          <w:rFonts w:eastAsiaTheme="minorEastAsia"/>
          <w:color w:val="000000" w:themeColor="text1"/>
        </w:rPr>
        <w:t>2.</w:t>
      </w:r>
      <w:r w:rsidR="00D14921" w:rsidRPr="00D14921">
        <w:rPr>
          <w:rFonts w:eastAsiaTheme="minorEastAsia"/>
          <w:color w:val="000000" w:themeColor="text1"/>
        </w:rPr>
        <w:t>1)</w:t>
      </w:r>
    </w:p>
    <w:p w14:paraId="4E391AF7" w14:textId="78071176" w:rsidR="00D14921" w:rsidRPr="00D14921" w:rsidRDefault="00000000" w:rsidP="00081DCC">
      <w:pPr>
        <w:spacing w:line="480" w:lineRule="auto"/>
        <w:jc w:val="right"/>
        <w:rPr>
          <w:rFonts w:eastAsiaTheme="minorEastAsia"/>
          <w:color w:val="000000" w:themeColor="text1"/>
        </w:rPr>
      </w:pPr>
      <m:oMath>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S</m:t>
            </m:r>
          </m:sub>
          <m:sup>
            <m:r>
              <w:rPr>
                <w:rFonts w:ascii="Cambria Math" w:hAnsi="Cambria Math"/>
                <w:color w:val="000000" w:themeColor="text1"/>
              </w:rPr>
              <m:t>i</m:t>
            </m:r>
          </m:sup>
        </m:sSubSup>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L</m:t>
            </m:r>
          </m:sub>
          <m:sup>
            <m:r>
              <w:rPr>
                <w:rFonts w:ascii="Cambria Math" w:hAnsi="Cambria Math"/>
                <w:color w:val="000000" w:themeColor="text1"/>
              </w:rPr>
              <m:t>i</m:t>
            </m:r>
          </m:sup>
        </m:sSubSup>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oMath>
      <w:r w:rsidR="00D14921" w:rsidRPr="00D14921">
        <w:rPr>
          <w:rFonts w:eastAsiaTheme="minorEastAsia"/>
          <w:color w:val="000000" w:themeColor="text1"/>
        </w:rPr>
        <w:t xml:space="preserve"> ,</w:t>
      </w:r>
      <w:r w:rsidR="00D14921" w:rsidRPr="00D14921">
        <w:rPr>
          <w:rFonts w:eastAsiaTheme="minorEastAsia"/>
          <w:color w:val="000000" w:themeColor="text1"/>
        </w:rPr>
        <w:tab/>
      </w:r>
      <w:r w:rsidR="00D14921" w:rsidRPr="00D14921">
        <w:rPr>
          <w:rFonts w:eastAsiaTheme="minorEastAsia"/>
          <w:color w:val="000000" w:themeColor="text1"/>
        </w:rPr>
        <w:tab/>
      </w:r>
      <w:r w:rsidR="00081DCC">
        <w:rPr>
          <w:rFonts w:eastAsiaTheme="minorEastAsia"/>
          <w:color w:val="000000" w:themeColor="text1"/>
        </w:rPr>
        <w:tab/>
      </w:r>
      <w:r w:rsidR="00D14921" w:rsidRPr="00D14921">
        <w:rPr>
          <w:rFonts w:eastAsiaTheme="minorEastAsia"/>
          <w:color w:val="000000" w:themeColor="text1"/>
        </w:rPr>
        <w:tab/>
      </w:r>
      <w:r w:rsidR="00D14921" w:rsidRPr="00D14921">
        <w:rPr>
          <w:rFonts w:eastAsiaTheme="minorEastAsia"/>
          <w:color w:val="000000" w:themeColor="text1"/>
        </w:rPr>
        <w:tab/>
        <w:t>(</w:t>
      </w:r>
      <w:r w:rsidR="00843C16">
        <w:rPr>
          <w:rFonts w:eastAsiaTheme="minorEastAsia"/>
          <w:color w:val="000000" w:themeColor="text1"/>
        </w:rPr>
        <w:t>2.</w:t>
      </w:r>
      <w:r w:rsidR="00D14921" w:rsidRPr="00D14921">
        <w:rPr>
          <w:rFonts w:eastAsiaTheme="minorEastAsia"/>
          <w:color w:val="000000" w:themeColor="text1"/>
        </w:rPr>
        <w:t>2)</w:t>
      </w:r>
    </w:p>
    <w:p w14:paraId="7FCC5FD3" w14:textId="5C61B2FF" w:rsidR="00D14921" w:rsidRPr="00D14921" w:rsidRDefault="00D14921" w:rsidP="00D14921">
      <w:pPr>
        <w:spacing w:line="480" w:lineRule="auto"/>
        <w:rPr>
          <w:color w:val="000000" w:themeColor="text1"/>
        </w:rPr>
      </w:pPr>
      <w:r w:rsidRPr="00D14921">
        <w:rPr>
          <w:color w:val="000000" w:themeColor="text1"/>
        </w:rPr>
        <w:t xml:space="preserve">where </w:t>
      </w:r>
      <m:oMath>
        <m:sSubSup>
          <m:sSubSupPr>
            <m:ctrlPr>
              <w:rPr>
                <w:rFonts w:ascii="Cambria Math" w:hAnsi="Cambria Math"/>
                <w:i/>
                <w:color w:val="000000" w:themeColor="text1"/>
              </w:rPr>
            </m:ctrlPr>
          </m:sSubSupPr>
          <m:e>
            <m:r>
              <w:rPr>
                <w:rFonts w:ascii="Cambria Math" w:hAnsi="Cambria Math"/>
                <w:color w:val="000000" w:themeColor="text1"/>
              </w:rPr>
              <m:t>C</m:t>
            </m:r>
          </m:e>
          <m:sub>
            <m:r>
              <w:rPr>
                <w:rFonts w:ascii="Cambria Math" w:hAnsi="Cambria Math"/>
                <w:color w:val="000000" w:themeColor="text1"/>
              </w:rPr>
              <m:t>L</m:t>
            </m:r>
          </m:sub>
          <m:sup>
            <m:r>
              <w:rPr>
                <w:rFonts w:ascii="Cambria Math" w:hAnsi="Cambria Math"/>
                <w:color w:val="000000" w:themeColor="text1"/>
              </w:rPr>
              <m:t>i</m:t>
            </m:r>
          </m:sup>
        </m:sSubSup>
      </m:oMath>
      <w:r w:rsidRPr="00D14921">
        <w:rPr>
          <w:color w:val="000000" w:themeColor="text1"/>
        </w:rPr>
        <w:t xml:space="preserve"> represents the concentration of element </w:t>
      </w:r>
      <m:oMath>
        <m:r>
          <w:rPr>
            <w:rFonts w:ascii="Cambria Math" w:hAnsi="Cambria Math"/>
            <w:color w:val="000000" w:themeColor="text1"/>
          </w:rPr>
          <m:t>i</m:t>
        </m:r>
      </m:oMath>
      <w:r w:rsidRPr="00D14921">
        <w:rPr>
          <w:color w:val="000000" w:themeColor="text1"/>
        </w:rPr>
        <w:t xml:space="preserve">, </w:t>
      </w:r>
      <m:oMath>
        <m:sSubSup>
          <m:sSubSupPr>
            <m:ctrlPr>
              <w:rPr>
                <w:rFonts w:ascii="Cambria Math" w:hAnsi="Cambria Math"/>
                <w:i/>
                <w:color w:val="000000" w:themeColor="text1"/>
              </w:rPr>
            </m:ctrlPr>
          </m:sSubSupPr>
          <m:e>
            <m:r>
              <w:rPr>
                <w:rFonts w:ascii="Cambria Math" w:hAnsi="Cambria Math"/>
                <w:color w:val="000000" w:themeColor="text1"/>
              </w:rPr>
              <m:t>C</m:t>
            </m:r>
          </m:e>
          <m:sub>
            <m:sSub>
              <m:sSubPr>
                <m:ctrlPr>
                  <w:rPr>
                    <w:rFonts w:ascii="Cambria Math" w:hAnsi="Cambria Math"/>
                    <w:i/>
                    <w:color w:val="000000" w:themeColor="text1"/>
                  </w:rPr>
                </m:ctrlPr>
              </m:sSubPr>
              <m:e>
                <m:r>
                  <w:rPr>
                    <w:rFonts w:ascii="Cambria Math" w:hAnsi="Cambria Math"/>
                    <w:color w:val="000000" w:themeColor="text1"/>
                  </w:rPr>
                  <m:t>L</m:t>
                </m:r>
              </m:e>
              <m:sub>
                <m:r>
                  <w:rPr>
                    <w:rFonts w:ascii="Cambria Math" w:hAnsi="Cambria Math"/>
                    <w:color w:val="000000" w:themeColor="text1"/>
                  </w:rPr>
                  <m:t>0</m:t>
                </m:r>
              </m:sub>
            </m:sSub>
          </m:sub>
          <m:sup>
            <m:r>
              <w:rPr>
                <w:rFonts w:ascii="Cambria Math" w:hAnsi="Cambria Math"/>
                <w:color w:val="000000" w:themeColor="text1"/>
              </w:rPr>
              <m:t>i</m:t>
            </m:r>
          </m:sup>
        </m:sSubSup>
      </m:oMath>
      <w:r w:rsidRPr="00D14921">
        <w:rPr>
          <w:color w:val="000000" w:themeColor="text1"/>
        </w:rPr>
        <w:t xml:space="preserve"> is the composition of the initial liquid, </w:t>
      </w:r>
      <m:oMath>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S</m:t>
            </m:r>
          </m:sub>
          <m:sup>
            <m:r>
              <w:rPr>
                <w:rFonts w:ascii="Cambria Math" w:hAnsi="Cambria Math"/>
                <w:color w:val="000000" w:themeColor="text1"/>
              </w:rPr>
              <m:t>i</m:t>
            </m:r>
          </m:sup>
        </m:sSubSup>
      </m:oMath>
      <w:r w:rsidRPr="00D14921">
        <w:rPr>
          <w:color w:val="000000" w:themeColor="text1"/>
        </w:rPr>
        <w:t xml:space="preserve"> represents the concentration in the solid, </w:t>
      </w:r>
      <m:oMath>
        <m:r>
          <w:rPr>
            <w:rFonts w:ascii="Cambria Math" w:hAnsi="Cambria Math"/>
            <w:color w:val="000000" w:themeColor="text1"/>
          </w:rPr>
          <m:t>F</m:t>
        </m:r>
      </m:oMath>
      <w:r w:rsidRPr="00D14921">
        <w:rPr>
          <w:color w:val="000000" w:themeColor="text1"/>
        </w:rPr>
        <w:t xml:space="preserve"> is the fraction of melt remaining, and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oMath>
      <w:r w:rsidRPr="00D14921">
        <w:rPr>
          <w:color w:val="000000" w:themeColor="text1"/>
        </w:rPr>
        <w:t xml:space="preserve"> is the bulk partition coefficient between crystals and liquid. For an assemblage of phases, </w:t>
      </w:r>
      <m:oMath>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oMath>
      <w:r w:rsidRPr="00D14921">
        <w:rPr>
          <w:rFonts w:eastAsiaTheme="minorEastAsia"/>
          <w:color w:val="000000" w:themeColor="text1"/>
        </w:rPr>
        <w:t xml:space="preserve"> </w:t>
      </w:r>
      <w:r w:rsidRPr="00D14921">
        <w:rPr>
          <w:color w:val="000000" w:themeColor="text1"/>
        </w:rPr>
        <w:t xml:space="preserve">can be calculated with Eq. </w:t>
      </w:r>
      <w:r w:rsidR="007831D5">
        <w:rPr>
          <w:color w:val="000000" w:themeColor="text1"/>
        </w:rPr>
        <w:t>2.</w:t>
      </w:r>
      <w:r w:rsidRPr="00D14921">
        <w:rPr>
          <w:color w:val="000000" w:themeColor="text1"/>
        </w:rPr>
        <w:t>3:</w:t>
      </w:r>
    </w:p>
    <w:p w14:paraId="5E8529A5" w14:textId="4D918866" w:rsidR="00D14921" w:rsidRPr="00D14921" w:rsidRDefault="00000000" w:rsidP="00081DCC">
      <w:pPr>
        <w:spacing w:line="480" w:lineRule="auto"/>
        <w:jc w:val="right"/>
        <w:rPr>
          <w:color w:val="000000" w:themeColor="text1"/>
        </w:rPr>
      </w:pP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r>
          <w:rPr>
            <w:rFonts w:ascii="Cambria Math" w:hAnsi="Cambria Math"/>
            <w:color w:val="000000" w:themeColor="text1"/>
          </w:rPr>
          <m:t>=</m:t>
        </m:r>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α</m:t>
            </m:r>
          </m:sub>
          <m:sup>
            <m:r>
              <w:rPr>
                <w:rFonts w:ascii="Cambria Math" w:hAnsi="Cambria Math"/>
                <w:color w:val="000000" w:themeColor="text1"/>
              </w:rPr>
              <m:t>i</m:t>
            </m:r>
          </m:sup>
        </m:sSubSup>
        <m:d>
          <m:dPr>
            <m:ctrlPr>
              <w:rPr>
                <w:rFonts w:ascii="Cambria Math" w:hAnsi="Cambria Math"/>
                <w:i/>
                <w:color w:val="000000" w:themeColor="text1"/>
              </w:rPr>
            </m:ctrlPr>
          </m:dPr>
          <m:e>
            <m:sSub>
              <m:sSubPr>
                <m:ctrlPr>
                  <w:rPr>
                    <w:rFonts w:ascii="Cambria Math" w:hAnsi="Cambria Math"/>
                    <w:i/>
                    <w:color w:val="000000" w:themeColor="text1"/>
                  </w:rPr>
                </m:ctrlPr>
              </m:sSubPr>
              <m:e>
                <m:r>
                  <w:rPr>
                    <w:rFonts w:ascii="Cambria Math" w:hAnsi="Cambria Math"/>
                    <w:color w:val="000000" w:themeColor="text1"/>
                  </w:rPr>
                  <m:t>X</m:t>
                </m:r>
              </m:e>
              <m:sub>
                <m:r>
                  <w:rPr>
                    <w:rFonts w:ascii="Cambria Math" w:hAnsi="Cambria Math"/>
                    <w:color w:val="000000" w:themeColor="text1"/>
                  </w:rPr>
                  <m:t>α</m:t>
                </m:r>
              </m:sub>
            </m:sSub>
          </m:e>
        </m:d>
        <m:r>
          <w:rPr>
            <w:rFonts w:ascii="Cambria Math" w:hAnsi="Cambria Math"/>
            <w:color w:val="000000" w:themeColor="text1"/>
          </w:rPr>
          <m:t>+</m:t>
        </m:r>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β</m:t>
            </m:r>
          </m:sub>
          <m:sup>
            <m:r>
              <w:rPr>
                <w:rFonts w:ascii="Cambria Math" w:hAnsi="Cambria Math"/>
                <w:color w:val="000000" w:themeColor="text1"/>
              </w:rPr>
              <m:t>i</m:t>
            </m:r>
          </m:sup>
        </m:sSubSup>
        <m:d>
          <m:dPr>
            <m:ctrlPr>
              <w:rPr>
                <w:rFonts w:ascii="Cambria Math" w:hAnsi="Cambria Math"/>
                <w:i/>
                <w:color w:val="000000" w:themeColor="text1"/>
              </w:rPr>
            </m:ctrlPr>
          </m:dPr>
          <m:e>
            <m:sSub>
              <m:sSubPr>
                <m:ctrlPr>
                  <w:rPr>
                    <w:rFonts w:ascii="Cambria Math" w:hAnsi="Cambria Math"/>
                    <w:i/>
                    <w:color w:val="000000" w:themeColor="text1"/>
                  </w:rPr>
                </m:ctrlPr>
              </m:sSubPr>
              <m:e>
                <m:r>
                  <w:rPr>
                    <w:rFonts w:ascii="Cambria Math" w:hAnsi="Cambria Math"/>
                    <w:color w:val="000000" w:themeColor="text1"/>
                  </w:rPr>
                  <m:t>X</m:t>
                </m:r>
              </m:e>
              <m:sub>
                <m:r>
                  <w:rPr>
                    <w:rFonts w:ascii="Cambria Math" w:hAnsi="Cambria Math"/>
                    <w:color w:val="000000" w:themeColor="text1"/>
                  </w:rPr>
                  <m:t>β</m:t>
                </m:r>
              </m:sub>
            </m:sSub>
          </m:e>
        </m:d>
        <m:r>
          <w:rPr>
            <w:rFonts w:ascii="Cambria Math" w:hAnsi="Cambria Math"/>
            <w:color w:val="000000" w:themeColor="text1"/>
          </w:rPr>
          <m:t>+</m:t>
        </m:r>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γ</m:t>
            </m:r>
          </m:sub>
          <m:sup>
            <m:r>
              <w:rPr>
                <w:rFonts w:ascii="Cambria Math" w:hAnsi="Cambria Math"/>
                <w:color w:val="000000" w:themeColor="text1"/>
              </w:rPr>
              <m:t>i</m:t>
            </m:r>
          </m:sup>
        </m:sSubSup>
        <m:d>
          <m:dPr>
            <m:ctrlPr>
              <w:rPr>
                <w:rFonts w:ascii="Cambria Math" w:hAnsi="Cambria Math"/>
                <w:i/>
                <w:color w:val="000000" w:themeColor="text1"/>
              </w:rPr>
            </m:ctrlPr>
          </m:dPr>
          <m:e>
            <m:sSub>
              <m:sSubPr>
                <m:ctrlPr>
                  <w:rPr>
                    <w:rFonts w:ascii="Cambria Math" w:hAnsi="Cambria Math"/>
                    <w:i/>
                    <w:color w:val="000000" w:themeColor="text1"/>
                  </w:rPr>
                </m:ctrlPr>
              </m:sSubPr>
              <m:e>
                <m:r>
                  <w:rPr>
                    <w:rFonts w:ascii="Cambria Math" w:hAnsi="Cambria Math"/>
                    <w:color w:val="000000" w:themeColor="text1"/>
                  </w:rPr>
                  <m:t>X</m:t>
                </m:r>
              </m:e>
              <m:sub>
                <m:r>
                  <w:rPr>
                    <w:rFonts w:ascii="Cambria Math" w:hAnsi="Cambria Math"/>
                    <w:color w:val="000000" w:themeColor="text1"/>
                  </w:rPr>
                  <m:t>γ</m:t>
                </m:r>
              </m:sub>
            </m:sSub>
          </m:e>
        </m:d>
        <m:r>
          <w:rPr>
            <w:rFonts w:ascii="Cambria Math" w:hAnsi="Cambria Math"/>
            <w:color w:val="000000" w:themeColor="text1"/>
          </w:rPr>
          <m:t>+</m:t>
        </m:r>
        <m:r>
          <m:rPr>
            <m:nor/>
          </m:rPr>
          <w:rPr>
            <w:color w:val="000000" w:themeColor="text1"/>
          </w:rPr>
          <m:t>…</m:t>
        </m:r>
      </m:oMath>
      <w:r w:rsidR="00D14921" w:rsidRPr="00D14921">
        <w:rPr>
          <w:rFonts w:eastAsiaTheme="minorEastAsia"/>
          <w:color w:val="000000" w:themeColor="text1"/>
        </w:rPr>
        <w:t>,</w:t>
      </w:r>
      <w:r w:rsidR="00D14921" w:rsidRPr="00D14921">
        <w:rPr>
          <w:rFonts w:eastAsiaTheme="minorEastAsia"/>
          <w:color w:val="000000" w:themeColor="text1"/>
        </w:rPr>
        <w:tab/>
      </w:r>
      <w:r w:rsidR="00081DCC">
        <w:rPr>
          <w:rFonts w:eastAsiaTheme="minorEastAsia"/>
          <w:color w:val="000000" w:themeColor="text1"/>
        </w:rPr>
        <w:tab/>
      </w:r>
      <w:r w:rsidR="00D14921" w:rsidRPr="00D14921">
        <w:rPr>
          <w:rFonts w:eastAsiaTheme="minorEastAsia"/>
          <w:color w:val="000000" w:themeColor="text1"/>
        </w:rPr>
        <w:tab/>
        <w:t>(</w:t>
      </w:r>
      <w:r w:rsidR="007831D5">
        <w:rPr>
          <w:rFonts w:eastAsiaTheme="minorEastAsia"/>
          <w:color w:val="000000" w:themeColor="text1"/>
        </w:rPr>
        <w:t>2.</w:t>
      </w:r>
      <w:r w:rsidR="00D14921" w:rsidRPr="00D14921">
        <w:rPr>
          <w:rFonts w:eastAsiaTheme="minorEastAsia"/>
          <w:color w:val="000000" w:themeColor="text1"/>
        </w:rPr>
        <w:t>3)</w:t>
      </w:r>
    </w:p>
    <w:p w14:paraId="359B92DB" w14:textId="77777777" w:rsidR="00D14921" w:rsidRPr="00D14921" w:rsidRDefault="00D14921" w:rsidP="00D14921">
      <w:pPr>
        <w:spacing w:line="480" w:lineRule="auto"/>
        <w:rPr>
          <w:color w:val="000000" w:themeColor="text1"/>
        </w:rPr>
      </w:pPr>
      <w:r w:rsidRPr="00D14921">
        <w:rPr>
          <w:color w:val="000000" w:themeColor="text1"/>
        </w:rPr>
        <w:t xml:space="preserve">where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α</m:t>
            </m:r>
          </m:sub>
          <m:sup>
            <m:r>
              <w:rPr>
                <w:rFonts w:ascii="Cambria Math" w:hAnsi="Cambria Math"/>
                <w:color w:val="000000" w:themeColor="text1"/>
              </w:rPr>
              <m:t>i</m:t>
            </m:r>
          </m:sup>
        </m:sSubSup>
      </m:oMath>
      <w:r w:rsidRPr="00D14921">
        <w:rPr>
          <w:color w:val="000000" w:themeColor="text1"/>
        </w:rPr>
        <w:t xml:space="preserve"> is the </w:t>
      </w:r>
      <w:r w:rsidRPr="00D14921">
        <w:rPr>
          <w:noProof/>
          <w:color w:val="000000" w:themeColor="text1"/>
        </w:rPr>
        <w:t>partition</w:t>
      </w:r>
      <w:r w:rsidRPr="00D14921">
        <w:rPr>
          <w:color w:val="000000" w:themeColor="text1"/>
        </w:rPr>
        <w:t xml:space="preserve"> coefficient for element </w:t>
      </w:r>
      <m:oMath>
        <m:r>
          <w:rPr>
            <w:rFonts w:ascii="Cambria Math" w:hAnsi="Cambria Math"/>
            <w:color w:val="000000" w:themeColor="text1"/>
          </w:rPr>
          <m:t>i</m:t>
        </m:r>
      </m:oMath>
      <w:r w:rsidRPr="00D14921">
        <w:rPr>
          <w:color w:val="000000" w:themeColor="text1"/>
        </w:rPr>
        <w:t xml:space="preserve"> in phase </w:t>
      </w:r>
      <m:oMath>
        <m:r>
          <w:rPr>
            <w:rFonts w:ascii="Cambria Math" w:hAnsi="Cambria Math"/>
            <w:color w:val="000000" w:themeColor="text1"/>
          </w:rPr>
          <m:t>α</m:t>
        </m:r>
      </m:oMath>
      <w:r w:rsidRPr="00D14921">
        <w:rPr>
          <w:color w:val="000000" w:themeColor="text1"/>
        </w:rPr>
        <w:t xml:space="preserve">, </w:t>
      </w:r>
      <m:oMath>
        <m:sSub>
          <m:sSubPr>
            <m:ctrlPr>
              <w:rPr>
                <w:rFonts w:ascii="Cambria Math" w:hAnsi="Cambria Math"/>
                <w:color w:val="000000" w:themeColor="text1"/>
              </w:rPr>
            </m:ctrlPr>
          </m:sSubPr>
          <m:e>
            <m:r>
              <w:rPr>
                <w:rFonts w:ascii="Cambria Math" w:hAnsi="Cambria Math"/>
                <w:color w:val="000000" w:themeColor="text1"/>
              </w:rPr>
              <m:t>X</m:t>
            </m:r>
          </m:e>
          <m:sub>
            <m:r>
              <w:rPr>
                <w:rFonts w:ascii="Cambria Math" w:hAnsi="Cambria Math"/>
                <w:color w:val="000000" w:themeColor="text1"/>
              </w:rPr>
              <m:t>α</m:t>
            </m:r>
          </m:sub>
        </m:sSub>
      </m:oMath>
      <w:r w:rsidRPr="00D14921">
        <w:rPr>
          <w:color w:val="000000" w:themeColor="text1"/>
        </w:rPr>
        <w:t xml:space="preserve"> is the modal proportion of phase </w:t>
      </w:r>
      <m:oMath>
        <m:r>
          <w:rPr>
            <w:rFonts w:ascii="Cambria Math" w:hAnsi="Cambria Math"/>
            <w:color w:val="000000" w:themeColor="text1"/>
          </w:rPr>
          <m:t>a</m:t>
        </m:r>
      </m:oMath>
      <w:r w:rsidRPr="00D14921">
        <w:rPr>
          <w:color w:val="000000" w:themeColor="text1"/>
        </w:rPr>
        <w:t xml:space="preserve"> in the group of crystallizing phases. Fractional crystallization assumes that crystals form within the LMO and settle out to form cumulates at the base of the magma ocean. By definition, in a fractional crystallization scenario, crystals in the cumulate pile are not in equilibrium with the magma ocean residual liquid except at the moment they form. To conserve mass,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oMath>
      <w:r w:rsidRPr="00D14921">
        <w:rPr>
          <w:color w:val="000000" w:themeColor="text1"/>
        </w:rPr>
        <w:t xml:space="preserve"> in this model must account for previously removed </w:t>
      </w:r>
      <w:r w:rsidRPr="00D14921">
        <w:rPr>
          <w:color w:val="000000" w:themeColor="text1"/>
        </w:rPr>
        <w:lastRenderedPageBreak/>
        <w:t xml:space="preserve">crystallizing phases as the magma ocean evolves. Recalculating the </w:t>
      </w:r>
      <m:oMath>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oMath>
      <w:r w:rsidRPr="00D14921">
        <w:rPr>
          <w:color w:val="000000" w:themeColor="text1"/>
        </w:rPr>
        <w:t xml:space="preserve"> at intervals </w:t>
      </w:r>
      <m:oMath>
        <m:r>
          <w:rPr>
            <w:rFonts w:ascii="Cambria Math" w:hAnsi="Cambria Math"/>
            <w:color w:val="000000" w:themeColor="text1"/>
          </w:rPr>
          <m:t>j</m:t>
        </m:r>
      </m:oMath>
      <w:r w:rsidRPr="00D14921">
        <w:rPr>
          <w:color w:val="000000" w:themeColor="text1"/>
        </w:rPr>
        <w:t xml:space="preserve"> after a first interval a:</w:t>
      </w:r>
    </w:p>
    <w:p w14:paraId="2C5DB553" w14:textId="0DF1E999" w:rsidR="00D14921" w:rsidRPr="00D14921" w:rsidRDefault="00000000" w:rsidP="00081DCC">
      <w:pPr>
        <w:spacing w:line="480" w:lineRule="auto"/>
        <w:jc w:val="right"/>
        <w:rPr>
          <w:rFonts w:eastAsiaTheme="minorEastAsia"/>
          <w:color w:val="000000" w:themeColor="text1"/>
        </w:rPr>
      </w:pPr>
      <m:oMath>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Comb</m:t>
            </m:r>
          </m:sub>
          <m:sup>
            <m:r>
              <w:rPr>
                <w:rFonts w:ascii="Cambria Math" w:hAnsi="Cambria Math"/>
                <w:color w:val="000000" w:themeColor="text1"/>
              </w:rPr>
              <m:t>i,ab</m:t>
            </m:r>
          </m:sup>
        </m:sSubSup>
        <m:r>
          <m:rPr>
            <m:sty m:val="p"/>
          </m:rPr>
          <w:rPr>
            <w:rFonts w:ascii="Cambria Math" w:hAnsi="Cambria Math"/>
            <w:color w:val="000000" w:themeColor="text1"/>
          </w:rPr>
          <m:t>=</m:t>
        </m:r>
        <m:f>
          <m:fPr>
            <m:ctrlPr>
              <w:rPr>
                <w:rFonts w:ascii="Cambria Math" w:hAnsi="Cambria Math"/>
                <w:color w:val="000000" w:themeColor="text1"/>
              </w:rPr>
            </m:ctrlPr>
          </m:fPr>
          <m:num>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i,a</m:t>
                </m:r>
              </m:sup>
            </m:sSubSup>
            <m:d>
              <m:dPr>
                <m:ctrlPr>
                  <w:rPr>
                    <w:rFonts w:ascii="Cambria Math" w:hAnsi="Cambria Math"/>
                    <w:color w:val="000000" w:themeColor="text1"/>
                  </w:rPr>
                </m:ctrlPr>
              </m:dPr>
              <m:e>
                <m:r>
                  <m:rPr>
                    <m:sty m:val="p"/>
                  </m:rPr>
                  <w:rPr>
                    <w:rFonts w:ascii="Cambria Math" w:hAnsi="Cambria Math"/>
                    <w:color w:val="000000" w:themeColor="text1"/>
                  </w:rPr>
                  <m:t>1-</m:t>
                </m:r>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e>
            </m:d>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i,b</m:t>
                </m:r>
              </m:sup>
            </m:sSubSup>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r>
                  <m:rPr>
                    <m:sty m:val="p"/>
                  </m:rPr>
                  <w:rPr>
                    <w:rFonts w:ascii="Cambria Math" w:hAnsi="Cambria Math"/>
                    <w:color w:val="000000" w:themeColor="text1"/>
                  </w:rPr>
                  <m:t>-</m:t>
                </m:r>
                <m:r>
                  <w:rPr>
                    <w:rFonts w:ascii="Cambria Math" w:hAnsi="Cambria Math"/>
                    <w:color w:val="000000" w:themeColor="text1"/>
                  </w:rPr>
                  <m:t>F</m:t>
                </m:r>
              </m:e>
            </m:d>
          </m:num>
          <m:den>
            <m:r>
              <m:rPr>
                <m:sty m:val="p"/>
              </m:rPr>
              <w:rPr>
                <w:rFonts w:ascii="Cambria Math" w:hAnsi="Cambria Math"/>
                <w:color w:val="000000" w:themeColor="text1"/>
              </w:rPr>
              <m:t>(1-</m:t>
            </m:r>
            <m:r>
              <w:rPr>
                <w:rFonts w:ascii="Cambria Math" w:hAnsi="Cambria Math"/>
                <w:color w:val="000000" w:themeColor="text1"/>
              </w:rPr>
              <m:t>F</m:t>
            </m:r>
            <m:r>
              <m:rPr>
                <m:sty m:val="p"/>
              </m:rPr>
              <w:rPr>
                <w:rFonts w:ascii="Cambria Math" w:hAnsi="Cambria Math"/>
                <w:color w:val="000000" w:themeColor="text1"/>
              </w:rPr>
              <m:t>)</m:t>
            </m:r>
          </m:den>
        </m:f>
      </m:oMath>
      <w:r w:rsidR="00D14921" w:rsidRPr="00D14921">
        <w:rPr>
          <w:rFonts w:eastAsiaTheme="minorEastAsia"/>
          <w:color w:val="000000" w:themeColor="text1"/>
        </w:rPr>
        <w:t>,</w:t>
      </w:r>
      <w:r w:rsidR="00D14921" w:rsidRPr="00D14921">
        <w:rPr>
          <w:rFonts w:eastAsiaTheme="minorEastAsia"/>
          <w:color w:val="000000" w:themeColor="text1"/>
        </w:rPr>
        <w:tab/>
      </w:r>
      <w:r w:rsidR="00081DCC">
        <w:rPr>
          <w:rFonts w:eastAsiaTheme="minorEastAsia"/>
          <w:color w:val="000000" w:themeColor="text1"/>
        </w:rPr>
        <w:tab/>
      </w:r>
      <w:r w:rsidR="00081DCC">
        <w:rPr>
          <w:rFonts w:eastAsiaTheme="minorEastAsia"/>
          <w:color w:val="000000" w:themeColor="text1"/>
        </w:rPr>
        <w:tab/>
      </w:r>
      <w:r w:rsidR="00D14921" w:rsidRPr="00D14921">
        <w:rPr>
          <w:rFonts w:eastAsiaTheme="minorEastAsia"/>
          <w:color w:val="000000" w:themeColor="text1"/>
        </w:rPr>
        <w:tab/>
        <w:t>(</w:t>
      </w:r>
      <w:r w:rsidR="00FE7FC7">
        <w:rPr>
          <w:rFonts w:eastAsiaTheme="minorEastAsia"/>
          <w:color w:val="000000" w:themeColor="text1"/>
        </w:rPr>
        <w:t>2.</w:t>
      </w:r>
      <w:r w:rsidR="007969AE">
        <w:rPr>
          <w:rFonts w:eastAsiaTheme="minorEastAsia"/>
          <w:color w:val="000000" w:themeColor="text1"/>
        </w:rPr>
        <w:t>4</w:t>
      </w:r>
      <w:r w:rsidR="00D14921" w:rsidRPr="00D14921">
        <w:rPr>
          <w:rFonts w:eastAsiaTheme="minorEastAsia"/>
          <w:color w:val="000000" w:themeColor="text1"/>
        </w:rPr>
        <w:t>)</w:t>
      </w:r>
    </w:p>
    <w:p w14:paraId="2201FBDC" w14:textId="2482379F" w:rsidR="00D14921" w:rsidRPr="00D14921" w:rsidRDefault="00000000" w:rsidP="00081DCC">
      <w:pPr>
        <w:spacing w:line="480" w:lineRule="auto"/>
        <w:jc w:val="right"/>
        <w:rPr>
          <w:color w:val="000000" w:themeColor="text1"/>
        </w:rPr>
      </w:pPr>
      <m:oMath>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Comb</m:t>
            </m:r>
          </m:sub>
          <m:sup>
            <m:r>
              <w:rPr>
                <w:rFonts w:ascii="Cambria Math" w:hAnsi="Cambria Math"/>
                <w:color w:val="000000" w:themeColor="text1"/>
              </w:rPr>
              <m:t>i,abc</m:t>
            </m:r>
          </m:sup>
        </m:sSubSup>
        <m:r>
          <m:rPr>
            <m:sty m:val="p"/>
          </m:rPr>
          <w:rPr>
            <w:rFonts w:ascii="Cambria Math" w:hAnsi="Cambria Math"/>
            <w:color w:val="000000" w:themeColor="text1"/>
          </w:rPr>
          <m:t>=</m:t>
        </m:r>
        <m:f>
          <m:fPr>
            <m:ctrlPr>
              <w:rPr>
                <w:rFonts w:ascii="Cambria Math" w:hAnsi="Cambria Math"/>
                <w:color w:val="000000" w:themeColor="text1"/>
              </w:rPr>
            </m:ctrlPr>
          </m:fPr>
          <m:num>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i,a</m:t>
                </m:r>
              </m:sup>
            </m:sSubSup>
            <m:d>
              <m:dPr>
                <m:ctrlPr>
                  <w:rPr>
                    <w:rFonts w:ascii="Cambria Math" w:hAnsi="Cambria Math"/>
                    <w:color w:val="000000" w:themeColor="text1"/>
                  </w:rPr>
                </m:ctrlPr>
              </m:dPr>
              <m:e>
                <m:r>
                  <m:rPr>
                    <m:sty m:val="p"/>
                  </m:rPr>
                  <w:rPr>
                    <w:rFonts w:ascii="Cambria Math" w:hAnsi="Cambria Math"/>
                    <w:color w:val="000000" w:themeColor="text1"/>
                  </w:rPr>
                  <m:t>1-</m:t>
                </m:r>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e>
            </m:d>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i,b</m:t>
                </m:r>
              </m:sup>
            </m:sSubSup>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b</m:t>
                    </m:r>
                  </m:sub>
                </m:sSub>
              </m:e>
            </m:d>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i,c</m:t>
                </m:r>
              </m:sup>
            </m:sSubSup>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b</m:t>
                    </m:r>
                  </m:sub>
                </m:sSub>
                <m:r>
                  <m:rPr>
                    <m:sty m:val="p"/>
                  </m:rPr>
                  <w:rPr>
                    <w:rFonts w:ascii="Cambria Math" w:hAnsi="Cambria Math"/>
                    <w:color w:val="000000" w:themeColor="text1"/>
                  </w:rPr>
                  <m:t>-</m:t>
                </m:r>
                <m:r>
                  <w:rPr>
                    <w:rFonts w:ascii="Cambria Math" w:hAnsi="Cambria Math"/>
                    <w:color w:val="000000" w:themeColor="text1"/>
                  </w:rPr>
                  <m:t>F</m:t>
                </m:r>
              </m:e>
            </m:d>
          </m:num>
          <m:den>
            <m:r>
              <m:rPr>
                <m:sty m:val="p"/>
              </m:rPr>
              <w:rPr>
                <w:rFonts w:ascii="Cambria Math" w:hAnsi="Cambria Math"/>
                <w:color w:val="000000" w:themeColor="text1"/>
              </w:rPr>
              <m:t>(1-</m:t>
            </m:r>
            <m:r>
              <w:rPr>
                <w:rFonts w:ascii="Cambria Math" w:hAnsi="Cambria Math"/>
                <w:color w:val="000000" w:themeColor="text1"/>
              </w:rPr>
              <m:t>F</m:t>
            </m:r>
            <m:r>
              <m:rPr>
                <m:sty m:val="p"/>
              </m:rPr>
              <w:rPr>
                <w:rFonts w:ascii="Cambria Math" w:hAnsi="Cambria Math"/>
                <w:color w:val="000000" w:themeColor="text1"/>
              </w:rPr>
              <m:t>)</m:t>
            </m:r>
          </m:den>
        </m:f>
      </m:oMath>
      <w:r w:rsidR="00D14921" w:rsidRPr="00D14921">
        <w:rPr>
          <w:rFonts w:eastAsiaTheme="minorEastAsia"/>
          <w:color w:val="000000" w:themeColor="text1"/>
        </w:rPr>
        <w:t>,</w:t>
      </w:r>
      <w:r w:rsidR="00D14921" w:rsidRPr="00D14921">
        <w:rPr>
          <w:rFonts w:eastAsiaTheme="minorEastAsia"/>
          <w:color w:val="000000" w:themeColor="text1"/>
        </w:rPr>
        <w:tab/>
      </w:r>
      <w:r w:rsidR="00081DCC">
        <w:rPr>
          <w:rFonts w:eastAsiaTheme="minorEastAsia"/>
          <w:color w:val="000000" w:themeColor="text1"/>
        </w:rPr>
        <w:tab/>
      </w:r>
      <w:r w:rsidR="00D14921" w:rsidRPr="00D14921">
        <w:rPr>
          <w:rFonts w:eastAsiaTheme="minorEastAsia"/>
          <w:color w:val="000000" w:themeColor="text1"/>
        </w:rPr>
        <w:tab/>
        <w:t>(</w:t>
      </w:r>
      <w:r w:rsidR="00FE7FC7">
        <w:rPr>
          <w:rFonts w:eastAsiaTheme="minorEastAsia"/>
          <w:color w:val="000000" w:themeColor="text1"/>
        </w:rPr>
        <w:t>2.</w:t>
      </w:r>
      <w:r w:rsidR="007969AE">
        <w:rPr>
          <w:rFonts w:eastAsiaTheme="minorEastAsia"/>
          <w:color w:val="000000" w:themeColor="text1"/>
        </w:rPr>
        <w:t>5</w:t>
      </w:r>
      <w:r w:rsidR="00D14921" w:rsidRPr="00D14921">
        <w:rPr>
          <w:rFonts w:eastAsiaTheme="minorEastAsia"/>
          <w:color w:val="000000" w:themeColor="text1"/>
        </w:rPr>
        <w:t>)</w:t>
      </w:r>
    </w:p>
    <w:p w14:paraId="4127DE12" w14:textId="77777777" w:rsidR="00D14921" w:rsidRPr="00D14921" w:rsidRDefault="00D14921" w:rsidP="00D14921">
      <w:pPr>
        <w:spacing w:line="480" w:lineRule="auto"/>
        <w:rPr>
          <w:color w:val="000000" w:themeColor="text1"/>
        </w:rPr>
      </w:pPr>
      <w:r w:rsidRPr="00D14921">
        <w:rPr>
          <w:color w:val="000000" w:themeColor="text1"/>
        </w:rPr>
        <w:t xml:space="preserve">and so forth, where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i,j</m:t>
            </m:r>
          </m:sup>
        </m:sSubSup>
      </m:oMath>
      <w:r w:rsidRPr="00D14921">
        <w:rPr>
          <w:color w:val="000000" w:themeColor="text1"/>
        </w:rPr>
        <w:t xml:space="preserve"> is the bulk </w:t>
      </w:r>
      <w:r w:rsidRPr="00D14921">
        <w:rPr>
          <w:noProof/>
          <w:color w:val="000000" w:themeColor="text1"/>
        </w:rPr>
        <w:t>partition</w:t>
      </w:r>
      <w:r w:rsidRPr="00D14921">
        <w:rPr>
          <w:color w:val="000000" w:themeColor="text1"/>
        </w:rPr>
        <w:t xml:space="preserve"> coefficient for a given element during a part of the crystallization sequence at an extent of melt </w:t>
      </w:r>
      <m:oMath>
        <m:r>
          <w:rPr>
            <w:rFonts w:ascii="Cambria Math" w:hAnsi="Cambria Math"/>
            <w:color w:val="000000" w:themeColor="text1"/>
          </w:rPr>
          <m:t>F</m:t>
        </m:r>
      </m:oMath>
      <w:r w:rsidRPr="00D14921">
        <w:rPr>
          <w:color w:val="000000" w:themeColor="text1"/>
        </w:rPr>
        <w:t xml:space="preserve">. For the first interval </w:t>
      </w:r>
      <m:oMath>
        <m:r>
          <w:rPr>
            <w:rFonts w:ascii="Cambria Math" w:hAnsi="Cambria Math"/>
            <w:color w:val="000000" w:themeColor="text1"/>
          </w:rPr>
          <m:t>a</m:t>
        </m:r>
      </m:oMath>
      <w:r w:rsidRPr="00D14921">
        <w:rPr>
          <w:color w:val="000000" w:themeColor="text1"/>
        </w:rPr>
        <w:t xml:space="preserve">, the melt fraction at which crystallization interval </w:t>
      </w:r>
      <m:oMath>
        <m:r>
          <w:rPr>
            <w:rFonts w:ascii="Cambria Math" w:hAnsi="Cambria Math"/>
            <w:color w:val="000000" w:themeColor="text1"/>
          </w:rPr>
          <m:t>a</m:t>
        </m:r>
      </m:oMath>
      <w:r w:rsidRPr="00D14921">
        <w:rPr>
          <w:rFonts w:eastAsiaTheme="minorEastAsia"/>
          <w:color w:val="000000" w:themeColor="text1"/>
        </w:rPr>
        <w:t xml:space="preserve"> </w:t>
      </w:r>
      <w:r w:rsidRPr="00D14921">
        <w:rPr>
          <w:color w:val="000000" w:themeColor="text1"/>
        </w:rPr>
        <w:t xml:space="preserve">ends is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oMath>
      <w:r w:rsidRPr="00D14921">
        <w:rPr>
          <w:color w:val="000000" w:themeColor="text1"/>
        </w:rPr>
        <w:t xml:space="preserve">.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Comb</m:t>
            </m:r>
          </m:sub>
          <m:sup>
            <m:r>
              <w:rPr>
                <w:rFonts w:ascii="Cambria Math" w:hAnsi="Cambria Math"/>
                <w:color w:val="000000" w:themeColor="text1"/>
              </w:rPr>
              <m:t>i,ab</m:t>
            </m:r>
          </m:sup>
        </m:sSubSup>
      </m:oMath>
      <w:r w:rsidRPr="00D14921">
        <w:rPr>
          <w:color w:val="000000" w:themeColor="text1"/>
        </w:rPr>
        <w:t xml:space="preserve"> represents the combined bulk </w:t>
      </w:r>
      <w:r w:rsidRPr="00D14921">
        <w:rPr>
          <w:noProof/>
          <w:color w:val="000000" w:themeColor="text1"/>
        </w:rPr>
        <w:t>partition</w:t>
      </w:r>
      <w:r w:rsidRPr="00D14921">
        <w:rPr>
          <w:color w:val="000000" w:themeColor="text1"/>
        </w:rPr>
        <w:t xml:space="preserve"> coefficient for a second crystallization interval </w:t>
      </w:r>
      <m:oMath>
        <m:r>
          <w:rPr>
            <w:rFonts w:ascii="Cambria Math" w:hAnsi="Cambria Math"/>
            <w:color w:val="000000" w:themeColor="text1"/>
          </w:rPr>
          <m:t>b</m:t>
        </m:r>
      </m:oMath>
      <w:r w:rsidRPr="00D14921">
        <w:rPr>
          <w:color w:val="000000" w:themeColor="text1"/>
        </w:rPr>
        <w:t xml:space="preserve">, crystallization sequence </w:t>
      </w:r>
      <m:oMath>
        <m:r>
          <w:rPr>
            <w:rFonts w:ascii="Cambria Math" w:hAnsi="Cambria Math"/>
            <w:color w:val="000000" w:themeColor="text1"/>
          </w:rPr>
          <m:t>b</m:t>
        </m:r>
      </m:oMath>
      <w:r w:rsidRPr="00D14921">
        <w:rPr>
          <w:i/>
          <w:iCs/>
          <w:color w:val="000000" w:themeColor="text1"/>
        </w:rPr>
        <w:t xml:space="preserve"> </w:t>
      </w:r>
      <w:r w:rsidRPr="00D14921">
        <w:rPr>
          <w:color w:val="000000" w:themeColor="text1"/>
        </w:rPr>
        <w:t xml:space="preserve">occurs for melt fractions between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oMath>
      <w:r w:rsidRPr="00D14921">
        <w:rPr>
          <w:color w:val="000000" w:themeColor="text1"/>
        </w:rPr>
        <w:t xml:space="preserve"> and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b</m:t>
            </m:r>
          </m:sub>
        </m:sSub>
      </m:oMath>
      <w:r w:rsidRPr="00D14921">
        <w:rPr>
          <w:color w:val="000000" w:themeColor="text1"/>
        </w:rPr>
        <w:t xml:space="preserve">.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Comb</m:t>
            </m:r>
          </m:sub>
          <m:sup>
            <m:r>
              <w:rPr>
                <w:rFonts w:ascii="Cambria Math" w:hAnsi="Cambria Math"/>
                <w:color w:val="000000" w:themeColor="text1"/>
              </w:rPr>
              <m:t>i,abc</m:t>
            </m:r>
          </m:sup>
        </m:sSubSup>
      </m:oMath>
      <w:r w:rsidRPr="00D14921">
        <w:rPr>
          <w:color w:val="000000" w:themeColor="text1"/>
        </w:rPr>
        <w:t xml:space="preserve"> represents the combined bulk </w:t>
      </w:r>
      <w:r w:rsidRPr="00D14921">
        <w:rPr>
          <w:noProof/>
          <w:color w:val="000000" w:themeColor="text1"/>
        </w:rPr>
        <w:t>partition</w:t>
      </w:r>
      <w:r w:rsidRPr="00D14921">
        <w:rPr>
          <w:color w:val="000000" w:themeColor="text1"/>
        </w:rPr>
        <w:t xml:space="preserve"> coefficient for a third crystallization interval </w:t>
      </w:r>
      <m:oMath>
        <m:r>
          <w:rPr>
            <w:rFonts w:ascii="Cambria Math" w:hAnsi="Cambria Math"/>
            <w:color w:val="000000" w:themeColor="text1"/>
          </w:rPr>
          <m:t>c</m:t>
        </m:r>
      </m:oMath>
      <w:r w:rsidRPr="00D14921">
        <w:rPr>
          <w:color w:val="000000" w:themeColor="text1"/>
        </w:rPr>
        <w:t xml:space="preserve">, crystallization interval </w:t>
      </w:r>
      <m:oMath>
        <m:r>
          <w:rPr>
            <w:rFonts w:ascii="Cambria Math" w:hAnsi="Cambria Math"/>
            <w:color w:val="000000" w:themeColor="text1"/>
          </w:rPr>
          <m:t>c</m:t>
        </m:r>
      </m:oMath>
      <w:r w:rsidRPr="00D14921">
        <w:rPr>
          <w:i/>
          <w:iCs/>
          <w:color w:val="000000" w:themeColor="text1"/>
        </w:rPr>
        <w:t xml:space="preserve"> </w:t>
      </w:r>
      <w:r w:rsidRPr="00D14921">
        <w:rPr>
          <w:color w:val="000000" w:themeColor="text1"/>
        </w:rPr>
        <w:t xml:space="preserve">occurs for melt fractions between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 xml:space="preserve">b </m:t>
            </m:r>
          </m:sub>
        </m:sSub>
      </m:oMath>
      <w:r w:rsidRPr="00D14921">
        <w:rPr>
          <w:rFonts w:eastAsiaTheme="minorEastAsia"/>
          <w:color w:val="000000" w:themeColor="text1"/>
        </w:rPr>
        <w:t xml:space="preserve">and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c</m:t>
            </m:r>
          </m:sub>
        </m:sSub>
      </m:oMath>
      <w:r w:rsidRPr="00D14921">
        <w:rPr>
          <w:color w:val="000000" w:themeColor="text1"/>
        </w:rPr>
        <w:t>.</w:t>
      </w:r>
    </w:p>
    <w:p w14:paraId="01E70F51" w14:textId="7275FFCB" w:rsidR="00D14921" w:rsidRDefault="00D14921" w:rsidP="00211601">
      <w:pPr>
        <w:spacing w:line="480" w:lineRule="auto"/>
        <w:ind w:firstLine="720"/>
        <w:rPr>
          <w:color w:val="000000" w:themeColor="text1"/>
        </w:rPr>
      </w:pPr>
      <w:r w:rsidRPr="00D14921">
        <w:rPr>
          <w:color w:val="000000" w:themeColor="text1"/>
        </w:rPr>
        <w:t>The crystallization sequence assumed in this study is similar to the experimental results of Charlier et al. (2018). Magma ocean solidification occurs in a six-stage progression of fractionating phases (</w:t>
      </w:r>
      <w:r w:rsidRPr="00B36E39">
        <w:rPr>
          <w:b/>
          <w:bCs/>
          <w:color w:val="000000" w:themeColor="text1"/>
        </w:rPr>
        <w:t xml:space="preserve">Table </w:t>
      </w:r>
      <w:r w:rsidR="00B36E39">
        <w:rPr>
          <w:b/>
          <w:bCs/>
          <w:color w:val="000000" w:themeColor="text1"/>
        </w:rPr>
        <w:t>2.</w:t>
      </w:r>
      <w:r w:rsidRPr="00B36E39">
        <w:rPr>
          <w:b/>
          <w:bCs/>
          <w:color w:val="000000" w:themeColor="text1"/>
        </w:rPr>
        <w:t>1</w:t>
      </w:r>
      <w:r w:rsidRPr="00D14921">
        <w:rPr>
          <w:color w:val="000000" w:themeColor="text1"/>
        </w:rPr>
        <w:t xml:space="preserve">). Olivine is the only crystallization phase from </w:t>
      </w:r>
      <m:oMath>
        <m:r>
          <w:rPr>
            <w:rFonts w:ascii="Cambria Math" w:hAnsi="Cambria Math"/>
            <w:color w:val="000000" w:themeColor="text1"/>
          </w:rPr>
          <m:t>F</m:t>
        </m:r>
      </m:oMath>
      <w:r w:rsidRPr="00D14921">
        <w:rPr>
          <w:color w:val="000000" w:themeColor="text1"/>
        </w:rPr>
        <w:t xml:space="preserve"> = 1 to </w:t>
      </w:r>
      <m:oMath>
        <m:r>
          <w:rPr>
            <w:rFonts w:ascii="Cambria Math" w:hAnsi="Cambria Math"/>
            <w:color w:val="000000" w:themeColor="text1"/>
          </w:rPr>
          <m:t>F</m:t>
        </m:r>
      </m:oMath>
      <w:r w:rsidRPr="00D14921">
        <w:rPr>
          <w:color w:val="000000" w:themeColor="text1"/>
        </w:rPr>
        <w:t xml:space="preserve"> = 0.49, Ol and Opx crystallize from </w:t>
      </w:r>
      <m:oMath>
        <m:r>
          <w:rPr>
            <w:rFonts w:ascii="Cambria Math" w:hAnsi="Cambria Math"/>
            <w:color w:val="000000" w:themeColor="text1"/>
          </w:rPr>
          <m:t>F</m:t>
        </m:r>
      </m:oMath>
      <w:r w:rsidRPr="00D14921">
        <w:rPr>
          <w:color w:val="000000" w:themeColor="text1"/>
        </w:rPr>
        <w:t xml:space="preserve"> = 0.49 to </w:t>
      </w:r>
      <m:oMath>
        <m:r>
          <w:rPr>
            <w:rFonts w:ascii="Cambria Math" w:hAnsi="Cambria Math"/>
            <w:color w:val="000000" w:themeColor="text1"/>
          </w:rPr>
          <m:t>F</m:t>
        </m:r>
      </m:oMath>
      <w:r w:rsidRPr="00D14921">
        <w:rPr>
          <w:color w:val="000000" w:themeColor="text1"/>
        </w:rPr>
        <w:t xml:space="preserve"> = 0.22, Ol, Opx, pigeonite (Pig), and Plag crystallize from </w:t>
      </w:r>
      <m:oMath>
        <m:r>
          <w:rPr>
            <w:rFonts w:ascii="Cambria Math" w:hAnsi="Cambria Math"/>
            <w:color w:val="000000" w:themeColor="text1"/>
          </w:rPr>
          <m:t>F</m:t>
        </m:r>
      </m:oMath>
      <w:r w:rsidRPr="00D14921">
        <w:rPr>
          <w:color w:val="000000" w:themeColor="text1"/>
        </w:rPr>
        <w:t xml:space="preserve"> = 0.22 to </w:t>
      </w:r>
      <m:oMath>
        <m:r>
          <w:rPr>
            <w:rFonts w:ascii="Cambria Math" w:hAnsi="Cambria Math"/>
            <w:color w:val="000000" w:themeColor="text1"/>
          </w:rPr>
          <m:t>F</m:t>
        </m:r>
      </m:oMath>
      <w:r w:rsidRPr="00D14921">
        <w:rPr>
          <w:color w:val="000000" w:themeColor="text1"/>
        </w:rPr>
        <w:t xml:space="preserve"> = 0.19, and Cpx (i.e., augite), Pig, and Plag crystallize from </w:t>
      </w:r>
      <m:oMath>
        <m:r>
          <w:rPr>
            <w:rFonts w:ascii="Cambria Math" w:hAnsi="Cambria Math"/>
            <w:color w:val="000000" w:themeColor="text1"/>
          </w:rPr>
          <m:t>F</m:t>
        </m:r>
      </m:oMath>
      <w:r w:rsidRPr="00D14921">
        <w:rPr>
          <w:color w:val="000000" w:themeColor="text1"/>
        </w:rPr>
        <w:t xml:space="preserve"> = 0.19 to </w:t>
      </w:r>
      <m:oMath>
        <m:r>
          <w:rPr>
            <w:rFonts w:ascii="Cambria Math" w:hAnsi="Cambria Math"/>
            <w:color w:val="000000" w:themeColor="text1"/>
          </w:rPr>
          <m:t>F</m:t>
        </m:r>
      </m:oMath>
      <w:r w:rsidRPr="00D14921">
        <w:rPr>
          <w:color w:val="000000" w:themeColor="text1"/>
        </w:rPr>
        <w:t xml:space="preserve"> = 0.05. The last two stages of solidification are assumed to crystallize Cpx, Pig, Plag, and quartz (Qtz) from </w:t>
      </w:r>
      <m:oMath>
        <m:r>
          <w:rPr>
            <w:rFonts w:ascii="Cambria Math" w:hAnsi="Cambria Math"/>
            <w:color w:val="000000" w:themeColor="text1"/>
          </w:rPr>
          <m:t>F</m:t>
        </m:r>
      </m:oMath>
      <w:r w:rsidRPr="00D14921">
        <w:rPr>
          <w:color w:val="000000" w:themeColor="text1"/>
        </w:rPr>
        <w:t xml:space="preserve"> = 0.05 to </w:t>
      </w:r>
      <m:oMath>
        <m:r>
          <w:rPr>
            <w:rFonts w:ascii="Cambria Math" w:hAnsi="Cambria Math"/>
            <w:color w:val="000000" w:themeColor="text1"/>
          </w:rPr>
          <m:t>F</m:t>
        </m:r>
      </m:oMath>
      <w:r w:rsidRPr="00D14921">
        <w:rPr>
          <w:color w:val="000000" w:themeColor="text1"/>
        </w:rPr>
        <w:t xml:space="preserve"> = 0.02, and fayalitic Ol, Cpx, Plag, Qtz, and Ilm crystallize from </w:t>
      </w:r>
      <m:oMath>
        <m:r>
          <w:rPr>
            <w:rFonts w:ascii="Cambria Math" w:hAnsi="Cambria Math"/>
            <w:color w:val="000000" w:themeColor="text1"/>
          </w:rPr>
          <m:t>F</m:t>
        </m:r>
      </m:oMath>
      <w:r w:rsidRPr="00D14921">
        <w:rPr>
          <w:color w:val="000000" w:themeColor="text1"/>
        </w:rPr>
        <w:t xml:space="preserve"> = 0.02 to </w:t>
      </w:r>
      <m:oMath>
        <m:r>
          <w:rPr>
            <w:rFonts w:ascii="Cambria Math" w:hAnsi="Cambria Math"/>
            <w:color w:val="000000" w:themeColor="text1"/>
          </w:rPr>
          <m:t>F</m:t>
        </m:r>
      </m:oMath>
      <w:r w:rsidRPr="00D14921">
        <w:rPr>
          <w:color w:val="000000" w:themeColor="text1"/>
        </w:rPr>
        <w:t xml:space="preserve"> = 0.</w:t>
      </w:r>
    </w:p>
    <w:p w14:paraId="50FC69FF" w14:textId="1EC650D7" w:rsidR="00707EA1" w:rsidRPr="00557062" w:rsidRDefault="00707EA1" w:rsidP="00F45EF5">
      <w:pPr>
        <w:spacing w:line="480" w:lineRule="auto"/>
        <w:ind w:firstLine="720"/>
        <w:rPr>
          <w:noProof/>
          <w:color w:val="000000" w:themeColor="text1"/>
        </w:rPr>
      </w:pPr>
    </w:p>
    <w:p w14:paraId="6CFB2D97" w14:textId="77777777" w:rsidR="0015107F" w:rsidRDefault="0015107F">
      <w:pPr>
        <w:rPr>
          <w:noProof/>
          <w:color w:val="000000" w:themeColor="text1"/>
        </w:rPr>
      </w:pPr>
      <w:r>
        <w:rPr>
          <w:noProof/>
          <w:color w:val="000000" w:themeColor="text1"/>
        </w:rPr>
        <w:br w:type="page"/>
      </w:r>
    </w:p>
    <w:p w14:paraId="4263EB2A" w14:textId="6E0F1B4A" w:rsidR="0015107F" w:rsidRPr="00557062" w:rsidRDefault="0015107F" w:rsidP="0015107F">
      <w:pPr>
        <w:pStyle w:val="Tables"/>
      </w:pPr>
      <w:bookmarkStart w:id="256" w:name="_Toc185263591"/>
      <w:r w:rsidRPr="00557062">
        <w:rPr>
          <w:b/>
          <w:bCs/>
        </w:rPr>
        <w:lastRenderedPageBreak/>
        <w:t xml:space="preserve">Table </w:t>
      </w:r>
      <w:r>
        <w:rPr>
          <w:b/>
          <w:bCs/>
        </w:rPr>
        <w:t>2.</w:t>
      </w:r>
      <w:r w:rsidRPr="00557062">
        <w:rPr>
          <w:b/>
          <w:bCs/>
        </w:rPr>
        <w:t>1.</w:t>
      </w:r>
      <w:r w:rsidRPr="00557062">
        <w:t xml:space="preserve"> Phase proportions in LMO cumulates based on findings from Charlier et al. (2018), assuming no plagioclase or quartz floatation.</w:t>
      </w:r>
      <w:bookmarkEnd w:id="256"/>
      <w:r w:rsidRPr="00557062">
        <w:t xml:space="preserve"> </w:t>
      </w:r>
    </w:p>
    <w:tbl>
      <w:tblPr>
        <w:tblW w:w="6720" w:type="dxa"/>
        <w:tblLook w:val="04A0" w:firstRow="1" w:lastRow="0" w:firstColumn="1" w:lastColumn="0" w:noHBand="0" w:noVBand="1"/>
      </w:tblPr>
      <w:tblGrid>
        <w:gridCol w:w="960"/>
        <w:gridCol w:w="960"/>
        <w:gridCol w:w="960"/>
        <w:gridCol w:w="960"/>
        <w:gridCol w:w="960"/>
        <w:gridCol w:w="960"/>
        <w:gridCol w:w="960"/>
      </w:tblGrid>
      <w:tr w:rsidR="0015107F" w:rsidRPr="006C02C8" w14:paraId="3D480BEA" w14:textId="77777777" w:rsidTr="00381517">
        <w:trPr>
          <w:trHeight w:val="34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18034" w14:textId="77777777" w:rsidR="0015107F" w:rsidRPr="006C02C8" w:rsidRDefault="0015107F" w:rsidP="00381517">
            <w:pPr>
              <w:jc w:val="center"/>
              <w:rPr>
                <w:color w:val="000000" w:themeColor="text1"/>
              </w:rPr>
            </w:pPr>
            <w:r w:rsidRPr="006C02C8">
              <w:rPr>
                <w:color w:val="000000" w:themeColor="text1"/>
              </w:rPr>
              <w:t>Phases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1E00B7C" w14:textId="77777777" w:rsidR="0015107F" w:rsidRPr="006C02C8" w:rsidRDefault="0015107F" w:rsidP="00381517">
            <w:pPr>
              <w:jc w:val="center"/>
              <w:rPr>
                <w:color w:val="000000" w:themeColor="text1"/>
              </w:rPr>
            </w:pPr>
            <w:r w:rsidRPr="006C02C8">
              <w:rPr>
                <w:color w:val="000000" w:themeColor="text1"/>
              </w:rPr>
              <w:t>Stage 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B253731" w14:textId="77777777" w:rsidR="0015107F" w:rsidRPr="006C02C8" w:rsidRDefault="0015107F" w:rsidP="00381517">
            <w:pPr>
              <w:jc w:val="center"/>
              <w:rPr>
                <w:color w:val="000000" w:themeColor="text1"/>
              </w:rPr>
            </w:pPr>
            <w:r w:rsidRPr="006C02C8">
              <w:rPr>
                <w:color w:val="000000" w:themeColor="text1"/>
              </w:rPr>
              <w:t>Stage 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DC30D8C" w14:textId="77777777" w:rsidR="0015107F" w:rsidRPr="006C02C8" w:rsidRDefault="0015107F" w:rsidP="00381517">
            <w:pPr>
              <w:jc w:val="center"/>
              <w:rPr>
                <w:color w:val="000000" w:themeColor="text1"/>
              </w:rPr>
            </w:pPr>
            <w:r w:rsidRPr="006C02C8">
              <w:rPr>
                <w:color w:val="000000" w:themeColor="text1"/>
              </w:rPr>
              <w:t>Stage 3</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EEB8DEA" w14:textId="77777777" w:rsidR="0015107F" w:rsidRPr="006C02C8" w:rsidRDefault="0015107F" w:rsidP="00381517">
            <w:pPr>
              <w:jc w:val="center"/>
              <w:rPr>
                <w:color w:val="000000" w:themeColor="text1"/>
              </w:rPr>
            </w:pPr>
            <w:r w:rsidRPr="006C02C8">
              <w:rPr>
                <w:color w:val="000000" w:themeColor="text1"/>
              </w:rPr>
              <w:t>Stage 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DB02157" w14:textId="77777777" w:rsidR="0015107F" w:rsidRPr="006C02C8" w:rsidRDefault="0015107F" w:rsidP="00381517">
            <w:pPr>
              <w:jc w:val="center"/>
              <w:rPr>
                <w:color w:val="000000" w:themeColor="text1"/>
              </w:rPr>
            </w:pPr>
            <w:r w:rsidRPr="006C02C8">
              <w:rPr>
                <w:color w:val="000000" w:themeColor="text1"/>
              </w:rPr>
              <w:t>Stage 5</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8FBC1D7" w14:textId="77777777" w:rsidR="0015107F" w:rsidRPr="006C02C8" w:rsidRDefault="0015107F" w:rsidP="00381517">
            <w:pPr>
              <w:jc w:val="center"/>
              <w:rPr>
                <w:color w:val="000000" w:themeColor="text1"/>
              </w:rPr>
            </w:pPr>
            <w:r w:rsidRPr="006C02C8">
              <w:rPr>
                <w:color w:val="000000" w:themeColor="text1"/>
              </w:rPr>
              <w:t>Stage 6</w:t>
            </w:r>
          </w:p>
        </w:tc>
      </w:tr>
      <w:tr w:rsidR="0015107F" w:rsidRPr="006C02C8" w14:paraId="40133FAD" w14:textId="77777777" w:rsidTr="00381517">
        <w:trPr>
          <w:trHeight w:val="3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FFDF80D" w14:textId="77777777" w:rsidR="0015107F" w:rsidRPr="006C02C8" w:rsidRDefault="0015107F" w:rsidP="00381517">
            <w:pPr>
              <w:jc w:val="center"/>
              <w:rPr>
                <w:color w:val="000000" w:themeColor="text1"/>
              </w:rPr>
            </w:pPr>
            <w:r w:rsidRPr="006C02C8">
              <w:rPr>
                <w:color w:val="000000" w:themeColor="text1"/>
              </w:rPr>
              <w:t>Ol</w:t>
            </w:r>
          </w:p>
        </w:tc>
        <w:tc>
          <w:tcPr>
            <w:tcW w:w="960" w:type="dxa"/>
            <w:tcBorders>
              <w:top w:val="nil"/>
              <w:left w:val="nil"/>
              <w:bottom w:val="single" w:sz="4" w:space="0" w:color="auto"/>
              <w:right w:val="single" w:sz="4" w:space="0" w:color="auto"/>
            </w:tcBorders>
            <w:shd w:val="clear" w:color="auto" w:fill="auto"/>
            <w:noWrap/>
            <w:vAlign w:val="center"/>
            <w:hideMark/>
          </w:tcPr>
          <w:p w14:paraId="1D21B309" w14:textId="77777777" w:rsidR="0015107F" w:rsidRPr="006C02C8" w:rsidRDefault="0015107F" w:rsidP="00381517">
            <w:pPr>
              <w:jc w:val="center"/>
              <w:rPr>
                <w:color w:val="000000" w:themeColor="text1"/>
              </w:rPr>
            </w:pPr>
            <w:r w:rsidRPr="006C02C8">
              <w:rPr>
                <w:color w:val="000000" w:themeColor="text1"/>
              </w:rPr>
              <w:t>0.990</w:t>
            </w:r>
          </w:p>
        </w:tc>
        <w:tc>
          <w:tcPr>
            <w:tcW w:w="960" w:type="dxa"/>
            <w:tcBorders>
              <w:top w:val="nil"/>
              <w:left w:val="nil"/>
              <w:bottom w:val="single" w:sz="4" w:space="0" w:color="auto"/>
              <w:right w:val="single" w:sz="4" w:space="0" w:color="auto"/>
            </w:tcBorders>
            <w:shd w:val="clear" w:color="auto" w:fill="auto"/>
            <w:noWrap/>
            <w:vAlign w:val="center"/>
            <w:hideMark/>
          </w:tcPr>
          <w:p w14:paraId="30DE2F78" w14:textId="77777777" w:rsidR="0015107F" w:rsidRPr="006C02C8" w:rsidRDefault="0015107F" w:rsidP="00381517">
            <w:pPr>
              <w:jc w:val="center"/>
              <w:rPr>
                <w:color w:val="000000" w:themeColor="text1"/>
              </w:rPr>
            </w:pPr>
            <w:r w:rsidRPr="006C02C8">
              <w:rPr>
                <w:color w:val="000000" w:themeColor="text1"/>
              </w:rPr>
              <w:t>0.099</w:t>
            </w:r>
          </w:p>
        </w:tc>
        <w:tc>
          <w:tcPr>
            <w:tcW w:w="960" w:type="dxa"/>
            <w:tcBorders>
              <w:top w:val="nil"/>
              <w:left w:val="nil"/>
              <w:bottom w:val="single" w:sz="4" w:space="0" w:color="auto"/>
              <w:right w:val="single" w:sz="4" w:space="0" w:color="auto"/>
            </w:tcBorders>
            <w:shd w:val="clear" w:color="auto" w:fill="auto"/>
            <w:noWrap/>
            <w:vAlign w:val="center"/>
            <w:hideMark/>
          </w:tcPr>
          <w:p w14:paraId="56CFE835" w14:textId="77777777" w:rsidR="0015107F" w:rsidRPr="006C02C8" w:rsidRDefault="0015107F" w:rsidP="00381517">
            <w:pPr>
              <w:jc w:val="center"/>
              <w:rPr>
                <w:color w:val="000000" w:themeColor="text1"/>
              </w:rPr>
            </w:pPr>
            <w:r w:rsidRPr="006C02C8">
              <w:rPr>
                <w:color w:val="000000" w:themeColor="text1"/>
              </w:rPr>
              <w:t>0.050</w:t>
            </w:r>
          </w:p>
        </w:tc>
        <w:tc>
          <w:tcPr>
            <w:tcW w:w="960" w:type="dxa"/>
            <w:tcBorders>
              <w:top w:val="nil"/>
              <w:left w:val="nil"/>
              <w:bottom w:val="single" w:sz="4" w:space="0" w:color="auto"/>
              <w:right w:val="single" w:sz="4" w:space="0" w:color="auto"/>
            </w:tcBorders>
            <w:shd w:val="clear" w:color="auto" w:fill="auto"/>
            <w:noWrap/>
            <w:vAlign w:val="center"/>
            <w:hideMark/>
          </w:tcPr>
          <w:p w14:paraId="010C1C63"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48A9C15B"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bottom"/>
            <w:hideMark/>
          </w:tcPr>
          <w:p w14:paraId="336B8D29" w14:textId="77777777" w:rsidR="0015107F" w:rsidRPr="006C02C8" w:rsidRDefault="0015107F" w:rsidP="00381517">
            <w:pPr>
              <w:jc w:val="center"/>
              <w:rPr>
                <w:color w:val="000000" w:themeColor="text1"/>
              </w:rPr>
            </w:pPr>
            <w:r w:rsidRPr="006C02C8">
              <w:rPr>
                <w:color w:val="000000" w:themeColor="text1"/>
              </w:rPr>
              <w:t>0.198</w:t>
            </w:r>
          </w:p>
        </w:tc>
      </w:tr>
      <w:tr w:rsidR="0015107F" w:rsidRPr="006C02C8" w14:paraId="2BFA983B" w14:textId="77777777" w:rsidTr="00381517">
        <w:trPr>
          <w:trHeight w:val="3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D7EAB43" w14:textId="77777777" w:rsidR="0015107F" w:rsidRPr="006C02C8" w:rsidRDefault="0015107F" w:rsidP="00381517">
            <w:pPr>
              <w:jc w:val="center"/>
              <w:rPr>
                <w:color w:val="000000" w:themeColor="text1"/>
              </w:rPr>
            </w:pPr>
            <w:r w:rsidRPr="006C02C8">
              <w:rPr>
                <w:color w:val="000000" w:themeColor="text1"/>
              </w:rPr>
              <w:t>Opx</w:t>
            </w:r>
          </w:p>
        </w:tc>
        <w:tc>
          <w:tcPr>
            <w:tcW w:w="960" w:type="dxa"/>
            <w:tcBorders>
              <w:top w:val="nil"/>
              <w:left w:val="nil"/>
              <w:bottom w:val="single" w:sz="4" w:space="0" w:color="auto"/>
              <w:right w:val="single" w:sz="4" w:space="0" w:color="auto"/>
            </w:tcBorders>
            <w:shd w:val="clear" w:color="auto" w:fill="auto"/>
            <w:noWrap/>
            <w:vAlign w:val="center"/>
            <w:hideMark/>
          </w:tcPr>
          <w:p w14:paraId="3F7CF3E5"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37A567C4" w14:textId="77777777" w:rsidR="0015107F" w:rsidRPr="006C02C8" w:rsidRDefault="0015107F" w:rsidP="00381517">
            <w:pPr>
              <w:jc w:val="center"/>
              <w:rPr>
                <w:color w:val="000000" w:themeColor="text1"/>
              </w:rPr>
            </w:pPr>
            <w:r w:rsidRPr="006C02C8">
              <w:rPr>
                <w:color w:val="000000" w:themeColor="text1"/>
              </w:rPr>
              <w:t>0.891</w:t>
            </w:r>
          </w:p>
        </w:tc>
        <w:tc>
          <w:tcPr>
            <w:tcW w:w="960" w:type="dxa"/>
            <w:tcBorders>
              <w:top w:val="nil"/>
              <w:left w:val="nil"/>
              <w:bottom w:val="single" w:sz="4" w:space="0" w:color="auto"/>
              <w:right w:val="single" w:sz="4" w:space="0" w:color="auto"/>
            </w:tcBorders>
            <w:shd w:val="clear" w:color="auto" w:fill="auto"/>
            <w:noWrap/>
            <w:vAlign w:val="center"/>
            <w:hideMark/>
          </w:tcPr>
          <w:p w14:paraId="5F8AA04B" w14:textId="77777777" w:rsidR="0015107F" w:rsidRPr="006C02C8" w:rsidRDefault="0015107F" w:rsidP="00381517">
            <w:pPr>
              <w:jc w:val="center"/>
              <w:rPr>
                <w:color w:val="000000" w:themeColor="text1"/>
              </w:rPr>
            </w:pPr>
            <w:r w:rsidRPr="006C02C8">
              <w:rPr>
                <w:color w:val="000000" w:themeColor="text1"/>
              </w:rPr>
              <w:t>0.198</w:t>
            </w:r>
          </w:p>
        </w:tc>
        <w:tc>
          <w:tcPr>
            <w:tcW w:w="960" w:type="dxa"/>
            <w:tcBorders>
              <w:top w:val="nil"/>
              <w:left w:val="nil"/>
              <w:bottom w:val="single" w:sz="4" w:space="0" w:color="auto"/>
              <w:right w:val="single" w:sz="4" w:space="0" w:color="auto"/>
            </w:tcBorders>
            <w:shd w:val="clear" w:color="auto" w:fill="auto"/>
            <w:noWrap/>
            <w:vAlign w:val="center"/>
            <w:hideMark/>
          </w:tcPr>
          <w:p w14:paraId="64345222"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463FC9FA"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bottom"/>
            <w:hideMark/>
          </w:tcPr>
          <w:p w14:paraId="18345DAE" w14:textId="77777777" w:rsidR="0015107F" w:rsidRPr="006C02C8" w:rsidRDefault="0015107F" w:rsidP="00381517">
            <w:pPr>
              <w:jc w:val="center"/>
              <w:rPr>
                <w:color w:val="000000" w:themeColor="text1"/>
              </w:rPr>
            </w:pPr>
            <w:r w:rsidRPr="006C02C8">
              <w:rPr>
                <w:color w:val="000000" w:themeColor="text1"/>
              </w:rPr>
              <w:t>0.000</w:t>
            </w:r>
          </w:p>
        </w:tc>
      </w:tr>
      <w:tr w:rsidR="0015107F" w:rsidRPr="006C02C8" w14:paraId="1D69F711" w14:textId="77777777" w:rsidTr="00381517">
        <w:trPr>
          <w:trHeight w:val="3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7AED5DE" w14:textId="77777777" w:rsidR="0015107F" w:rsidRPr="006C02C8" w:rsidRDefault="0015107F" w:rsidP="00381517">
            <w:pPr>
              <w:jc w:val="center"/>
              <w:rPr>
                <w:color w:val="000000" w:themeColor="text1"/>
              </w:rPr>
            </w:pPr>
            <w:r w:rsidRPr="006C02C8">
              <w:rPr>
                <w:color w:val="000000" w:themeColor="text1"/>
              </w:rPr>
              <w:t>Cpx</w:t>
            </w:r>
          </w:p>
        </w:tc>
        <w:tc>
          <w:tcPr>
            <w:tcW w:w="960" w:type="dxa"/>
            <w:tcBorders>
              <w:top w:val="nil"/>
              <w:left w:val="nil"/>
              <w:bottom w:val="single" w:sz="4" w:space="0" w:color="auto"/>
              <w:right w:val="single" w:sz="4" w:space="0" w:color="auto"/>
            </w:tcBorders>
            <w:shd w:val="clear" w:color="auto" w:fill="auto"/>
            <w:noWrap/>
            <w:vAlign w:val="center"/>
            <w:hideMark/>
          </w:tcPr>
          <w:p w14:paraId="194F759A"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185F4128"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19535574"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2D020647" w14:textId="77777777" w:rsidR="0015107F" w:rsidRPr="006C02C8" w:rsidRDefault="0015107F" w:rsidP="00381517">
            <w:pPr>
              <w:jc w:val="center"/>
              <w:rPr>
                <w:color w:val="000000" w:themeColor="text1"/>
              </w:rPr>
            </w:pPr>
            <w:r w:rsidRPr="006C02C8">
              <w:rPr>
                <w:color w:val="000000" w:themeColor="text1"/>
              </w:rPr>
              <w:t>0.198</w:t>
            </w:r>
          </w:p>
        </w:tc>
        <w:tc>
          <w:tcPr>
            <w:tcW w:w="960" w:type="dxa"/>
            <w:tcBorders>
              <w:top w:val="nil"/>
              <w:left w:val="nil"/>
              <w:bottom w:val="single" w:sz="4" w:space="0" w:color="auto"/>
              <w:right w:val="single" w:sz="4" w:space="0" w:color="auto"/>
            </w:tcBorders>
            <w:shd w:val="clear" w:color="auto" w:fill="auto"/>
            <w:noWrap/>
            <w:vAlign w:val="center"/>
            <w:hideMark/>
          </w:tcPr>
          <w:p w14:paraId="41B7A20B" w14:textId="77777777" w:rsidR="0015107F" w:rsidRPr="006C02C8" w:rsidRDefault="0015107F" w:rsidP="00381517">
            <w:pPr>
              <w:jc w:val="center"/>
              <w:rPr>
                <w:color w:val="000000" w:themeColor="text1"/>
              </w:rPr>
            </w:pPr>
            <w:r w:rsidRPr="006C02C8">
              <w:rPr>
                <w:color w:val="000000" w:themeColor="text1"/>
              </w:rPr>
              <w:t>0.198</w:t>
            </w:r>
          </w:p>
        </w:tc>
        <w:tc>
          <w:tcPr>
            <w:tcW w:w="960" w:type="dxa"/>
            <w:tcBorders>
              <w:top w:val="nil"/>
              <w:left w:val="nil"/>
              <w:bottom w:val="single" w:sz="4" w:space="0" w:color="auto"/>
              <w:right w:val="single" w:sz="4" w:space="0" w:color="auto"/>
            </w:tcBorders>
            <w:shd w:val="clear" w:color="auto" w:fill="auto"/>
            <w:noWrap/>
            <w:vAlign w:val="bottom"/>
            <w:hideMark/>
          </w:tcPr>
          <w:p w14:paraId="3CD04814" w14:textId="77777777" w:rsidR="0015107F" w:rsidRPr="006C02C8" w:rsidRDefault="0015107F" w:rsidP="00381517">
            <w:pPr>
              <w:jc w:val="center"/>
              <w:rPr>
                <w:color w:val="000000" w:themeColor="text1"/>
              </w:rPr>
            </w:pPr>
            <w:r w:rsidRPr="006C02C8">
              <w:rPr>
                <w:color w:val="000000" w:themeColor="text1"/>
              </w:rPr>
              <w:t>0.158</w:t>
            </w:r>
          </w:p>
        </w:tc>
      </w:tr>
      <w:tr w:rsidR="0015107F" w:rsidRPr="006C02C8" w14:paraId="4566F57F" w14:textId="77777777" w:rsidTr="00381517">
        <w:trPr>
          <w:trHeight w:val="3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5380BD0" w14:textId="77777777" w:rsidR="0015107F" w:rsidRPr="006C02C8" w:rsidRDefault="0015107F" w:rsidP="00381517">
            <w:pPr>
              <w:jc w:val="center"/>
              <w:rPr>
                <w:color w:val="000000" w:themeColor="text1"/>
              </w:rPr>
            </w:pPr>
            <w:r w:rsidRPr="006C02C8">
              <w:rPr>
                <w:color w:val="000000" w:themeColor="text1"/>
              </w:rPr>
              <w:t>Pig</w:t>
            </w:r>
          </w:p>
        </w:tc>
        <w:tc>
          <w:tcPr>
            <w:tcW w:w="960" w:type="dxa"/>
            <w:tcBorders>
              <w:top w:val="nil"/>
              <w:left w:val="nil"/>
              <w:bottom w:val="single" w:sz="4" w:space="0" w:color="auto"/>
              <w:right w:val="single" w:sz="4" w:space="0" w:color="auto"/>
            </w:tcBorders>
            <w:shd w:val="clear" w:color="auto" w:fill="auto"/>
            <w:noWrap/>
            <w:vAlign w:val="center"/>
            <w:hideMark/>
          </w:tcPr>
          <w:p w14:paraId="5229ECB9"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2D6B5DF5"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0B00574D" w14:textId="77777777" w:rsidR="0015107F" w:rsidRPr="006C02C8" w:rsidRDefault="0015107F" w:rsidP="00381517">
            <w:pPr>
              <w:jc w:val="center"/>
              <w:rPr>
                <w:color w:val="000000" w:themeColor="text1"/>
              </w:rPr>
            </w:pPr>
            <w:r w:rsidRPr="006C02C8">
              <w:rPr>
                <w:color w:val="000000" w:themeColor="text1"/>
              </w:rPr>
              <w:t>0.248</w:t>
            </w:r>
          </w:p>
        </w:tc>
        <w:tc>
          <w:tcPr>
            <w:tcW w:w="960" w:type="dxa"/>
            <w:tcBorders>
              <w:top w:val="nil"/>
              <w:left w:val="nil"/>
              <w:bottom w:val="single" w:sz="4" w:space="0" w:color="auto"/>
              <w:right w:val="single" w:sz="4" w:space="0" w:color="auto"/>
            </w:tcBorders>
            <w:shd w:val="clear" w:color="auto" w:fill="auto"/>
            <w:noWrap/>
            <w:vAlign w:val="center"/>
            <w:hideMark/>
          </w:tcPr>
          <w:p w14:paraId="2721C98A" w14:textId="77777777" w:rsidR="0015107F" w:rsidRPr="006C02C8" w:rsidRDefault="0015107F" w:rsidP="00381517">
            <w:pPr>
              <w:jc w:val="center"/>
              <w:rPr>
                <w:color w:val="000000" w:themeColor="text1"/>
              </w:rPr>
            </w:pPr>
            <w:r w:rsidRPr="006C02C8">
              <w:rPr>
                <w:color w:val="000000" w:themeColor="text1"/>
              </w:rPr>
              <w:t>0.317</w:t>
            </w:r>
          </w:p>
        </w:tc>
        <w:tc>
          <w:tcPr>
            <w:tcW w:w="960" w:type="dxa"/>
            <w:tcBorders>
              <w:top w:val="nil"/>
              <w:left w:val="nil"/>
              <w:bottom w:val="single" w:sz="4" w:space="0" w:color="auto"/>
              <w:right w:val="single" w:sz="4" w:space="0" w:color="auto"/>
            </w:tcBorders>
            <w:shd w:val="clear" w:color="auto" w:fill="auto"/>
            <w:noWrap/>
            <w:vAlign w:val="center"/>
            <w:hideMark/>
          </w:tcPr>
          <w:p w14:paraId="563D7F2F" w14:textId="77777777" w:rsidR="0015107F" w:rsidRPr="006C02C8" w:rsidRDefault="0015107F" w:rsidP="00381517">
            <w:pPr>
              <w:jc w:val="center"/>
              <w:rPr>
                <w:color w:val="000000" w:themeColor="text1"/>
              </w:rPr>
            </w:pPr>
            <w:r w:rsidRPr="006C02C8">
              <w:rPr>
                <w:color w:val="000000" w:themeColor="text1"/>
              </w:rPr>
              <w:t>0.248</w:t>
            </w:r>
          </w:p>
        </w:tc>
        <w:tc>
          <w:tcPr>
            <w:tcW w:w="960" w:type="dxa"/>
            <w:tcBorders>
              <w:top w:val="nil"/>
              <w:left w:val="nil"/>
              <w:bottom w:val="single" w:sz="4" w:space="0" w:color="auto"/>
              <w:right w:val="single" w:sz="4" w:space="0" w:color="auto"/>
            </w:tcBorders>
            <w:shd w:val="clear" w:color="auto" w:fill="auto"/>
            <w:noWrap/>
            <w:vAlign w:val="bottom"/>
            <w:hideMark/>
          </w:tcPr>
          <w:p w14:paraId="104515EE" w14:textId="77777777" w:rsidR="0015107F" w:rsidRPr="006C02C8" w:rsidRDefault="0015107F" w:rsidP="00381517">
            <w:pPr>
              <w:jc w:val="center"/>
              <w:rPr>
                <w:color w:val="000000" w:themeColor="text1"/>
              </w:rPr>
            </w:pPr>
            <w:r w:rsidRPr="006C02C8">
              <w:rPr>
                <w:color w:val="000000" w:themeColor="text1"/>
              </w:rPr>
              <w:t>0.000</w:t>
            </w:r>
          </w:p>
        </w:tc>
      </w:tr>
      <w:tr w:rsidR="0015107F" w:rsidRPr="006C02C8" w14:paraId="3BE42D93" w14:textId="77777777" w:rsidTr="00381517">
        <w:trPr>
          <w:trHeight w:val="3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9E4DF28" w14:textId="77777777" w:rsidR="0015107F" w:rsidRPr="006C02C8" w:rsidRDefault="0015107F" w:rsidP="00381517">
            <w:pPr>
              <w:jc w:val="center"/>
              <w:rPr>
                <w:color w:val="000000" w:themeColor="text1"/>
              </w:rPr>
            </w:pPr>
            <w:r w:rsidRPr="006C02C8">
              <w:rPr>
                <w:color w:val="000000" w:themeColor="text1"/>
              </w:rPr>
              <w:t>Plag</w:t>
            </w:r>
          </w:p>
        </w:tc>
        <w:tc>
          <w:tcPr>
            <w:tcW w:w="960" w:type="dxa"/>
            <w:tcBorders>
              <w:top w:val="nil"/>
              <w:left w:val="nil"/>
              <w:bottom w:val="single" w:sz="4" w:space="0" w:color="auto"/>
              <w:right w:val="single" w:sz="4" w:space="0" w:color="auto"/>
            </w:tcBorders>
            <w:shd w:val="clear" w:color="auto" w:fill="auto"/>
            <w:noWrap/>
            <w:vAlign w:val="center"/>
            <w:hideMark/>
          </w:tcPr>
          <w:p w14:paraId="7C51C916"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689C3CBD"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4CD3004B" w14:textId="77777777" w:rsidR="0015107F" w:rsidRPr="006C02C8" w:rsidRDefault="0015107F" w:rsidP="00381517">
            <w:pPr>
              <w:jc w:val="center"/>
              <w:rPr>
                <w:color w:val="000000" w:themeColor="text1"/>
              </w:rPr>
            </w:pPr>
            <w:r w:rsidRPr="006C02C8">
              <w:rPr>
                <w:color w:val="000000" w:themeColor="text1"/>
              </w:rPr>
              <w:t>0.495</w:t>
            </w:r>
          </w:p>
        </w:tc>
        <w:tc>
          <w:tcPr>
            <w:tcW w:w="960" w:type="dxa"/>
            <w:tcBorders>
              <w:top w:val="nil"/>
              <w:left w:val="nil"/>
              <w:bottom w:val="single" w:sz="4" w:space="0" w:color="auto"/>
              <w:right w:val="single" w:sz="4" w:space="0" w:color="auto"/>
            </w:tcBorders>
            <w:shd w:val="clear" w:color="auto" w:fill="auto"/>
            <w:noWrap/>
            <w:vAlign w:val="center"/>
            <w:hideMark/>
          </w:tcPr>
          <w:p w14:paraId="55BF0AB9" w14:textId="77777777" w:rsidR="0015107F" w:rsidRPr="006C02C8" w:rsidRDefault="0015107F" w:rsidP="00381517">
            <w:pPr>
              <w:jc w:val="center"/>
              <w:rPr>
                <w:color w:val="000000" w:themeColor="text1"/>
              </w:rPr>
            </w:pPr>
            <w:r w:rsidRPr="006C02C8">
              <w:rPr>
                <w:color w:val="000000" w:themeColor="text1"/>
              </w:rPr>
              <w:t>0.475</w:t>
            </w:r>
          </w:p>
        </w:tc>
        <w:tc>
          <w:tcPr>
            <w:tcW w:w="960" w:type="dxa"/>
            <w:tcBorders>
              <w:top w:val="nil"/>
              <w:left w:val="nil"/>
              <w:bottom w:val="single" w:sz="4" w:space="0" w:color="auto"/>
              <w:right w:val="single" w:sz="4" w:space="0" w:color="auto"/>
            </w:tcBorders>
            <w:shd w:val="clear" w:color="auto" w:fill="auto"/>
            <w:noWrap/>
            <w:vAlign w:val="center"/>
            <w:hideMark/>
          </w:tcPr>
          <w:p w14:paraId="1D0B2E01" w14:textId="77777777" w:rsidR="0015107F" w:rsidRPr="006C02C8" w:rsidRDefault="0015107F" w:rsidP="00381517">
            <w:pPr>
              <w:jc w:val="center"/>
              <w:rPr>
                <w:color w:val="000000" w:themeColor="text1"/>
              </w:rPr>
            </w:pPr>
            <w:r w:rsidRPr="006C02C8">
              <w:rPr>
                <w:color w:val="000000" w:themeColor="text1"/>
              </w:rPr>
              <w:t>0.446</w:t>
            </w:r>
          </w:p>
        </w:tc>
        <w:tc>
          <w:tcPr>
            <w:tcW w:w="960" w:type="dxa"/>
            <w:tcBorders>
              <w:top w:val="nil"/>
              <w:left w:val="nil"/>
              <w:bottom w:val="single" w:sz="4" w:space="0" w:color="auto"/>
              <w:right w:val="single" w:sz="4" w:space="0" w:color="auto"/>
            </w:tcBorders>
            <w:shd w:val="clear" w:color="auto" w:fill="auto"/>
            <w:noWrap/>
            <w:vAlign w:val="bottom"/>
            <w:hideMark/>
          </w:tcPr>
          <w:p w14:paraId="50F0AB30" w14:textId="77777777" w:rsidR="0015107F" w:rsidRPr="006C02C8" w:rsidRDefault="0015107F" w:rsidP="00381517">
            <w:pPr>
              <w:jc w:val="center"/>
              <w:rPr>
                <w:color w:val="000000" w:themeColor="text1"/>
              </w:rPr>
            </w:pPr>
            <w:r w:rsidRPr="006C02C8">
              <w:rPr>
                <w:color w:val="000000" w:themeColor="text1"/>
              </w:rPr>
              <w:t>0.416</w:t>
            </w:r>
          </w:p>
        </w:tc>
      </w:tr>
      <w:tr w:rsidR="0015107F" w:rsidRPr="006C02C8" w14:paraId="3EE2BBF0" w14:textId="77777777" w:rsidTr="00381517">
        <w:trPr>
          <w:trHeight w:val="3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BB531C6" w14:textId="77777777" w:rsidR="0015107F" w:rsidRPr="006C02C8" w:rsidRDefault="0015107F" w:rsidP="00381517">
            <w:pPr>
              <w:jc w:val="center"/>
              <w:rPr>
                <w:color w:val="000000" w:themeColor="text1"/>
              </w:rPr>
            </w:pPr>
            <w:r w:rsidRPr="006C02C8">
              <w:rPr>
                <w:color w:val="000000" w:themeColor="text1"/>
              </w:rPr>
              <w:t>Qtz</w:t>
            </w:r>
          </w:p>
        </w:tc>
        <w:tc>
          <w:tcPr>
            <w:tcW w:w="960" w:type="dxa"/>
            <w:tcBorders>
              <w:top w:val="nil"/>
              <w:left w:val="nil"/>
              <w:bottom w:val="single" w:sz="4" w:space="0" w:color="auto"/>
              <w:right w:val="single" w:sz="4" w:space="0" w:color="auto"/>
            </w:tcBorders>
            <w:shd w:val="clear" w:color="auto" w:fill="auto"/>
            <w:noWrap/>
            <w:vAlign w:val="bottom"/>
            <w:hideMark/>
          </w:tcPr>
          <w:p w14:paraId="31435CCF"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bottom"/>
            <w:hideMark/>
          </w:tcPr>
          <w:p w14:paraId="004C4FEA"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bottom"/>
            <w:hideMark/>
          </w:tcPr>
          <w:p w14:paraId="0AA267E7"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bottom"/>
            <w:hideMark/>
          </w:tcPr>
          <w:p w14:paraId="1378BC9F"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bottom"/>
            <w:hideMark/>
          </w:tcPr>
          <w:p w14:paraId="19E8EE5B" w14:textId="77777777" w:rsidR="0015107F" w:rsidRPr="006C02C8" w:rsidRDefault="0015107F" w:rsidP="00381517">
            <w:pPr>
              <w:jc w:val="center"/>
              <w:rPr>
                <w:color w:val="000000" w:themeColor="text1"/>
              </w:rPr>
            </w:pPr>
            <w:r w:rsidRPr="006C02C8">
              <w:rPr>
                <w:color w:val="000000" w:themeColor="text1"/>
              </w:rPr>
              <w:t>0.099</w:t>
            </w:r>
          </w:p>
        </w:tc>
        <w:tc>
          <w:tcPr>
            <w:tcW w:w="960" w:type="dxa"/>
            <w:tcBorders>
              <w:top w:val="nil"/>
              <w:left w:val="nil"/>
              <w:bottom w:val="single" w:sz="4" w:space="0" w:color="auto"/>
              <w:right w:val="single" w:sz="4" w:space="0" w:color="auto"/>
            </w:tcBorders>
            <w:shd w:val="clear" w:color="auto" w:fill="auto"/>
            <w:noWrap/>
            <w:vAlign w:val="bottom"/>
            <w:hideMark/>
          </w:tcPr>
          <w:p w14:paraId="180CD20B" w14:textId="77777777" w:rsidR="0015107F" w:rsidRPr="006C02C8" w:rsidRDefault="0015107F" w:rsidP="00381517">
            <w:pPr>
              <w:jc w:val="center"/>
              <w:rPr>
                <w:color w:val="000000" w:themeColor="text1"/>
              </w:rPr>
            </w:pPr>
            <w:r w:rsidRPr="006C02C8">
              <w:rPr>
                <w:color w:val="000000" w:themeColor="text1"/>
              </w:rPr>
              <w:t>0.099</w:t>
            </w:r>
          </w:p>
        </w:tc>
      </w:tr>
      <w:tr w:rsidR="0015107F" w:rsidRPr="006C02C8" w14:paraId="7C861F8E" w14:textId="77777777" w:rsidTr="00381517">
        <w:trPr>
          <w:trHeight w:val="3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B50B068" w14:textId="77777777" w:rsidR="0015107F" w:rsidRPr="006C02C8" w:rsidRDefault="0015107F" w:rsidP="00381517">
            <w:pPr>
              <w:jc w:val="center"/>
              <w:rPr>
                <w:color w:val="000000" w:themeColor="text1"/>
              </w:rPr>
            </w:pPr>
            <w:r w:rsidRPr="006C02C8">
              <w:rPr>
                <w:color w:val="000000" w:themeColor="text1"/>
              </w:rPr>
              <w:t>Ilm</w:t>
            </w:r>
          </w:p>
        </w:tc>
        <w:tc>
          <w:tcPr>
            <w:tcW w:w="960" w:type="dxa"/>
            <w:tcBorders>
              <w:top w:val="nil"/>
              <w:left w:val="nil"/>
              <w:bottom w:val="single" w:sz="4" w:space="0" w:color="auto"/>
              <w:right w:val="single" w:sz="4" w:space="0" w:color="auto"/>
            </w:tcBorders>
            <w:shd w:val="clear" w:color="auto" w:fill="auto"/>
            <w:noWrap/>
            <w:vAlign w:val="center"/>
            <w:hideMark/>
          </w:tcPr>
          <w:p w14:paraId="018C4939"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7DE1AF19"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56075668"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728AB09D"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center"/>
            <w:hideMark/>
          </w:tcPr>
          <w:p w14:paraId="4DA67943" w14:textId="77777777" w:rsidR="0015107F" w:rsidRPr="006C02C8" w:rsidRDefault="0015107F" w:rsidP="00381517">
            <w:pPr>
              <w:jc w:val="center"/>
              <w:rPr>
                <w:color w:val="000000" w:themeColor="text1"/>
              </w:rPr>
            </w:pPr>
            <w:r w:rsidRPr="006C02C8">
              <w:rPr>
                <w:color w:val="000000" w:themeColor="text1"/>
              </w:rPr>
              <w:t>0.000</w:t>
            </w:r>
          </w:p>
        </w:tc>
        <w:tc>
          <w:tcPr>
            <w:tcW w:w="960" w:type="dxa"/>
            <w:tcBorders>
              <w:top w:val="nil"/>
              <w:left w:val="nil"/>
              <w:bottom w:val="single" w:sz="4" w:space="0" w:color="auto"/>
              <w:right w:val="single" w:sz="4" w:space="0" w:color="auto"/>
            </w:tcBorders>
            <w:shd w:val="clear" w:color="auto" w:fill="auto"/>
            <w:noWrap/>
            <w:vAlign w:val="bottom"/>
            <w:hideMark/>
          </w:tcPr>
          <w:p w14:paraId="0686CD7E" w14:textId="77777777" w:rsidR="0015107F" w:rsidRPr="006C02C8" w:rsidRDefault="0015107F" w:rsidP="00381517">
            <w:pPr>
              <w:jc w:val="center"/>
              <w:rPr>
                <w:color w:val="000000" w:themeColor="text1"/>
              </w:rPr>
            </w:pPr>
            <w:r w:rsidRPr="006C02C8">
              <w:rPr>
                <w:color w:val="000000" w:themeColor="text1"/>
              </w:rPr>
              <w:t>0.119</w:t>
            </w:r>
          </w:p>
        </w:tc>
      </w:tr>
      <w:tr w:rsidR="0015107F" w:rsidRPr="006C02C8" w14:paraId="0587D622" w14:textId="77777777" w:rsidTr="00381517">
        <w:trPr>
          <w:trHeight w:val="3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075810C" w14:textId="77777777" w:rsidR="0015107F" w:rsidRPr="006C02C8" w:rsidRDefault="0015107F" w:rsidP="00381517">
            <w:pPr>
              <w:jc w:val="center"/>
              <w:rPr>
                <w:color w:val="000000" w:themeColor="text1"/>
              </w:rPr>
            </w:pPr>
            <w:r w:rsidRPr="006C02C8">
              <w:rPr>
                <w:color w:val="000000" w:themeColor="text1"/>
              </w:rPr>
              <w:t>Melt</w:t>
            </w:r>
          </w:p>
        </w:tc>
        <w:tc>
          <w:tcPr>
            <w:tcW w:w="960" w:type="dxa"/>
            <w:tcBorders>
              <w:top w:val="nil"/>
              <w:left w:val="nil"/>
              <w:bottom w:val="single" w:sz="4" w:space="0" w:color="auto"/>
              <w:right w:val="single" w:sz="4" w:space="0" w:color="auto"/>
            </w:tcBorders>
            <w:shd w:val="clear" w:color="auto" w:fill="auto"/>
            <w:noWrap/>
            <w:vAlign w:val="center"/>
            <w:hideMark/>
          </w:tcPr>
          <w:p w14:paraId="76E489F0" w14:textId="77777777" w:rsidR="0015107F" w:rsidRPr="006C02C8" w:rsidRDefault="0015107F" w:rsidP="00381517">
            <w:pPr>
              <w:jc w:val="center"/>
              <w:rPr>
                <w:color w:val="000000" w:themeColor="text1"/>
              </w:rPr>
            </w:pPr>
            <w:r w:rsidRPr="006C02C8">
              <w:rPr>
                <w:color w:val="000000" w:themeColor="text1"/>
              </w:rPr>
              <w:t>0.010</w:t>
            </w:r>
          </w:p>
        </w:tc>
        <w:tc>
          <w:tcPr>
            <w:tcW w:w="960" w:type="dxa"/>
            <w:tcBorders>
              <w:top w:val="nil"/>
              <w:left w:val="nil"/>
              <w:bottom w:val="single" w:sz="4" w:space="0" w:color="auto"/>
              <w:right w:val="single" w:sz="4" w:space="0" w:color="auto"/>
            </w:tcBorders>
            <w:shd w:val="clear" w:color="auto" w:fill="auto"/>
            <w:noWrap/>
            <w:vAlign w:val="center"/>
            <w:hideMark/>
          </w:tcPr>
          <w:p w14:paraId="388CC190" w14:textId="77777777" w:rsidR="0015107F" w:rsidRPr="006C02C8" w:rsidRDefault="0015107F" w:rsidP="00381517">
            <w:pPr>
              <w:jc w:val="center"/>
              <w:rPr>
                <w:color w:val="000000" w:themeColor="text1"/>
              </w:rPr>
            </w:pPr>
            <w:r w:rsidRPr="006C02C8">
              <w:rPr>
                <w:color w:val="000000" w:themeColor="text1"/>
              </w:rPr>
              <w:t>0.010</w:t>
            </w:r>
          </w:p>
        </w:tc>
        <w:tc>
          <w:tcPr>
            <w:tcW w:w="960" w:type="dxa"/>
            <w:tcBorders>
              <w:top w:val="nil"/>
              <w:left w:val="nil"/>
              <w:bottom w:val="single" w:sz="4" w:space="0" w:color="auto"/>
              <w:right w:val="single" w:sz="4" w:space="0" w:color="auto"/>
            </w:tcBorders>
            <w:shd w:val="clear" w:color="auto" w:fill="auto"/>
            <w:noWrap/>
            <w:vAlign w:val="center"/>
            <w:hideMark/>
          </w:tcPr>
          <w:p w14:paraId="0AEA7114" w14:textId="77777777" w:rsidR="0015107F" w:rsidRPr="006C02C8" w:rsidRDefault="0015107F" w:rsidP="00381517">
            <w:pPr>
              <w:jc w:val="center"/>
              <w:rPr>
                <w:color w:val="000000" w:themeColor="text1"/>
              </w:rPr>
            </w:pPr>
            <w:r w:rsidRPr="006C02C8">
              <w:rPr>
                <w:color w:val="000000" w:themeColor="text1"/>
              </w:rPr>
              <w:t>0.010</w:t>
            </w:r>
          </w:p>
        </w:tc>
        <w:tc>
          <w:tcPr>
            <w:tcW w:w="960" w:type="dxa"/>
            <w:tcBorders>
              <w:top w:val="nil"/>
              <w:left w:val="nil"/>
              <w:bottom w:val="single" w:sz="4" w:space="0" w:color="auto"/>
              <w:right w:val="single" w:sz="4" w:space="0" w:color="auto"/>
            </w:tcBorders>
            <w:shd w:val="clear" w:color="auto" w:fill="auto"/>
            <w:noWrap/>
            <w:vAlign w:val="center"/>
            <w:hideMark/>
          </w:tcPr>
          <w:p w14:paraId="5F00D5D8" w14:textId="77777777" w:rsidR="0015107F" w:rsidRPr="006C02C8" w:rsidRDefault="0015107F" w:rsidP="00381517">
            <w:pPr>
              <w:jc w:val="center"/>
              <w:rPr>
                <w:color w:val="000000" w:themeColor="text1"/>
              </w:rPr>
            </w:pPr>
            <w:r w:rsidRPr="006C02C8">
              <w:rPr>
                <w:color w:val="000000" w:themeColor="text1"/>
              </w:rPr>
              <w:t>0.010</w:t>
            </w:r>
          </w:p>
        </w:tc>
        <w:tc>
          <w:tcPr>
            <w:tcW w:w="960" w:type="dxa"/>
            <w:tcBorders>
              <w:top w:val="nil"/>
              <w:left w:val="nil"/>
              <w:bottom w:val="single" w:sz="4" w:space="0" w:color="auto"/>
              <w:right w:val="single" w:sz="4" w:space="0" w:color="auto"/>
            </w:tcBorders>
            <w:shd w:val="clear" w:color="auto" w:fill="auto"/>
            <w:noWrap/>
            <w:vAlign w:val="center"/>
            <w:hideMark/>
          </w:tcPr>
          <w:p w14:paraId="3E18A78B" w14:textId="77777777" w:rsidR="0015107F" w:rsidRPr="006C02C8" w:rsidRDefault="0015107F" w:rsidP="00381517">
            <w:pPr>
              <w:jc w:val="center"/>
              <w:rPr>
                <w:color w:val="000000" w:themeColor="text1"/>
              </w:rPr>
            </w:pPr>
            <w:r w:rsidRPr="006C02C8">
              <w:rPr>
                <w:color w:val="000000" w:themeColor="text1"/>
              </w:rPr>
              <w:t>0.010</w:t>
            </w:r>
          </w:p>
        </w:tc>
        <w:tc>
          <w:tcPr>
            <w:tcW w:w="960" w:type="dxa"/>
            <w:tcBorders>
              <w:top w:val="nil"/>
              <w:left w:val="nil"/>
              <w:bottom w:val="single" w:sz="4" w:space="0" w:color="auto"/>
              <w:right w:val="single" w:sz="4" w:space="0" w:color="auto"/>
            </w:tcBorders>
            <w:shd w:val="clear" w:color="auto" w:fill="auto"/>
            <w:noWrap/>
            <w:vAlign w:val="bottom"/>
            <w:hideMark/>
          </w:tcPr>
          <w:p w14:paraId="52E064CC" w14:textId="77777777" w:rsidR="0015107F" w:rsidRPr="006C02C8" w:rsidRDefault="0015107F" w:rsidP="00381517">
            <w:pPr>
              <w:jc w:val="center"/>
              <w:rPr>
                <w:color w:val="000000" w:themeColor="text1"/>
              </w:rPr>
            </w:pPr>
            <w:r w:rsidRPr="006C02C8">
              <w:rPr>
                <w:color w:val="000000" w:themeColor="text1"/>
              </w:rPr>
              <w:t>0.010</w:t>
            </w:r>
          </w:p>
        </w:tc>
      </w:tr>
    </w:tbl>
    <w:p w14:paraId="472E78AB" w14:textId="77777777" w:rsidR="0015107F" w:rsidRPr="00557062" w:rsidRDefault="0015107F" w:rsidP="0015107F">
      <w:pPr>
        <w:rPr>
          <w:color w:val="000000" w:themeColor="text1"/>
        </w:rPr>
      </w:pPr>
      <w:r w:rsidRPr="006C02C8">
        <w:rPr>
          <w:color w:val="000000" w:themeColor="text1"/>
        </w:rPr>
        <w:t>*Stage 1: F= 1-0.49, Stage 2: F= 0.49-0.22, Stage 3: F= 0.22-0.19, Stage 4: F= 0.19-0.05, Stage 5: F= 0.05-0.02, Stage 6: F= 0.02-0</w:t>
      </w:r>
    </w:p>
    <w:p w14:paraId="69D600E2" w14:textId="36784195" w:rsidR="00ED6B3E" w:rsidRDefault="0015107F" w:rsidP="0015107F">
      <w:pPr>
        <w:rPr>
          <w:color w:val="000000" w:themeColor="text1"/>
        </w:rPr>
      </w:pPr>
      <w:r w:rsidRPr="006C02C8">
        <w:rPr>
          <w:color w:val="000000" w:themeColor="text1"/>
        </w:rPr>
        <w:t>Olivine (Ol), Orthopyroxene (Opx), Clinopyroxene (Cpx), Pigeonite (Pig), Plagioclase (Plag), Ilmenite (Ilm), Quartz (Qtz)</w:t>
      </w:r>
    </w:p>
    <w:p w14:paraId="3E78D1C9" w14:textId="77777777" w:rsidR="00ED6B3E" w:rsidRDefault="00ED6B3E">
      <w:pPr>
        <w:rPr>
          <w:color w:val="000000" w:themeColor="text1"/>
        </w:rPr>
      </w:pPr>
      <w:r>
        <w:rPr>
          <w:color w:val="000000" w:themeColor="text1"/>
        </w:rPr>
        <w:br w:type="page"/>
      </w:r>
    </w:p>
    <w:p w14:paraId="3C14F1FF" w14:textId="77777777" w:rsidR="00ED6B3E" w:rsidRDefault="00ED6B3E" w:rsidP="00ED6B3E">
      <w:pPr>
        <w:spacing w:line="480" w:lineRule="auto"/>
        <w:ind w:firstLine="720"/>
        <w:rPr>
          <w:noProof/>
          <w:color w:val="000000" w:themeColor="text1"/>
        </w:rPr>
      </w:pPr>
      <w:r w:rsidRPr="00211601">
        <w:rPr>
          <w:b/>
          <w:bCs/>
          <w:color w:val="000000" w:themeColor="text1"/>
        </w:rPr>
        <w:lastRenderedPageBreak/>
        <w:t xml:space="preserve">Table </w:t>
      </w:r>
      <w:r>
        <w:rPr>
          <w:b/>
          <w:bCs/>
          <w:color w:val="000000" w:themeColor="text1"/>
        </w:rPr>
        <w:t>2.</w:t>
      </w:r>
      <w:r w:rsidRPr="00211601">
        <w:rPr>
          <w:b/>
          <w:bCs/>
          <w:color w:val="000000" w:themeColor="text1"/>
        </w:rPr>
        <w:t>1</w:t>
      </w:r>
      <w:r w:rsidRPr="00557062">
        <w:rPr>
          <w:color w:val="000000" w:themeColor="text1"/>
        </w:rPr>
        <w:t xml:space="preserve"> documents the mineral proportions for each crystallization step, and entrainment of 1% interstitial melt is assumed for magma ocean cumulates similar to Snyder et al. (1992).</w:t>
      </w:r>
      <w:r w:rsidRPr="00557062">
        <w:rPr>
          <w:noProof/>
          <w:color w:val="000000" w:themeColor="text1"/>
        </w:rPr>
        <w:t xml:space="preserve"> The mineral proportions, which are shown in </w:t>
      </w:r>
      <w:r w:rsidRPr="00211601">
        <w:rPr>
          <w:b/>
          <w:bCs/>
          <w:noProof/>
          <w:color w:val="000000" w:themeColor="text1"/>
        </w:rPr>
        <w:t>Table 2.1</w:t>
      </w:r>
      <w:r w:rsidRPr="00557062">
        <w:rPr>
          <w:noProof/>
          <w:color w:val="000000" w:themeColor="text1"/>
        </w:rPr>
        <w:t xml:space="preserve">, do not account for plagioclase and quartz floatation, which is thought to form the anorthosite crust on the Moon (e.g., Synder et al., 1992; Suckale et al., 2012; Dygert et al., 2017). To account for the effect of plagioclase flotation on the LMO cumulates, this study evaluated flotation efficiencies of 80%, 90%, and 98% (Dygert et al., 2017; </w:t>
      </w:r>
      <w:r w:rsidRPr="00557062">
        <w:rPr>
          <w:color w:val="000000" w:themeColor="text1"/>
        </w:rPr>
        <w:t>Charlier et al., 2018)</w:t>
      </w:r>
      <w:r w:rsidRPr="00557062">
        <w:rPr>
          <w:noProof/>
          <w:color w:val="000000" w:themeColor="text1"/>
        </w:rPr>
        <w:t xml:space="preserve">. To account for this effect on the </w:t>
      </w:r>
      <w:r w:rsidRPr="00557062">
        <w:rPr>
          <w:color w:val="000000" w:themeColor="text1"/>
        </w:rPr>
        <w:t>trace element</w:t>
      </w:r>
      <w:r w:rsidRPr="00557062">
        <w:rPr>
          <w:noProof/>
          <w:color w:val="000000" w:themeColor="text1"/>
        </w:rPr>
        <w:t xml:space="preserve"> patterns in the LMO cumulates, the D</w:t>
      </w:r>
      <w:r w:rsidRPr="00557062">
        <w:rPr>
          <w:noProof/>
          <w:color w:val="000000" w:themeColor="text1"/>
          <w:vertAlign w:val="subscript"/>
        </w:rPr>
        <w:t>Bulk</w:t>
      </w:r>
      <w:r w:rsidRPr="00557062">
        <w:rPr>
          <w:noProof/>
          <w:color w:val="000000" w:themeColor="text1"/>
        </w:rPr>
        <w:t xml:space="preserve"> for the LMO cumulates was scaled appropriately using modal abundances accounting for 80% (</w:t>
      </w:r>
      <w:r w:rsidRPr="00211601">
        <w:rPr>
          <w:b/>
          <w:bCs/>
          <w:noProof/>
          <w:color w:val="000000" w:themeColor="text1"/>
        </w:rPr>
        <w:t>Table B1</w:t>
      </w:r>
      <w:r w:rsidRPr="00557062">
        <w:rPr>
          <w:noProof/>
          <w:color w:val="000000" w:themeColor="text1"/>
        </w:rPr>
        <w:t>), 90% (</w:t>
      </w:r>
      <w:r w:rsidRPr="00211601">
        <w:rPr>
          <w:b/>
          <w:bCs/>
          <w:noProof/>
          <w:color w:val="000000" w:themeColor="text1"/>
        </w:rPr>
        <w:t>Table B2</w:t>
      </w:r>
      <w:r w:rsidRPr="00557062">
        <w:rPr>
          <w:noProof/>
          <w:color w:val="000000" w:themeColor="text1"/>
        </w:rPr>
        <w:t>), and  98% (</w:t>
      </w:r>
      <w:r w:rsidRPr="00211601">
        <w:rPr>
          <w:b/>
          <w:bCs/>
          <w:noProof/>
          <w:color w:val="000000" w:themeColor="text1"/>
        </w:rPr>
        <w:t>Table B3</w:t>
      </w:r>
      <w:r w:rsidRPr="00557062">
        <w:rPr>
          <w:noProof/>
          <w:color w:val="000000" w:themeColor="text1"/>
        </w:rPr>
        <w:t>) plagioclase removal.</w:t>
      </w:r>
    </w:p>
    <w:p w14:paraId="371B898A" w14:textId="0A94A5A6" w:rsidR="00ED6B3E" w:rsidRDefault="00ED6B3E" w:rsidP="00ED6B3E">
      <w:pPr>
        <w:spacing w:line="480" w:lineRule="auto"/>
        <w:ind w:firstLine="720"/>
        <w:rPr>
          <w:color w:val="000000" w:themeColor="text1"/>
        </w:rPr>
      </w:pPr>
      <w:r w:rsidRPr="00557062">
        <w:rPr>
          <w:noProof/>
          <w:color w:val="000000" w:themeColor="text1"/>
        </w:rPr>
        <w:t xml:space="preserve">Partition coefficients for each mineral phase during solidification were compiled from experimental studies of terrestrial and lunar synthetic analogs (Pertermann et al., 2004; Dalou et al., 2012; Dygert et al., 2013; Brey et al., 2015; Snape et al., 2022) or they were calculated using lattice strain-based partitioning models and lunar relevant mineral compositions (Sun and Liang, 2013a, 2013b; Dygert et al., 2014; Sun et al., 2017; Dygert et al., 2020). </w:t>
      </w:r>
      <w:r w:rsidRPr="00557062">
        <w:rPr>
          <w:color w:val="000000" w:themeColor="text1"/>
        </w:rPr>
        <w:t xml:space="preserve">Mineral-melt partition coefficients and compositional calculation parameters for LMO solidification models are reported in </w:t>
      </w:r>
      <w:r w:rsidRPr="00AD09A3">
        <w:rPr>
          <w:b/>
          <w:bCs/>
          <w:color w:val="000000" w:themeColor="text1"/>
        </w:rPr>
        <w:t xml:space="preserve">Table </w:t>
      </w:r>
      <w:r>
        <w:rPr>
          <w:b/>
          <w:bCs/>
          <w:color w:val="000000" w:themeColor="text1"/>
        </w:rPr>
        <w:t>2.</w:t>
      </w:r>
      <w:r w:rsidRPr="00AD09A3">
        <w:rPr>
          <w:b/>
          <w:bCs/>
          <w:color w:val="000000" w:themeColor="text1"/>
        </w:rPr>
        <w:t>2</w:t>
      </w:r>
      <w:r w:rsidRPr="00557062">
        <w:rPr>
          <w:color w:val="000000" w:themeColor="text1"/>
        </w:rPr>
        <w:t>.</w:t>
      </w:r>
    </w:p>
    <w:p w14:paraId="03E8CCBE" w14:textId="3DC0A885" w:rsidR="00ED6B3E" w:rsidRDefault="00ED6B3E" w:rsidP="00ED6B3E">
      <w:pPr>
        <w:spacing w:line="480" w:lineRule="auto"/>
        <w:ind w:firstLine="720"/>
        <w:rPr>
          <w:color w:val="000000" w:themeColor="text1"/>
        </w:rPr>
      </w:pPr>
      <w:r w:rsidRPr="00557062">
        <w:rPr>
          <w:color w:val="000000" w:themeColor="text1"/>
        </w:rPr>
        <w:t>The lunar mantle's oxygen fugacity (ƒO</w:t>
      </w:r>
      <w:r w:rsidRPr="00557062">
        <w:rPr>
          <w:color w:val="000000" w:themeColor="text1"/>
          <w:vertAlign w:val="subscript"/>
        </w:rPr>
        <w:t>2</w:t>
      </w:r>
      <w:r w:rsidRPr="00557062">
        <w:rPr>
          <w:color w:val="000000" w:themeColor="text1"/>
        </w:rPr>
        <w:t>) can affect Eu partitioning during LMO solidification (Dygert et al., 2020). The assumed lunar mantle ƒO</w:t>
      </w:r>
      <w:r w:rsidRPr="00557062">
        <w:rPr>
          <w:color w:val="000000" w:themeColor="text1"/>
          <w:vertAlign w:val="subscript"/>
        </w:rPr>
        <w:t>2</w:t>
      </w:r>
      <w:r w:rsidRPr="00557062">
        <w:rPr>
          <w:color w:val="000000" w:themeColor="text1"/>
        </w:rPr>
        <w:t xml:space="preserve"> in this study is ~IW (i.e., roughly equal to iron-wüstite redox buffer), and partition coefficients were calculated correspondingly.</w:t>
      </w:r>
    </w:p>
    <w:p w14:paraId="505F5C5B" w14:textId="51ECC906" w:rsidR="0015107F" w:rsidRDefault="0015107F" w:rsidP="00ED6B3E">
      <w:pPr>
        <w:spacing w:line="480" w:lineRule="auto"/>
        <w:rPr>
          <w:noProof/>
          <w:color w:val="000000" w:themeColor="text1"/>
        </w:rPr>
      </w:pPr>
      <w:r>
        <w:rPr>
          <w:noProof/>
          <w:color w:val="000000" w:themeColor="text1"/>
        </w:rPr>
        <w:br w:type="page"/>
      </w:r>
    </w:p>
    <w:p w14:paraId="7EE66957" w14:textId="4C869074" w:rsidR="00957DC6" w:rsidRPr="00557062" w:rsidRDefault="00957DC6" w:rsidP="00957DC6">
      <w:pPr>
        <w:pStyle w:val="Tables"/>
      </w:pPr>
      <w:bookmarkStart w:id="257" w:name="_Toc185263592"/>
      <w:r w:rsidRPr="00557062">
        <w:rPr>
          <w:b/>
          <w:bCs/>
        </w:rPr>
        <w:lastRenderedPageBreak/>
        <w:t xml:space="preserve">Table </w:t>
      </w:r>
      <w:r w:rsidR="004C2419">
        <w:rPr>
          <w:b/>
          <w:bCs/>
        </w:rPr>
        <w:t>2.</w:t>
      </w:r>
      <w:r w:rsidRPr="00557062">
        <w:rPr>
          <w:b/>
          <w:bCs/>
        </w:rPr>
        <w:t>2.</w:t>
      </w:r>
      <w:r w:rsidRPr="00557062">
        <w:t xml:space="preserve"> Assumed LMO starting composition and mineral-melt partition coefficients for magma ocean solidification models</w:t>
      </w:r>
      <w:r w:rsidR="00C47A39">
        <w:t>.</w:t>
      </w:r>
      <w:bookmarkEnd w:id="257"/>
    </w:p>
    <w:tbl>
      <w:tblPr>
        <w:tblW w:w="7400" w:type="dxa"/>
        <w:tblLook w:val="04A0" w:firstRow="1" w:lastRow="0" w:firstColumn="1" w:lastColumn="0" w:noHBand="0" w:noVBand="1"/>
      </w:tblPr>
      <w:tblGrid>
        <w:gridCol w:w="1336"/>
        <w:gridCol w:w="1420"/>
        <w:gridCol w:w="840"/>
        <w:gridCol w:w="1300"/>
        <w:gridCol w:w="1303"/>
        <w:gridCol w:w="1300"/>
      </w:tblGrid>
      <w:tr w:rsidR="00C75EE6" w14:paraId="6B0B6357" w14:textId="77777777" w:rsidTr="00C75EE6">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B4B51" w14:textId="77777777" w:rsidR="00C75EE6" w:rsidRDefault="00C75EE6">
            <w:pPr>
              <w:jc w:val="center"/>
              <w:rPr>
                <w:color w:val="000000"/>
              </w:rPr>
            </w:pPr>
            <w:r>
              <w:rPr>
                <w:color w:val="000000"/>
              </w:rPr>
              <w:t>Element</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14:paraId="5AD557FD" w14:textId="77777777" w:rsidR="00C75EE6" w:rsidRDefault="00C75EE6">
            <w:pPr>
              <w:jc w:val="center"/>
              <w:rPr>
                <w:color w:val="000000"/>
              </w:rPr>
            </w:pPr>
            <w:r>
              <w:rPr>
                <w:color w:val="000000"/>
              </w:rPr>
              <w:t>LMO (ppm)</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14:paraId="459D5E86" w14:textId="77777777" w:rsidR="00C75EE6" w:rsidRDefault="00C75EE6">
            <w:pPr>
              <w:jc w:val="center"/>
              <w:rPr>
                <w:color w:val="000000"/>
              </w:rPr>
            </w:pPr>
            <w:r>
              <w:rPr>
                <w:color w:val="000000"/>
              </w:rPr>
              <w:t>ref.</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41401DCF" w14:textId="4830886D" w:rsidR="00C75EE6" w:rsidRDefault="00C75EE6">
            <w:pPr>
              <w:jc w:val="center"/>
              <w:rPr>
                <w:color w:val="000000"/>
              </w:rPr>
            </w:pPr>
            <w:r>
              <w:rPr>
                <w:color w:val="000000"/>
              </w:rPr>
              <w:t>Ol (</w:t>
            </w:r>
            <w:r w:rsidR="000268A3">
              <w:rPr>
                <w:color w:val="000000"/>
              </w:rPr>
              <w:t>D</w:t>
            </w:r>
            <w:r>
              <w:rPr>
                <w:color w:val="000000"/>
              </w:rPr>
              <w:t>)</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3C473F3" w14:textId="0F714DA3" w:rsidR="00C75EE6" w:rsidRDefault="00C75EE6">
            <w:pPr>
              <w:jc w:val="center"/>
              <w:rPr>
                <w:color w:val="000000"/>
              </w:rPr>
            </w:pPr>
            <w:r>
              <w:rPr>
                <w:color w:val="000000"/>
              </w:rPr>
              <w:t>Ol (</w:t>
            </w:r>
            <w:r w:rsidR="000268A3">
              <w:rPr>
                <w:color w:val="000000"/>
              </w:rPr>
              <w:t>D</w:t>
            </w:r>
            <w:r>
              <w:rPr>
                <w:color w:val="000000"/>
              </w:rPr>
              <w:t>)</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32A124BE" w14:textId="45D489DF" w:rsidR="00C75EE6" w:rsidRDefault="00C75EE6">
            <w:pPr>
              <w:jc w:val="center"/>
              <w:rPr>
                <w:color w:val="000000"/>
              </w:rPr>
            </w:pPr>
            <w:r>
              <w:rPr>
                <w:color w:val="000000"/>
              </w:rPr>
              <w:t>Ol (</w:t>
            </w:r>
            <w:r w:rsidR="000268A3">
              <w:rPr>
                <w:color w:val="000000"/>
              </w:rPr>
              <w:t>D</w:t>
            </w:r>
            <w:r>
              <w:rPr>
                <w:color w:val="000000"/>
              </w:rPr>
              <w:t>)</w:t>
            </w:r>
          </w:p>
        </w:tc>
      </w:tr>
      <w:tr w:rsidR="00C75EE6" w14:paraId="7AA3540D"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EEEE409" w14:textId="77777777" w:rsidR="00C75EE6" w:rsidRDefault="00C75EE6">
            <w:pPr>
              <w:jc w:val="center"/>
              <w:rPr>
                <w:color w:val="000000"/>
              </w:rPr>
            </w:pPr>
            <w:r>
              <w:rPr>
                <w:color w:val="000000"/>
              </w:rPr>
              <w:t>La</w:t>
            </w:r>
          </w:p>
        </w:tc>
        <w:tc>
          <w:tcPr>
            <w:tcW w:w="1420" w:type="dxa"/>
            <w:tcBorders>
              <w:top w:val="nil"/>
              <w:left w:val="nil"/>
              <w:bottom w:val="single" w:sz="4" w:space="0" w:color="auto"/>
              <w:right w:val="single" w:sz="4" w:space="0" w:color="auto"/>
            </w:tcBorders>
            <w:shd w:val="clear" w:color="auto" w:fill="auto"/>
            <w:noWrap/>
            <w:vAlign w:val="center"/>
            <w:hideMark/>
          </w:tcPr>
          <w:p w14:paraId="1DAF089C" w14:textId="77777777" w:rsidR="00C75EE6" w:rsidRDefault="00C75EE6">
            <w:pPr>
              <w:jc w:val="center"/>
              <w:rPr>
                <w:color w:val="000000"/>
              </w:rPr>
            </w:pPr>
            <w:r>
              <w:rPr>
                <w:color w:val="000000"/>
              </w:rPr>
              <w:t>0.648</w:t>
            </w:r>
          </w:p>
        </w:tc>
        <w:tc>
          <w:tcPr>
            <w:tcW w:w="840" w:type="dxa"/>
            <w:tcBorders>
              <w:top w:val="nil"/>
              <w:left w:val="nil"/>
              <w:bottom w:val="single" w:sz="4" w:space="0" w:color="auto"/>
              <w:right w:val="single" w:sz="4" w:space="0" w:color="auto"/>
            </w:tcBorders>
            <w:shd w:val="clear" w:color="auto" w:fill="auto"/>
            <w:noWrap/>
            <w:vAlign w:val="center"/>
            <w:hideMark/>
          </w:tcPr>
          <w:p w14:paraId="5EEA0C41"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53E513AC" w14:textId="77777777" w:rsidR="00C75EE6" w:rsidRDefault="00C75EE6">
            <w:pPr>
              <w:jc w:val="center"/>
              <w:rPr>
                <w:color w:val="000000"/>
              </w:rPr>
            </w:pPr>
            <w:r>
              <w:rPr>
                <w:color w:val="000000"/>
              </w:rPr>
              <w:t>7.96E-06</w:t>
            </w:r>
          </w:p>
        </w:tc>
        <w:tc>
          <w:tcPr>
            <w:tcW w:w="1300" w:type="dxa"/>
            <w:tcBorders>
              <w:top w:val="nil"/>
              <w:left w:val="nil"/>
              <w:bottom w:val="single" w:sz="4" w:space="0" w:color="auto"/>
              <w:right w:val="single" w:sz="4" w:space="0" w:color="auto"/>
            </w:tcBorders>
            <w:shd w:val="clear" w:color="auto" w:fill="auto"/>
            <w:noWrap/>
            <w:vAlign w:val="center"/>
            <w:hideMark/>
          </w:tcPr>
          <w:p w14:paraId="16308335" w14:textId="77777777" w:rsidR="00C75EE6" w:rsidRDefault="00C75EE6">
            <w:pPr>
              <w:jc w:val="center"/>
              <w:rPr>
                <w:color w:val="000000"/>
              </w:rPr>
            </w:pPr>
            <w:r>
              <w:rPr>
                <w:color w:val="000000"/>
              </w:rPr>
              <w:t>5.31E-06</w:t>
            </w:r>
          </w:p>
        </w:tc>
        <w:tc>
          <w:tcPr>
            <w:tcW w:w="1300" w:type="dxa"/>
            <w:tcBorders>
              <w:top w:val="nil"/>
              <w:left w:val="nil"/>
              <w:bottom w:val="single" w:sz="4" w:space="0" w:color="auto"/>
              <w:right w:val="single" w:sz="4" w:space="0" w:color="auto"/>
            </w:tcBorders>
            <w:shd w:val="clear" w:color="auto" w:fill="auto"/>
            <w:noWrap/>
            <w:vAlign w:val="center"/>
            <w:hideMark/>
          </w:tcPr>
          <w:p w14:paraId="5E2633F0" w14:textId="77777777" w:rsidR="00C75EE6" w:rsidRDefault="00C75EE6">
            <w:pPr>
              <w:jc w:val="center"/>
              <w:rPr>
                <w:color w:val="000000"/>
              </w:rPr>
            </w:pPr>
            <w:r>
              <w:rPr>
                <w:color w:val="000000"/>
              </w:rPr>
              <w:t>2.01E-06</w:t>
            </w:r>
          </w:p>
        </w:tc>
      </w:tr>
      <w:tr w:rsidR="00C75EE6" w14:paraId="3228050A"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6DC7D11" w14:textId="77777777" w:rsidR="00C75EE6" w:rsidRDefault="00C75EE6">
            <w:pPr>
              <w:jc w:val="center"/>
              <w:rPr>
                <w:color w:val="000000"/>
              </w:rPr>
            </w:pPr>
            <w:r>
              <w:rPr>
                <w:color w:val="000000"/>
              </w:rPr>
              <w:t>Ce</w:t>
            </w:r>
          </w:p>
        </w:tc>
        <w:tc>
          <w:tcPr>
            <w:tcW w:w="1420" w:type="dxa"/>
            <w:tcBorders>
              <w:top w:val="nil"/>
              <w:left w:val="nil"/>
              <w:bottom w:val="single" w:sz="4" w:space="0" w:color="auto"/>
              <w:right w:val="single" w:sz="4" w:space="0" w:color="auto"/>
            </w:tcBorders>
            <w:shd w:val="clear" w:color="auto" w:fill="auto"/>
            <w:noWrap/>
            <w:vAlign w:val="center"/>
            <w:hideMark/>
          </w:tcPr>
          <w:p w14:paraId="33B6E93E" w14:textId="77777777" w:rsidR="00C75EE6" w:rsidRDefault="00C75EE6">
            <w:pPr>
              <w:jc w:val="center"/>
              <w:rPr>
                <w:color w:val="000000"/>
              </w:rPr>
            </w:pPr>
            <w:r>
              <w:rPr>
                <w:color w:val="000000"/>
              </w:rPr>
              <w:t>1.675</w:t>
            </w:r>
          </w:p>
        </w:tc>
        <w:tc>
          <w:tcPr>
            <w:tcW w:w="840" w:type="dxa"/>
            <w:tcBorders>
              <w:top w:val="nil"/>
              <w:left w:val="nil"/>
              <w:bottom w:val="single" w:sz="4" w:space="0" w:color="auto"/>
              <w:right w:val="single" w:sz="4" w:space="0" w:color="auto"/>
            </w:tcBorders>
            <w:shd w:val="clear" w:color="auto" w:fill="auto"/>
            <w:noWrap/>
            <w:vAlign w:val="center"/>
            <w:hideMark/>
          </w:tcPr>
          <w:p w14:paraId="0B1EB0DD"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3373D0BF" w14:textId="77777777" w:rsidR="00C75EE6" w:rsidRDefault="00C75EE6">
            <w:pPr>
              <w:jc w:val="center"/>
              <w:rPr>
                <w:color w:val="000000"/>
              </w:rPr>
            </w:pPr>
            <w:r>
              <w:rPr>
                <w:color w:val="000000"/>
              </w:rPr>
              <w:t>3.45E-05</w:t>
            </w:r>
          </w:p>
        </w:tc>
        <w:tc>
          <w:tcPr>
            <w:tcW w:w="1300" w:type="dxa"/>
            <w:tcBorders>
              <w:top w:val="nil"/>
              <w:left w:val="nil"/>
              <w:bottom w:val="single" w:sz="4" w:space="0" w:color="auto"/>
              <w:right w:val="single" w:sz="4" w:space="0" w:color="auto"/>
            </w:tcBorders>
            <w:shd w:val="clear" w:color="auto" w:fill="auto"/>
            <w:noWrap/>
            <w:vAlign w:val="center"/>
            <w:hideMark/>
          </w:tcPr>
          <w:p w14:paraId="7D1C0DA5" w14:textId="77777777" w:rsidR="00C75EE6" w:rsidRDefault="00C75EE6">
            <w:pPr>
              <w:jc w:val="center"/>
              <w:rPr>
                <w:color w:val="000000"/>
              </w:rPr>
            </w:pPr>
            <w:r>
              <w:rPr>
                <w:color w:val="000000"/>
              </w:rPr>
              <w:t>2.63E-05</w:t>
            </w:r>
          </w:p>
        </w:tc>
        <w:tc>
          <w:tcPr>
            <w:tcW w:w="1300" w:type="dxa"/>
            <w:tcBorders>
              <w:top w:val="nil"/>
              <w:left w:val="nil"/>
              <w:bottom w:val="single" w:sz="4" w:space="0" w:color="auto"/>
              <w:right w:val="single" w:sz="4" w:space="0" w:color="auto"/>
            </w:tcBorders>
            <w:shd w:val="clear" w:color="auto" w:fill="auto"/>
            <w:noWrap/>
            <w:vAlign w:val="center"/>
            <w:hideMark/>
          </w:tcPr>
          <w:p w14:paraId="3844601D" w14:textId="77777777" w:rsidR="00C75EE6" w:rsidRDefault="00C75EE6">
            <w:pPr>
              <w:jc w:val="center"/>
              <w:rPr>
                <w:color w:val="000000"/>
              </w:rPr>
            </w:pPr>
            <w:r>
              <w:rPr>
                <w:color w:val="000000"/>
              </w:rPr>
              <w:t>1.19E-05</w:t>
            </w:r>
          </w:p>
        </w:tc>
      </w:tr>
      <w:tr w:rsidR="00C75EE6" w14:paraId="22457CDC"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4561591" w14:textId="77777777" w:rsidR="00C75EE6" w:rsidRDefault="00C75EE6">
            <w:pPr>
              <w:jc w:val="center"/>
              <w:rPr>
                <w:color w:val="000000"/>
              </w:rPr>
            </w:pPr>
            <w:r>
              <w:rPr>
                <w:color w:val="000000"/>
              </w:rPr>
              <w:t>Pr</w:t>
            </w:r>
          </w:p>
        </w:tc>
        <w:tc>
          <w:tcPr>
            <w:tcW w:w="1420" w:type="dxa"/>
            <w:tcBorders>
              <w:top w:val="nil"/>
              <w:left w:val="nil"/>
              <w:bottom w:val="single" w:sz="4" w:space="0" w:color="auto"/>
              <w:right w:val="single" w:sz="4" w:space="0" w:color="auto"/>
            </w:tcBorders>
            <w:shd w:val="clear" w:color="auto" w:fill="auto"/>
            <w:noWrap/>
            <w:vAlign w:val="center"/>
            <w:hideMark/>
          </w:tcPr>
          <w:p w14:paraId="358639B6" w14:textId="77777777" w:rsidR="00C75EE6" w:rsidRDefault="00C75EE6">
            <w:pPr>
              <w:jc w:val="center"/>
              <w:rPr>
                <w:color w:val="000000"/>
              </w:rPr>
            </w:pPr>
            <w:r>
              <w:rPr>
                <w:color w:val="000000"/>
              </w:rPr>
              <w:t>0.254</w:t>
            </w:r>
          </w:p>
        </w:tc>
        <w:tc>
          <w:tcPr>
            <w:tcW w:w="840" w:type="dxa"/>
            <w:tcBorders>
              <w:top w:val="nil"/>
              <w:left w:val="nil"/>
              <w:bottom w:val="single" w:sz="4" w:space="0" w:color="auto"/>
              <w:right w:val="single" w:sz="4" w:space="0" w:color="auto"/>
            </w:tcBorders>
            <w:shd w:val="clear" w:color="auto" w:fill="auto"/>
            <w:noWrap/>
            <w:vAlign w:val="center"/>
            <w:hideMark/>
          </w:tcPr>
          <w:p w14:paraId="7960D361"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129A2F65" w14:textId="77777777" w:rsidR="00C75EE6" w:rsidRDefault="00C75EE6">
            <w:pPr>
              <w:jc w:val="center"/>
              <w:rPr>
                <w:color w:val="000000"/>
              </w:rPr>
            </w:pPr>
            <w:r>
              <w:rPr>
                <w:color w:val="000000"/>
              </w:rPr>
              <w:t>1.16E-04</w:t>
            </w:r>
          </w:p>
        </w:tc>
        <w:tc>
          <w:tcPr>
            <w:tcW w:w="1300" w:type="dxa"/>
            <w:tcBorders>
              <w:top w:val="nil"/>
              <w:left w:val="nil"/>
              <w:bottom w:val="single" w:sz="4" w:space="0" w:color="auto"/>
              <w:right w:val="single" w:sz="4" w:space="0" w:color="auto"/>
            </w:tcBorders>
            <w:shd w:val="clear" w:color="auto" w:fill="auto"/>
            <w:noWrap/>
            <w:vAlign w:val="center"/>
            <w:hideMark/>
          </w:tcPr>
          <w:p w14:paraId="4018F29C" w14:textId="77777777" w:rsidR="00C75EE6" w:rsidRDefault="00C75EE6">
            <w:pPr>
              <w:jc w:val="center"/>
              <w:rPr>
                <w:color w:val="000000"/>
              </w:rPr>
            </w:pPr>
            <w:r>
              <w:rPr>
                <w:color w:val="000000"/>
              </w:rPr>
              <w:t>9.86E-05</w:t>
            </w:r>
          </w:p>
        </w:tc>
        <w:tc>
          <w:tcPr>
            <w:tcW w:w="1300" w:type="dxa"/>
            <w:tcBorders>
              <w:top w:val="nil"/>
              <w:left w:val="nil"/>
              <w:bottom w:val="single" w:sz="4" w:space="0" w:color="auto"/>
              <w:right w:val="single" w:sz="4" w:space="0" w:color="auto"/>
            </w:tcBorders>
            <w:shd w:val="clear" w:color="auto" w:fill="auto"/>
            <w:noWrap/>
            <w:vAlign w:val="center"/>
            <w:hideMark/>
          </w:tcPr>
          <w:p w14:paraId="18201800" w14:textId="77777777" w:rsidR="00C75EE6" w:rsidRDefault="00C75EE6">
            <w:pPr>
              <w:jc w:val="center"/>
              <w:rPr>
                <w:color w:val="000000"/>
              </w:rPr>
            </w:pPr>
            <w:r>
              <w:rPr>
                <w:color w:val="000000"/>
              </w:rPr>
              <w:t>5.19E-05</w:t>
            </w:r>
          </w:p>
        </w:tc>
      </w:tr>
      <w:tr w:rsidR="00C75EE6" w14:paraId="0239D8D5"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ED3DAFD" w14:textId="77777777" w:rsidR="00C75EE6" w:rsidRDefault="00C75EE6">
            <w:pPr>
              <w:jc w:val="center"/>
              <w:rPr>
                <w:color w:val="000000"/>
              </w:rPr>
            </w:pPr>
            <w:r>
              <w:rPr>
                <w:color w:val="000000"/>
              </w:rPr>
              <w:t>Nd</w:t>
            </w:r>
          </w:p>
        </w:tc>
        <w:tc>
          <w:tcPr>
            <w:tcW w:w="1420" w:type="dxa"/>
            <w:tcBorders>
              <w:top w:val="nil"/>
              <w:left w:val="nil"/>
              <w:bottom w:val="single" w:sz="4" w:space="0" w:color="auto"/>
              <w:right w:val="single" w:sz="4" w:space="0" w:color="auto"/>
            </w:tcBorders>
            <w:shd w:val="clear" w:color="auto" w:fill="auto"/>
            <w:noWrap/>
            <w:vAlign w:val="center"/>
            <w:hideMark/>
          </w:tcPr>
          <w:p w14:paraId="0084F84D" w14:textId="77777777" w:rsidR="00C75EE6" w:rsidRDefault="00C75EE6">
            <w:pPr>
              <w:jc w:val="center"/>
              <w:rPr>
                <w:color w:val="000000"/>
              </w:rPr>
            </w:pPr>
            <w:r>
              <w:rPr>
                <w:color w:val="000000"/>
              </w:rPr>
              <w:t>1.25</w:t>
            </w:r>
          </w:p>
        </w:tc>
        <w:tc>
          <w:tcPr>
            <w:tcW w:w="840" w:type="dxa"/>
            <w:tcBorders>
              <w:top w:val="nil"/>
              <w:left w:val="nil"/>
              <w:bottom w:val="single" w:sz="4" w:space="0" w:color="auto"/>
              <w:right w:val="single" w:sz="4" w:space="0" w:color="auto"/>
            </w:tcBorders>
            <w:shd w:val="clear" w:color="auto" w:fill="auto"/>
            <w:noWrap/>
            <w:vAlign w:val="center"/>
            <w:hideMark/>
          </w:tcPr>
          <w:p w14:paraId="08365407"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274250E9" w14:textId="77777777" w:rsidR="00C75EE6" w:rsidRDefault="00C75EE6">
            <w:pPr>
              <w:jc w:val="center"/>
              <w:rPr>
                <w:color w:val="000000"/>
              </w:rPr>
            </w:pPr>
            <w:r>
              <w:rPr>
                <w:color w:val="000000"/>
              </w:rPr>
              <w:t>1.73E-04</w:t>
            </w:r>
          </w:p>
        </w:tc>
        <w:tc>
          <w:tcPr>
            <w:tcW w:w="1300" w:type="dxa"/>
            <w:tcBorders>
              <w:top w:val="nil"/>
              <w:left w:val="nil"/>
              <w:bottom w:val="single" w:sz="4" w:space="0" w:color="auto"/>
              <w:right w:val="single" w:sz="4" w:space="0" w:color="auto"/>
            </w:tcBorders>
            <w:shd w:val="clear" w:color="auto" w:fill="auto"/>
            <w:noWrap/>
            <w:vAlign w:val="center"/>
            <w:hideMark/>
          </w:tcPr>
          <w:p w14:paraId="3626BABF" w14:textId="77777777" w:rsidR="00C75EE6" w:rsidRDefault="00C75EE6">
            <w:pPr>
              <w:jc w:val="center"/>
              <w:rPr>
                <w:color w:val="000000"/>
              </w:rPr>
            </w:pPr>
            <w:r>
              <w:rPr>
                <w:color w:val="000000"/>
              </w:rPr>
              <w:t>1.52E-04</w:t>
            </w:r>
          </w:p>
        </w:tc>
        <w:tc>
          <w:tcPr>
            <w:tcW w:w="1300" w:type="dxa"/>
            <w:tcBorders>
              <w:top w:val="nil"/>
              <w:left w:val="nil"/>
              <w:bottom w:val="single" w:sz="4" w:space="0" w:color="auto"/>
              <w:right w:val="single" w:sz="4" w:space="0" w:color="auto"/>
            </w:tcBorders>
            <w:shd w:val="clear" w:color="auto" w:fill="auto"/>
            <w:noWrap/>
            <w:vAlign w:val="center"/>
            <w:hideMark/>
          </w:tcPr>
          <w:p w14:paraId="06D70725" w14:textId="77777777" w:rsidR="00C75EE6" w:rsidRDefault="00C75EE6">
            <w:pPr>
              <w:jc w:val="center"/>
              <w:rPr>
                <w:color w:val="000000"/>
              </w:rPr>
            </w:pPr>
            <w:r>
              <w:rPr>
                <w:color w:val="000000"/>
              </w:rPr>
              <w:t>8.42E-05</w:t>
            </w:r>
          </w:p>
        </w:tc>
      </w:tr>
      <w:tr w:rsidR="00C75EE6" w14:paraId="5E3E90D8"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0401450" w14:textId="77777777" w:rsidR="00C75EE6" w:rsidRDefault="00C75EE6">
            <w:pPr>
              <w:jc w:val="center"/>
              <w:rPr>
                <w:color w:val="000000"/>
              </w:rPr>
            </w:pPr>
            <w:r>
              <w:rPr>
                <w:color w:val="000000"/>
              </w:rPr>
              <w:t>Sm</w:t>
            </w:r>
          </w:p>
        </w:tc>
        <w:tc>
          <w:tcPr>
            <w:tcW w:w="1420" w:type="dxa"/>
            <w:tcBorders>
              <w:top w:val="nil"/>
              <w:left w:val="nil"/>
              <w:bottom w:val="single" w:sz="4" w:space="0" w:color="auto"/>
              <w:right w:val="single" w:sz="4" w:space="0" w:color="auto"/>
            </w:tcBorders>
            <w:shd w:val="clear" w:color="auto" w:fill="auto"/>
            <w:noWrap/>
            <w:vAlign w:val="center"/>
            <w:hideMark/>
          </w:tcPr>
          <w:p w14:paraId="3557E5A1" w14:textId="77777777" w:rsidR="00C75EE6" w:rsidRDefault="00C75EE6">
            <w:pPr>
              <w:jc w:val="center"/>
              <w:rPr>
                <w:color w:val="000000"/>
              </w:rPr>
            </w:pPr>
            <w:r>
              <w:rPr>
                <w:color w:val="000000"/>
              </w:rPr>
              <w:t>0.406</w:t>
            </w:r>
          </w:p>
        </w:tc>
        <w:tc>
          <w:tcPr>
            <w:tcW w:w="840" w:type="dxa"/>
            <w:tcBorders>
              <w:top w:val="nil"/>
              <w:left w:val="nil"/>
              <w:bottom w:val="single" w:sz="4" w:space="0" w:color="auto"/>
              <w:right w:val="single" w:sz="4" w:space="0" w:color="auto"/>
            </w:tcBorders>
            <w:shd w:val="clear" w:color="auto" w:fill="auto"/>
            <w:noWrap/>
            <w:vAlign w:val="center"/>
            <w:hideMark/>
          </w:tcPr>
          <w:p w14:paraId="0811348B"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171960A9" w14:textId="77777777" w:rsidR="00C75EE6" w:rsidRDefault="00C75EE6">
            <w:pPr>
              <w:jc w:val="center"/>
              <w:rPr>
                <w:color w:val="000000"/>
              </w:rPr>
            </w:pPr>
            <w:r>
              <w:rPr>
                <w:color w:val="000000"/>
              </w:rPr>
              <w:t>3.50E-04</w:t>
            </w:r>
          </w:p>
        </w:tc>
        <w:tc>
          <w:tcPr>
            <w:tcW w:w="1300" w:type="dxa"/>
            <w:tcBorders>
              <w:top w:val="nil"/>
              <w:left w:val="nil"/>
              <w:bottom w:val="single" w:sz="4" w:space="0" w:color="auto"/>
              <w:right w:val="single" w:sz="4" w:space="0" w:color="auto"/>
            </w:tcBorders>
            <w:shd w:val="clear" w:color="auto" w:fill="auto"/>
            <w:noWrap/>
            <w:vAlign w:val="center"/>
            <w:hideMark/>
          </w:tcPr>
          <w:p w14:paraId="439DF4A8" w14:textId="77777777" w:rsidR="00C75EE6" w:rsidRDefault="00C75EE6">
            <w:pPr>
              <w:jc w:val="center"/>
              <w:rPr>
                <w:color w:val="000000"/>
              </w:rPr>
            </w:pPr>
            <w:r>
              <w:rPr>
                <w:color w:val="000000"/>
              </w:rPr>
              <w:t>3.28E-04</w:t>
            </w:r>
          </w:p>
        </w:tc>
        <w:tc>
          <w:tcPr>
            <w:tcW w:w="1300" w:type="dxa"/>
            <w:tcBorders>
              <w:top w:val="nil"/>
              <w:left w:val="nil"/>
              <w:bottom w:val="single" w:sz="4" w:space="0" w:color="auto"/>
              <w:right w:val="single" w:sz="4" w:space="0" w:color="auto"/>
            </w:tcBorders>
            <w:shd w:val="clear" w:color="auto" w:fill="auto"/>
            <w:noWrap/>
            <w:vAlign w:val="center"/>
            <w:hideMark/>
          </w:tcPr>
          <w:p w14:paraId="1DBFB2E4" w14:textId="77777777" w:rsidR="00C75EE6" w:rsidRDefault="00C75EE6">
            <w:pPr>
              <w:jc w:val="center"/>
              <w:rPr>
                <w:color w:val="000000"/>
              </w:rPr>
            </w:pPr>
            <w:r>
              <w:rPr>
                <w:color w:val="000000"/>
              </w:rPr>
              <w:t>1.98E-04</w:t>
            </w:r>
          </w:p>
        </w:tc>
      </w:tr>
      <w:tr w:rsidR="00C75EE6" w14:paraId="75445634"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1479B44" w14:textId="77777777" w:rsidR="00C75EE6" w:rsidRDefault="00C75EE6">
            <w:pPr>
              <w:jc w:val="center"/>
              <w:rPr>
                <w:color w:val="000000"/>
              </w:rPr>
            </w:pPr>
            <w:r>
              <w:rPr>
                <w:color w:val="000000"/>
              </w:rPr>
              <w:t>Eu</w:t>
            </w:r>
          </w:p>
        </w:tc>
        <w:tc>
          <w:tcPr>
            <w:tcW w:w="1420" w:type="dxa"/>
            <w:tcBorders>
              <w:top w:val="nil"/>
              <w:left w:val="nil"/>
              <w:bottom w:val="single" w:sz="4" w:space="0" w:color="auto"/>
              <w:right w:val="single" w:sz="4" w:space="0" w:color="auto"/>
            </w:tcBorders>
            <w:shd w:val="clear" w:color="auto" w:fill="auto"/>
            <w:noWrap/>
            <w:vAlign w:val="center"/>
            <w:hideMark/>
          </w:tcPr>
          <w:p w14:paraId="531C4FA7" w14:textId="77777777" w:rsidR="00C75EE6" w:rsidRDefault="00C75EE6">
            <w:pPr>
              <w:jc w:val="center"/>
              <w:rPr>
                <w:color w:val="000000"/>
              </w:rPr>
            </w:pPr>
            <w:r>
              <w:rPr>
                <w:color w:val="000000"/>
              </w:rPr>
              <w:t>0.154</w:t>
            </w:r>
          </w:p>
        </w:tc>
        <w:tc>
          <w:tcPr>
            <w:tcW w:w="840" w:type="dxa"/>
            <w:tcBorders>
              <w:top w:val="nil"/>
              <w:left w:val="nil"/>
              <w:bottom w:val="single" w:sz="4" w:space="0" w:color="auto"/>
              <w:right w:val="single" w:sz="4" w:space="0" w:color="auto"/>
            </w:tcBorders>
            <w:shd w:val="clear" w:color="auto" w:fill="auto"/>
            <w:noWrap/>
            <w:vAlign w:val="center"/>
            <w:hideMark/>
          </w:tcPr>
          <w:p w14:paraId="00288C3E"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2E98E072" w14:textId="77777777" w:rsidR="00C75EE6" w:rsidRDefault="00C75EE6">
            <w:pPr>
              <w:jc w:val="center"/>
              <w:rPr>
                <w:color w:val="000000"/>
              </w:rPr>
            </w:pPr>
            <w:r>
              <w:rPr>
                <w:color w:val="000000"/>
              </w:rPr>
              <w:t>9.76E-04</w:t>
            </w:r>
          </w:p>
        </w:tc>
        <w:tc>
          <w:tcPr>
            <w:tcW w:w="1300" w:type="dxa"/>
            <w:tcBorders>
              <w:top w:val="nil"/>
              <w:left w:val="nil"/>
              <w:bottom w:val="single" w:sz="4" w:space="0" w:color="auto"/>
              <w:right w:val="single" w:sz="4" w:space="0" w:color="auto"/>
            </w:tcBorders>
            <w:shd w:val="clear" w:color="auto" w:fill="auto"/>
            <w:noWrap/>
            <w:vAlign w:val="center"/>
            <w:hideMark/>
          </w:tcPr>
          <w:p w14:paraId="39E7388D" w14:textId="77777777" w:rsidR="00C75EE6" w:rsidRDefault="00C75EE6">
            <w:pPr>
              <w:jc w:val="center"/>
              <w:rPr>
                <w:color w:val="000000"/>
              </w:rPr>
            </w:pPr>
            <w:r>
              <w:rPr>
                <w:color w:val="000000"/>
              </w:rPr>
              <w:t>9.02E-04</w:t>
            </w:r>
          </w:p>
        </w:tc>
        <w:tc>
          <w:tcPr>
            <w:tcW w:w="1300" w:type="dxa"/>
            <w:tcBorders>
              <w:top w:val="nil"/>
              <w:left w:val="nil"/>
              <w:bottom w:val="single" w:sz="4" w:space="0" w:color="auto"/>
              <w:right w:val="single" w:sz="4" w:space="0" w:color="auto"/>
            </w:tcBorders>
            <w:shd w:val="clear" w:color="auto" w:fill="auto"/>
            <w:noWrap/>
            <w:vAlign w:val="center"/>
            <w:hideMark/>
          </w:tcPr>
          <w:p w14:paraId="767157DB" w14:textId="77777777" w:rsidR="00C75EE6" w:rsidRDefault="00C75EE6">
            <w:pPr>
              <w:jc w:val="center"/>
              <w:rPr>
                <w:color w:val="000000"/>
              </w:rPr>
            </w:pPr>
            <w:r>
              <w:rPr>
                <w:color w:val="000000"/>
              </w:rPr>
              <w:t>4.52E-04</w:t>
            </w:r>
          </w:p>
        </w:tc>
      </w:tr>
      <w:tr w:rsidR="00C75EE6" w14:paraId="2FBEB7C4"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9AC0D96" w14:textId="77777777" w:rsidR="00C75EE6" w:rsidRDefault="00C75EE6">
            <w:pPr>
              <w:jc w:val="center"/>
              <w:rPr>
                <w:color w:val="000000"/>
              </w:rPr>
            </w:pPr>
            <w:r>
              <w:rPr>
                <w:color w:val="000000"/>
              </w:rPr>
              <w:t>Gd</w:t>
            </w:r>
          </w:p>
        </w:tc>
        <w:tc>
          <w:tcPr>
            <w:tcW w:w="1420" w:type="dxa"/>
            <w:tcBorders>
              <w:top w:val="nil"/>
              <w:left w:val="nil"/>
              <w:bottom w:val="single" w:sz="4" w:space="0" w:color="auto"/>
              <w:right w:val="single" w:sz="4" w:space="0" w:color="auto"/>
            </w:tcBorders>
            <w:shd w:val="clear" w:color="auto" w:fill="auto"/>
            <w:noWrap/>
            <w:vAlign w:val="center"/>
            <w:hideMark/>
          </w:tcPr>
          <w:p w14:paraId="389227B5" w14:textId="77777777" w:rsidR="00C75EE6" w:rsidRDefault="00C75EE6">
            <w:pPr>
              <w:jc w:val="center"/>
              <w:rPr>
                <w:color w:val="000000"/>
              </w:rPr>
            </w:pPr>
            <w:r>
              <w:rPr>
                <w:color w:val="000000"/>
              </w:rPr>
              <w:t>0.544</w:t>
            </w:r>
          </w:p>
        </w:tc>
        <w:tc>
          <w:tcPr>
            <w:tcW w:w="840" w:type="dxa"/>
            <w:tcBorders>
              <w:top w:val="nil"/>
              <w:left w:val="nil"/>
              <w:bottom w:val="single" w:sz="4" w:space="0" w:color="auto"/>
              <w:right w:val="single" w:sz="4" w:space="0" w:color="auto"/>
            </w:tcBorders>
            <w:shd w:val="clear" w:color="auto" w:fill="auto"/>
            <w:noWrap/>
            <w:vAlign w:val="center"/>
            <w:hideMark/>
          </w:tcPr>
          <w:p w14:paraId="5A0A1A07"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50955F20" w14:textId="77777777" w:rsidR="00C75EE6" w:rsidRDefault="00C75EE6">
            <w:pPr>
              <w:jc w:val="center"/>
              <w:rPr>
                <w:color w:val="000000"/>
              </w:rPr>
            </w:pPr>
            <w:r>
              <w:rPr>
                <w:color w:val="000000"/>
              </w:rPr>
              <w:t>1.64E-03</w:t>
            </w:r>
          </w:p>
        </w:tc>
        <w:tc>
          <w:tcPr>
            <w:tcW w:w="1300" w:type="dxa"/>
            <w:tcBorders>
              <w:top w:val="nil"/>
              <w:left w:val="nil"/>
              <w:bottom w:val="single" w:sz="4" w:space="0" w:color="auto"/>
              <w:right w:val="single" w:sz="4" w:space="0" w:color="auto"/>
            </w:tcBorders>
            <w:shd w:val="clear" w:color="auto" w:fill="auto"/>
            <w:noWrap/>
            <w:vAlign w:val="center"/>
            <w:hideMark/>
          </w:tcPr>
          <w:p w14:paraId="0D6F2DA3" w14:textId="77777777" w:rsidR="00C75EE6" w:rsidRDefault="00C75EE6">
            <w:pPr>
              <w:jc w:val="center"/>
              <w:rPr>
                <w:color w:val="000000"/>
              </w:rPr>
            </w:pPr>
            <w:r>
              <w:rPr>
                <w:color w:val="000000"/>
              </w:rPr>
              <w:t>1.76E-03</w:t>
            </w:r>
          </w:p>
        </w:tc>
        <w:tc>
          <w:tcPr>
            <w:tcW w:w="1300" w:type="dxa"/>
            <w:tcBorders>
              <w:top w:val="nil"/>
              <w:left w:val="nil"/>
              <w:bottom w:val="single" w:sz="4" w:space="0" w:color="auto"/>
              <w:right w:val="single" w:sz="4" w:space="0" w:color="auto"/>
            </w:tcBorders>
            <w:shd w:val="clear" w:color="auto" w:fill="auto"/>
            <w:noWrap/>
            <w:vAlign w:val="center"/>
            <w:hideMark/>
          </w:tcPr>
          <w:p w14:paraId="7D3685FA" w14:textId="77777777" w:rsidR="00C75EE6" w:rsidRDefault="00C75EE6">
            <w:pPr>
              <w:jc w:val="center"/>
              <w:rPr>
                <w:color w:val="000000"/>
              </w:rPr>
            </w:pPr>
            <w:r>
              <w:rPr>
                <w:color w:val="000000"/>
              </w:rPr>
              <w:t>1.29E-03</w:t>
            </w:r>
          </w:p>
        </w:tc>
      </w:tr>
      <w:tr w:rsidR="00C75EE6" w14:paraId="73305BE4"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29C9C11" w14:textId="77777777" w:rsidR="00C75EE6" w:rsidRDefault="00C75EE6">
            <w:pPr>
              <w:jc w:val="center"/>
              <w:rPr>
                <w:color w:val="000000"/>
              </w:rPr>
            </w:pPr>
            <w:r>
              <w:rPr>
                <w:color w:val="000000"/>
              </w:rPr>
              <w:t>Tb</w:t>
            </w:r>
          </w:p>
        </w:tc>
        <w:tc>
          <w:tcPr>
            <w:tcW w:w="1420" w:type="dxa"/>
            <w:tcBorders>
              <w:top w:val="nil"/>
              <w:left w:val="nil"/>
              <w:bottom w:val="single" w:sz="4" w:space="0" w:color="auto"/>
              <w:right w:val="single" w:sz="4" w:space="0" w:color="auto"/>
            </w:tcBorders>
            <w:shd w:val="clear" w:color="auto" w:fill="auto"/>
            <w:noWrap/>
            <w:vAlign w:val="center"/>
            <w:hideMark/>
          </w:tcPr>
          <w:p w14:paraId="0D1C050E" w14:textId="77777777" w:rsidR="00C75EE6" w:rsidRDefault="00C75EE6">
            <w:pPr>
              <w:jc w:val="center"/>
              <w:rPr>
                <w:color w:val="000000"/>
              </w:rPr>
            </w:pPr>
            <w:r>
              <w:rPr>
                <w:color w:val="000000"/>
              </w:rPr>
              <w:t>0.099</w:t>
            </w:r>
          </w:p>
        </w:tc>
        <w:tc>
          <w:tcPr>
            <w:tcW w:w="840" w:type="dxa"/>
            <w:tcBorders>
              <w:top w:val="nil"/>
              <w:left w:val="nil"/>
              <w:bottom w:val="single" w:sz="4" w:space="0" w:color="auto"/>
              <w:right w:val="single" w:sz="4" w:space="0" w:color="auto"/>
            </w:tcBorders>
            <w:shd w:val="clear" w:color="auto" w:fill="auto"/>
            <w:noWrap/>
            <w:vAlign w:val="center"/>
            <w:hideMark/>
          </w:tcPr>
          <w:p w14:paraId="06FAAB81"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599216EE" w14:textId="77777777" w:rsidR="00C75EE6" w:rsidRDefault="00C75EE6">
            <w:pPr>
              <w:jc w:val="center"/>
              <w:rPr>
                <w:color w:val="000000"/>
              </w:rPr>
            </w:pPr>
            <w:r>
              <w:rPr>
                <w:color w:val="000000"/>
              </w:rPr>
              <w:t>3.09E-03</w:t>
            </w:r>
          </w:p>
        </w:tc>
        <w:tc>
          <w:tcPr>
            <w:tcW w:w="1300" w:type="dxa"/>
            <w:tcBorders>
              <w:top w:val="nil"/>
              <w:left w:val="nil"/>
              <w:bottom w:val="single" w:sz="4" w:space="0" w:color="auto"/>
              <w:right w:val="single" w:sz="4" w:space="0" w:color="auto"/>
            </w:tcBorders>
            <w:shd w:val="clear" w:color="auto" w:fill="auto"/>
            <w:noWrap/>
            <w:vAlign w:val="center"/>
            <w:hideMark/>
          </w:tcPr>
          <w:p w14:paraId="54868299" w14:textId="77777777" w:rsidR="00C75EE6" w:rsidRDefault="00C75EE6">
            <w:pPr>
              <w:jc w:val="center"/>
              <w:rPr>
                <w:color w:val="000000"/>
              </w:rPr>
            </w:pPr>
            <w:r>
              <w:rPr>
                <w:color w:val="000000"/>
              </w:rPr>
              <w:t>3.51E-03</w:t>
            </w:r>
          </w:p>
        </w:tc>
        <w:tc>
          <w:tcPr>
            <w:tcW w:w="1300" w:type="dxa"/>
            <w:tcBorders>
              <w:top w:val="nil"/>
              <w:left w:val="nil"/>
              <w:bottom w:val="single" w:sz="4" w:space="0" w:color="auto"/>
              <w:right w:val="single" w:sz="4" w:space="0" w:color="auto"/>
            </w:tcBorders>
            <w:shd w:val="clear" w:color="auto" w:fill="auto"/>
            <w:noWrap/>
            <w:vAlign w:val="center"/>
            <w:hideMark/>
          </w:tcPr>
          <w:p w14:paraId="474D1521" w14:textId="77777777" w:rsidR="00C75EE6" w:rsidRDefault="00C75EE6">
            <w:pPr>
              <w:jc w:val="center"/>
              <w:rPr>
                <w:color w:val="000000"/>
              </w:rPr>
            </w:pPr>
            <w:r>
              <w:rPr>
                <w:color w:val="000000"/>
              </w:rPr>
              <w:t>2.77E-03</w:t>
            </w:r>
          </w:p>
        </w:tc>
      </w:tr>
      <w:tr w:rsidR="00C75EE6" w14:paraId="1718DAC3"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1422FEB" w14:textId="77777777" w:rsidR="00C75EE6" w:rsidRDefault="00C75EE6">
            <w:pPr>
              <w:jc w:val="center"/>
              <w:rPr>
                <w:color w:val="000000"/>
              </w:rPr>
            </w:pPr>
            <w:r>
              <w:rPr>
                <w:color w:val="000000"/>
              </w:rPr>
              <w:t>Dy</w:t>
            </w:r>
          </w:p>
        </w:tc>
        <w:tc>
          <w:tcPr>
            <w:tcW w:w="1420" w:type="dxa"/>
            <w:tcBorders>
              <w:top w:val="nil"/>
              <w:left w:val="nil"/>
              <w:bottom w:val="single" w:sz="4" w:space="0" w:color="auto"/>
              <w:right w:val="single" w:sz="4" w:space="0" w:color="auto"/>
            </w:tcBorders>
            <w:shd w:val="clear" w:color="auto" w:fill="auto"/>
            <w:noWrap/>
            <w:vAlign w:val="center"/>
            <w:hideMark/>
          </w:tcPr>
          <w:p w14:paraId="0335080B" w14:textId="77777777" w:rsidR="00C75EE6" w:rsidRDefault="00C75EE6">
            <w:pPr>
              <w:jc w:val="center"/>
              <w:rPr>
                <w:color w:val="000000"/>
              </w:rPr>
            </w:pPr>
            <w:r>
              <w:rPr>
                <w:color w:val="000000"/>
              </w:rPr>
              <w:t>0.674</w:t>
            </w:r>
          </w:p>
        </w:tc>
        <w:tc>
          <w:tcPr>
            <w:tcW w:w="840" w:type="dxa"/>
            <w:tcBorders>
              <w:top w:val="nil"/>
              <w:left w:val="nil"/>
              <w:bottom w:val="single" w:sz="4" w:space="0" w:color="auto"/>
              <w:right w:val="single" w:sz="4" w:space="0" w:color="auto"/>
            </w:tcBorders>
            <w:shd w:val="clear" w:color="auto" w:fill="auto"/>
            <w:noWrap/>
            <w:vAlign w:val="center"/>
            <w:hideMark/>
          </w:tcPr>
          <w:p w14:paraId="24822DEB"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31285263" w14:textId="77777777" w:rsidR="00C75EE6" w:rsidRDefault="00C75EE6">
            <w:pPr>
              <w:jc w:val="center"/>
              <w:rPr>
                <w:color w:val="000000"/>
              </w:rPr>
            </w:pPr>
            <w:r>
              <w:rPr>
                <w:color w:val="000000"/>
              </w:rPr>
              <w:t>4.74E-03</w:t>
            </w:r>
          </w:p>
        </w:tc>
        <w:tc>
          <w:tcPr>
            <w:tcW w:w="1300" w:type="dxa"/>
            <w:tcBorders>
              <w:top w:val="nil"/>
              <w:left w:val="nil"/>
              <w:bottom w:val="single" w:sz="4" w:space="0" w:color="auto"/>
              <w:right w:val="single" w:sz="4" w:space="0" w:color="auto"/>
            </w:tcBorders>
            <w:shd w:val="clear" w:color="auto" w:fill="auto"/>
            <w:noWrap/>
            <w:vAlign w:val="center"/>
            <w:hideMark/>
          </w:tcPr>
          <w:p w14:paraId="72ED6B6A" w14:textId="77777777" w:rsidR="00C75EE6" w:rsidRDefault="00C75EE6">
            <w:pPr>
              <w:jc w:val="center"/>
              <w:rPr>
                <w:color w:val="000000"/>
              </w:rPr>
            </w:pPr>
            <w:r>
              <w:rPr>
                <w:color w:val="000000"/>
              </w:rPr>
              <w:t>5.60E-03</w:t>
            </w:r>
          </w:p>
        </w:tc>
        <w:tc>
          <w:tcPr>
            <w:tcW w:w="1300" w:type="dxa"/>
            <w:tcBorders>
              <w:top w:val="nil"/>
              <w:left w:val="nil"/>
              <w:bottom w:val="single" w:sz="4" w:space="0" w:color="auto"/>
              <w:right w:val="single" w:sz="4" w:space="0" w:color="auto"/>
            </w:tcBorders>
            <w:shd w:val="clear" w:color="auto" w:fill="auto"/>
            <w:noWrap/>
            <w:vAlign w:val="center"/>
            <w:hideMark/>
          </w:tcPr>
          <w:p w14:paraId="193EBE57" w14:textId="77777777" w:rsidR="00C75EE6" w:rsidRDefault="00C75EE6">
            <w:pPr>
              <w:jc w:val="center"/>
              <w:rPr>
                <w:color w:val="000000"/>
              </w:rPr>
            </w:pPr>
            <w:r>
              <w:rPr>
                <w:color w:val="000000"/>
              </w:rPr>
              <w:t>4.67E-03</w:t>
            </w:r>
          </w:p>
        </w:tc>
      </w:tr>
      <w:tr w:rsidR="00C75EE6" w14:paraId="604B86B8"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F8D256F" w14:textId="77777777" w:rsidR="00C75EE6" w:rsidRDefault="00C75EE6">
            <w:pPr>
              <w:jc w:val="center"/>
              <w:rPr>
                <w:color w:val="000000"/>
              </w:rPr>
            </w:pPr>
            <w:r>
              <w:rPr>
                <w:color w:val="000000"/>
              </w:rPr>
              <w:t>Y</w:t>
            </w:r>
          </w:p>
        </w:tc>
        <w:tc>
          <w:tcPr>
            <w:tcW w:w="1420" w:type="dxa"/>
            <w:tcBorders>
              <w:top w:val="nil"/>
              <w:left w:val="nil"/>
              <w:bottom w:val="single" w:sz="4" w:space="0" w:color="auto"/>
              <w:right w:val="single" w:sz="4" w:space="0" w:color="auto"/>
            </w:tcBorders>
            <w:shd w:val="clear" w:color="auto" w:fill="auto"/>
            <w:noWrap/>
            <w:vAlign w:val="center"/>
            <w:hideMark/>
          </w:tcPr>
          <w:p w14:paraId="54E1EED0" w14:textId="77777777" w:rsidR="00C75EE6" w:rsidRDefault="00C75EE6">
            <w:pPr>
              <w:jc w:val="center"/>
              <w:rPr>
                <w:color w:val="000000"/>
              </w:rPr>
            </w:pPr>
            <w:r>
              <w:rPr>
                <w:color w:val="000000"/>
              </w:rPr>
              <w:t>4.3</w:t>
            </w:r>
          </w:p>
        </w:tc>
        <w:tc>
          <w:tcPr>
            <w:tcW w:w="840" w:type="dxa"/>
            <w:tcBorders>
              <w:top w:val="nil"/>
              <w:left w:val="nil"/>
              <w:bottom w:val="single" w:sz="4" w:space="0" w:color="auto"/>
              <w:right w:val="single" w:sz="4" w:space="0" w:color="auto"/>
            </w:tcBorders>
            <w:shd w:val="clear" w:color="auto" w:fill="auto"/>
            <w:noWrap/>
            <w:vAlign w:val="center"/>
            <w:hideMark/>
          </w:tcPr>
          <w:p w14:paraId="7A937315"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05B2DE73" w14:textId="77777777" w:rsidR="00C75EE6" w:rsidRDefault="00C75EE6">
            <w:pPr>
              <w:jc w:val="center"/>
              <w:rPr>
                <w:color w:val="000000"/>
              </w:rPr>
            </w:pPr>
            <w:r>
              <w:rPr>
                <w:color w:val="000000"/>
              </w:rPr>
              <w:t>7.32E-03</w:t>
            </w:r>
          </w:p>
        </w:tc>
        <w:tc>
          <w:tcPr>
            <w:tcW w:w="1300" w:type="dxa"/>
            <w:tcBorders>
              <w:top w:val="nil"/>
              <w:left w:val="nil"/>
              <w:bottom w:val="single" w:sz="4" w:space="0" w:color="auto"/>
              <w:right w:val="single" w:sz="4" w:space="0" w:color="auto"/>
            </w:tcBorders>
            <w:shd w:val="clear" w:color="auto" w:fill="auto"/>
            <w:noWrap/>
            <w:vAlign w:val="center"/>
            <w:hideMark/>
          </w:tcPr>
          <w:p w14:paraId="3A0C91F5" w14:textId="77777777" w:rsidR="00C75EE6" w:rsidRDefault="00C75EE6">
            <w:pPr>
              <w:jc w:val="center"/>
              <w:rPr>
                <w:color w:val="000000"/>
              </w:rPr>
            </w:pPr>
            <w:r>
              <w:rPr>
                <w:color w:val="000000"/>
              </w:rPr>
              <w:t>9.00E-03</w:t>
            </w:r>
          </w:p>
        </w:tc>
        <w:tc>
          <w:tcPr>
            <w:tcW w:w="1300" w:type="dxa"/>
            <w:tcBorders>
              <w:top w:val="nil"/>
              <w:left w:val="nil"/>
              <w:bottom w:val="single" w:sz="4" w:space="0" w:color="auto"/>
              <w:right w:val="single" w:sz="4" w:space="0" w:color="auto"/>
            </w:tcBorders>
            <w:shd w:val="clear" w:color="auto" w:fill="auto"/>
            <w:noWrap/>
            <w:vAlign w:val="center"/>
            <w:hideMark/>
          </w:tcPr>
          <w:p w14:paraId="0F4835FB" w14:textId="77777777" w:rsidR="00C75EE6" w:rsidRDefault="00C75EE6">
            <w:pPr>
              <w:jc w:val="center"/>
              <w:rPr>
                <w:color w:val="000000"/>
              </w:rPr>
            </w:pPr>
            <w:r>
              <w:rPr>
                <w:color w:val="000000"/>
              </w:rPr>
              <w:t>7.90E-03</w:t>
            </w:r>
          </w:p>
        </w:tc>
      </w:tr>
      <w:tr w:rsidR="00C75EE6" w14:paraId="28A5A87F"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C7C24F3" w14:textId="77777777" w:rsidR="00C75EE6" w:rsidRDefault="00C75EE6">
            <w:pPr>
              <w:jc w:val="center"/>
              <w:rPr>
                <w:color w:val="000000"/>
              </w:rPr>
            </w:pPr>
            <w:r>
              <w:rPr>
                <w:color w:val="000000"/>
              </w:rPr>
              <w:t>Ho</w:t>
            </w:r>
          </w:p>
        </w:tc>
        <w:tc>
          <w:tcPr>
            <w:tcW w:w="1420" w:type="dxa"/>
            <w:tcBorders>
              <w:top w:val="nil"/>
              <w:left w:val="nil"/>
              <w:bottom w:val="single" w:sz="4" w:space="0" w:color="auto"/>
              <w:right w:val="single" w:sz="4" w:space="0" w:color="auto"/>
            </w:tcBorders>
            <w:shd w:val="clear" w:color="auto" w:fill="auto"/>
            <w:noWrap/>
            <w:vAlign w:val="center"/>
            <w:hideMark/>
          </w:tcPr>
          <w:p w14:paraId="51A24B87" w14:textId="77777777" w:rsidR="00C75EE6" w:rsidRDefault="00C75EE6">
            <w:pPr>
              <w:jc w:val="center"/>
              <w:rPr>
                <w:color w:val="000000"/>
              </w:rPr>
            </w:pPr>
            <w:r>
              <w:rPr>
                <w:color w:val="000000"/>
              </w:rPr>
              <w:t>0.149</w:t>
            </w:r>
          </w:p>
        </w:tc>
        <w:tc>
          <w:tcPr>
            <w:tcW w:w="840" w:type="dxa"/>
            <w:tcBorders>
              <w:top w:val="nil"/>
              <w:left w:val="nil"/>
              <w:bottom w:val="single" w:sz="4" w:space="0" w:color="auto"/>
              <w:right w:val="single" w:sz="4" w:space="0" w:color="auto"/>
            </w:tcBorders>
            <w:shd w:val="clear" w:color="auto" w:fill="auto"/>
            <w:noWrap/>
            <w:vAlign w:val="center"/>
            <w:hideMark/>
          </w:tcPr>
          <w:p w14:paraId="5A385E4C"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3F8664CC" w14:textId="77777777" w:rsidR="00C75EE6" w:rsidRDefault="00C75EE6">
            <w:pPr>
              <w:jc w:val="center"/>
              <w:rPr>
                <w:color w:val="000000"/>
              </w:rPr>
            </w:pPr>
            <w:r>
              <w:rPr>
                <w:color w:val="000000"/>
              </w:rPr>
              <w:t>7.07E-03</w:t>
            </w:r>
          </w:p>
        </w:tc>
        <w:tc>
          <w:tcPr>
            <w:tcW w:w="1300" w:type="dxa"/>
            <w:tcBorders>
              <w:top w:val="nil"/>
              <w:left w:val="nil"/>
              <w:bottom w:val="single" w:sz="4" w:space="0" w:color="auto"/>
              <w:right w:val="single" w:sz="4" w:space="0" w:color="auto"/>
            </w:tcBorders>
            <w:shd w:val="clear" w:color="auto" w:fill="auto"/>
            <w:noWrap/>
            <w:vAlign w:val="center"/>
            <w:hideMark/>
          </w:tcPr>
          <w:p w14:paraId="21D5C220" w14:textId="77777777" w:rsidR="00C75EE6" w:rsidRDefault="00C75EE6">
            <w:pPr>
              <w:jc w:val="center"/>
              <w:rPr>
                <w:color w:val="000000"/>
              </w:rPr>
            </w:pPr>
            <w:r>
              <w:rPr>
                <w:color w:val="000000"/>
              </w:rPr>
              <w:t>8.66E-03</w:t>
            </w:r>
          </w:p>
        </w:tc>
        <w:tc>
          <w:tcPr>
            <w:tcW w:w="1300" w:type="dxa"/>
            <w:tcBorders>
              <w:top w:val="nil"/>
              <w:left w:val="nil"/>
              <w:bottom w:val="single" w:sz="4" w:space="0" w:color="auto"/>
              <w:right w:val="single" w:sz="4" w:space="0" w:color="auto"/>
            </w:tcBorders>
            <w:shd w:val="clear" w:color="auto" w:fill="auto"/>
            <w:noWrap/>
            <w:vAlign w:val="center"/>
            <w:hideMark/>
          </w:tcPr>
          <w:p w14:paraId="2084FB33" w14:textId="77777777" w:rsidR="00C75EE6" w:rsidRDefault="00C75EE6">
            <w:pPr>
              <w:jc w:val="center"/>
              <w:rPr>
                <w:color w:val="000000"/>
              </w:rPr>
            </w:pPr>
            <w:r>
              <w:rPr>
                <w:color w:val="000000"/>
              </w:rPr>
              <w:t>7.57E-03</w:t>
            </w:r>
          </w:p>
        </w:tc>
      </w:tr>
      <w:tr w:rsidR="00C75EE6" w14:paraId="7E0F600F"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63DE939" w14:textId="77777777" w:rsidR="00C75EE6" w:rsidRDefault="00C75EE6">
            <w:pPr>
              <w:jc w:val="center"/>
              <w:rPr>
                <w:color w:val="000000"/>
              </w:rPr>
            </w:pPr>
            <w:r>
              <w:rPr>
                <w:color w:val="000000"/>
              </w:rPr>
              <w:t>Er</w:t>
            </w:r>
          </w:p>
        </w:tc>
        <w:tc>
          <w:tcPr>
            <w:tcW w:w="1420" w:type="dxa"/>
            <w:tcBorders>
              <w:top w:val="nil"/>
              <w:left w:val="nil"/>
              <w:bottom w:val="single" w:sz="4" w:space="0" w:color="auto"/>
              <w:right w:val="single" w:sz="4" w:space="0" w:color="auto"/>
            </w:tcBorders>
            <w:shd w:val="clear" w:color="auto" w:fill="auto"/>
            <w:noWrap/>
            <w:vAlign w:val="center"/>
            <w:hideMark/>
          </w:tcPr>
          <w:p w14:paraId="40292EC9" w14:textId="77777777" w:rsidR="00C75EE6" w:rsidRDefault="00C75EE6">
            <w:pPr>
              <w:jc w:val="center"/>
              <w:rPr>
                <w:color w:val="000000"/>
              </w:rPr>
            </w:pPr>
            <w:r>
              <w:rPr>
                <w:color w:val="000000"/>
              </w:rPr>
              <w:t>0.438</w:t>
            </w:r>
          </w:p>
        </w:tc>
        <w:tc>
          <w:tcPr>
            <w:tcW w:w="840" w:type="dxa"/>
            <w:tcBorders>
              <w:top w:val="nil"/>
              <w:left w:val="nil"/>
              <w:bottom w:val="single" w:sz="4" w:space="0" w:color="auto"/>
              <w:right w:val="single" w:sz="4" w:space="0" w:color="auto"/>
            </w:tcBorders>
            <w:shd w:val="clear" w:color="auto" w:fill="auto"/>
            <w:noWrap/>
            <w:vAlign w:val="center"/>
            <w:hideMark/>
          </w:tcPr>
          <w:p w14:paraId="06F4B143"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7440FB74" w14:textId="77777777" w:rsidR="00C75EE6" w:rsidRDefault="00C75EE6">
            <w:pPr>
              <w:jc w:val="center"/>
              <w:rPr>
                <w:color w:val="000000"/>
              </w:rPr>
            </w:pPr>
            <w:r>
              <w:rPr>
                <w:color w:val="000000"/>
              </w:rPr>
              <w:t>1.02E-02</w:t>
            </w:r>
          </w:p>
        </w:tc>
        <w:tc>
          <w:tcPr>
            <w:tcW w:w="1300" w:type="dxa"/>
            <w:tcBorders>
              <w:top w:val="nil"/>
              <w:left w:val="nil"/>
              <w:bottom w:val="single" w:sz="4" w:space="0" w:color="auto"/>
              <w:right w:val="single" w:sz="4" w:space="0" w:color="auto"/>
            </w:tcBorders>
            <w:shd w:val="clear" w:color="auto" w:fill="auto"/>
            <w:noWrap/>
            <w:vAlign w:val="center"/>
            <w:hideMark/>
          </w:tcPr>
          <w:p w14:paraId="7BFB801B" w14:textId="77777777" w:rsidR="00C75EE6" w:rsidRDefault="00C75EE6">
            <w:pPr>
              <w:jc w:val="center"/>
              <w:rPr>
                <w:color w:val="000000"/>
              </w:rPr>
            </w:pPr>
            <w:r>
              <w:rPr>
                <w:color w:val="000000"/>
              </w:rPr>
              <w:t>1.30E-02</w:t>
            </w:r>
          </w:p>
        </w:tc>
        <w:tc>
          <w:tcPr>
            <w:tcW w:w="1300" w:type="dxa"/>
            <w:tcBorders>
              <w:top w:val="nil"/>
              <w:left w:val="nil"/>
              <w:bottom w:val="single" w:sz="4" w:space="0" w:color="auto"/>
              <w:right w:val="single" w:sz="4" w:space="0" w:color="auto"/>
            </w:tcBorders>
            <w:shd w:val="clear" w:color="auto" w:fill="auto"/>
            <w:noWrap/>
            <w:vAlign w:val="center"/>
            <w:hideMark/>
          </w:tcPr>
          <w:p w14:paraId="7A6E8C75" w14:textId="77777777" w:rsidR="00C75EE6" w:rsidRDefault="00C75EE6">
            <w:pPr>
              <w:jc w:val="center"/>
              <w:rPr>
                <w:color w:val="000000"/>
              </w:rPr>
            </w:pPr>
            <w:r>
              <w:rPr>
                <w:color w:val="000000"/>
              </w:rPr>
              <w:t>1.19E-02</w:t>
            </w:r>
          </w:p>
        </w:tc>
      </w:tr>
      <w:tr w:rsidR="00C75EE6" w14:paraId="4CBFB6D8"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EE50D85" w14:textId="77777777" w:rsidR="00C75EE6" w:rsidRDefault="00C75EE6">
            <w:pPr>
              <w:jc w:val="center"/>
              <w:rPr>
                <w:color w:val="000000"/>
              </w:rPr>
            </w:pPr>
            <w:r>
              <w:rPr>
                <w:color w:val="000000"/>
              </w:rPr>
              <w:t>Tm</w:t>
            </w:r>
          </w:p>
        </w:tc>
        <w:tc>
          <w:tcPr>
            <w:tcW w:w="1420" w:type="dxa"/>
            <w:tcBorders>
              <w:top w:val="nil"/>
              <w:left w:val="nil"/>
              <w:bottom w:val="single" w:sz="4" w:space="0" w:color="auto"/>
              <w:right w:val="single" w:sz="4" w:space="0" w:color="auto"/>
            </w:tcBorders>
            <w:shd w:val="clear" w:color="auto" w:fill="auto"/>
            <w:noWrap/>
            <w:vAlign w:val="center"/>
            <w:hideMark/>
          </w:tcPr>
          <w:p w14:paraId="24447AB7" w14:textId="77777777" w:rsidR="00C75EE6" w:rsidRDefault="00C75EE6">
            <w:pPr>
              <w:jc w:val="center"/>
              <w:rPr>
                <w:color w:val="000000"/>
              </w:rPr>
            </w:pPr>
            <w:r>
              <w:rPr>
                <w:color w:val="000000"/>
              </w:rPr>
              <w:t>0.068</w:t>
            </w:r>
          </w:p>
        </w:tc>
        <w:tc>
          <w:tcPr>
            <w:tcW w:w="840" w:type="dxa"/>
            <w:tcBorders>
              <w:top w:val="nil"/>
              <w:left w:val="nil"/>
              <w:bottom w:val="single" w:sz="4" w:space="0" w:color="auto"/>
              <w:right w:val="single" w:sz="4" w:space="0" w:color="auto"/>
            </w:tcBorders>
            <w:shd w:val="clear" w:color="auto" w:fill="auto"/>
            <w:noWrap/>
            <w:vAlign w:val="center"/>
            <w:hideMark/>
          </w:tcPr>
          <w:p w14:paraId="72247853"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7C28EAAE" w14:textId="77777777" w:rsidR="00C75EE6" w:rsidRDefault="00C75EE6">
            <w:pPr>
              <w:jc w:val="center"/>
              <w:rPr>
                <w:color w:val="000000"/>
              </w:rPr>
            </w:pPr>
            <w:r>
              <w:rPr>
                <w:color w:val="000000"/>
              </w:rPr>
              <w:t>1.40E-02</w:t>
            </w:r>
          </w:p>
        </w:tc>
        <w:tc>
          <w:tcPr>
            <w:tcW w:w="1300" w:type="dxa"/>
            <w:tcBorders>
              <w:top w:val="nil"/>
              <w:left w:val="nil"/>
              <w:bottom w:val="single" w:sz="4" w:space="0" w:color="auto"/>
              <w:right w:val="single" w:sz="4" w:space="0" w:color="auto"/>
            </w:tcBorders>
            <w:shd w:val="clear" w:color="auto" w:fill="auto"/>
            <w:noWrap/>
            <w:vAlign w:val="center"/>
            <w:hideMark/>
          </w:tcPr>
          <w:p w14:paraId="48C01005" w14:textId="77777777" w:rsidR="00C75EE6" w:rsidRDefault="00C75EE6">
            <w:pPr>
              <w:jc w:val="center"/>
              <w:rPr>
                <w:color w:val="000000"/>
              </w:rPr>
            </w:pPr>
            <w:r>
              <w:rPr>
                <w:color w:val="000000"/>
              </w:rPr>
              <w:t>1.82E-02</w:t>
            </w:r>
          </w:p>
        </w:tc>
        <w:tc>
          <w:tcPr>
            <w:tcW w:w="1300" w:type="dxa"/>
            <w:tcBorders>
              <w:top w:val="nil"/>
              <w:left w:val="nil"/>
              <w:bottom w:val="single" w:sz="4" w:space="0" w:color="auto"/>
              <w:right w:val="single" w:sz="4" w:space="0" w:color="auto"/>
            </w:tcBorders>
            <w:shd w:val="clear" w:color="auto" w:fill="auto"/>
            <w:noWrap/>
            <w:vAlign w:val="center"/>
            <w:hideMark/>
          </w:tcPr>
          <w:p w14:paraId="0B335E92" w14:textId="77777777" w:rsidR="00C75EE6" w:rsidRDefault="00C75EE6">
            <w:pPr>
              <w:jc w:val="center"/>
              <w:rPr>
                <w:color w:val="000000"/>
              </w:rPr>
            </w:pPr>
            <w:r>
              <w:rPr>
                <w:color w:val="000000"/>
              </w:rPr>
              <w:t>1.73E-02</w:t>
            </w:r>
          </w:p>
        </w:tc>
      </w:tr>
      <w:tr w:rsidR="00C75EE6" w14:paraId="58391D00"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1D651F6" w14:textId="77777777" w:rsidR="00C75EE6" w:rsidRDefault="00C75EE6">
            <w:pPr>
              <w:jc w:val="center"/>
              <w:rPr>
                <w:color w:val="000000"/>
              </w:rPr>
            </w:pPr>
            <w:r>
              <w:rPr>
                <w:color w:val="000000"/>
              </w:rPr>
              <w:t>Yb</w:t>
            </w:r>
          </w:p>
        </w:tc>
        <w:tc>
          <w:tcPr>
            <w:tcW w:w="1420" w:type="dxa"/>
            <w:tcBorders>
              <w:top w:val="nil"/>
              <w:left w:val="nil"/>
              <w:bottom w:val="single" w:sz="4" w:space="0" w:color="auto"/>
              <w:right w:val="single" w:sz="4" w:space="0" w:color="auto"/>
            </w:tcBorders>
            <w:shd w:val="clear" w:color="auto" w:fill="auto"/>
            <w:noWrap/>
            <w:vAlign w:val="center"/>
            <w:hideMark/>
          </w:tcPr>
          <w:p w14:paraId="46132DDF" w14:textId="77777777" w:rsidR="00C75EE6" w:rsidRDefault="00C75EE6">
            <w:pPr>
              <w:jc w:val="center"/>
              <w:rPr>
                <w:color w:val="000000"/>
              </w:rPr>
            </w:pPr>
            <w:r>
              <w:rPr>
                <w:color w:val="000000"/>
              </w:rPr>
              <w:t>0.441</w:t>
            </w:r>
          </w:p>
        </w:tc>
        <w:tc>
          <w:tcPr>
            <w:tcW w:w="840" w:type="dxa"/>
            <w:tcBorders>
              <w:top w:val="nil"/>
              <w:left w:val="nil"/>
              <w:bottom w:val="single" w:sz="4" w:space="0" w:color="auto"/>
              <w:right w:val="single" w:sz="4" w:space="0" w:color="auto"/>
            </w:tcBorders>
            <w:shd w:val="clear" w:color="auto" w:fill="auto"/>
            <w:noWrap/>
            <w:vAlign w:val="center"/>
            <w:hideMark/>
          </w:tcPr>
          <w:p w14:paraId="68D3A63E"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1A9D7763" w14:textId="77777777" w:rsidR="00C75EE6" w:rsidRDefault="00C75EE6">
            <w:pPr>
              <w:jc w:val="center"/>
              <w:rPr>
                <w:color w:val="000000"/>
              </w:rPr>
            </w:pPr>
            <w:r>
              <w:rPr>
                <w:color w:val="000000"/>
              </w:rPr>
              <w:t>1.98E-02</w:t>
            </w:r>
          </w:p>
        </w:tc>
        <w:tc>
          <w:tcPr>
            <w:tcW w:w="1300" w:type="dxa"/>
            <w:tcBorders>
              <w:top w:val="nil"/>
              <w:left w:val="nil"/>
              <w:bottom w:val="single" w:sz="4" w:space="0" w:color="auto"/>
              <w:right w:val="single" w:sz="4" w:space="0" w:color="auto"/>
            </w:tcBorders>
            <w:shd w:val="clear" w:color="auto" w:fill="auto"/>
            <w:noWrap/>
            <w:vAlign w:val="center"/>
            <w:hideMark/>
          </w:tcPr>
          <w:p w14:paraId="25F9C2CB" w14:textId="77777777" w:rsidR="00C75EE6" w:rsidRDefault="00C75EE6">
            <w:pPr>
              <w:jc w:val="center"/>
              <w:rPr>
                <w:color w:val="000000"/>
              </w:rPr>
            </w:pPr>
            <w:r>
              <w:rPr>
                <w:color w:val="000000"/>
              </w:rPr>
              <w:t>2.65E-02</w:t>
            </w:r>
          </w:p>
        </w:tc>
        <w:tc>
          <w:tcPr>
            <w:tcW w:w="1300" w:type="dxa"/>
            <w:tcBorders>
              <w:top w:val="nil"/>
              <w:left w:val="nil"/>
              <w:bottom w:val="single" w:sz="4" w:space="0" w:color="auto"/>
              <w:right w:val="single" w:sz="4" w:space="0" w:color="auto"/>
            </w:tcBorders>
            <w:shd w:val="clear" w:color="auto" w:fill="auto"/>
            <w:noWrap/>
            <w:vAlign w:val="center"/>
            <w:hideMark/>
          </w:tcPr>
          <w:p w14:paraId="79B2B791" w14:textId="77777777" w:rsidR="00C75EE6" w:rsidRDefault="00C75EE6">
            <w:pPr>
              <w:jc w:val="center"/>
              <w:rPr>
                <w:color w:val="000000"/>
              </w:rPr>
            </w:pPr>
            <w:r>
              <w:rPr>
                <w:color w:val="000000"/>
              </w:rPr>
              <w:t>2.64E-02</w:t>
            </w:r>
          </w:p>
        </w:tc>
      </w:tr>
      <w:tr w:rsidR="00C75EE6" w14:paraId="5DCED5D3"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21A756C" w14:textId="77777777" w:rsidR="00C75EE6" w:rsidRDefault="00C75EE6">
            <w:pPr>
              <w:jc w:val="center"/>
              <w:rPr>
                <w:color w:val="000000"/>
              </w:rPr>
            </w:pPr>
            <w:r>
              <w:rPr>
                <w:color w:val="000000"/>
              </w:rPr>
              <w:t>Lu</w:t>
            </w:r>
          </w:p>
        </w:tc>
        <w:tc>
          <w:tcPr>
            <w:tcW w:w="1420" w:type="dxa"/>
            <w:tcBorders>
              <w:top w:val="nil"/>
              <w:left w:val="nil"/>
              <w:bottom w:val="single" w:sz="4" w:space="0" w:color="auto"/>
              <w:right w:val="single" w:sz="4" w:space="0" w:color="auto"/>
            </w:tcBorders>
            <w:shd w:val="clear" w:color="auto" w:fill="auto"/>
            <w:noWrap/>
            <w:vAlign w:val="center"/>
            <w:hideMark/>
          </w:tcPr>
          <w:p w14:paraId="6C1783B4" w14:textId="77777777" w:rsidR="00C75EE6" w:rsidRDefault="00C75EE6">
            <w:pPr>
              <w:jc w:val="center"/>
              <w:rPr>
                <w:color w:val="000000"/>
              </w:rPr>
            </w:pPr>
            <w:r>
              <w:rPr>
                <w:color w:val="000000"/>
              </w:rPr>
              <w:t>0.0675</w:t>
            </w:r>
          </w:p>
        </w:tc>
        <w:tc>
          <w:tcPr>
            <w:tcW w:w="840" w:type="dxa"/>
            <w:tcBorders>
              <w:top w:val="nil"/>
              <w:left w:val="nil"/>
              <w:bottom w:val="single" w:sz="4" w:space="0" w:color="auto"/>
              <w:right w:val="single" w:sz="4" w:space="0" w:color="auto"/>
            </w:tcBorders>
            <w:shd w:val="clear" w:color="auto" w:fill="auto"/>
            <w:noWrap/>
            <w:vAlign w:val="center"/>
            <w:hideMark/>
          </w:tcPr>
          <w:p w14:paraId="5D247791"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5B0BD429" w14:textId="77777777" w:rsidR="00C75EE6" w:rsidRDefault="00C75EE6">
            <w:pPr>
              <w:jc w:val="center"/>
              <w:rPr>
                <w:color w:val="000000"/>
              </w:rPr>
            </w:pPr>
            <w:r>
              <w:rPr>
                <w:color w:val="000000"/>
              </w:rPr>
              <w:t>2.38E-02</w:t>
            </w:r>
          </w:p>
        </w:tc>
        <w:tc>
          <w:tcPr>
            <w:tcW w:w="1300" w:type="dxa"/>
            <w:tcBorders>
              <w:top w:val="nil"/>
              <w:left w:val="nil"/>
              <w:bottom w:val="single" w:sz="4" w:space="0" w:color="auto"/>
              <w:right w:val="single" w:sz="4" w:space="0" w:color="auto"/>
            </w:tcBorders>
            <w:shd w:val="clear" w:color="auto" w:fill="auto"/>
            <w:noWrap/>
            <w:vAlign w:val="center"/>
            <w:hideMark/>
          </w:tcPr>
          <w:p w14:paraId="6FD7049B" w14:textId="77777777" w:rsidR="00C75EE6" w:rsidRDefault="00C75EE6">
            <w:pPr>
              <w:jc w:val="center"/>
              <w:rPr>
                <w:color w:val="000000"/>
              </w:rPr>
            </w:pPr>
            <w:r>
              <w:rPr>
                <w:color w:val="000000"/>
              </w:rPr>
              <w:t>3.25E-02</w:t>
            </w:r>
          </w:p>
        </w:tc>
        <w:tc>
          <w:tcPr>
            <w:tcW w:w="1300" w:type="dxa"/>
            <w:tcBorders>
              <w:top w:val="nil"/>
              <w:left w:val="nil"/>
              <w:bottom w:val="single" w:sz="4" w:space="0" w:color="auto"/>
              <w:right w:val="single" w:sz="4" w:space="0" w:color="auto"/>
            </w:tcBorders>
            <w:shd w:val="clear" w:color="auto" w:fill="auto"/>
            <w:noWrap/>
            <w:vAlign w:val="center"/>
            <w:hideMark/>
          </w:tcPr>
          <w:p w14:paraId="26D894BD" w14:textId="77777777" w:rsidR="00C75EE6" w:rsidRDefault="00C75EE6">
            <w:pPr>
              <w:jc w:val="center"/>
              <w:rPr>
                <w:color w:val="000000"/>
              </w:rPr>
            </w:pPr>
            <w:r>
              <w:rPr>
                <w:color w:val="000000"/>
              </w:rPr>
              <w:t>3.30E-02</w:t>
            </w:r>
          </w:p>
        </w:tc>
      </w:tr>
      <w:tr w:rsidR="00C75EE6" w14:paraId="349B5953"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2EDDE36" w14:textId="77777777" w:rsidR="00C75EE6" w:rsidRDefault="00C75EE6">
            <w:pPr>
              <w:jc w:val="center"/>
              <w:rPr>
                <w:color w:val="000000"/>
              </w:rPr>
            </w:pPr>
            <w:r>
              <w:rPr>
                <w:color w:val="000000"/>
              </w:rPr>
              <w:t>Hf</w:t>
            </w:r>
          </w:p>
        </w:tc>
        <w:tc>
          <w:tcPr>
            <w:tcW w:w="1420" w:type="dxa"/>
            <w:tcBorders>
              <w:top w:val="nil"/>
              <w:left w:val="nil"/>
              <w:bottom w:val="single" w:sz="4" w:space="0" w:color="auto"/>
              <w:right w:val="single" w:sz="4" w:space="0" w:color="auto"/>
            </w:tcBorders>
            <w:shd w:val="clear" w:color="auto" w:fill="auto"/>
            <w:noWrap/>
            <w:vAlign w:val="center"/>
            <w:hideMark/>
          </w:tcPr>
          <w:p w14:paraId="5A72A04C" w14:textId="77777777" w:rsidR="00C75EE6" w:rsidRDefault="00C75EE6">
            <w:pPr>
              <w:jc w:val="center"/>
              <w:rPr>
                <w:color w:val="000000"/>
              </w:rPr>
            </w:pPr>
            <w:r>
              <w:rPr>
                <w:color w:val="000000"/>
              </w:rPr>
              <w:t>0.238</w:t>
            </w:r>
          </w:p>
        </w:tc>
        <w:tc>
          <w:tcPr>
            <w:tcW w:w="840" w:type="dxa"/>
            <w:tcBorders>
              <w:top w:val="nil"/>
              <w:left w:val="nil"/>
              <w:bottom w:val="single" w:sz="4" w:space="0" w:color="auto"/>
              <w:right w:val="single" w:sz="4" w:space="0" w:color="auto"/>
            </w:tcBorders>
            <w:shd w:val="clear" w:color="auto" w:fill="auto"/>
            <w:noWrap/>
            <w:vAlign w:val="center"/>
            <w:hideMark/>
          </w:tcPr>
          <w:p w14:paraId="7A7C65E9" w14:textId="77777777" w:rsidR="00C75EE6" w:rsidRDefault="00C75EE6">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115EA7D7" w14:textId="77777777" w:rsidR="00C75EE6" w:rsidRDefault="00C75EE6">
            <w:pPr>
              <w:jc w:val="center"/>
              <w:rPr>
                <w:color w:val="000000"/>
              </w:rPr>
            </w:pPr>
            <w:r>
              <w:rPr>
                <w:color w:val="000000"/>
              </w:rPr>
              <w:t>4.00E-03</w:t>
            </w:r>
          </w:p>
        </w:tc>
        <w:tc>
          <w:tcPr>
            <w:tcW w:w="1300" w:type="dxa"/>
            <w:tcBorders>
              <w:top w:val="nil"/>
              <w:left w:val="nil"/>
              <w:bottom w:val="single" w:sz="4" w:space="0" w:color="auto"/>
              <w:right w:val="single" w:sz="4" w:space="0" w:color="auto"/>
            </w:tcBorders>
            <w:shd w:val="clear" w:color="auto" w:fill="auto"/>
            <w:noWrap/>
            <w:vAlign w:val="center"/>
            <w:hideMark/>
          </w:tcPr>
          <w:p w14:paraId="775990E2" w14:textId="77777777" w:rsidR="00C75EE6" w:rsidRDefault="00C75EE6">
            <w:pPr>
              <w:jc w:val="center"/>
              <w:rPr>
                <w:color w:val="000000"/>
              </w:rPr>
            </w:pPr>
            <w:r>
              <w:rPr>
                <w:color w:val="000000"/>
              </w:rPr>
              <w:t>4.00E-03</w:t>
            </w:r>
          </w:p>
        </w:tc>
        <w:tc>
          <w:tcPr>
            <w:tcW w:w="1300" w:type="dxa"/>
            <w:tcBorders>
              <w:top w:val="nil"/>
              <w:left w:val="nil"/>
              <w:bottom w:val="single" w:sz="4" w:space="0" w:color="auto"/>
              <w:right w:val="single" w:sz="4" w:space="0" w:color="auto"/>
            </w:tcBorders>
            <w:shd w:val="clear" w:color="auto" w:fill="auto"/>
            <w:noWrap/>
            <w:vAlign w:val="center"/>
            <w:hideMark/>
          </w:tcPr>
          <w:p w14:paraId="42182DA1" w14:textId="77777777" w:rsidR="00C75EE6" w:rsidRDefault="00C75EE6">
            <w:pPr>
              <w:jc w:val="center"/>
              <w:rPr>
                <w:color w:val="000000"/>
              </w:rPr>
            </w:pPr>
            <w:r>
              <w:rPr>
                <w:color w:val="000000"/>
              </w:rPr>
              <w:t>4.00E-03</w:t>
            </w:r>
          </w:p>
        </w:tc>
      </w:tr>
      <w:tr w:rsidR="00C75EE6" w14:paraId="2C4AF925"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6BE84D7" w14:textId="77777777" w:rsidR="00C75EE6" w:rsidRDefault="00C75EE6">
            <w:pPr>
              <w:jc w:val="center"/>
              <w:rPr>
                <w:color w:val="000000"/>
              </w:rPr>
            </w:pPr>
            <w:r>
              <w:rPr>
                <w:color w:val="000000"/>
              </w:rPr>
              <w:t>Stage</w:t>
            </w:r>
          </w:p>
        </w:tc>
        <w:tc>
          <w:tcPr>
            <w:tcW w:w="1420" w:type="dxa"/>
            <w:tcBorders>
              <w:top w:val="nil"/>
              <w:left w:val="nil"/>
              <w:bottom w:val="single" w:sz="4" w:space="0" w:color="auto"/>
              <w:right w:val="single" w:sz="4" w:space="0" w:color="auto"/>
            </w:tcBorders>
            <w:shd w:val="clear" w:color="auto" w:fill="auto"/>
            <w:noWrap/>
            <w:vAlign w:val="center"/>
            <w:hideMark/>
          </w:tcPr>
          <w:p w14:paraId="15FB1515"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5C648C76"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186D6FCC" w14:textId="77777777" w:rsidR="00C75EE6" w:rsidRDefault="00C75EE6">
            <w:pPr>
              <w:jc w:val="center"/>
              <w:rPr>
                <w:color w:val="000000"/>
              </w:rPr>
            </w:pPr>
            <w:r>
              <w:rPr>
                <w:color w:val="000000"/>
              </w:rPr>
              <w:t>1</w:t>
            </w:r>
          </w:p>
        </w:tc>
        <w:tc>
          <w:tcPr>
            <w:tcW w:w="1300" w:type="dxa"/>
            <w:tcBorders>
              <w:top w:val="nil"/>
              <w:left w:val="nil"/>
              <w:bottom w:val="single" w:sz="4" w:space="0" w:color="auto"/>
              <w:right w:val="single" w:sz="4" w:space="0" w:color="auto"/>
            </w:tcBorders>
            <w:shd w:val="clear" w:color="auto" w:fill="auto"/>
            <w:noWrap/>
            <w:vAlign w:val="center"/>
            <w:hideMark/>
          </w:tcPr>
          <w:p w14:paraId="3966B249" w14:textId="77777777" w:rsidR="00C75EE6" w:rsidRDefault="00C75EE6">
            <w:pPr>
              <w:jc w:val="center"/>
              <w:rPr>
                <w:color w:val="000000"/>
              </w:rPr>
            </w:pPr>
            <w:r>
              <w:rPr>
                <w:color w:val="000000"/>
              </w:rPr>
              <w:t>2</w:t>
            </w:r>
          </w:p>
        </w:tc>
        <w:tc>
          <w:tcPr>
            <w:tcW w:w="1300" w:type="dxa"/>
            <w:tcBorders>
              <w:top w:val="nil"/>
              <w:left w:val="nil"/>
              <w:bottom w:val="single" w:sz="4" w:space="0" w:color="auto"/>
              <w:right w:val="single" w:sz="4" w:space="0" w:color="auto"/>
            </w:tcBorders>
            <w:shd w:val="clear" w:color="auto" w:fill="auto"/>
            <w:noWrap/>
            <w:vAlign w:val="center"/>
            <w:hideMark/>
          </w:tcPr>
          <w:p w14:paraId="33D277CE" w14:textId="77777777" w:rsidR="00C75EE6" w:rsidRDefault="00C75EE6">
            <w:pPr>
              <w:jc w:val="center"/>
              <w:rPr>
                <w:color w:val="000000"/>
              </w:rPr>
            </w:pPr>
            <w:r>
              <w:rPr>
                <w:color w:val="000000"/>
              </w:rPr>
              <w:t>3</w:t>
            </w:r>
          </w:p>
        </w:tc>
      </w:tr>
      <w:tr w:rsidR="00C75EE6" w14:paraId="1040DCFD"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344DC14" w14:textId="77777777" w:rsidR="00C75EE6" w:rsidRDefault="00C75EE6">
            <w:pPr>
              <w:jc w:val="center"/>
              <w:rPr>
                <w:color w:val="000000"/>
              </w:rPr>
            </w:pPr>
            <w:r>
              <w:rPr>
                <w:color w:val="000000"/>
              </w:rPr>
              <w:t>T (ºC)</w:t>
            </w:r>
          </w:p>
        </w:tc>
        <w:tc>
          <w:tcPr>
            <w:tcW w:w="1420" w:type="dxa"/>
            <w:tcBorders>
              <w:top w:val="nil"/>
              <w:left w:val="nil"/>
              <w:bottom w:val="single" w:sz="4" w:space="0" w:color="auto"/>
              <w:right w:val="single" w:sz="4" w:space="0" w:color="auto"/>
            </w:tcBorders>
            <w:shd w:val="clear" w:color="auto" w:fill="auto"/>
            <w:noWrap/>
            <w:vAlign w:val="center"/>
            <w:hideMark/>
          </w:tcPr>
          <w:p w14:paraId="13BBCABA"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265D04C8"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598D43DF" w14:textId="77777777" w:rsidR="00C75EE6" w:rsidRDefault="00C75EE6">
            <w:pPr>
              <w:jc w:val="center"/>
              <w:rPr>
                <w:color w:val="000000"/>
              </w:rPr>
            </w:pPr>
            <w:r>
              <w:rPr>
                <w:color w:val="000000"/>
              </w:rPr>
              <w:t>1550</w:t>
            </w:r>
          </w:p>
        </w:tc>
        <w:tc>
          <w:tcPr>
            <w:tcW w:w="1300" w:type="dxa"/>
            <w:tcBorders>
              <w:top w:val="nil"/>
              <w:left w:val="nil"/>
              <w:bottom w:val="single" w:sz="4" w:space="0" w:color="auto"/>
              <w:right w:val="single" w:sz="4" w:space="0" w:color="auto"/>
            </w:tcBorders>
            <w:shd w:val="clear" w:color="auto" w:fill="auto"/>
            <w:noWrap/>
            <w:vAlign w:val="center"/>
            <w:hideMark/>
          </w:tcPr>
          <w:p w14:paraId="1B71AC56" w14:textId="77777777" w:rsidR="00C75EE6" w:rsidRDefault="00C75EE6">
            <w:pPr>
              <w:jc w:val="center"/>
              <w:rPr>
                <w:color w:val="000000"/>
              </w:rPr>
            </w:pPr>
            <w:r>
              <w:rPr>
                <w:color w:val="000000"/>
              </w:rPr>
              <w:t>1400</w:t>
            </w:r>
          </w:p>
        </w:tc>
        <w:tc>
          <w:tcPr>
            <w:tcW w:w="1300" w:type="dxa"/>
            <w:tcBorders>
              <w:top w:val="nil"/>
              <w:left w:val="nil"/>
              <w:bottom w:val="single" w:sz="4" w:space="0" w:color="auto"/>
              <w:right w:val="single" w:sz="4" w:space="0" w:color="auto"/>
            </w:tcBorders>
            <w:shd w:val="clear" w:color="auto" w:fill="auto"/>
            <w:noWrap/>
            <w:vAlign w:val="center"/>
            <w:hideMark/>
          </w:tcPr>
          <w:p w14:paraId="72ED2F6A" w14:textId="77777777" w:rsidR="00C75EE6" w:rsidRDefault="00C75EE6">
            <w:pPr>
              <w:jc w:val="center"/>
              <w:rPr>
                <w:color w:val="000000"/>
              </w:rPr>
            </w:pPr>
            <w:r>
              <w:rPr>
                <w:color w:val="000000"/>
              </w:rPr>
              <w:t>1230</w:t>
            </w:r>
          </w:p>
        </w:tc>
      </w:tr>
      <w:tr w:rsidR="00C75EE6" w14:paraId="74F756DD"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36A838B" w14:textId="77777777" w:rsidR="00C75EE6" w:rsidRDefault="00C75EE6">
            <w:pPr>
              <w:jc w:val="center"/>
              <w:rPr>
                <w:color w:val="000000"/>
              </w:rPr>
            </w:pPr>
            <w:r>
              <w:rPr>
                <w:color w:val="000000"/>
              </w:rPr>
              <w:t>P (GPa)</w:t>
            </w:r>
          </w:p>
        </w:tc>
        <w:tc>
          <w:tcPr>
            <w:tcW w:w="1420" w:type="dxa"/>
            <w:tcBorders>
              <w:top w:val="nil"/>
              <w:left w:val="nil"/>
              <w:bottom w:val="single" w:sz="4" w:space="0" w:color="auto"/>
              <w:right w:val="single" w:sz="4" w:space="0" w:color="auto"/>
            </w:tcBorders>
            <w:shd w:val="clear" w:color="auto" w:fill="auto"/>
            <w:noWrap/>
            <w:vAlign w:val="center"/>
            <w:hideMark/>
          </w:tcPr>
          <w:p w14:paraId="484536B9"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22513F22"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21EFD2B8" w14:textId="77777777" w:rsidR="00C75EE6" w:rsidRDefault="00C75EE6">
            <w:pPr>
              <w:jc w:val="center"/>
              <w:rPr>
                <w:color w:val="000000"/>
              </w:rPr>
            </w:pPr>
            <w:r>
              <w:rPr>
                <w:color w:val="000000"/>
              </w:rPr>
              <w:t>2</w:t>
            </w:r>
          </w:p>
        </w:tc>
        <w:tc>
          <w:tcPr>
            <w:tcW w:w="1300" w:type="dxa"/>
            <w:tcBorders>
              <w:top w:val="nil"/>
              <w:left w:val="nil"/>
              <w:bottom w:val="single" w:sz="4" w:space="0" w:color="auto"/>
              <w:right w:val="single" w:sz="4" w:space="0" w:color="auto"/>
            </w:tcBorders>
            <w:shd w:val="clear" w:color="auto" w:fill="auto"/>
            <w:noWrap/>
            <w:vAlign w:val="center"/>
            <w:hideMark/>
          </w:tcPr>
          <w:p w14:paraId="0873AEBE" w14:textId="77777777" w:rsidR="00C75EE6" w:rsidRDefault="00C75EE6">
            <w:pPr>
              <w:jc w:val="center"/>
              <w:rPr>
                <w:color w:val="000000"/>
              </w:rPr>
            </w:pPr>
            <w:r>
              <w:rPr>
                <w:color w:val="000000"/>
              </w:rPr>
              <w:t>1.2</w:t>
            </w:r>
          </w:p>
        </w:tc>
        <w:tc>
          <w:tcPr>
            <w:tcW w:w="1300" w:type="dxa"/>
            <w:tcBorders>
              <w:top w:val="nil"/>
              <w:left w:val="nil"/>
              <w:bottom w:val="single" w:sz="4" w:space="0" w:color="auto"/>
              <w:right w:val="single" w:sz="4" w:space="0" w:color="auto"/>
            </w:tcBorders>
            <w:shd w:val="clear" w:color="auto" w:fill="auto"/>
            <w:noWrap/>
            <w:vAlign w:val="center"/>
            <w:hideMark/>
          </w:tcPr>
          <w:p w14:paraId="590376F4" w14:textId="77777777" w:rsidR="00C75EE6" w:rsidRDefault="00C75EE6">
            <w:pPr>
              <w:jc w:val="center"/>
              <w:rPr>
                <w:color w:val="000000"/>
              </w:rPr>
            </w:pPr>
            <w:r>
              <w:rPr>
                <w:color w:val="000000"/>
              </w:rPr>
              <w:t>0.5</w:t>
            </w:r>
          </w:p>
        </w:tc>
      </w:tr>
      <w:tr w:rsidR="00C75EE6" w14:paraId="153DEBF4"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FCC4F86" w14:textId="77777777" w:rsidR="00C75EE6" w:rsidRDefault="00C75EE6">
            <w:pPr>
              <w:jc w:val="center"/>
              <w:rPr>
                <w:color w:val="000000"/>
              </w:rPr>
            </w:pPr>
            <w:r>
              <w:rPr>
                <w:color w:val="000000"/>
              </w:rPr>
              <w:t>Fo</w:t>
            </w:r>
          </w:p>
        </w:tc>
        <w:tc>
          <w:tcPr>
            <w:tcW w:w="1420" w:type="dxa"/>
            <w:tcBorders>
              <w:top w:val="nil"/>
              <w:left w:val="nil"/>
              <w:bottom w:val="single" w:sz="4" w:space="0" w:color="auto"/>
              <w:right w:val="single" w:sz="4" w:space="0" w:color="auto"/>
            </w:tcBorders>
            <w:shd w:val="clear" w:color="auto" w:fill="auto"/>
            <w:noWrap/>
            <w:vAlign w:val="center"/>
            <w:hideMark/>
          </w:tcPr>
          <w:p w14:paraId="6C13AF9A"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4A44A4AD"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466E52E5" w14:textId="77777777" w:rsidR="00C75EE6" w:rsidRDefault="00C75EE6">
            <w:pPr>
              <w:jc w:val="center"/>
              <w:rPr>
                <w:color w:val="000000"/>
              </w:rPr>
            </w:pPr>
            <w:r>
              <w:rPr>
                <w:color w:val="000000"/>
              </w:rPr>
              <w:t>92.7</w:t>
            </w:r>
          </w:p>
        </w:tc>
        <w:tc>
          <w:tcPr>
            <w:tcW w:w="1300" w:type="dxa"/>
            <w:tcBorders>
              <w:top w:val="nil"/>
              <w:left w:val="nil"/>
              <w:bottom w:val="single" w:sz="4" w:space="0" w:color="auto"/>
              <w:right w:val="single" w:sz="4" w:space="0" w:color="auto"/>
            </w:tcBorders>
            <w:shd w:val="clear" w:color="auto" w:fill="auto"/>
            <w:noWrap/>
            <w:vAlign w:val="center"/>
            <w:hideMark/>
          </w:tcPr>
          <w:p w14:paraId="116EF110" w14:textId="77777777" w:rsidR="00C75EE6" w:rsidRDefault="00C75EE6">
            <w:pPr>
              <w:jc w:val="center"/>
              <w:rPr>
                <w:color w:val="000000"/>
              </w:rPr>
            </w:pPr>
            <w:r>
              <w:rPr>
                <w:color w:val="000000"/>
              </w:rPr>
              <w:t>87.5</w:t>
            </w:r>
          </w:p>
        </w:tc>
        <w:tc>
          <w:tcPr>
            <w:tcW w:w="1300" w:type="dxa"/>
            <w:tcBorders>
              <w:top w:val="nil"/>
              <w:left w:val="nil"/>
              <w:bottom w:val="single" w:sz="4" w:space="0" w:color="auto"/>
              <w:right w:val="single" w:sz="4" w:space="0" w:color="auto"/>
            </w:tcBorders>
            <w:shd w:val="clear" w:color="auto" w:fill="auto"/>
            <w:noWrap/>
            <w:vAlign w:val="center"/>
            <w:hideMark/>
          </w:tcPr>
          <w:p w14:paraId="6822AC6E" w14:textId="77777777" w:rsidR="00C75EE6" w:rsidRDefault="00C75EE6">
            <w:pPr>
              <w:jc w:val="center"/>
              <w:rPr>
                <w:color w:val="000000"/>
              </w:rPr>
            </w:pPr>
            <w:r>
              <w:rPr>
                <w:color w:val="000000"/>
              </w:rPr>
              <w:t>83.4</w:t>
            </w:r>
          </w:p>
        </w:tc>
      </w:tr>
      <w:tr w:rsidR="00C75EE6" w14:paraId="3B9F6463"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391AA04" w14:textId="77777777" w:rsidR="00C75EE6" w:rsidRDefault="00C75EE6">
            <w:pPr>
              <w:jc w:val="center"/>
              <w:rPr>
                <w:color w:val="000000"/>
              </w:rPr>
            </w:pPr>
            <w:r>
              <w:rPr>
                <w:color w:val="000000"/>
              </w:rPr>
              <w:t>Al</w:t>
            </w:r>
            <w:r>
              <w:rPr>
                <w:color w:val="000000"/>
                <w:vertAlign w:val="superscript"/>
              </w:rPr>
              <w:t>ol</w:t>
            </w:r>
          </w:p>
        </w:tc>
        <w:tc>
          <w:tcPr>
            <w:tcW w:w="1420" w:type="dxa"/>
            <w:tcBorders>
              <w:top w:val="nil"/>
              <w:left w:val="nil"/>
              <w:bottom w:val="single" w:sz="4" w:space="0" w:color="auto"/>
              <w:right w:val="single" w:sz="4" w:space="0" w:color="auto"/>
            </w:tcBorders>
            <w:shd w:val="clear" w:color="auto" w:fill="auto"/>
            <w:noWrap/>
            <w:vAlign w:val="center"/>
            <w:hideMark/>
          </w:tcPr>
          <w:p w14:paraId="0633FBAD"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134AD35F"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389BADD7" w14:textId="77777777" w:rsidR="00C75EE6" w:rsidRDefault="00C75EE6">
            <w:pPr>
              <w:jc w:val="center"/>
              <w:rPr>
                <w:color w:val="000000"/>
              </w:rPr>
            </w:pPr>
            <w:r>
              <w:rPr>
                <w:color w:val="000000"/>
              </w:rPr>
              <w:t>0.00255</w:t>
            </w:r>
          </w:p>
        </w:tc>
        <w:tc>
          <w:tcPr>
            <w:tcW w:w="1300" w:type="dxa"/>
            <w:tcBorders>
              <w:top w:val="nil"/>
              <w:left w:val="nil"/>
              <w:bottom w:val="single" w:sz="4" w:space="0" w:color="auto"/>
              <w:right w:val="single" w:sz="4" w:space="0" w:color="auto"/>
            </w:tcBorders>
            <w:shd w:val="clear" w:color="auto" w:fill="auto"/>
            <w:noWrap/>
            <w:vAlign w:val="center"/>
            <w:hideMark/>
          </w:tcPr>
          <w:p w14:paraId="4768F223" w14:textId="77777777" w:rsidR="00C75EE6" w:rsidRDefault="00C75EE6">
            <w:pPr>
              <w:jc w:val="center"/>
              <w:rPr>
                <w:color w:val="000000"/>
              </w:rPr>
            </w:pPr>
            <w:r>
              <w:rPr>
                <w:color w:val="000000"/>
              </w:rPr>
              <w:t>0.00468</w:t>
            </w:r>
          </w:p>
        </w:tc>
        <w:tc>
          <w:tcPr>
            <w:tcW w:w="1300" w:type="dxa"/>
            <w:tcBorders>
              <w:top w:val="nil"/>
              <w:left w:val="nil"/>
              <w:bottom w:val="single" w:sz="4" w:space="0" w:color="auto"/>
              <w:right w:val="single" w:sz="4" w:space="0" w:color="auto"/>
            </w:tcBorders>
            <w:shd w:val="clear" w:color="auto" w:fill="auto"/>
            <w:noWrap/>
            <w:vAlign w:val="center"/>
            <w:hideMark/>
          </w:tcPr>
          <w:p w14:paraId="201E0B2C" w14:textId="77777777" w:rsidR="00C75EE6" w:rsidRDefault="00C75EE6">
            <w:pPr>
              <w:jc w:val="center"/>
              <w:rPr>
                <w:color w:val="000000"/>
              </w:rPr>
            </w:pPr>
            <w:r>
              <w:rPr>
                <w:color w:val="000000"/>
              </w:rPr>
              <w:t>0.00503</w:t>
            </w:r>
          </w:p>
        </w:tc>
      </w:tr>
      <w:tr w:rsidR="00C75EE6" w14:paraId="00CF21B9"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CDAF5CA" w14:textId="77777777" w:rsidR="00C75EE6" w:rsidRDefault="00C75EE6">
            <w:pPr>
              <w:jc w:val="center"/>
              <w:rPr>
                <w:color w:val="000000"/>
              </w:rPr>
            </w:pPr>
            <w:r>
              <w:rPr>
                <w:i/>
                <w:iCs/>
                <w:color w:val="000000"/>
              </w:rPr>
              <w:t>X</w:t>
            </w:r>
            <w:r>
              <w:rPr>
                <w:color w:val="000000"/>
              </w:rPr>
              <w:t>Ti</w:t>
            </w:r>
            <w:r>
              <w:rPr>
                <w:color w:val="000000"/>
                <w:vertAlign w:val="superscript"/>
              </w:rPr>
              <w:t>melt</w:t>
            </w:r>
          </w:p>
        </w:tc>
        <w:tc>
          <w:tcPr>
            <w:tcW w:w="1420" w:type="dxa"/>
            <w:tcBorders>
              <w:top w:val="nil"/>
              <w:left w:val="nil"/>
              <w:bottom w:val="single" w:sz="4" w:space="0" w:color="auto"/>
              <w:right w:val="single" w:sz="4" w:space="0" w:color="auto"/>
            </w:tcBorders>
            <w:shd w:val="clear" w:color="auto" w:fill="auto"/>
            <w:noWrap/>
            <w:vAlign w:val="center"/>
            <w:hideMark/>
          </w:tcPr>
          <w:p w14:paraId="27143FB2"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4EDC4623"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737B8893"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53363C4"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F87337C" w14:textId="77777777" w:rsidR="00C75EE6" w:rsidRDefault="00C75EE6">
            <w:pPr>
              <w:jc w:val="center"/>
              <w:rPr>
                <w:color w:val="000000"/>
              </w:rPr>
            </w:pPr>
            <w:r>
              <w:rPr>
                <w:color w:val="000000"/>
              </w:rPr>
              <w:t>-</w:t>
            </w:r>
          </w:p>
        </w:tc>
      </w:tr>
      <w:tr w:rsidR="00C75EE6" w14:paraId="5E6B7C50"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54D6B7C" w14:textId="77777777" w:rsidR="00C75EE6" w:rsidRDefault="00C75EE6">
            <w:pPr>
              <w:jc w:val="center"/>
              <w:rPr>
                <w:color w:val="000000"/>
              </w:rPr>
            </w:pPr>
            <w:r>
              <w:rPr>
                <w:color w:val="000000"/>
              </w:rPr>
              <w:t>Al</w:t>
            </w:r>
            <w:r>
              <w:rPr>
                <w:color w:val="000000"/>
                <w:vertAlign w:val="superscript"/>
              </w:rPr>
              <w:t>T</w:t>
            </w:r>
          </w:p>
        </w:tc>
        <w:tc>
          <w:tcPr>
            <w:tcW w:w="1420" w:type="dxa"/>
            <w:tcBorders>
              <w:top w:val="nil"/>
              <w:left w:val="nil"/>
              <w:bottom w:val="single" w:sz="4" w:space="0" w:color="auto"/>
              <w:right w:val="single" w:sz="4" w:space="0" w:color="auto"/>
            </w:tcBorders>
            <w:shd w:val="clear" w:color="auto" w:fill="auto"/>
            <w:noWrap/>
            <w:vAlign w:val="bottom"/>
            <w:hideMark/>
          </w:tcPr>
          <w:p w14:paraId="26212D25"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bottom"/>
            <w:hideMark/>
          </w:tcPr>
          <w:p w14:paraId="61CDB327"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2B5EC509"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DB9AE9A"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076C3CF7" w14:textId="77777777" w:rsidR="00C75EE6" w:rsidRDefault="00C75EE6">
            <w:pPr>
              <w:jc w:val="center"/>
              <w:rPr>
                <w:color w:val="000000"/>
              </w:rPr>
            </w:pPr>
            <w:r>
              <w:rPr>
                <w:color w:val="000000"/>
              </w:rPr>
              <w:t>-</w:t>
            </w:r>
          </w:p>
        </w:tc>
      </w:tr>
      <w:tr w:rsidR="00C75EE6" w14:paraId="641D26D3"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C8CE5D3" w14:textId="77777777" w:rsidR="00C75EE6" w:rsidRDefault="00C75EE6">
            <w:pPr>
              <w:jc w:val="center"/>
              <w:rPr>
                <w:color w:val="000000"/>
              </w:rPr>
            </w:pPr>
            <w:r>
              <w:rPr>
                <w:color w:val="000000"/>
              </w:rPr>
              <w:t>Al</w:t>
            </w:r>
            <w:r>
              <w:rPr>
                <w:color w:val="000000"/>
                <w:vertAlign w:val="superscript"/>
              </w:rPr>
              <w:t>M1</w:t>
            </w:r>
          </w:p>
        </w:tc>
        <w:tc>
          <w:tcPr>
            <w:tcW w:w="1420" w:type="dxa"/>
            <w:tcBorders>
              <w:top w:val="nil"/>
              <w:left w:val="nil"/>
              <w:bottom w:val="single" w:sz="4" w:space="0" w:color="auto"/>
              <w:right w:val="single" w:sz="4" w:space="0" w:color="auto"/>
            </w:tcBorders>
            <w:shd w:val="clear" w:color="auto" w:fill="auto"/>
            <w:noWrap/>
            <w:vAlign w:val="bottom"/>
            <w:hideMark/>
          </w:tcPr>
          <w:p w14:paraId="2459A48C"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bottom"/>
            <w:hideMark/>
          </w:tcPr>
          <w:p w14:paraId="1E0A60FC"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0F375A06"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9854DAD"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A01DA36" w14:textId="77777777" w:rsidR="00C75EE6" w:rsidRDefault="00C75EE6">
            <w:pPr>
              <w:jc w:val="center"/>
              <w:rPr>
                <w:color w:val="000000"/>
              </w:rPr>
            </w:pPr>
            <w:r>
              <w:rPr>
                <w:color w:val="000000"/>
              </w:rPr>
              <w:t>-</w:t>
            </w:r>
          </w:p>
        </w:tc>
      </w:tr>
      <w:tr w:rsidR="00C75EE6" w14:paraId="378696B2"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D676B5B" w14:textId="77777777" w:rsidR="00C75EE6" w:rsidRDefault="00C75EE6">
            <w:pPr>
              <w:jc w:val="center"/>
              <w:rPr>
                <w:color w:val="000000"/>
              </w:rPr>
            </w:pPr>
            <w:r>
              <w:rPr>
                <w:color w:val="000000"/>
              </w:rPr>
              <w:t>Ca</w:t>
            </w:r>
            <w:r>
              <w:rPr>
                <w:color w:val="000000"/>
                <w:vertAlign w:val="superscript"/>
              </w:rPr>
              <w:t>M2</w:t>
            </w:r>
          </w:p>
        </w:tc>
        <w:tc>
          <w:tcPr>
            <w:tcW w:w="1420" w:type="dxa"/>
            <w:tcBorders>
              <w:top w:val="nil"/>
              <w:left w:val="nil"/>
              <w:bottom w:val="single" w:sz="4" w:space="0" w:color="auto"/>
              <w:right w:val="single" w:sz="4" w:space="0" w:color="auto"/>
            </w:tcBorders>
            <w:shd w:val="clear" w:color="auto" w:fill="auto"/>
            <w:noWrap/>
            <w:vAlign w:val="center"/>
            <w:hideMark/>
          </w:tcPr>
          <w:p w14:paraId="138E61D2"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584B6E02"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60C82FD2"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ADF771C"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9E9559F" w14:textId="77777777" w:rsidR="00C75EE6" w:rsidRDefault="00C75EE6">
            <w:pPr>
              <w:jc w:val="center"/>
              <w:rPr>
                <w:color w:val="000000"/>
              </w:rPr>
            </w:pPr>
            <w:r>
              <w:rPr>
                <w:color w:val="000000"/>
              </w:rPr>
              <w:t>-</w:t>
            </w:r>
          </w:p>
        </w:tc>
      </w:tr>
      <w:tr w:rsidR="00C75EE6" w14:paraId="0F9E197A"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14FEDA6" w14:textId="77777777" w:rsidR="00C75EE6" w:rsidRDefault="00C75EE6">
            <w:pPr>
              <w:jc w:val="center"/>
              <w:rPr>
                <w:color w:val="000000"/>
              </w:rPr>
            </w:pPr>
            <w:r>
              <w:rPr>
                <w:color w:val="000000"/>
              </w:rPr>
              <w:t>Mg</w:t>
            </w:r>
            <w:r>
              <w:rPr>
                <w:color w:val="000000"/>
                <w:vertAlign w:val="superscript"/>
              </w:rPr>
              <w:t>M2</w:t>
            </w:r>
          </w:p>
        </w:tc>
        <w:tc>
          <w:tcPr>
            <w:tcW w:w="1420" w:type="dxa"/>
            <w:tcBorders>
              <w:top w:val="nil"/>
              <w:left w:val="nil"/>
              <w:bottom w:val="single" w:sz="4" w:space="0" w:color="auto"/>
              <w:right w:val="single" w:sz="4" w:space="0" w:color="auto"/>
            </w:tcBorders>
            <w:shd w:val="clear" w:color="auto" w:fill="auto"/>
            <w:noWrap/>
            <w:vAlign w:val="center"/>
            <w:hideMark/>
          </w:tcPr>
          <w:p w14:paraId="325CE1FB"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30562A82"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74A98C46"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7774B79"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697261E" w14:textId="77777777" w:rsidR="00C75EE6" w:rsidRDefault="00C75EE6">
            <w:pPr>
              <w:jc w:val="center"/>
              <w:rPr>
                <w:color w:val="000000"/>
              </w:rPr>
            </w:pPr>
            <w:r>
              <w:rPr>
                <w:color w:val="000000"/>
              </w:rPr>
              <w:t>-</w:t>
            </w:r>
          </w:p>
        </w:tc>
      </w:tr>
      <w:tr w:rsidR="00C75EE6" w14:paraId="2D871E86"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F442939" w14:textId="77777777" w:rsidR="00C75EE6" w:rsidRDefault="00C75EE6">
            <w:pPr>
              <w:jc w:val="center"/>
              <w:rPr>
                <w:color w:val="000000"/>
              </w:rPr>
            </w:pPr>
            <w:r>
              <w:rPr>
                <w:color w:val="000000"/>
              </w:rPr>
              <w:t>Mg</w:t>
            </w:r>
            <w:r>
              <w:rPr>
                <w:color w:val="000000"/>
                <w:vertAlign w:val="superscript"/>
              </w:rPr>
              <w:t>M1</w:t>
            </w:r>
          </w:p>
        </w:tc>
        <w:tc>
          <w:tcPr>
            <w:tcW w:w="1420" w:type="dxa"/>
            <w:tcBorders>
              <w:top w:val="nil"/>
              <w:left w:val="nil"/>
              <w:bottom w:val="single" w:sz="4" w:space="0" w:color="auto"/>
              <w:right w:val="single" w:sz="4" w:space="0" w:color="auto"/>
            </w:tcBorders>
            <w:shd w:val="clear" w:color="auto" w:fill="auto"/>
            <w:noWrap/>
            <w:vAlign w:val="center"/>
            <w:hideMark/>
          </w:tcPr>
          <w:p w14:paraId="34EE499F"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348B3167"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5AF311AF"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39FA5B8A"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496855D" w14:textId="77777777" w:rsidR="00C75EE6" w:rsidRDefault="00C75EE6">
            <w:pPr>
              <w:jc w:val="center"/>
              <w:rPr>
                <w:color w:val="000000"/>
              </w:rPr>
            </w:pPr>
            <w:r>
              <w:rPr>
                <w:color w:val="000000"/>
              </w:rPr>
              <w:t>-</w:t>
            </w:r>
          </w:p>
        </w:tc>
      </w:tr>
      <w:tr w:rsidR="00C75EE6" w14:paraId="766BDC87"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3AAB713" w14:textId="77777777" w:rsidR="00C75EE6" w:rsidRDefault="00C75EE6">
            <w:pPr>
              <w:jc w:val="center"/>
              <w:rPr>
                <w:color w:val="000000"/>
              </w:rPr>
            </w:pPr>
            <w:r>
              <w:rPr>
                <w:color w:val="000000"/>
              </w:rPr>
              <w:t>Fe</w:t>
            </w:r>
            <w:r>
              <w:rPr>
                <w:color w:val="000000"/>
                <w:vertAlign w:val="superscript"/>
              </w:rPr>
              <w:t>M1</w:t>
            </w:r>
          </w:p>
        </w:tc>
        <w:tc>
          <w:tcPr>
            <w:tcW w:w="1420" w:type="dxa"/>
            <w:tcBorders>
              <w:top w:val="nil"/>
              <w:left w:val="nil"/>
              <w:bottom w:val="single" w:sz="4" w:space="0" w:color="auto"/>
              <w:right w:val="single" w:sz="4" w:space="0" w:color="auto"/>
            </w:tcBorders>
            <w:shd w:val="clear" w:color="auto" w:fill="auto"/>
            <w:noWrap/>
            <w:vAlign w:val="center"/>
            <w:hideMark/>
          </w:tcPr>
          <w:p w14:paraId="373E16D0"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63FE0B44"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24032A83"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882B244"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38FDA9E7" w14:textId="77777777" w:rsidR="00C75EE6" w:rsidRDefault="00C75EE6">
            <w:pPr>
              <w:jc w:val="center"/>
              <w:rPr>
                <w:color w:val="000000"/>
              </w:rPr>
            </w:pPr>
            <w:r>
              <w:rPr>
                <w:color w:val="000000"/>
              </w:rPr>
              <w:t>-</w:t>
            </w:r>
          </w:p>
        </w:tc>
      </w:tr>
      <w:tr w:rsidR="00C75EE6" w14:paraId="2266CD5A"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2F8308A" w14:textId="77777777" w:rsidR="00C75EE6" w:rsidRDefault="00C75EE6">
            <w:pPr>
              <w:jc w:val="center"/>
              <w:rPr>
                <w:color w:val="000000"/>
              </w:rPr>
            </w:pPr>
            <w:r>
              <w:rPr>
                <w:i/>
                <w:iCs/>
                <w:color w:val="000000"/>
              </w:rPr>
              <w:t>XC</w:t>
            </w:r>
            <w:r>
              <w:rPr>
                <w:color w:val="000000"/>
              </w:rPr>
              <w:t>a</w:t>
            </w:r>
          </w:p>
        </w:tc>
        <w:tc>
          <w:tcPr>
            <w:tcW w:w="1420" w:type="dxa"/>
            <w:tcBorders>
              <w:top w:val="nil"/>
              <w:left w:val="nil"/>
              <w:bottom w:val="single" w:sz="4" w:space="0" w:color="auto"/>
              <w:right w:val="single" w:sz="4" w:space="0" w:color="auto"/>
            </w:tcBorders>
            <w:shd w:val="clear" w:color="auto" w:fill="auto"/>
            <w:noWrap/>
            <w:vAlign w:val="center"/>
            <w:hideMark/>
          </w:tcPr>
          <w:p w14:paraId="266ADD99"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6CC40AA6"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37D97ADD"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D4B542B"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3DE8ADF8" w14:textId="77777777" w:rsidR="00C75EE6" w:rsidRDefault="00C75EE6">
            <w:pPr>
              <w:jc w:val="center"/>
              <w:rPr>
                <w:color w:val="000000"/>
              </w:rPr>
            </w:pPr>
            <w:r>
              <w:rPr>
                <w:color w:val="000000"/>
              </w:rPr>
              <w:t>-</w:t>
            </w:r>
          </w:p>
        </w:tc>
      </w:tr>
      <w:tr w:rsidR="00C75EE6" w14:paraId="1A97F7E6"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CE0A965" w14:textId="77777777" w:rsidR="00C75EE6" w:rsidRDefault="00C75EE6">
            <w:pPr>
              <w:jc w:val="center"/>
              <w:rPr>
                <w:color w:val="000000"/>
              </w:rPr>
            </w:pPr>
            <w:r>
              <w:rPr>
                <w:i/>
                <w:iCs/>
                <w:color w:val="000000"/>
              </w:rPr>
              <w:t>X</w:t>
            </w:r>
            <w:r>
              <w:rPr>
                <w:color w:val="000000"/>
              </w:rPr>
              <w:t>Na</w:t>
            </w:r>
          </w:p>
        </w:tc>
        <w:tc>
          <w:tcPr>
            <w:tcW w:w="1420" w:type="dxa"/>
            <w:tcBorders>
              <w:top w:val="nil"/>
              <w:left w:val="nil"/>
              <w:bottom w:val="single" w:sz="4" w:space="0" w:color="auto"/>
              <w:right w:val="single" w:sz="4" w:space="0" w:color="auto"/>
            </w:tcBorders>
            <w:shd w:val="clear" w:color="auto" w:fill="auto"/>
            <w:noWrap/>
            <w:vAlign w:val="center"/>
            <w:hideMark/>
          </w:tcPr>
          <w:p w14:paraId="31CF6E45"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7DC61A17"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33E3DA12"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4731A5CD"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6B28B54" w14:textId="77777777" w:rsidR="00C75EE6" w:rsidRDefault="00C75EE6">
            <w:pPr>
              <w:jc w:val="center"/>
              <w:rPr>
                <w:color w:val="000000"/>
              </w:rPr>
            </w:pPr>
            <w:r>
              <w:rPr>
                <w:color w:val="000000"/>
              </w:rPr>
              <w:t>-</w:t>
            </w:r>
          </w:p>
        </w:tc>
      </w:tr>
      <w:tr w:rsidR="00C75EE6" w14:paraId="18BEE61B"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30DF8FD" w14:textId="77777777" w:rsidR="00C75EE6" w:rsidRDefault="00C75EE6">
            <w:pPr>
              <w:jc w:val="center"/>
              <w:rPr>
                <w:color w:val="000000"/>
              </w:rPr>
            </w:pPr>
            <w:r>
              <w:rPr>
                <w:color w:val="000000"/>
              </w:rPr>
              <w:t>D</w:t>
            </w:r>
            <w:r>
              <w:rPr>
                <w:color w:val="000000"/>
                <w:vertAlign w:val="subscript"/>
              </w:rPr>
              <w:t>0</w:t>
            </w:r>
          </w:p>
        </w:tc>
        <w:tc>
          <w:tcPr>
            <w:tcW w:w="1420" w:type="dxa"/>
            <w:tcBorders>
              <w:top w:val="nil"/>
              <w:left w:val="nil"/>
              <w:bottom w:val="single" w:sz="4" w:space="0" w:color="auto"/>
              <w:right w:val="single" w:sz="4" w:space="0" w:color="auto"/>
            </w:tcBorders>
            <w:shd w:val="clear" w:color="auto" w:fill="auto"/>
            <w:noWrap/>
            <w:vAlign w:val="center"/>
            <w:hideMark/>
          </w:tcPr>
          <w:p w14:paraId="5A15D1DB"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1220B77F"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0C2C3D0F"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182F2B96"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4A7E9BD" w14:textId="77777777" w:rsidR="00C75EE6" w:rsidRDefault="00C75EE6">
            <w:pPr>
              <w:jc w:val="center"/>
              <w:rPr>
                <w:color w:val="000000"/>
              </w:rPr>
            </w:pPr>
            <w:r>
              <w:rPr>
                <w:color w:val="000000"/>
              </w:rPr>
              <w:t>-</w:t>
            </w:r>
          </w:p>
        </w:tc>
      </w:tr>
      <w:tr w:rsidR="00C75EE6" w14:paraId="26149EC3"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E8E699B" w14:textId="77777777" w:rsidR="00C75EE6" w:rsidRDefault="00C75EE6">
            <w:pPr>
              <w:jc w:val="center"/>
              <w:rPr>
                <w:color w:val="000000"/>
              </w:rPr>
            </w:pPr>
            <w:r>
              <w:rPr>
                <w:color w:val="000000"/>
              </w:rPr>
              <w:t>r</w:t>
            </w:r>
            <w:r>
              <w:rPr>
                <w:color w:val="000000"/>
                <w:vertAlign w:val="subscript"/>
              </w:rPr>
              <w:t>0</w:t>
            </w:r>
          </w:p>
        </w:tc>
        <w:tc>
          <w:tcPr>
            <w:tcW w:w="1420" w:type="dxa"/>
            <w:tcBorders>
              <w:top w:val="nil"/>
              <w:left w:val="nil"/>
              <w:bottom w:val="single" w:sz="4" w:space="0" w:color="auto"/>
              <w:right w:val="single" w:sz="4" w:space="0" w:color="auto"/>
            </w:tcBorders>
            <w:shd w:val="clear" w:color="auto" w:fill="auto"/>
            <w:noWrap/>
            <w:vAlign w:val="center"/>
            <w:hideMark/>
          </w:tcPr>
          <w:p w14:paraId="68764A4E"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1D0D7ADD"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292F32AC"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12B7C7C7"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F77E839" w14:textId="77777777" w:rsidR="00C75EE6" w:rsidRDefault="00C75EE6">
            <w:pPr>
              <w:jc w:val="center"/>
              <w:rPr>
                <w:color w:val="000000"/>
              </w:rPr>
            </w:pPr>
            <w:r>
              <w:rPr>
                <w:color w:val="000000"/>
              </w:rPr>
              <w:t>-</w:t>
            </w:r>
          </w:p>
        </w:tc>
      </w:tr>
      <w:tr w:rsidR="00C75EE6" w14:paraId="12D965F9"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01B6055" w14:textId="77777777" w:rsidR="00C75EE6" w:rsidRDefault="00C75EE6">
            <w:pPr>
              <w:jc w:val="center"/>
              <w:rPr>
                <w:color w:val="000000"/>
              </w:rPr>
            </w:pPr>
            <w:r>
              <w:rPr>
                <w:color w:val="000000"/>
              </w:rPr>
              <w:t>E</w:t>
            </w:r>
          </w:p>
        </w:tc>
        <w:tc>
          <w:tcPr>
            <w:tcW w:w="1420" w:type="dxa"/>
            <w:tcBorders>
              <w:top w:val="nil"/>
              <w:left w:val="nil"/>
              <w:bottom w:val="single" w:sz="4" w:space="0" w:color="auto"/>
              <w:right w:val="single" w:sz="4" w:space="0" w:color="auto"/>
            </w:tcBorders>
            <w:shd w:val="clear" w:color="auto" w:fill="auto"/>
            <w:noWrap/>
            <w:vAlign w:val="center"/>
            <w:hideMark/>
          </w:tcPr>
          <w:p w14:paraId="354B46EA"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23EC5507"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3C86C37C"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19065300"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2AAF082" w14:textId="77777777" w:rsidR="00C75EE6" w:rsidRDefault="00C75EE6">
            <w:pPr>
              <w:jc w:val="center"/>
              <w:rPr>
                <w:color w:val="000000"/>
              </w:rPr>
            </w:pPr>
            <w:r>
              <w:rPr>
                <w:color w:val="000000"/>
              </w:rPr>
              <w:t>-</w:t>
            </w:r>
          </w:p>
        </w:tc>
      </w:tr>
      <w:tr w:rsidR="00C75EE6" w14:paraId="18EF03DD"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929C485" w14:textId="77777777" w:rsidR="00C75EE6" w:rsidRDefault="00C75EE6">
            <w:pPr>
              <w:jc w:val="center"/>
              <w:rPr>
                <w:color w:val="000000"/>
              </w:rPr>
            </w:pPr>
            <w:r>
              <w:rPr>
                <w:color w:val="000000"/>
              </w:rPr>
              <w:t>D(Ti)</w:t>
            </w:r>
          </w:p>
        </w:tc>
        <w:tc>
          <w:tcPr>
            <w:tcW w:w="1420" w:type="dxa"/>
            <w:tcBorders>
              <w:top w:val="nil"/>
              <w:left w:val="nil"/>
              <w:bottom w:val="single" w:sz="4" w:space="0" w:color="auto"/>
              <w:right w:val="single" w:sz="4" w:space="0" w:color="auto"/>
            </w:tcBorders>
            <w:shd w:val="clear" w:color="auto" w:fill="auto"/>
            <w:noWrap/>
            <w:vAlign w:val="center"/>
            <w:hideMark/>
          </w:tcPr>
          <w:p w14:paraId="1264EB99"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44AF18C9"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0C56A672"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33C2B91" w14:textId="77777777" w:rsidR="00C75EE6" w:rsidRDefault="00C75EE6">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66056CE" w14:textId="77777777" w:rsidR="00C75EE6" w:rsidRDefault="00C75EE6">
            <w:pPr>
              <w:jc w:val="center"/>
              <w:rPr>
                <w:color w:val="000000"/>
              </w:rPr>
            </w:pPr>
            <w:r>
              <w:rPr>
                <w:color w:val="000000"/>
              </w:rPr>
              <w:t>-</w:t>
            </w:r>
          </w:p>
        </w:tc>
      </w:tr>
      <w:tr w:rsidR="00C75EE6" w14:paraId="49F0AF10" w14:textId="77777777" w:rsidTr="00C75EE6">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47405C3" w14:textId="77777777" w:rsidR="00C75EE6" w:rsidRDefault="00C75EE6">
            <w:pPr>
              <w:jc w:val="center"/>
              <w:rPr>
                <w:color w:val="000000"/>
              </w:rPr>
            </w:pPr>
            <w:r>
              <w:rPr>
                <w:color w:val="000000"/>
              </w:rPr>
              <w:t>Log(ƒO</w:t>
            </w:r>
            <w:r>
              <w:rPr>
                <w:color w:val="000000"/>
                <w:vertAlign w:val="subscript"/>
              </w:rPr>
              <w:t>2</w:t>
            </w:r>
            <w:r>
              <w:rPr>
                <w:color w:val="000000"/>
              </w:rPr>
              <w:t>)</w:t>
            </w:r>
          </w:p>
        </w:tc>
        <w:tc>
          <w:tcPr>
            <w:tcW w:w="1420" w:type="dxa"/>
            <w:tcBorders>
              <w:top w:val="nil"/>
              <w:left w:val="nil"/>
              <w:bottom w:val="single" w:sz="4" w:space="0" w:color="auto"/>
              <w:right w:val="single" w:sz="4" w:space="0" w:color="auto"/>
            </w:tcBorders>
            <w:shd w:val="clear" w:color="auto" w:fill="auto"/>
            <w:noWrap/>
            <w:vAlign w:val="center"/>
            <w:hideMark/>
          </w:tcPr>
          <w:p w14:paraId="120DC077"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noWrap/>
            <w:vAlign w:val="center"/>
            <w:hideMark/>
          </w:tcPr>
          <w:p w14:paraId="349D58AB"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135F5DE2" w14:textId="77777777" w:rsidR="00C75EE6" w:rsidRDefault="00C75EE6">
            <w:pPr>
              <w:jc w:val="center"/>
              <w:rPr>
                <w:color w:val="000000"/>
              </w:rPr>
            </w:pPr>
            <w:r>
              <w:rPr>
                <w:color w:val="000000"/>
              </w:rPr>
              <w:t>-8.38</w:t>
            </w:r>
          </w:p>
        </w:tc>
        <w:tc>
          <w:tcPr>
            <w:tcW w:w="1300" w:type="dxa"/>
            <w:tcBorders>
              <w:top w:val="nil"/>
              <w:left w:val="nil"/>
              <w:bottom w:val="single" w:sz="4" w:space="0" w:color="auto"/>
              <w:right w:val="single" w:sz="4" w:space="0" w:color="auto"/>
            </w:tcBorders>
            <w:shd w:val="clear" w:color="auto" w:fill="auto"/>
            <w:noWrap/>
            <w:vAlign w:val="center"/>
            <w:hideMark/>
          </w:tcPr>
          <w:p w14:paraId="4CA15EB3" w14:textId="77777777" w:rsidR="00C75EE6" w:rsidRDefault="00C75EE6">
            <w:pPr>
              <w:jc w:val="center"/>
              <w:rPr>
                <w:color w:val="000000"/>
              </w:rPr>
            </w:pPr>
            <w:r>
              <w:rPr>
                <w:color w:val="000000"/>
              </w:rPr>
              <w:t>-9.72</w:t>
            </w:r>
          </w:p>
        </w:tc>
        <w:tc>
          <w:tcPr>
            <w:tcW w:w="1300" w:type="dxa"/>
            <w:tcBorders>
              <w:top w:val="nil"/>
              <w:left w:val="nil"/>
              <w:bottom w:val="single" w:sz="4" w:space="0" w:color="auto"/>
              <w:right w:val="single" w:sz="4" w:space="0" w:color="auto"/>
            </w:tcBorders>
            <w:shd w:val="clear" w:color="auto" w:fill="auto"/>
            <w:noWrap/>
            <w:vAlign w:val="center"/>
            <w:hideMark/>
          </w:tcPr>
          <w:p w14:paraId="65BACA53" w14:textId="77777777" w:rsidR="00C75EE6" w:rsidRDefault="00C75EE6">
            <w:pPr>
              <w:jc w:val="center"/>
              <w:rPr>
                <w:color w:val="000000"/>
              </w:rPr>
            </w:pPr>
            <w:r>
              <w:rPr>
                <w:color w:val="000000"/>
              </w:rPr>
              <w:t>-11.57</w:t>
            </w:r>
          </w:p>
        </w:tc>
      </w:tr>
      <w:tr w:rsidR="00C75EE6" w14:paraId="62445D16" w14:textId="77777777" w:rsidTr="00C75EE6">
        <w:trPr>
          <w:trHeight w:val="62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178DBA5" w14:textId="77777777" w:rsidR="00C75EE6" w:rsidRDefault="00C75EE6">
            <w:pPr>
              <w:jc w:val="center"/>
              <w:rPr>
                <w:color w:val="000000"/>
              </w:rPr>
            </w:pPr>
            <w:r>
              <w:rPr>
                <w:color w:val="000000"/>
              </w:rPr>
              <w:t>Sample/ Experiment</w:t>
            </w:r>
          </w:p>
        </w:tc>
        <w:tc>
          <w:tcPr>
            <w:tcW w:w="1420" w:type="dxa"/>
            <w:tcBorders>
              <w:top w:val="nil"/>
              <w:left w:val="nil"/>
              <w:bottom w:val="single" w:sz="4" w:space="0" w:color="auto"/>
              <w:right w:val="single" w:sz="4" w:space="0" w:color="auto"/>
            </w:tcBorders>
            <w:shd w:val="clear" w:color="auto" w:fill="auto"/>
            <w:vAlign w:val="center"/>
            <w:hideMark/>
          </w:tcPr>
          <w:p w14:paraId="048F12D3" w14:textId="77777777" w:rsidR="00C75EE6" w:rsidRDefault="00C75EE6">
            <w:pPr>
              <w:jc w:val="center"/>
              <w:rPr>
                <w:color w:val="000000"/>
              </w:rPr>
            </w:pPr>
            <w:r>
              <w:rPr>
                <w:color w:val="000000"/>
              </w:rPr>
              <w:t> </w:t>
            </w:r>
          </w:p>
        </w:tc>
        <w:tc>
          <w:tcPr>
            <w:tcW w:w="840" w:type="dxa"/>
            <w:tcBorders>
              <w:top w:val="nil"/>
              <w:left w:val="nil"/>
              <w:bottom w:val="single" w:sz="4" w:space="0" w:color="auto"/>
              <w:right w:val="single" w:sz="4" w:space="0" w:color="auto"/>
            </w:tcBorders>
            <w:shd w:val="clear" w:color="auto" w:fill="auto"/>
            <w:vAlign w:val="center"/>
            <w:hideMark/>
          </w:tcPr>
          <w:p w14:paraId="7FD1DFDF" w14:textId="77777777" w:rsidR="00C75EE6" w:rsidRDefault="00C75EE6">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vAlign w:val="center"/>
            <w:hideMark/>
          </w:tcPr>
          <w:p w14:paraId="31866932" w14:textId="77777777" w:rsidR="00C75EE6" w:rsidRDefault="00C75EE6">
            <w:pPr>
              <w:jc w:val="center"/>
              <w:rPr>
                <w:color w:val="000000"/>
              </w:rPr>
            </w:pPr>
            <w:r>
              <w:rPr>
                <w:color w:val="000000"/>
              </w:rPr>
              <w:t>LPUM 2.015</w:t>
            </w:r>
          </w:p>
        </w:tc>
        <w:tc>
          <w:tcPr>
            <w:tcW w:w="1300" w:type="dxa"/>
            <w:tcBorders>
              <w:top w:val="nil"/>
              <w:left w:val="nil"/>
              <w:bottom w:val="single" w:sz="4" w:space="0" w:color="auto"/>
              <w:right w:val="single" w:sz="4" w:space="0" w:color="auto"/>
            </w:tcBorders>
            <w:shd w:val="clear" w:color="auto" w:fill="auto"/>
            <w:vAlign w:val="center"/>
            <w:hideMark/>
          </w:tcPr>
          <w:p w14:paraId="0C7E6E52" w14:textId="77777777" w:rsidR="00C75EE6" w:rsidRDefault="00C75EE6">
            <w:pPr>
              <w:jc w:val="center"/>
              <w:rPr>
                <w:color w:val="000000"/>
              </w:rPr>
            </w:pPr>
            <w:r>
              <w:rPr>
                <w:color w:val="000000"/>
              </w:rPr>
              <w:t>LPUM0.55 B1288</w:t>
            </w:r>
          </w:p>
        </w:tc>
        <w:tc>
          <w:tcPr>
            <w:tcW w:w="1300" w:type="dxa"/>
            <w:tcBorders>
              <w:top w:val="nil"/>
              <w:left w:val="nil"/>
              <w:bottom w:val="single" w:sz="4" w:space="0" w:color="auto"/>
              <w:right w:val="single" w:sz="4" w:space="0" w:color="auto"/>
            </w:tcBorders>
            <w:shd w:val="clear" w:color="auto" w:fill="auto"/>
            <w:vAlign w:val="center"/>
            <w:hideMark/>
          </w:tcPr>
          <w:p w14:paraId="695AFA61" w14:textId="77777777" w:rsidR="00C75EE6" w:rsidRDefault="00C75EE6">
            <w:pPr>
              <w:jc w:val="center"/>
              <w:rPr>
                <w:color w:val="000000"/>
              </w:rPr>
            </w:pPr>
            <w:r>
              <w:rPr>
                <w:color w:val="000000"/>
              </w:rPr>
              <w:t>LPUM88 HAO2-5</w:t>
            </w:r>
          </w:p>
        </w:tc>
      </w:tr>
    </w:tbl>
    <w:p w14:paraId="61530FB9" w14:textId="4236D498" w:rsidR="00957DC6" w:rsidRPr="00C75EE6" w:rsidRDefault="00957DC6" w:rsidP="00957DC6">
      <w:pPr>
        <w:rPr>
          <w:color w:val="000000" w:themeColor="text1"/>
        </w:rPr>
      </w:pPr>
      <w:r w:rsidRPr="00557062">
        <w:rPr>
          <w:color w:val="000000" w:themeColor="text1"/>
        </w:rPr>
        <w:br w:type="page"/>
      </w:r>
      <w:r w:rsidRPr="00557062">
        <w:rPr>
          <w:b/>
          <w:bCs/>
        </w:rPr>
        <w:lastRenderedPageBreak/>
        <w:t xml:space="preserve">Table </w:t>
      </w:r>
      <w:r w:rsidR="004C2419">
        <w:rPr>
          <w:b/>
          <w:bCs/>
        </w:rPr>
        <w:t>2.</w:t>
      </w:r>
      <w:r w:rsidRPr="00557062">
        <w:rPr>
          <w:b/>
          <w:bCs/>
        </w:rPr>
        <w:t>2.</w:t>
      </w:r>
      <w:r w:rsidRPr="00557062">
        <w:t xml:space="preserve"> Continued</w:t>
      </w:r>
      <w:r w:rsidR="00C47A39">
        <w:t>.</w:t>
      </w:r>
    </w:p>
    <w:tbl>
      <w:tblPr>
        <w:tblW w:w="7320" w:type="dxa"/>
        <w:tblLook w:val="04A0" w:firstRow="1" w:lastRow="0" w:firstColumn="1" w:lastColumn="0" w:noHBand="0" w:noVBand="1"/>
      </w:tblPr>
      <w:tblGrid>
        <w:gridCol w:w="1336"/>
        <w:gridCol w:w="1720"/>
        <w:gridCol w:w="880"/>
        <w:gridCol w:w="1303"/>
        <w:gridCol w:w="1300"/>
        <w:gridCol w:w="880"/>
      </w:tblGrid>
      <w:tr w:rsidR="00A45F2C" w14:paraId="7B2EED89" w14:textId="77777777" w:rsidTr="00A45F2C">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68E6C" w14:textId="77777777" w:rsidR="00A45F2C" w:rsidRDefault="00A45F2C">
            <w:pPr>
              <w:jc w:val="center"/>
              <w:rPr>
                <w:color w:val="000000"/>
              </w:rPr>
            </w:pPr>
            <w:r>
              <w:rPr>
                <w:color w:val="000000"/>
              </w:rPr>
              <w:t>Element</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7762A0B8" w14:textId="781A3CE8" w:rsidR="00A45F2C" w:rsidRDefault="00A45F2C">
            <w:pPr>
              <w:jc w:val="center"/>
              <w:rPr>
                <w:color w:val="000000"/>
              </w:rPr>
            </w:pPr>
            <w:r>
              <w:rPr>
                <w:color w:val="000000"/>
              </w:rPr>
              <w:t>Ol (</w:t>
            </w:r>
            <w:r w:rsidR="00747808">
              <w:rPr>
                <w:color w:val="000000"/>
              </w:rPr>
              <w:t>D</w:t>
            </w:r>
            <w:r>
              <w:rPr>
                <w:color w:val="000000"/>
              </w:rPr>
              <w:t>)</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1DBCAABB" w14:textId="77777777" w:rsidR="00A45F2C" w:rsidRDefault="00A45F2C">
            <w:pPr>
              <w:jc w:val="center"/>
              <w:rPr>
                <w:color w:val="000000"/>
              </w:rPr>
            </w:pPr>
            <w:r>
              <w:rPr>
                <w:color w:val="000000"/>
              </w:rPr>
              <w:t>ref.</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69EE9362" w14:textId="32BDD225" w:rsidR="00A45F2C" w:rsidRDefault="00A45F2C">
            <w:pPr>
              <w:jc w:val="center"/>
              <w:rPr>
                <w:color w:val="000000"/>
              </w:rPr>
            </w:pPr>
            <w:r>
              <w:rPr>
                <w:color w:val="000000"/>
              </w:rPr>
              <w:t>Opx (</w:t>
            </w:r>
            <w:r w:rsidR="00747808">
              <w:rPr>
                <w:color w:val="000000"/>
              </w:rPr>
              <w:t>D</w:t>
            </w:r>
            <w:r>
              <w:rPr>
                <w:color w:val="000000"/>
              </w:rPr>
              <w:t>)</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00991370" w14:textId="1E4C645B" w:rsidR="00A45F2C" w:rsidRDefault="00A45F2C">
            <w:pPr>
              <w:jc w:val="center"/>
              <w:rPr>
                <w:color w:val="000000"/>
              </w:rPr>
            </w:pPr>
            <w:r>
              <w:rPr>
                <w:color w:val="000000"/>
              </w:rPr>
              <w:t>Opx (</w:t>
            </w:r>
            <w:r w:rsidR="00747808">
              <w:rPr>
                <w:color w:val="000000"/>
              </w:rPr>
              <w:t>D</w:t>
            </w:r>
            <w:r>
              <w:rPr>
                <w:color w:val="000000"/>
              </w:rPr>
              <w:t>)</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0B8B5455" w14:textId="77777777" w:rsidR="00A45F2C" w:rsidRDefault="00A45F2C">
            <w:pPr>
              <w:jc w:val="center"/>
              <w:rPr>
                <w:color w:val="000000"/>
              </w:rPr>
            </w:pPr>
            <w:r>
              <w:rPr>
                <w:color w:val="000000"/>
              </w:rPr>
              <w:t>ref.</w:t>
            </w:r>
          </w:p>
        </w:tc>
      </w:tr>
      <w:tr w:rsidR="00A45F2C" w14:paraId="3DAA71F0"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25B9000" w14:textId="77777777" w:rsidR="00A45F2C" w:rsidRDefault="00A45F2C">
            <w:pPr>
              <w:jc w:val="center"/>
              <w:rPr>
                <w:color w:val="000000"/>
              </w:rPr>
            </w:pPr>
            <w:r>
              <w:rPr>
                <w:color w:val="000000"/>
              </w:rPr>
              <w:t>La</w:t>
            </w:r>
          </w:p>
        </w:tc>
        <w:tc>
          <w:tcPr>
            <w:tcW w:w="1720" w:type="dxa"/>
            <w:tcBorders>
              <w:top w:val="nil"/>
              <w:left w:val="nil"/>
              <w:bottom w:val="single" w:sz="4" w:space="0" w:color="auto"/>
              <w:right w:val="single" w:sz="4" w:space="0" w:color="auto"/>
            </w:tcBorders>
            <w:shd w:val="clear" w:color="auto" w:fill="auto"/>
            <w:noWrap/>
            <w:vAlign w:val="center"/>
            <w:hideMark/>
          </w:tcPr>
          <w:p w14:paraId="1DB02F89" w14:textId="77777777" w:rsidR="00A45F2C" w:rsidRDefault="00A45F2C">
            <w:pPr>
              <w:jc w:val="center"/>
              <w:rPr>
                <w:color w:val="000000"/>
              </w:rPr>
            </w:pPr>
            <w:r>
              <w:rPr>
                <w:color w:val="000000"/>
              </w:rPr>
              <w:t>5.63E-07</w:t>
            </w:r>
          </w:p>
        </w:tc>
        <w:tc>
          <w:tcPr>
            <w:tcW w:w="880" w:type="dxa"/>
            <w:tcBorders>
              <w:top w:val="nil"/>
              <w:left w:val="nil"/>
              <w:bottom w:val="single" w:sz="4" w:space="0" w:color="auto"/>
              <w:right w:val="single" w:sz="4" w:space="0" w:color="auto"/>
            </w:tcBorders>
            <w:shd w:val="clear" w:color="auto" w:fill="auto"/>
            <w:noWrap/>
            <w:vAlign w:val="center"/>
            <w:hideMark/>
          </w:tcPr>
          <w:p w14:paraId="0B1C64F4"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5B59915F" w14:textId="77777777" w:rsidR="00A45F2C" w:rsidRDefault="00A45F2C">
            <w:pPr>
              <w:jc w:val="center"/>
              <w:rPr>
                <w:color w:val="000000"/>
              </w:rPr>
            </w:pPr>
            <w:r>
              <w:rPr>
                <w:color w:val="000000"/>
              </w:rPr>
              <w:t>8.45E-04</w:t>
            </w:r>
          </w:p>
        </w:tc>
        <w:tc>
          <w:tcPr>
            <w:tcW w:w="1300" w:type="dxa"/>
            <w:tcBorders>
              <w:top w:val="nil"/>
              <w:left w:val="nil"/>
              <w:bottom w:val="single" w:sz="4" w:space="0" w:color="auto"/>
              <w:right w:val="single" w:sz="4" w:space="0" w:color="auto"/>
            </w:tcBorders>
            <w:shd w:val="clear" w:color="auto" w:fill="auto"/>
            <w:noWrap/>
            <w:vAlign w:val="center"/>
            <w:hideMark/>
          </w:tcPr>
          <w:p w14:paraId="162AD436" w14:textId="77777777" w:rsidR="00A45F2C" w:rsidRDefault="00A45F2C">
            <w:pPr>
              <w:jc w:val="center"/>
              <w:rPr>
                <w:color w:val="000000"/>
              </w:rPr>
            </w:pPr>
            <w:r>
              <w:rPr>
                <w:color w:val="000000"/>
              </w:rPr>
              <w:t>1.07E-03</w:t>
            </w:r>
          </w:p>
        </w:tc>
        <w:tc>
          <w:tcPr>
            <w:tcW w:w="880" w:type="dxa"/>
            <w:tcBorders>
              <w:top w:val="nil"/>
              <w:left w:val="nil"/>
              <w:bottom w:val="single" w:sz="4" w:space="0" w:color="auto"/>
              <w:right w:val="single" w:sz="4" w:space="0" w:color="auto"/>
            </w:tcBorders>
            <w:shd w:val="clear" w:color="auto" w:fill="auto"/>
            <w:noWrap/>
            <w:vAlign w:val="center"/>
            <w:hideMark/>
          </w:tcPr>
          <w:p w14:paraId="041BE846" w14:textId="77777777" w:rsidR="00A45F2C" w:rsidRDefault="00A45F2C">
            <w:pPr>
              <w:jc w:val="center"/>
              <w:rPr>
                <w:color w:val="000000"/>
              </w:rPr>
            </w:pPr>
            <w:r>
              <w:rPr>
                <w:color w:val="000000"/>
              </w:rPr>
              <w:t>d, Cal.</w:t>
            </w:r>
          </w:p>
        </w:tc>
      </w:tr>
      <w:tr w:rsidR="00A45F2C" w14:paraId="5B8CBE88"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EE1D9FB" w14:textId="77777777" w:rsidR="00A45F2C" w:rsidRDefault="00A45F2C">
            <w:pPr>
              <w:jc w:val="center"/>
              <w:rPr>
                <w:color w:val="000000"/>
              </w:rPr>
            </w:pPr>
            <w:r>
              <w:rPr>
                <w:color w:val="000000"/>
              </w:rPr>
              <w:t>Ce</w:t>
            </w:r>
          </w:p>
        </w:tc>
        <w:tc>
          <w:tcPr>
            <w:tcW w:w="1720" w:type="dxa"/>
            <w:tcBorders>
              <w:top w:val="nil"/>
              <w:left w:val="nil"/>
              <w:bottom w:val="single" w:sz="4" w:space="0" w:color="auto"/>
              <w:right w:val="single" w:sz="4" w:space="0" w:color="auto"/>
            </w:tcBorders>
            <w:shd w:val="clear" w:color="auto" w:fill="auto"/>
            <w:noWrap/>
            <w:vAlign w:val="center"/>
            <w:hideMark/>
          </w:tcPr>
          <w:p w14:paraId="49744B33" w14:textId="77777777" w:rsidR="00A45F2C" w:rsidRDefault="00A45F2C">
            <w:pPr>
              <w:jc w:val="center"/>
              <w:rPr>
                <w:color w:val="000000"/>
              </w:rPr>
            </w:pPr>
            <w:r>
              <w:rPr>
                <w:color w:val="000000"/>
              </w:rPr>
              <w:t>4.45E-06</w:t>
            </w:r>
          </w:p>
        </w:tc>
        <w:tc>
          <w:tcPr>
            <w:tcW w:w="880" w:type="dxa"/>
            <w:tcBorders>
              <w:top w:val="nil"/>
              <w:left w:val="nil"/>
              <w:bottom w:val="single" w:sz="4" w:space="0" w:color="auto"/>
              <w:right w:val="single" w:sz="4" w:space="0" w:color="auto"/>
            </w:tcBorders>
            <w:shd w:val="clear" w:color="auto" w:fill="auto"/>
            <w:noWrap/>
            <w:vAlign w:val="center"/>
            <w:hideMark/>
          </w:tcPr>
          <w:p w14:paraId="0D75B547"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77B81EC9" w14:textId="77777777" w:rsidR="00A45F2C" w:rsidRDefault="00A45F2C">
            <w:pPr>
              <w:jc w:val="center"/>
              <w:rPr>
                <w:color w:val="000000"/>
              </w:rPr>
            </w:pPr>
            <w:r>
              <w:rPr>
                <w:color w:val="000000"/>
              </w:rPr>
              <w:t>1.74E-03</w:t>
            </w:r>
          </w:p>
        </w:tc>
        <w:tc>
          <w:tcPr>
            <w:tcW w:w="1300" w:type="dxa"/>
            <w:tcBorders>
              <w:top w:val="nil"/>
              <w:left w:val="nil"/>
              <w:bottom w:val="single" w:sz="4" w:space="0" w:color="auto"/>
              <w:right w:val="single" w:sz="4" w:space="0" w:color="auto"/>
            </w:tcBorders>
            <w:shd w:val="clear" w:color="auto" w:fill="auto"/>
            <w:noWrap/>
            <w:vAlign w:val="center"/>
            <w:hideMark/>
          </w:tcPr>
          <w:p w14:paraId="6D81F57C" w14:textId="77777777" w:rsidR="00A45F2C" w:rsidRDefault="00A45F2C">
            <w:pPr>
              <w:jc w:val="center"/>
              <w:rPr>
                <w:color w:val="000000"/>
              </w:rPr>
            </w:pPr>
            <w:r>
              <w:rPr>
                <w:color w:val="000000"/>
              </w:rPr>
              <w:t>2.27E-03</w:t>
            </w:r>
          </w:p>
        </w:tc>
        <w:tc>
          <w:tcPr>
            <w:tcW w:w="880" w:type="dxa"/>
            <w:tcBorders>
              <w:top w:val="nil"/>
              <w:left w:val="nil"/>
              <w:bottom w:val="single" w:sz="4" w:space="0" w:color="auto"/>
              <w:right w:val="single" w:sz="4" w:space="0" w:color="auto"/>
            </w:tcBorders>
            <w:shd w:val="clear" w:color="auto" w:fill="auto"/>
            <w:noWrap/>
            <w:vAlign w:val="center"/>
            <w:hideMark/>
          </w:tcPr>
          <w:p w14:paraId="2DB3889D" w14:textId="77777777" w:rsidR="00A45F2C" w:rsidRDefault="00A45F2C">
            <w:pPr>
              <w:jc w:val="center"/>
              <w:rPr>
                <w:color w:val="000000"/>
              </w:rPr>
            </w:pPr>
            <w:r>
              <w:rPr>
                <w:color w:val="000000"/>
              </w:rPr>
              <w:t>d, Cal.</w:t>
            </w:r>
          </w:p>
        </w:tc>
      </w:tr>
      <w:tr w:rsidR="00A45F2C" w14:paraId="2EA4F08A"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1765CE5" w14:textId="77777777" w:rsidR="00A45F2C" w:rsidRDefault="00A45F2C">
            <w:pPr>
              <w:jc w:val="center"/>
              <w:rPr>
                <w:color w:val="000000"/>
              </w:rPr>
            </w:pPr>
            <w:r>
              <w:rPr>
                <w:color w:val="000000"/>
              </w:rPr>
              <w:t>Pr</w:t>
            </w:r>
          </w:p>
        </w:tc>
        <w:tc>
          <w:tcPr>
            <w:tcW w:w="1720" w:type="dxa"/>
            <w:tcBorders>
              <w:top w:val="nil"/>
              <w:left w:val="nil"/>
              <w:bottom w:val="single" w:sz="4" w:space="0" w:color="auto"/>
              <w:right w:val="single" w:sz="4" w:space="0" w:color="auto"/>
            </w:tcBorders>
            <w:shd w:val="clear" w:color="auto" w:fill="auto"/>
            <w:noWrap/>
            <w:vAlign w:val="center"/>
            <w:hideMark/>
          </w:tcPr>
          <w:p w14:paraId="74D68FD6" w14:textId="77777777" w:rsidR="00A45F2C" w:rsidRDefault="00A45F2C">
            <w:pPr>
              <w:jc w:val="center"/>
              <w:rPr>
                <w:color w:val="000000"/>
              </w:rPr>
            </w:pPr>
            <w:r>
              <w:rPr>
                <w:color w:val="000000"/>
              </w:rPr>
              <w:t>2.47E-05</w:t>
            </w:r>
          </w:p>
        </w:tc>
        <w:tc>
          <w:tcPr>
            <w:tcW w:w="880" w:type="dxa"/>
            <w:tcBorders>
              <w:top w:val="nil"/>
              <w:left w:val="nil"/>
              <w:bottom w:val="single" w:sz="4" w:space="0" w:color="auto"/>
              <w:right w:val="single" w:sz="4" w:space="0" w:color="auto"/>
            </w:tcBorders>
            <w:shd w:val="clear" w:color="auto" w:fill="auto"/>
            <w:noWrap/>
            <w:vAlign w:val="center"/>
            <w:hideMark/>
          </w:tcPr>
          <w:p w14:paraId="6658EBFE"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7C6254CC" w14:textId="77777777" w:rsidR="00A45F2C" w:rsidRDefault="00A45F2C">
            <w:pPr>
              <w:jc w:val="center"/>
              <w:rPr>
                <w:color w:val="000000"/>
              </w:rPr>
            </w:pPr>
            <w:r>
              <w:rPr>
                <w:color w:val="000000"/>
              </w:rPr>
              <w:t>3.35E-03</w:t>
            </w:r>
          </w:p>
        </w:tc>
        <w:tc>
          <w:tcPr>
            <w:tcW w:w="1300" w:type="dxa"/>
            <w:tcBorders>
              <w:top w:val="nil"/>
              <w:left w:val="nil"/>
              <w:bottom w:val="single" w:sz="4" w:space="0" w:color="auto"/>
              <w:right w:val="single" w:sz="4" w:space="0" w:color="auto"/>
            </w:tcBorders>
            <w:shd w:val="clear" w:color="auto" w:fill="auto"/>
            <w:noWrap/>
            <w:vAlign w:val="center"/>
            <w:hideMark/>
          </w:tcPr>
          <w:p w14:paraId="635C1B08" w14:textId="77777777" w:rsidR="00A45F2C" w:rsidRDefault="00A45F2C">
            <w:pPr>
              <w:jc w:val="center"/>
              <w:rPr>
                <w:color w:val="000000"/>
              </w:rPr>
            </w:pPr>
            <w:r>
              <w:rPr>
                <w:color w:val="000000"/>
              </w:rPr>
              <w:t>4.52E-03</w:t>
            </w:r>
          </w:p>
        </w:tc>
        <w:tc>
          <w:tcPr>
            <w:tcW w:w="880" w:type="dxa"/>
            <w:tcBorders>
              <w:top w:val="nil"/>
              <w:left w:val="nil"/>
              <w:bottom w:val="single" w:sz="4" w:space="0" w:color="auto"/>
              <w:right w:val="single" w:sz="4" w:space="0" w:color="auto"/>
            </w:tcBorders>
            <w:shd w:val="clear" w:color="auto" w:fill="auto"/>
            <w:noWrap/>
            <w:vAlign w:val="center"/>
            <w:hideMark/>
          </w:tcPr>
          <w:p w14:paraId="5F85E4BC" w14:textId="77777777" w:rsidR="00A45F2C" w:rsidRDefault="00A45F2C">
            <w:pPr>
              <w:jc w:val="center"/>
              <w:rPr>
                <w:color w:val="000000"/>
              </w:rPr>
            </w:pPr>
            <w:r>
              <w:rPr>
                <w:color w:val="000000"/>
              </w:rPr>
              <w:t>d, Cal.</w:t>
            </w:r>
          </w:p>
        </w:tc>
      </w:tr>
      <w:tr w:rsidR="00A45F2C" w14:paraId="6495D748"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8ACBBB9" w14:textId="77777777" w:rsidR="00A45F2C" w:rsidRDefault="00A45F2C">
            <w:pPr>
              <w:jc w:val="center"/>
              <w:rPr>
                <w:color w:val="000000"/>
              </w:rPr>
            </w:pPr>
            <w:r>
              <w:rPr>
                <w:color w:val="000000"/>
              </w:rPr>
              <w:t>Nd</w:t>
            </w:r>
          </w:p>
        </w:tc>
        <w:tc>
          <w:tcPr>
            <w:tcW w:w="1720" w:type="dxa"/>
            <w:tcBorders>
              <w:top w:val="nil"/>
              <w:left w:val="nil"/>
              <w:bottom w:val="single" w:sz="4" w:space="0" w:color="auto"/>
              <w:right w:val="single" w:sz="4" w:space="0" w:color="auto"/>
            </w:tcBorders>
            <w:shd w:val="clear" w:color="auto" w:fill="auto"/>
            <w:noWrap/>
            <w:vAlign w:val="center"/>
            <w:hideMark/>
          </w:tcPr>
          <w:p w14:paraId="65AA56A9" w14:textId="77777777" w:rsidR="00A45F2C" w:rsidRDefault="00A45F2C">
            <w:pPr>
              <w:jc w:val="center"/>
              <w:rPr>
                <w:color w:val="000000"/>
              </w:rPr>
            </w:pPr>
            <w:r>
              <w:rPr>
                <w:color w:val="000000"/>
              </w:rPr>
              <w:t>4.33E-05</w:t>
            </w:r>
          </w:p>
        </w:tc>
        <w:tc>
          <w:tcPr>
            <w:tcW w:w="880" w:type="dxa"/>
            <w:tcBorders>
              <w:top w:val="nil"/>
              <w:left w:val="nil"/>
              <w:bottom w:val="single" w:sz="4" w:space="0" w:color="auto"/>
              <w:right w:val="single" w:sz="4" w:space="0" w:color="auto"/>
            </w:tcBorders>
            <w:shd w:val="clear" w:color="auto" w:fill="auto"/>
            <w:noWrap/>
            <w:vAlign w:val="center"/>
            <w:hideMark/>
          </w:tcPr>
          <w:p w14:paraId="52CB82E9"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646A059A" w14:textId="77777777" w:rsidR="00A45F2C" w:rsidRDefault="00A45F2C">
            <w:pPr>
              <w:jc w:val="center"/>
              <w:rPr>
                <w:color w:val="000000"/>
              </w:rPr>
            </w:pPr>
            <w:r>
              <w:rPr>
                <w:color w:val="000000"/>
              </w:rPr>
              <w:t>6.10E-03</w:t>
            </w:r>
          </w:p>
        </w:tc>
        <w:tc>
          <w:tcPr>
            <w:tcW w:w="1300" w:type="dxa"/>
            <w:tcBorders>
              <w:top w:val="nil"/>
              <w:left w:val="nil"/>
              <w:bottom w:val="single" w:sz="4" w:space="0" w:color="auto"/>
              <w:right w:val="single" w:sz="4" w:space="0" w:color="auto"/>
            </w:tcBorders>
            <w:shd w:val="clear" w:color="auto" w:fill="auto"/>
            <w:noWrap/>
            <w:vAlign w:val="center"/>
            <w:hideMark/>
          </w:tcPr>
          <w:p w14:paraId="5265C06F" w14:textId="77777777" w:rsidR="00A45F2C" w:rsidRDefault="00A45F2C">
            <w:pPr>
              <w:jc w:val="center"/>
              <w:rPr>
                <w:color w:val="000000"/>
              </w:rPr>
            </w:pPr>
            <w:r>
              <w:rPr>
                <w:color w:val="000000"/>
              </w:rPr>
              <w:t>8.44E-03</w:t>
            </w:r>
          </w:p>
        </w:tc>
        <w:tc>
          <w:tcPr>
            <w:tcW w:w="880" w:type="dxa"/>
            <w:tcBorders>
              <w:top w:val="nil"/>
              <w:left w:val="nil"/>
              <w:bottom w:val="single" w:sz="4" w:space="0" w:color="auto"/>
              <w:right w:val="single" w:sz="4" w:space="0" w:color="auto"/>
            </w:tcBorders>
            <w:shd w:val="clear" w:color="auto" w:fill="auto"/>
            <w:noWrap/>
            <w:vAlign w:val="center"/>
            <w:hideMark/>
          </w:tcPr>
          <w:p w14:paraId="249433D9" w14:textId="77777777" w:rsidR="00A45F2C" w:rsidRDefault="00A45F2C">
            <w:pPr>
              <w:jc w:val="center"/>
              <w:rPr>
                <w:color w:val="000000"/>
              </w:rPr>
            </w:pPr>
            <w:r>
              <w:rPr>
                <w:color w:val="000000"/>
              </w:rPr>
              <w:t>d, Cal.</w:t>
            </w:r>
          </w:p>
        </w:tc>
      </w:tr>
      <w:tr w:rsidR="00A45F2C" w14:paraId="725A6747"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370E1FC" w14:textId="77777777" w:rsidR="00A45F2C" w:rsidRDefault="00A45F2C">
            <w:pPr>
              <w:jc w:val="center"/>
              <w:rPr>
                <w:color w:val="000000"/>
              </w:rPr>
            </w:pPr>
            <w:r>
              <w:rPr>
                <w:color w:val="000000"/>
              </w:rPr>
              <w:t>Sm</w:t>
            </w:r>
          </w:p>
        </w:tc>
        <w:tc>
          <w:tcPr>
            <w:tcW w:w="1720" w:type="dxa"/>
            <w:tcBorders>
              <w:top w:val="nil"/>
              <w:left w:val="nil"/>
              <w:bottom w:val="single" w:sz="4" w:space="0" w:color="auto"/>
              <w:right w:val="single" w:sz="4" w:space="0" w:color="auto"/>
            </w:tcBorders>
            <w:shd w:val="clear" w:color="auto" w:fill="auto"/>
            <w:noWrap/>
            <w:vAlign w:val="center"/>
            <w:hideMark/>
          </w:tcPr>
          <w:p w14:paraId="7C9A71E9" w14:textId="77777777" w:rsidR="00A45F2C" w:rsidRDefault="00A45F2C">
            <w:pPr>
              <w:jc w:val="center"/>
              <w:rPr>
                <w:color w:val="000000"/>
              </w:rPr>
            </w:pPr>
            <w:r>
              <w:rPr>
                <w:color w:val="000000"/>
              </w:rPr>
              <w:t>1.17E-04</w:t>
            </w:r>
          </w:p>
        </w:tc>
        <w:tc>
          <w:tcPr>
            <w:tcW w:w="880" w:type="dxa"/>
            <w:tcBorders>
              <w:top w:val="nil"/>
              <w:left w:val="nil"/>
              <w:bottom w:val="single" w:sz="4" w:space="0" w:color="auto"/>
              <w:right w:val="single" w:sz="4" w:space="0" w:color="auto"/>
            </w:tcBorders>
            <w:shd w:val="clear" w:color="auto" w:fill="auto"/>
            <w:noWrap/>
            <w:vAlign w:val="center"/>
            <w:hideMark/>
          </w:tcPr>
          <w:p w14:paraId="4C10F107"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40FB7D46" w14:textId="77777777" w:rsidR="00A45F2C" w:rsidRDefault="00A45F2C">
            <w:pPr>
              <w:jc w:val="center"/>
              <w:rPr>
                <w:color w:val="000000"/>
              </w:rPr>
            </w:pPr>
            <w:r>
              <w:rPr>
                <w:color w:val="000000"/>
              </w:rPr>
              <w:t>1.52E-02</w:t>
            </w:r>
          </w:p>
        </w:tc>
        <w:tc>
          <w:tcPr>
            <w:tcW w:w="1300" w:type="dxa"/>
            <w:tcBorders>
              <w:top w:val="nil"/>
              <w:left w:val="nil"/>
              <w:bottom w:val="single" w:sz="4" w:space="0" w:color="auto"/>
              <w:right w:val="single" w:sz="4" w:space="0" w:color="auto"/>
            </w:tcBorders>
            <w:shd w:val="clear" w:color="auto" w:fill="auto"/>
            <w:noWrap/>
            <w:vAlign w:val="center"/>
            <w:hideMark/>
          </w:tcPr>
          <w:p w14:paraId="0B01B735" w14:textId="77777777" w:rsidR="00A45F2C" w:rsidRDefault="00A45F2C">
            <w:pPr>
              <w:jc w:val="center"/>
              <w:rPr>
                <w:color w:val="000000"/>
              </w:rPr>
            </w:pPr>
            <w:r>
              <w:rPr>
                <w:color w:val="000000"/>
              </w:rPr>
              <w:t>2.20E-02</w:t>
            </w:r>
          </w:p>
        </w:tc>
        <w:tc>
          <w:tcPr>
            <w:tcW w:w="880" w:type="dxa"/>
            <w:tcBorders>
              <w:top w:val="nil"/>
              <w:left w:val="nil"/>
              <w:bottom w:val="single" w:sz="4" w:space="0" w:color="auto"/>
              <w:right w:val="single" w:sz="4" w:space="0" w:color="auto"/>
            </w:tcBorders>
            <w:shd w:val="clear" w:color="auto" w:fill="auto"/>
            <w:noWrap/>
            <w:vAlign w:val="center"/>
            <w:hideMark/>
          </w:tcPr>
          <w:p w14:paraId="5BDE1863" w14:textId="77777777" w:rsidR="00A45F2C" w:rsidRDefault="00A45F2C">
            <w:pPr>
              <w:jc w:val="center"/>
              <w:rPr>
                <w:color w:val="000000"/>
              </w:rPr>
            </w:pPr>
            <w:r>
              <w:rPr>
                <w:color w:val="000000"/>
              </w:rPr>
              <w:t>d, Cal.</w:t>
            </w:r>
          </w:p>
        </w:tc>
      </w:tr>
      <w:tr w:rsidR="00A45F2C" w14:paraId="415BCBC0"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138FC6B" w14:textId="77777777" w:rsidR="00A45F2C" w:rsidRDefault="00A45F2C">
            <w:pPr>
              <w:jc w:val="center"/>
              <w:rPr>
                <w:color w:val="000000"/>
              </w:rPr>
            </w:pPr>
            <w:r>
              <w:rPr>
                <w:color w:val="000000"/>
              </w:rPr>
              <w:t>Eu</w:t>
            </w:r>
          </w:p>
        </w:tc>
        <w:tc>
          <w:tcPr>
            <w:tcW w:w="1720" w:type="dxa"/>
            <w:tcBorders>
              <w:top w:val="nil"/>
              <w:left w:val="nil"/>
              <w:bottom w:val="single" w:sz="4" w:space="0" w:color="auto"/>
              <w:right w:val="single" w:sz="4" w:space="0" w:color="auto"/>
            </w:tcBorders>
            <w:shd w:val="clear" w:color="auto" w:fill="auto"/>
            <w:noWrap/>
            <w:vAlign w:val="center"/>
            <w:hideMark/>
          </w:tcPr>
          <w:p w14:paraId="52383E75" w14:textId="77777777" w:rsidR="00A45F2C" w:rsidRDefault="00A45F2C">
            <w:pPr>
              <w:jc w:val="center"/>
              <w:rPr>
                <w:color w:val="000000"/>
              </w:rPr>
            </w:pPr>
            <w:r>
              <w:rPr>
                <w:color w:val="000000"/>
              </w:rPr>
              <w:t>1.14E-04</w:t>
            </w:r>
          </w:p>
        </w:tc>
        <w:tc>
          <w:tcPr>
            <w:tcW w:w="880" w:type="dxa"/>
            <w:tcBorders>
              <w:top w:val="nil"/>
              <w:left w:val="nil"/>
              <w:bottom w:val="single" w:sz="4" w:space="0" w:color="auto"/>
              <w:right w:val="single" w:sz="4" w:space="0" w:color="auto"/>
            </w:tcBorders>
            <w:shd w:val="clear" w:color="auto" w:fill="auto"/>
            <w:noWrap/>
            <w:vAlign w:val="center"/>
            <w:hideMark/>
          </w:tcPr>
          <w:p w14:paraId="52C0E113" w14:textId="77777777" w:rsidR="00A45F2C" w:rsidRDefault="00A45F2C">
            <w:pPr>
              <w:jc w:val="center"/>
              <w:rPr>
                <w:color w:val="000000"/>
              </w:rPr>
            </w:pPr>
            <w:r>
              <w:rPr>
                <w:color w:val="000000"/>
              </w:rPr>
              <w:t>Sup.</w:t>
            </w:r>
          </w:p>
        </w:tc>
        <w:tc>
          <w:tcPr>
            <w:tcW w:w="1300" w:type="dxa"/>
            <w:tcBorders>
              <w:top w:val="nil"/>
              <w:left w:val="nil"/>
              <w:bottom w:val="single" w:sz="4" w:space="0" w:color="auto"/>
              <w:right w:val="single" w:sz="4" w:space="0" w:color="auto"/>
            </w:tcBorders>
            <w:shd w:val="clear" w:color="auto" w:fill="auto"/>
            <w:noWrap/>
            <w:vAlign w:val="center"/>
            <w:hideMark/>
          </w:tcPr>
          <w:p w14:paraId="4C87762F" w14:textId="77777777" w:rsidR="00A45F2C" w:rsidRDefault="00A45F2C">
            <w:pPr>
              <w:jc w:val="center"/>
              <w:rPr>
                <w:color w:val="000000"/>
              </w:rPr>
            </w:pPr>
            <w:r>
              <w:rPr>
                <w:color w:val="000000"/>
              </w:rPr>
              <w:t>9.88E-03</w:t>
            </w:r>
          </w:p>
        </w:tc>
        <w:tc>
          <w:tcPr>
            <w:tcW w:w="1300" w:type="dxa"/>
            <w:tcBorders>
              <w:top w:val="nil"/>
              <w:left w:val="nil"/>
              <w:bottom w:val="single" w:sz="4" w:space="0" w:color="auto"/>
              <w:right w:val="single" w:sz="4" w:space="0" w:color="auto"/>
            </w:tcBorders>
            <w:shd w:val="clear" w:color="auto" w:fill="auto"/>
            <w:noWrap/>
            <w:vAlign w:val="center"/>
            <w:hideMark/>
          </w:tcPr>
          <w:p w14:paraId="03CDD294" w14:textId="77777777" w:rsidR="00A45F2C" w:rsidRDefault="00A45F2C">
            <w:pPr>
              <w:jc w:val="center"/>
              <w:rPr>
                <w:color w:val="000000"/>
              </w:rPr>
            </w:pPr>
            <w:r>
              <w:rPr>
                <w:color w:val="000000"/>
              </w:rPr>
              <w:t>7.06E-03</w:t>
            </w:r>
          </w:p>
        </w:tc>
        <w:tc>
          <w:tcPr>
            <w:tcW w:w="880" w:type="dxa"/>
            <w:tcBorders>
              <w:top w:val="nil"/>
              <w:left w:val="nil"/>
              <w:bottom w:val="single" w:sz="4" w:space="0" w:color="auto"/>
              <w:right w:val="single" w:sz="4" w:space="0" w:color="auto"/>
            </w:tcBorders>
            <w:shd w:val="clear" w:color="auto" w:fill="auto"/>
            <w:noWrap/>
            <w:vAlign w:val="center"/>
            <w:hideMark/>
          </w:tcPr>
          <w:p w14:paraId="0A1421A7" w14:textId="77777777" w:rsidR="00A45F2C" w:rsidRDefault="00A45F2C">
            <w:pPr>
              <w:jc w:val="center"/>
              <w:rPr>
                <w:color w:val="000000"/>
              </w:rPr>
            </w:pPr>
            <w:r>
              <w:rPr>
                <w:color w:val="000000"/>
              </w:rPr>
              <w:t>e, Cal.</w:t>
            </w:r>
          </w:p>
        </w:tc>
      </w:tr>
      <w:tr w:rsidR="00A45F2C" w14:paraId="01E113F3"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9A4548C" w14:textId="77777777" w:rsidR="00A45F2C" w:rsidRDefault="00A45F2C">
            <w:pPr>
              <w:jc w:val="center"/>
              <w:rPr>
                <w:color w:val="000000"/>
              </w:rPr>
            </w:pPr>
            <w:r>
              <w:rPr>
                <w:color w:val="000000"/>
              </w:rPr>
              <w:t>Gd</w:t>
            </w:r>
          </w:p>
        </w:tc>
        <w:tc>
          <w:tcPr>
            <w:tcW w:w="1720" w:type="dxa"/>
            <w:tcBorders>
              <w:top w:val="nil"/>
              <w:left w:val="nil"/>
              <w:bottom w:val="single" w:sz="4" w:space="0" w:color="auto"/>
              <w:right w:val="single" w:sz="4" w:space="0" w:color="auto"/>
            </w:tcBorders>
            <w:shd w:val="clear" w:color="auto" w:fill="auto"/>
            <w:noWrap/>
            <w:vAlign w:val="center"/>
            <w:hideMark/>
          </w:tcPr>
          <w:p w14:paraId="304C69DC" w14:textId="77777777" w:rsidR="00A45F2C" w:rsidRDefault="00A45F2C">
            <w:pPr>
              <w:jc w:val="center"/>
              <w:rPr>
                <w:color w:val="000000"/>
              </w:rPr>
            </w:pPr>
            <w:r>
              <w:rPr>
                <w:color w:val="000000"/>
              </w:rPr>
              <w:t>1.03E-03</w:t>
            </w:r>
          </w:p>
        </w:tc>
        <w:tc>
          <w:tcPr>
            <w:tcW w:w="880" w:type="dxa"/>
            <w:tcBorders>
              <w:top w:val="nil"/>
              <w:left w:val="nil"/>
              <w:bottom w:val="single" w:sz="4" w:space="0" w:color="auto"/>
              <w:right w:val="single" w:sz="4" w:space="0" w:color="auto"/>
            </w:tcBorders>
            <w:shd w:val="clear" w:color="auto" w:fill="auto"/>
            <w:noWrap/>
            <w:vAlign w:val="center"/>
            <w:hideMark/>
          </w:tcPr>
          <w:p w14:paraId="7E85DF14"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70CC1160" w14:textId="77777777" w:rsidR="00A45F2C" w:rsidRDefault="00A45F2C">
            <w:pPr>
              <w:jc w:val="center"/>
              <w:rPr>
                <w:color w:val="000000"/>
              </w:rPr>
            </w:pPr>
            <w:r>
              <w:rPr>
                <w:color w:val="000000"/>
              </w:rPr>
              <w:t>2.90E-02</w:t>
            </w:r>
          </w:p>
        </w:tc>
        <w:tc>
          <w:tcPr>
            <w:tcW w:w="1300" w:type="dxa"/>
            <w:tcBorders>
              <w:top w:val="nil"/>
              <w:left w:val="nil"/>
              <w:bottom w:val="single" w:sz="4" w:space="0" w:color="auto"/>
              <w:right w:val="single" w:sz="4" w:space="0" w:color="auto"/>
            </w:tcBorders>
            <w:shd w:val="clear" w:color="auto" w:fill="auto"/>
            <w:noWrap/>
            <w:vAlign w:val="center"/>
            <w:hideMark/>
          </w:tcPr>
          <w:p w14:paraId="5FC38DAE" w14:textId="77777777" w:rsidR="00A45F2C" w:rsidRDefault="00A45F2C">
            <w:pPr>
              <w:jc w:val="center"/>
              <w:rPr>
                <w:color w:val="000000"/>
              </w:rPr>
            </w:pPr>
            <w:r>
              <w:rPr>
                <w:color w:val="000000"/>
              </w:rPr>
              <w:t>4.36E-02</w:t>
            </w:r>
          </w:p>
        </w:tc>
        <w:tc>
          <w:tcPr>
            <w:tcW w:w="880" w:type="dxa"/>
            <w:tcBorders>
              <w:top w:val="nil"/>
              <w:left w:val="nil"/>
              <w:bottom w:val="single" w:sz="4" w:space="0" w:color="auto"/>
              <w:right w:val="single" w:sz="4" w:space="0" w:color="auto"/>
            </w:tcBorders>
            <w:shd w:val="clear" w:color="auto" w:fill="auto"/>
            <w:noWrap/>
            <w:vAlign w:val="center"/>
            <w:hideMark/>
          </w:tcPr>
          <w:p w14:paraId="6C1F2526" w14:textId="77777777" w:rsidR="00A45F2C" w:rsidRDefault="00A45F2C">
            <w:pPr>
              <w:jc w:val="center"/>
              <w:rPr>
                <w:color w:val="000000"/>
              </w:rPr>
            </w:pPr>
            <w:r>
              <w:rPr>
                <w:color w:val="000000"/>
              </w:rPr>
              <w:t>d, Cal.</w:t>
            </w:r>
          </w:p>
        </w:tc>
      </w:tr>
      <w:tr w:rsidR="00A45F2C" w14:paraId="36391582"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2C70F8B" w14:textId="77777777" w:rsidR="00A45F2C" w:rsidRDefault="00A45F2C">
            <w:pPr>
              <w:jc w:val="center"/>
              <w:rPr>
                <w:color w:val="000000"/>
              </w:rPr>
            </w:pPr>
            <w:r>
              <w:rPr>
                <w:color w:val="000000"/>
              </w:rPr>
              <w:t>Tb</w:t>
            </w:r>
          </w:p>
        </w:tc>
        <w:tc>
          <w:tcPr>
            <w:tcW w:w="1720" w:type="dxa"/>
            <w:tcBorders>
              <w:top w:val="nil"/>
              <w:left w:val="nil"/>
              <w:bottom w:val="single" w:sz="4" w:space="0" w:color="auto"/>
              <w:right w:val="single" w:sz="4" w:space="0" w:color="auto"/>
            </w:tcBorders>
            <w:shd w:val="clear" w:color="auto" w:fill="auto"/>
            <w:noWrap/>
            <w:vAlign w:val="center"/>
            <w:hideMark/>
          </w:tcPr>
          <w:p w14:paraId="19AC1F2B" w14:textId="77777777" w:rsidR="00A45F2C" w:rsidRDefault="00A45F2C">
            <w:pPr>
              <w:jc w:val="center"/>
              <w:rPr>
                <w:color w:val="000000"/>
              </w:rPr>
            </w:pPr>
            <w:r>
              <w:rPr>
                <w:color w:val="000000"/>
              </w:rPr>
              <w:t>2.51E-03</w:t>
            </w:r>
          </w:p>
        </w:tc>
        <w:tc>
          <w:tcPr>
            <w:tcW w:w="880" w:type="dxa"/>
            <w:tcBorders>
              <w:top w:val="nil"/>
              <w:left w:val="nil"/>
              <w:bottom w:val="single" w:sz="4" w:space="0" w:color="auto"/>
              <w:right w:val="single" w:sz="4" w:space="0" w:color="auto"/>
            </w:tcBorders>
            <w:shd w:val="clear" w:color="auto" w:fill="auto"/>
            <w:noWrap/>
            <w:vAlign w:val="center"/>
            <w:hideMark/>
          </w:tcPr>
          <w:p w14:paraId="7B346CAA"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2539B0DE" w14:textId="77777777" w:rsidR="00A45F2C" w:rsidRDefault="00A45F2C">
            <w:pPr>
              <w:jc w:val="center"/>
              <w:rPr>
                <w:color w:val="000000"/>
              </w:rPr>
            </w:pPr>
            <w:r>
              <w:rPr>
                <w:color w:val="000000"/>
              </w:rPr>
              <w:t>3.83E-02</w:t>
            </w:r>
          </w:p>
        </w:tc>
        <w:tc>
          <w:tcPr>
            <w:tcW w:w="1300" w:type="dxa"/>
            <w:tcBorders>
              <w:top w:val="nil"/>
              <w:left w:val="nil"/>
              <w:bottom w:val="single" w:sz="4" w:space="0" w:color="auto"/>
              <w:right w:val="single" w:sz="4" w:space="0" w:color="auto"/>
            </w:tcBorders>
            <w:shd w:val="clear" w:color="auto" w:fill="auto"/>
            <w:noWrap/>
            <w:vAlign w:val="center"/>
            <w:hideMark/>
          </w:tcPr>
          <w:p w14:paraId="3142F8E9" w14:textId="77777777" w:rsidR="00A45F2C" w:rsidRDefault="00A45F2C">
            <w:pPr>
              <w:jc w:val="center"/>
              <w:rPr>
                <w:color w:val="000000"/>
              </w:rPr>
            </w:pPr>
            <w:r>
              <w:rPr>
                <w:color w:val="000000"/>
              </w:rPr>
              <w:t>5.85E-02</w:t>
            </w:r>
          </w:p>
        </w:tc>
        <w:tc>
          <w:tcPr>
            <w:tcW w:w="880" w:type="dxa"/>
            <w:tcBorders>
              <w:top w:val="nil"/>
              <w:left w:val="nil"/>
              <w:bottom w:val="single" w:sz="4" w:space="0" w:color="auto"/>
              <w:right w:val="single" w:sz="4" w:space="0" w:color="auto"/>
            </w:tcBorders>
            <w:shd w:val="clear" w:color="auto" w:fill="auto"/>
            <w:noWrap/>
            <w:vAlign w:val="center"/>
            <w:hideMark/>
          </w:tcPr>
          <w:p w14:paraId="7153C853" w14:textId="77777777" w:rsidR="00A45F2C" w:rsidRDefault="00A45F2C">
            <w:pPr>
              <w:jc w:val="center"/>
              <w:rPr>
                <w:color w:val="000000"/>
              </w:rPr>
            </w:pPr>
            <w:r>
              <w:rPr>
                <w:color w:val="000000"/>
              </w:rPr>
              <w:t>d, Cal.</w:t>
            </w:r>
          </w:p>
        </w:tc>
      </w:tr>
      <w:tr w:rsidR="00A45F2C" w14:paraId="026456F4"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6FAF1B8" w14:textId="77777777" w:rsidR="00A45F2C" w:rsidRDefault="00A45F2C">
            <w:pPr>
              <w:jc w:val="center"/>
              <w:rPr>
                <w:color w:val="000000"/>
              </w:rPr>
            </w:pPr>
            <w:r>
              <w:rPr>
                <w:color w:val="000000"/>
              </w:rPr>
              <w:t>Dy</w:t>
            </w:r>
          </w:p>
        </w:tc>
        <w:tc>
          <w:tcPr>
            <w:tcW w:w="1720" w:type="dxa"/>
            <w:tcBorders>
              <w:top w:val="nil"/>
              <w:left w:val="nil"/>
              <w:bottom w:val="single" w:sz="4" w:space="0" w:color="auto"/>
              <w:right w:val="single" w:sz="4" w:space="0" w:color="auto"/>
            </w:tcBorders>
            <w:shd w:val="clear" w:color="auto" w:fill="auto"/>
            <w:noWrap/>
            <w:vAlign w:val="center"/>
            <w:hideMark/>
          </w:tcPr>
          <w:p w14:paraId="2418035A" w14:textId="77777777" w:rsidR="00A45F2C" w:rsidRDefault="00A45F2C">
            <w:pPr>
              <w:jc w:val="center"/>
              <w:rPr>
                <w:color w:val="000000"/>
              </w:rPr>
            </w:pPr>
            <w:r>
              <w:rPr>
                <w:color w:val="000000"/>
              </w:rPr>
              <w:t>4.60E-03</w:t>
            </w:r>
          </w:p>
        </w:tc>
        <w:tc>
          <w:tcPr>
            <w:tcW w:w="880" w:type="dxa"/>
            <w:tcBorders>
              <w:top w:val="nil"/>
              <w:left w:val="nil"/>
              <w:bottom w:val="single" w:sz="4" w:space="0" w:color="auto"/>
              <w:right w:val="single" w:sz="4" w:space="0" w:color="auto"/>
            </w:tcBorders>
            <w:shd w:val="clear" w:color="auto" w:fill="auto"/>
            <w:noWrap/>
            <w:vAlign w:val="center"/>
            <w:hideMark/>
          </w:tcPr>
          <w:p w14:paraId="48454F90"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260A262C" w14:textId="77777777" w:rsidR="00A45F2C" w:rsidRDefault="00A45F2C">
            <w:pPr>
              <w:jc w:val="center"/>
              <w:rPr>
                <w:color w:val="000000"/>
              </w:rPr>
            </w:pPr>
            <w:r>
              <w:rPr>
                <w:color w:val="000000"/>
              </w:rPr>
              <w:t>4.89E-02</w:t>
            </w:r>
          </w:p>
        </w:tc>
        <w:tc>
          <w:tcPr>
            <w:tcW w:w="1300" w:type="dxa"/>
            <w:tcBorders>
              <w:top w:val="nil"/>
              <w:left w:val="nil"/>
              <w:bottom w:val="single" w:sz="4" w:space="0" w:color="auto"/>
              <w:right w:val="single" w:sz="4" w:space="0" w:color="auto"/>
            </w:tcBorders>
            <w:shd w:val="clear" w:color="auto" w:fill="auto"/>
            <w:noWrap/>
            <w:vAlign w:val="center"/>
            <w:hideMark/>
          </w:tcPr>
          <w:p w14:paraId="6E673E2C" w14:textId="77777777" w:rsidR="00A45F2C" w:rsidRDefault="00A45F2C">
            <w:pPr>
              <w:jc w:val="center"/>
              <w:rPr>
                <w:color w:val="000000"/>
              </w:rPr>
            </w:pPr>
            <w:r>
              <w:rPr>
                <w:color w:val="000000"/>
              </w:rPr>
              <w:t>7.60E-02</w:t>
            </w:r>
          </w:p>
        </w:tc>
        <w:tc>
          <w:tcPr>
            <w:tcW w:w="880" w:type="dxa"/>
            <w:tcBorders>
              <w:top w:val="nil"/>
              <w:left w:val="nil"/>
              <w:bottom w:val="single" w:sz="4" w:space="0" w:color="auto"/>
              <w:right w:val="single" w:sz="4" w:space="0" w:color="auto"/>
            </w:tcBorders>
            <w:shd w:val="clear" w:color="auto" w:fill="auto"/>
            <w:noWrap/>
            <w:vAlign w:val="center"/>
            <w:hideMark/>
          </w:tcPr>
          <w:p w14:paraId="09C9162C" w14:textId="77777777" w:rsidR="00A45F2C" w:rsidRDefault="00A45F2C">
            <w:pPr>
              <w:jc w:val="center"/>
              <w:rPr>
                <w:color w:val="000000"/>
              </w:rPr>
            </w:pPr>
            <w:r>
              <w:rPr>
                <w:color w:val="000000"/>
              </w:rPr>
              <w:t>d, Cal.</w:t>
            </w:r>
          </w:p>
        </w:tc>
      </w:tr>
      <w:tr w:rsidR="00A45F2C" w14:paraId="59BD7A86"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E686E42" w14:textId="77777777" w:rsidR="00A45F2C" w:rsidRDefault="00A45F2C">
            <w:pPr>
              <w:jc w:val="center"/>
              <w:rPr>
                <w:color w:val="000000"/>
              </w:rPr>
            </w:pPr>
            <w:r>
              <w:rPr>
                <w:color w:val="000000"/>
              </w:rPr>
              <w:t>Y</w:t>
            </w:r>
          </w:p>
        </w:tc>
        <w:tc>
          <w:tcPr>
            <w:tcW w:w="1720" w:type="dxa"/>
            <w:tcBorders>
              <w:top w:val="nil"/>
              <w:left w:val="nil"/>
              <w:bottom w:val="single" w:sz="4" w:space="0" w:color="auto"/>
              <w:right w:val="single" w:sz="4" w:space="0" w:color="auto"/>
            </w:tcBorders>
            <w:shd w:val="clear" w:color="auto" w:fill="auto"/>
            <w:noWrap/>
            <w:vAlign w:val="center"/>
            <w:hideMark/>
          </w:tcPr>
          <w:p w14:paraId="675ACCD8" w14:textId="77777777" w:rsidR="00A45F2C" w:rsidRDefault="00A45F2C">
            <w:pPr>
              <w:jc w:val="center"/>
              <w:rPr>
                <w:color w:val="000000"/>
              </w:rPr>
            </w:pPr>
            <w:r>
              <w:rPr>
                <w:color w:val="000000"/>
              </w:rPr>
              <w:t>8.48E-03</w:t>
            </w:r>
          </w:p>
        </w:tc>
        <w:tc>
          <w:tcPr>
            <w:tcW w:w="880" w:type="dxa"/>
            <w:tcBorders>
              <w:top w:val="nil"/>
              <w:left w:val="nil"/>
              <w:bottom w:val="single" w:sz="4" w:space="0" w:color="auto"/>
              <w:right w:val="single" w:sz="4" w:space="0" w:color="auto"/>
            </w:tcBorders>
            <w:shd w:val="clear" w:color="auto" w:fill="auto"/>
            <w:noWrap/>
            <w:vAlign w:val="center"/>
            <w:hideMark/>
          </w:tcPr>
          <w:p w14:paraId="21715668"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140CA8C1" w14:textId="77777777" w:rsidR="00A45F2C" w:rsidRDefault="00A45F2C">
            <w:pPr>
              <w:jc w:val="center"/>
              <w:rPr>
                <w:color w:val="000000"/>
              </w:rPr>
            </w:pPr>
            <w:r>
              <w:rPr>
                <w:color w:val="000000"/>
              </w:rPr>
              <w:t>5.61E-02</w:t>
            </w:r>
          </w:p>
        </w:tc>
        <w:tc>
          <w:tcPr>
            <w:tcW w:w="1300" w:type="dxa"/>
            <w:tcBorders>
              <w:top w:val="nil"/>
              <w:left w:val="nil"/>
              <w:bottom w:val="single" w:sz="4" w:space="0" w:color="auto"/>
              <w:right w:val="single" w:sz="4" w:space="0" w:color="auto"/>
            </w:tcBorders>
            <w:shd w:val="clear" w:color="auto" w:fill="auto"/>
            <w:noWrap/>
            <w:vAlign w:val="center"/>
            <w:hideMark/>
          </w:tcPr>
          <w:p w14:paraId="44B2A6D7" w14:textId="77777777" w:rsidR="00A45F2C" w:rsidRDefault="00A45F2C">
            <w:pPr>
              <w:jc w:val="center"/>
              <w:rPr>
                <w:color w:val="000000"/>
              </w:rPr>
            </w:pPr>
            <w:r>
              <w:rPr>
                <w:color w:val="000000"/>
              </w:rPr>
              <w:t>8.79E-02</w:t>
            </w:r>
          </w:p>
        </w:tc>
        <w:tc>
          <w:tcPr>
            <w:tcW w:w="880" w:type="dxa"/>
            <w:tcBorders>
              <w:top w:val="nil"/>
              <w:left w:val="nil"/>
              <w:bottom w:val="single" w:sz="4" w:space="0" w:color="auto"/>
              <w:right w:val="single" w:sz="4" w:space="0" w:color="auto"/>
            </w:tcBorders>
            <w:shd w:val="clear" w:color="auto" w:fill="auto"/>
            <w:noWrap/>
            <w:vAlign w:val="center"/>
            <w:hideMark/>
          </w:tcPr>
          <w:p w14:paraId="14B75ED3" w14:textId="77777777" w:rsidR="00A45F2C" w:rsidRDefault="00A45F2C">
            <w:pPr>
              <w:jc w:val="center"/>
              <w:rPr>
                <w:color w:val="000000"/>
              </w:rPr>
            </w:pPr>
            <w:r>
              <w:rPr>
                <w:color w:val="000000"/>
              </w:rPr>
              <w:t>d, Cal.</w:t>
            </w:r>
          </w:p>
        </w:tc>
      </w:tr>
      <w:tr w:rsidR="00A45F2C" w14:paraId="6A02D4A6"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5125785" w14:textId="77777777" w:rsidR="00A45F2C" w:rsidRDefault="00A45F2C">
            <w:pPr>
              <w:jc w:val="center"/>
              <w:rPr>
                <w:color w:val="000000"/>
              </w:rPr>
            </w:pPr>
            <w:r>
              <w:rPr>
                <w:color w:val="000000"/>
              </w:rPr>
              <w:t>Ho</w:t>
            </w:r>
          </w:p>
        </w:tc>
        <w:tc>
          <w:tcPr>
            <w:tcW w:w="1720" w:type="dxa"/>
            <w:tcBorders>
              <w:top w:val="nil"/>
              <w:left w:val="nil"/>
              <w:bottom w:val="single" w:sz="4" w:space="0" w:color="auto"/>
              <w:right w:val="single" w:sz="4" w:space="0" w:color="auto"/>
            </w:tcBorders>
            <w:shd w:val="clear" w:color="auto" w:fill="auto"/>
            <w:noWrap/>
            <w:vAlign w:val="center"/>
            <w:hideMark/>
          </w:tcPr>
          <w:p w14:paraId="3BB47849" w14:textId="77777777" w:rsidR="00A45F2C" w:rsidRDefault="00A45F2C">
            <w:pPr>
              <w:jc w:val="center"/>
              <w:rPr>
                <w:color w:val="000000"/>
              </w:rPr>
            </w:pPr>
            <w:r>
              <w:rPr>
                <w:color w:val="000000"/>
              </w:rPr>
              <w:t>8.07E-03</w:t>
            </w:r>
          </w:p>
        </w:tc>
        <w:tc>
          <w:tcPr>
            <w:tcW w:w="880" w:type="dxa"/>
            <w:tcBorders>
              <w:top w:val="nil"/>
              <w:left w:val="nil"/>
              <w:bottom w:val="single" w:sz="4" w:space="0" w:color="auto"/>
              <w:right w:val="single" w:sz="4" w:space="0" w:color="auto"/>
            </w:tcBorders>
            <w:shd w:val="clear" w:color="auto" w:fill="auto"/>
            <w:noWrap/>
            <w:vAlign w:val="center"/>
            <w:hideMark/>
          </w:tcPr>
          <w:p w14:paraId="157762BC"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20139473" w14:textId="77777777" w:rsidR="00A45F2C" w:rsidRDefault="00A45F2C">
            <w:pPr>
              <w:jc w:val="center"/>
              <w:rPr>
                <w:color w:val="000000"/>
              </w:rPr>
            </w:pPr>
            <w:r>
              <w:rPr>
                <w:color w:val="000000"/>
              </w:rPr>
              <w:t>5.97E-02</w:t>
            </w:r>
          </w:p>
        </w:tc>
        <w:tc>
          <w:tcPr>
            <w:tcW w:w="1300" w:type="dxa"/>
            <w:tcBorders>
              <w:top w:val="nil"/>
              <w:left w:val="nil"/>
              <w:bottom w:val="single" w:sz="4" w:space="0" w:color="auto"/>
              <w:right w:val="single" w:sz="4" w:space="0" w:color="auto"/>
            </w:tcBorders>
            <w:shd w:val="clear" w:color="auto" w:fill="auto"/>
            <w:noWrap/>
            <w:vAlign w:val="center"/>
            <w:hideMark/>
          </w:tcPr>
          <w:p w14:paraId="2A32C490" w14:textId="77777777" w:rsidR="00A45F2C" w:rsidRDefault="00A45F2C">
            <w:pPr>
              <w:jc w:val="center"/>
              <w:rPr>
                <w:color w:val="000000"/>
              </w:rPr>
            </w:pPr>
            <w:r>
              <w:rPr>
                <w:color w:val="000000"/>
              </w:rPr>
              <w:t>9.41E-02</w:t>
            </w:r>
          </w:p>
        </w:tc>
        <w:tc>
          <w:tcPr>
            <w:tcW w:w="880" w:type="dxa"/>
            <w:tcBorders>
              <w:top w:val="nil"/>
              <w:left w:val="nil"/>
              <w:bottom w:val="single" w:sz="4" w:space="0" w:color="auto"/>
              <w:right w:val="single" w:sz="4" w:space="0" w:color="auto"/>
            </w:tcBorders>
            <w:shd w:val="clear" w:color="auto" w:fill="auto"/>
            <w:noWrap/>
            <w:vAlign w:val="center"/>
            <w:hideMark/>
          </w:tcPr>
          <w:p w14:paraId="78AB9868" w14:textId="77777777" w:rsidR="00A45F2C" w:rsidRDefault="00A45F2C">
            <w:pPr>
              <w:jc w:val="center"/>
              <w:rPr>
                <w:color w:val="000000"/>
              </w:rPr>
            </w:pPr>
            <w:r>
              <w:rPr>
                <w:color w:val="000000"/>
              </w:rPr>
              <w:t>d, Cal.</w:t>
            </w:r>
          </w:p>
        </w:tc>
      </w:tr>
      <w:tr w:rsidR="00A45F2C" w14:paraId="5C31D51A"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9A4E2B6" w14:textId="77777777" w:rsidR="00A45F2C" w:rsidRDefault="00A45F2C">
            <w:pPr>
              <w:jc w:val="center"/>
              <w:rPr>
                <w:color w:val="000000"/>
              </w:rPr>
            </w:pPr>
            <w:r>
              <w:rPr>
                <w:color w:val="000000"/>
              </w:rPr>
              <w:t>Er</w:t>
            </w:r>
          </w:p>
        </w:tc>
        <w:tc>
          <w:tcPr>
            <w:tcW w:w="1720" w:type="dxa"/>
            <w:tcBorders>
              <w:top w:val="nil"/>
              <w:left w:val="nil"/>
              <w:bottom w:val="single" w:sz="4" w:space="0" w:color="auto"/>
              <w:right w:val="single" w:sz="4" w:space="0" w:color="auto"/>
            </w:tcBorders>
            <w:shd w:val="clear" w:color="auto" w:fill="auto"/>
            <w:noWrap/>
            <w:vAlign w:val="center"/>
            <w:hideMark/>
          </w:tcPr>
          <w:p w14:paraId="159A2401" w14:textId="77777777" w:rsidR="00A45F2C" w:rsidRDefault="00A45F2C">
            <w:pPr>
              <w:jc w:val="center"/>
              <w:rPr>
                <w:color w:val="000000"/>
              </w:rPr>
            </w:pPr>
            <w:r>
              <w:rPr>
                <w:color w:val="000000"/>
              </w:rPr>
              <w:t>1.36E-02</w:t>
            </w:r>
          </w:p>
        </w:tc>
        <w:tc>
          <w:tcPr>
            <w:tcW w:w="880" w:type="dxa"/>
            <w:tcBorders>
              <w:top w:val="nil"/>
              <w:left w:val="nil"/>
              <w:bottom w:val="single" w:sz="4" w:space="0" w:color="auto"/>
              <w:right w:val="single" w:sz="4" w:space="0" w:color="auto"/>
            </w:tcBorders>
            <w:shd w:val="clear" w:color="auto" w:fill="auto"/>
            <w:noWrap/>
            <w:vAlign w:val="center"/>
            <w:hideMark/>
          </w:tcPr>
          <w:p w14:paraId="55640391"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78E9BD45" w14:textId="77777777" w:rsidR="00A45F2C" w:rsidRDefault="00A45F2C">
            <w:pPr>
              <w:jc w:val="center"/>
              <w:rPr>
                <w:color w:val="000000"/>
              </w:rPr>
            </w:pPr>
            <w:r>
              <w:rPr>
                <w:color w:val="000000"/>
              </w:rPr>
              <w:t>7.02E-02</w:t>
            </w:r>
          </w:p>
        </w:tc>
        <w:tc>
          <w:tcPr>
            <w:tcW w:w="1300" w:type="dxa"/>
            <w:tcBorders>
              <w:top w:val="nil"/>
              <w:left w:val="nil"/>
              <w:bottom w:val="single" w:sz="4" w:space="0" w:color="auto"/>
              <w:right w:val="single" w:sz="4" w:space="0" w:color="auto"/>
            </w:tcBorders>
            <w:shd w:val="clear" w:color="auto" w:fill="auto"/>
            <w:noWrap/>
            <w:vAlign w:val="center"/>
            <w:hideMark/>
          </w:tcPr>
          <w:p w14:paraId="3A0EF9FA" w14:textId="77777777" w:rsidR="00A45F2C" w:rsidRDefault="00A45F2C">
            <w:pPr>
              <w:jc w:val="center"/>
              <w:rPr>
                <w:color w:val="000000"/>
              </w:rPr>
            </w:pPr>
            <w:r>
              <w:rPr>
                <w:color w:val="000000"/>
              </w:rPr>
              <w:t>1.12E-01</w:t>
            </w:r>
          </w:p>
        </w:tc>
        <w:tc>
          <w:tcPr>
            <w:tcW w:w="880" w:type="dxa"/>
            <w:tcBorders>
              <w:top w:val="nil"/>
              <w:left w:val="nil"/>
              <w:bottom w:val="single" w:sz="4" w:space="0" w:color="auto"/>
              <w:right w:val="single" w:sz="4" w:space="0" w:color="auto"/>
            </w:tcBorders>
            <w:shd w:val="clear" w:color="auto" w:fill="auto"/>
            <w:noWrap/>
            <w:vAlign w:val="center"/>
            <w:hideMark/>
          </w:tcPr>
          <w:p w14:paraId="6B98B3AD" w14:textId="77777777" w:rsidR="00A45F2C" w:rsidRDefault="00A45F2C">
            <w:pPr>
              <w:jc w:val="center"/>
              <w:rPr>
                <w:color w:val="000000"/>
              </w:rPr>
            </w:pPr>
            <w:r>
              <w:rPr>
                <w:color w:val="000000"/>
              </w:rPr>
              <w:t>d, Cal.</w:t>
            </w:r>
          </w:p>
        </w:tc>
      </w:tr>
      <w:tr w:rsidR="00A45F2C" w14:paraId="37873F0F"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EC93DF4" w14:textId="77777777" w:rsidR="00A45F2C" w:rsidRDefault="00A45F2C">
            <w:pPr>
              <w:jc w:val="center"/>
              <w:rPr>
                <w:color w:val="000000"/>
              </w:rPr>
            </w:pPr>
            <w:r>
              <w:rPr>
                <w:color w:val="000000"/>
              </w:rPr>
              <w:t>Tm</w:t>
            </w:r>
          </w:p>
        </w:tc>
        <w:tc>
          <w:tcPr>
            <w:tcW w:w="1720" w:type="dxa"/>
            <w:tcBorders>
              <w:top w:val="nil"/>
              <w:left w:val="nil"/>
              <w:bottom w:val="single" w:sz="4" w:space="0" w:color="auto"/>
              <w:right w:val="single" w:sz="4" w:space="0" w:color="auto"/>
            </w:tcBorders>
            <w:shd w:val="clear" w:color="auto" w:fill="auto"/>
            <w:noWrap/>
            <w:vAlign w:val="center"/>
            <w:hideMark/>
          </w:tcPr>
          <w:p w14:paraId="095AAEFB" w14:textId="77777777" w:rsidR="00A45F2C" w:rsidRDefault="00A45F2C">
            <w:pPr>
              <w:jc w:val="center"/>
              <w:rPr>
                <w:color w:val="000000"/>
              </w:rPr>
            </w:pPr>
            <w:r>
              <w:rPr>
                <w:color w:val="000000"/>
              </w:rPr>
              <w:t>2.12E-02</w:t>
            </w:r>
          </w:p>
        </w:tc>
        <w:tc>
          <w:tcPr>
            <w:tcW w:w="880" w:type="dxa"/>
            <w:tcBorders>
              <w:top w:val="nil"/>
              <w:left w:val="nil"/>
              <w:bottom w:val="single" w:sz="4" w:space="0" w:color="auto"/>
              <w:right w:val="single" w:sz="4" w:space="0" w:color="auto"/>
            </w:tcBorders>
            <w:shd w:val="clear" w:color="auto" w:fill="auto"/>
            <w:noWrap/>
            <w:vAlign w:val="center"/>
            <w:hideMark/>
          </w:tcPr>
          <w:p w14:paraId="76F7980A"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1390B511" w14:textId="77777777" w:rsidR="00A45F2C" w:rsidRDefault="00A45F2C">
            <w:pPr>
              <w:jc w:val="center"/>
              <w:rPr>
                <w:color w:val="000000"/>
              </w:rPr>
            </w:pPr>
            <w:r>
              <w:rPr>
                <w:color w:val="000000"/>
              </w:rPr>
              <w:t>7.98E-02</w:t>
            </w:r>
          </w:p>
        </w:tc>
        <w:tc>
          <w:tcPr>
            <w:tcW w:w="1300" w:type="dxa"/>
            <w:tcBorders>
              <w:top w:val="nil"/>
              <w:left w:val="nil"/>
              <w:bottom w:val="single" w:sz="4" w:space="0" w:color="auto"/>
              <w:right w:val="single" w:sz="4" w:space="0" w:color="auto"/>
            </w:tcBorders>
            <w:shd w:val="clear" w:color="auto" w:fill="auto"/>
            <w:noWrap/>
            <w:vAlign w:val="center"/>
            <w:hideMark/>
          </w:tcPr>
          <w:p w14:paraId="317F035A" w14:textId="77777777" w:rsidR="00A45F2C" w:rsidRDefault="00A45F2C">
            <w:pPr>
              <w:jc w:val="center"/>
              <w:rPr>
                <w:color w:val="000000"/>
              </w:rPr>
            </w:pPr>
            <w:r>
              <w:rPr>
                <w:color w:val="000000"/>
              </w:rPr>
              <w:t>1.29E-01</w:t>
            </w:r>
          </w:p>
        </w:tc>
        <w:tc>
          <w:tcPr>
            <w:tcW w:w="880" w:type="dxa"/>
            <w:tcBorders>
              <w:top w:val="nil"/>
              <w:left w:val="nil"/>
              <w:bottom w:val="single" w:sz="4" w:space="0" w:color="auto"/>
              <w:right w:val="single" w:sz="4" w:space="0" w:color="auto"/>
            </w:tcBorders>
            <w:shd w:val="clear" w:color="auto" w:fill="auto"/>
            <w:noWrap/>
            <w:vAlign w:val="center"/>
            <w:hideMark/>
          </w:tcPr>
          <w:p w14:paraId="70B053AE" w14:textId="77777777" w:rsidR="00A45F2C" w:rsidRDefault="00A45F2C">
            <w:pPr>
              <w:jc w:val="center"/>
              <w:rPr>
                <w:color w:val="000000"/>
              </w:rPr>
            </w:pPr>
            <w:r>
              <w:rPr>
                <w:color w:val="000000"/>
              </w:rPr>
              <w:t>d, Cal.</w:t>
            </w:r>
          </w:p>
        </w:tc>
      </w:tr>
      <w:tr w:rsidR="00A45F2C" w14:paraId="7AF22F5B"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A8AFE3C" w14:textId="77777777" w:rsidR="00A45F2C" w:rsidRDefault="00A45F2C">
            <w:pPr>
              <w:jc w:val="center"/>
              <w:rPr>
                <w:color w:val="000000"/>
              </w:rPr>
            </w:pPr>
            <w:r>
              <w:rPr>
                <w:color w:val="000000"/>
              </w:rPr>
              <w:t>Yb</w:t>
            </w:r>
          </w:p>
        </w:tc>
        <w:tc>
          <w:tcPr>
            <w:tcW w:w="1720" w:type="dxa"/>
            <w:tcBorders>
              <w:top w:val="nil"/>
              <w:left w:val="nil"/>
              <w:bottom w:val="single" w:sz="4" w:space="0" w:color="auto"/>
              <w:right w:val="single" w:sz="4" w:space="0" w:color="auto"/>
            </w:tcBorders>
            <w:shd w:val="clear" w:color="auto" w:fill="auto"/>
            <w:noWrap/>
            <w:vAlign w:val="center"/>
            <w:hideMark/>
          </w:tcPr>
          <w:p w14:paraId="21483132" w14:textId="77777777" w:rsidR="00A45F2C" w:rsidRDefault="00A45F2C">
            <w:pPr>
              <w:jc w:val="center"/>
              <w:rPr>
                <w:color w:val="000000"/>
              </w:rPr>
            </w:pPr>
            <w:r>
              <w:rPr>
                <w:color w:val="000000"/>
              </w:rPr>
              <w:t>3.44E-02</w:t>
            </w:r>
          </w:p>
        </w:tc>
        <w:tc>
          <w:tcPr>
            <w:tcW w:w="880" w:type="dxa"/>
            <w:tcBorders>
              <w:top w:val="nil"/>
              <w:left w:val="nil"/>
              <w:bottom w:val="single" w:sz="4" w:space="0" w:color="auto"/>
              <w:right w:val="single" w:sz="4" w:space="0" w:color="auto"/>
            </w:tcBorders>
            <w:shd w:val="clear" w:color="auto" w:fill="auto"/>
            <w:noWrap/>
            <w:vAlign w:val="center"/>
            <w:hideMark/>
          </w:tcPr>
          <w:p w14:paraId="69940621"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6EBC1E51" w14:textId="77777777" w:rsidR="00A45F2C" w:rsidRDefault="00A45F2C">
            <w:pPr>
              <w:jc w:val="center"/>
              <w:rPr>
                <w:color w:val="000000"/>
              </w:rPr>
            </w:pPr>
            <w:r>
              <w:rPr>
                <w:color w:val="000000"/>
              </w:rPr>
              <w:t>8.83E-02</w:t>
            </w:r>
          </w:p>
        </w:tc>
        <w:tc>
          <w:tcPr>
            <w:tcW w:w="1300" w:type="dxa"/>
            <w:tcBorders>
              <w:top w:val="nil"/>
              <w:left w:val="nil"/>
              <w:bottom w:val="single" w:sz="4" w:space="0" w:color="auto"/>
              <w:right w:val="single" w:sz="4" w:space="0" w:color="auto"/>
            </w:tcBorders>
            <w:shd w:val="clear" w:color="auto" w:fill="auto"/>
            <w:noWrap/>
            <w:vAlign w:val="center"/>
            <w:hideMark/>
          </w:tcPr>
          <w:p w14:paraId="41E3ECB5" w14:textId="77777777" w:rsidR="00A45F2C" w:rsidRDefault="00A45F2C">
            <w:pPr>
              <w:jc w:val="center"/>
              <w:rPr>
                <w:color w:val="000000"/>
              </w:rPr>
            </w:pPr>
            <w:r>
              <w:rPr>
                <w:color w:val="000000"/>
              </w:rPr>
              <w:t>1.44E-01</w:t>
            </w:r>
          </w:p>
        </w:tc>
        <w:tc>
          <w:tcPr>
            <w:tcW w:w="880" w:type="dxa"/>
            <w:tcBorders>
              <w:top w:val="nil"/>
              <w:left w:val="nil"/>
              <w:bottom w:val="single" w:sz="4" w:space="0" w:color="auto"/>
              <w:right w:val="single" w:sz="4" w:space="0" w:color="auto"/>
            </w:tcBorders>
            <w:shd w:val="clear" w:color="auto" w:fill="auto"/>
            <w:noWrap/>
            <w:vAlign w:val="center"/>
            <w:hideMark/>
          </w:tcPr>
          <w:p w14:paraId="5FFCA927" w14:textId="77777777" w:rsidR="00A45F2C" w:rsidRDefault="00A45F2C">
            <w:pPr>
              <w:jc w:val="center"/>
              <w:rPr>
                <w:color w:val="000000"/>
              </w:rPr>
            </w:pPr>
            <w:r>
              <w:rPr>
                <w:color w:val="000000"/>
              </w:rPr>
              <w:t>d, Cal.</w:t>
            </w:r>
          </w:p>
        </w:tc>
      </w:tr>
      <w:tr w:rsidR="00A45F2C" w14:paraId="0B32797D"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80FAF5E" w14:textId="77777777" w:rsidR="00A45F2C" w:rsidRDefault="00A45F2C">
            <w:pPr>
              <w:jc w:val="center"/>
              <w:rPr>
                <w:color w:val="000000"/>
              </w:rPr>
            </w:pPr>
            <w:r>
              <w:rPr>
                <w:color w:val="000000"/>
              </w:rPr>
              <w:t>Lu</w:t>
            </w:r>
          </w:p>
        </w:tc>
        <w:tc>
          <w:tcPr>
            <w:tcW w:w="1720" w:type="dxa"/>
            <w:tcBorders>
              <w:top w:val="nil"/>
              <w:left w:val="nil"/>
              <w:bottom w:val="single" w:sz="4" w:space="0" w:color="auto"/>
              <w:right w:val="single" w:sz="4" w:space="0" w:color="auto"/>
            </w:tcBorders>
            <w:shd w:val="clear" w:color="auto" w:fill="auto"/>
            <w:noWrap/>
            <w:vAlign w:val="center"/>
            <w:hideMark/>
          </w:tcPr>
          <w:p w14:paraId="4CC785FC" w14:textId="77777777" w:rsidR="00A45F2C" w:rsidRDefault="00A45F2C">
            <w:pPr>
              <w:jc w:val="center"/>
              <w:rPr>
                <w:color w:val="000000"/>
              </w:rPr>
            </w:pPr>
            <w:r>
              <w:rPr>
                <w:color w:val="000000"/>
              </w:rPr>
              <w:t>4.47E-02</w:t>
            </w:r>
          </w:p>
        </w:tc>
        <w:tc>
          <w:tcPr>
            <w:tcW w:w="880" w:type="dxa"/>
            <w:tcBorders>
              <w:top w:val="nil"/>
              <w:left w:val="nil"/>
              <w:bottom w:val="single" w:sz="4" w:space="0" w:color="auto"/>
              <w:right w:val="single" w:sz="4" w:space="0" w:color="auto"/>
            </w:tcBorders>
            <w:shd w:val="clear" w:color="auto" w:fill="auto"/>
            <w:noWrap/>
            <w:vAlign w:val="center"/>
            <w:hideMark/>
          </w:tcPr>
          <w:p w14:paraId="1D6BF069" w14:textId="77777777" w:rsidR="00A45F2C" w:rsidRDefault="00A45F2C">
            <w:pPr>
              <w:jc w:val="center"/>
              <w:rPr>
                <w:color w:val="000000"/>
              </w:rPr>
            </w:pPr>
            <w:r>
              <w:rPr>
                <w:color w:val="000000"/>
              </w:rPr>
              <w:t>b, Cal.</w:t>
            </w:r>
          </w:p>
        </w:tc>
        <w:tc>
          <w:tcPr>
            <w:tcW w:w="1300" w:type="dxa"/>
            <w:tcBorders>
              <w:top w:val="nil"/>
              <w:left w:val="nil"/>
              <w:bottom w:val="single" w:sz="4" w:space="0" w:color="auto"/>
              <w:right w:val="single" w:sz="4" w:space="0" w:color="auto"/>
            </w:tcBorders>
            <w:shd w:val="clear" w:color="auto" w:fill="auto"/>
            <w:noWrap/>
            <w:vAlign w:val="center"/>
            <w:hideMark/>
          </w:tcPr>
          <w:p w14:paraId="50F2BA25" w14:textId="77777777" w:rsidR="00A45F2C" w:rsidRDefault="00A45F2C">
            <w:pPr>
              <w:jc w:val="center"/>
              <w:rPr>
                <w:color w:val="000000"/>
              </w:rPr>
            </w:pPr>
            <w:r>
              <w:rPr>
                <w:color w:val="000000"/>
              </w:rPr>
              <w:t>9.56E-02</w:t>
            </w:r>
          </w:p>
        </w:tc>
        <w:tc>
          <w:tcPr>
            <w:tcW w:w="1300" w:type="dxa"/>
            <w:tcBorders>
              <w:top w:val="nil"/>
              <w:left w:val="nil"/>
              <w:bottom w:val="single" w:sz="4" w:space="0" w:color="auto"/>
              <w:right w:val="single" w:sz="4" w:space="0" w:color="auto"/>
            </w:tcBorders>
            <w:shd w:val="clear" w:color="auto" w:fill="auto"/>
            <w:noWrap/>
            <w:vAlign w:val="center"/>
            <w:hideMark/>
          </w:tcPr>
          <w:p w14:paraId="0ADBFAA8" w14:textId="77777777" w:rsidR="00A45F2C" w:rsidRDefault="00A45F2C">
            <w:pPr>
              <w:jc w:val="center"/>
              <w:rPr>
                <w:color w:val="000000"/>
              </w:rPr>
            </w:pPr>
            <w:r>
              <w:rPr>
                <w:color w:val="000000"/>
              </w:rPr>
              <w:t>1.57E-01</w:t>
            </w:r>
          </w:p>
        </w:tc>
        <w:tc>
          <w:tcPr>
            <w:tcW w:w="880" w:type="dxa"/>
            <w:tcBorders>
              <w:top w:val="nil"/>
              <w:left w:val="nil"/>
              <w:bottom w:val="single" w:sz="4" w:space="0" w:color="auto"/>
              <w:right w:val="single" w:sz="4" w:space="0" w:color="auto"/>
            </w:tcBorders>
            <w:shd w:val="clear" w:color="auto" w:fill="auto"/>
            <w:noWrap/>
            <w:vAlign w:val="center"/>
            <w:hideMark/>
          </w:tcPr>
          <w:p w14:paraId="342BB102" w14:textId="77777777" w:rsidR="00A45F2C" w:rsidRDefault="00A45F2C">
            <w:pPr>
              <w:jc w:val="center"/>
              <w:rPr>
                <w:color w:val="000000"/>
              </w:rPr>
            </w:pPr>
            <w:r>
              <w:rPr>
                <w:color w:val="000000"/>
              </w:rPr>
              <w:t>d, Cal.</w:t>
            </w:r>
          </w:p>
        </w:tc>
      </w:tr>
      <w:tr w:rsidR="00A45F2C" w14:paraId="0565D440"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A6B6922" w14:textId="77777777" w:rsidR="00A45F2C" w:rsidRDefault="00A45F2C">
            <w:pPr>
              <w:jc w:val="center"/>
              <w:rPr>
                <w:color w:val="000000"/>
              </w:rPr>
            </w:pPr>
            <w:r>
              <w:rPr>
                <w:color w:val="000000"/>
              </w:rPr>
              <w:t>Hf</w:t>
            </w:r>
          </w:p>
        </w:tc>
        <w:tc>
          <w:tcPr>
            <w:tcW w:w="1720" w:type="dxa"/>
            <w:tcBorders>
              <w:top w:val="nil"/>
              <w:left w:val="nil"/>
              <w:bottom w:val="single" w:sz="4" w:space="0" w:color="auto"/>
              <w:right w:val="single" w:sz="4" w:space="0" w:color="auto"/>
            </w:tcBorders>
            <w:shd w:val="clear" w:color="auto" w:fill="auto"/>
            <w:noWrap/>
            <w:vAlign w:val="center"/>
            <w:hideMark/>
          </w:tcPr>
          <w:p w14:paraId="75AD0415" w14:textId="77777777" w:rsidR="00A45F2C" w:rsidRDefault="00A45F2C">
            <w:pPr>
              <w:jc w:val="center"/>
              <w:rPr>
                <w:color w:val="000000"/>
              </w:rPr>
            </w:pPr>
            <w:r>
              <w:rPr>
                <w:color w:val="000000"/>
              </w:rPr>
              <w:t>4.00E-03</w:t>
            </w:r>
          </w:p>
        </w:tc>
        <w:tc>
          <w:tcPr>
            <w:tcW w:w="880" w:type="dxa"/>
            <w:tcBorders>
              <w:top w:val="nil"/>
              <w:left w:val="nil"/>
              <w:bottom w:val="single" w:sz="4" w:space="0" w:color="auto"/>
              <w:right w:val="single" w:sz="4" w:space="0" w:color="auto"/>
            </w:tcBorders>
            <w:shd w:val="clear" w:color="auto" w:fill="auto"/>
            <w:noWrap/>
            <w:vAlign w:val="center"/>
            <w:hideMark/>
          </w:tcPr>
          <w:p w14:paraId="09828574" w14:textId="77777777" w:rsidR="00A45F2C" w:rsidRDefault="00A45F2C">
            <w:pPr>
              <w:jc w:val="center"/>
              <w:rPr>
                <w:color w:val="000000"/>
              </w:rPr>
            </w:pPr>
            <w:r>
              <w:rPr>
                <w:color w:val="000000"/>
              </w:rPr>
              <w:t>c</w:t>
            </w:r>
          </w:p>
        </w:tc>
        <w:tc>
          <w:tcPr>
            <w:tcW w:w="1300" w:type="dxa"/>
            <w:tcBorders>
              <w:top w:val="nil"/>
              <w:left w:val="nil"/>
              <w:bottom w:val="single" w:sz="4" w:space="0" w:color="auto"/>
              <w:right w:val="single" w:sz="4" w:space="0" w:color="auto"/>
            </w:tcBorders>
            <w:shd w:val="clear" w:color="auto" w:fill="auto"/>
            <w:noWrap/>
            <w:vAlign w:val="center"/>
            <w:hideMark/>
          </w:tcPr>
          <w:p w14:paraId="6F46754D" w14:textId="77777777" w:rsidR="00A45F2C" w:rsidRDefault="00A45F2C">
            <w:pPr>
              <w:jc w:val="center"/>
              <w:rPr>
                <w:color w:val="000000"/>
              </w:rPr>
            </w:pPr>
            <w:r>
              <w:rPr>
                <w:color w:val="000000"/>
              </w:rPr>
              <w:t>3.14E-02</w:t>
            </w:r>
          </w:p>
        </w:tc>
        <w:tc>
          <w:tcPr>
            <w:tcW w:w="1300" w:type="dxa"/>
            <w:tcBorders>
              <w:top w:val="nil"/>
              <w:left w:val="nil"/>
              <w:bottom w:val="single" w:sz="4" w:space="0" w:color="auto"/>
              <w:right w:val="single" w:sz="4" w:space="0" w:color="auto"/>
            </w:tcBorders>
            <w:shd w:val="clear" w:color="auto" w:fill="auto"/>
            <w:noWrap/>
            <w:vAlign w:val="center"/>
            <w:hideMark/>
          </w:tcPr>
          <w:p w14:paraId="7D0EF3B8" w14:textId="77777777" w:rsidR="00A45F2C" w:rsidRDefault="00A45F2C">
            <w:pPr>
              <w:jc w:val="center"/>
              <w:rPr>
                <w:color w:val="000000"/>
              </w:rPr>
            </w:pPr>
            <w:r>
              <w:rPr>
                <w:color w:val="000000"/>
              </w:rPr>
              <w:t>4.90E-02</w:t>
            </w:r>
          </w:p>
        </w:tc>
        <w:tc>
          <w:tcPr>
            <w:tcW w:w="880" w:type="dxa"/>
            <w:tcBorders>
              <w:top w:val="nil"/>
              <w:left w:val="nil"/>
              <w:bottom w:val="single" w:sz="4" w:space="0" w:color="auto"/>
              <w:right w:val="single" w:sz="4" w:space="0" w:color="auto"/>
            </w:tcBorders>
            <w:shd w:val="clear" w:color="auto" w:fill="auto"/>
            <w:noWrap/>
            <w:vAlign w:val="center"/>
            <w:hideMark/>
          </w:tcPr>
          <w:p w14:paraId="41A8D7A6" w14:textId="77777777" w:rsidR="00A45F2C" w:rsidRDefault="00A45F2C">
            <w:pPr>
              <w:jc w:val="center"/>
              <w:rPr>
                <w:color w:val="000000"/>
              </w:rPr>
            </w:pPr>
            <w:r>
              <w:rPr>
                <w:color w:val="000000"/>
              </w:rPr>
              <w:t>d, Cal.</w:t>
            </w:r>
          </w:p>
        </w:tc>
      </w:tr>
      <w:tr w:rsidR="00A45F2C" w14:paraId="32D4F95D"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E8C3FAB" w14:textId="77777777" w:rsidR="00A45F2C" w:rsidRDefault="00A45F2C">
            <w:pPr>
              <w:jc w:val="center"/>
              <w:rPr>
                <w:color w:val="000000"/>
              </w:rPr>
            </w:pPr>
            <w:r>
              <w:rPr>
                <w:color w:val="000000"/>
              </w:rPr>
              <w:t>Stage</w:t>
            </w:r>
          </w:p>
        </w:tc>
        <w:tc>
          <w:tcPr>
            <w:tcW w:w="1720" w:type="dxa"/>
            <w:tcBorders>
              <w:top w:val="nil"/>
              <w:left w:val="nil"/>
              <w:bottom w:val="single" w:sz="4" w:space="0" w:color="auto"/>
              <w:right w:val="single" w:sz="4" w:space="0" w:color="auto"/>
            </w:tcBorders>
            <w:shd w:val="clear" w:color="auto" w:fill="auto"/>
            <w:noWrap/>
            <w:vAlign w:val="center"/>
            <w:hideMark/>
          </w:tcPr>
          <w:p w14:paraId="5573413C" w14:textId="77777777" w:rsidR="00A45F2C" w:rsidRDefault="00A45F2C">
            <w:pPr>
              <w:jc w:val="center"/>
              <w:rPr>
                <w:color w:val="000000"/>
              </w:rPr>
            </w:pPr>
            <w:r>
              <w:rPr>
                <w:color w:val="000000"/>
              </w:rPr>
              <w:t>6</w:t>
            </w:r>
          </w:p>
        </w:tc>
        <w:tc>
          <w:tcPr>
            <w:tcW w:w="880" w:type="dxa"/>
            <w:tcBorders>
              <w:top w:val="nil"/>
              <w:left w:val="nil"/>
              <w:bottom w:val="single" w:sz="4" w:space="0" w:color="auto"/>
              <w:right w:val="single" w:sz="4" w:space="0" w:color="auto"/>
            </w:tcBorders>
            <w:shd w:val="clear" w:color="auto" w:fill="auto"/>
            <w:noWrap/>
            <w:vAlign w:val="center"/>
            <w:hideMark/>
          </w:tcPr>
          <w:p w14:paraId="419A8AE4"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60CF1C7A" w14:textId="77777777" w:rsidR="00A45F2C" w:rsidRDefault="00A45F2C">
            <w:pPr>
              <w:jc w:val="center"/>
              <w:rPr>
                <w:color w:val="000000"/>
              </w:rPr>
            </w:pPr>
            <w:r>
              <w:rPr>
                <w:color w:val="000000"/>
              </w:rPr>
              <w:t>2</w:t>
            </w:r>
          </w:p>
        </w:tc>
        <w:tc>
          <w:tcPr>
            <w:tcW w:w="1300" w:type="dxa"/>
            <w:tcBorders>
              <w:top w:val="nil"/>
              <w:left w:val="nil"/>
              <w:bottom w:val="single" w:sz="4" w:space="0" w:color="auto"/>
              <w:right w:val="single" w:sz="4" w:space="0" w:color="auto"/>
            </w:tcBorders>
            <w:shd w:val="clear" w:color="auto" w:fill="auto"/>
            <w:noWrap/>
            <w:vAlign w:val="center"/>
            <w:hideMark/>
          </w:tcPr>
          <w:p w14:paraId="04845163" w14:textId="77777777" w:rsidR="00A45F2C" w:rsidRDefault="00A45F2C">
            <w:pPr>
              <w:jc w:val="center"/>
              <w:rPr>
                <w:color w:val="000000"/>
              </w:rPr>
            </w:pPr>
            <w:r>
              <w:rPr>
                <w:color w:val="000000"/>
              </w:rPr>
              <w:t>3</w:t>
            </w:r>
          </w:p>
        </w:tc>
        <w:tc>
          <w:tcPr>
            <w:tcW w:w="880" w:type="dxa"/>
            <w:tcBorders>
              <w:top w:val="nil"/>
              <w:left w:val="nil"/>
              <w:bottom w:val="single" w:sz="4" w:space="0" w:color="auto"/>
              <w:right w:val="single" w:sz="4" w:space="0" w:color="auto"/>
            </w:tcBorders>
            <w:shd w:val="clear" w:color="auto" w:fill="auto"/>
            <w:noWrap/>
            <w:vAlign w:val="center"/>
            <w:hideMark/>
          </w:tcPr>
          <w:p w14:paraId="6332E701" w14:textId="77777777" w:rsidR="00A45F2C" w:rsidRDefault="00A45F2C">
            <w:pPr>
              <w:jc w:val="center"/>
              <w:rPr>
                <w:color w:val="000000"/>
              </w:rPr>
            </w:pPr>
            <w:r>
              <w:rPr>
                <w:color w:val="000000"/>
              </w:rPr>
              <w:t> </w:t>
            </w:r>
          </w:p>
        </w:tc>
      </w:tr>
      <w:tr w:rsidR="00A45F2C" w14:paraId="128F2F24"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F6F431F" w14:textId="77777777" w:rsidR="00A45F2C" w:rsidRDefault="00A45F2C">
            <w:pPr>
              <w:jc w:val="center"/>
              <w:rPr>
                <w:color w:val="000000"/>
              </w:rPr>
            </w:pPr>
            <w:r>
              <w:rPr>
                <w:color w:val="000000"/>
              </w:rPr>
              <w:t>T (ºC)</w:t>
            </w:r>
          </w:p>
        </w:tc>
        <w:tc>
          <w:tcPr>
            <w:tcW w:w="1720" w:type="dxa"/>
            <w:tcBorders>
              <w:top w:val="nil"/>
              <w:left w:val="nil"/>
              <w:bottom w:val="single" w:sz="4" w:space="0" w:color="auto"/>
              <w:right w:val="single" w:sz="4" w:space="0" w:color="auto"/>
            </w:tcBorders>
            <w:shd w:val="clear" w:color="auto" w:fill="auto"/>
            <w:noWrap/>
            <w:vAlign w:val="center"/>
            <w:hideMark/>
          </w:tcPr>
          <w:p w14:paraId="5A6ECA09" w14:textId="77777777" w:rsidR="00A45F2C" w:rsidRDefault="00A45F2C">
            <w:pPr>
              <w:jc w:val="center"/>
              <w:rPr>
                <w:color w:val="000000"/>
              </w:rPr>
            </w:pPr>
            <w:r>
              <w:rPr>
                <w:color w:val="000000"/>
              </w:rPr>
              <w:t>1020</w:t>
            </w:r>
          </w:p>
        </w:tc>
        <w:tc>
          <w:tcPr>
            <w:tcW w:w="880" w:type="dxa"/>
            <w:tcBorders>
              <w:top w:val="nil"/>
              <w:left w:val="nil"/>
              <w:bottom w:val="single" w:sz="4" w:space="0" w:color="auto"/>
              <w:right w:val="single" w:sz="4" w:space="0" w:color="auto"/>
            </w:tcBorders>
            <w:shd w:val="clear" w:color="auto" w:fill="auto"/>
            <w:noWrap/>
            <w:vAlign w:val="center"/>
            <w:hideMark/>
          </w:tcPr>
          <w:p w14:paraId="6749A9F0" w14:textId="77777777" w:rsidR="00A45F2C" w:rsidRDefault="00A45F2C">
            <w:pPr>
              <w:jc w:val="center"/>
              <w:rPr>
                <w:color w:val="000000"/>
              </w:rPr>
            </w:pPr>
            <w:r>
              <w:rPr>
                <w:color w:val="000000"/>
              </w:rPr>
              <w:t>l</w:t>
            </w:r>
          </w:p>
        </w:tc>
        <w:tc>
          <w:tcPr>
            <w:tcW w:w="1300" w:type="dxa"/>
            <w:tcBorders>
              <w:top w:val="nil"/>
              <w:left w:val="nil"/>
              <w:bottom w:val="single" w:sz="4" w:space="0" w:color="auto"/>
              <w:right w:val="single" w:sz="4" w:space="0" w:color="auto"/>
            </w:tcBorders>
            <w:shd w:val="clear" w:color="auto" w:fill="auto"/>
            <w:noWrap/>
            <w:vAlign w:val="center"/>
            <w:hideMark/>
          </w:tcPr>
          <w:p w14:paraId="100940E5" w14:textId="77777777" w:rsidR="00A45F2C" w:rsidRDefault="00A45F2C">
            <w:pPr>
              <w:jc w:val="center"/>
              <w:rPr>
                <w:color w:val="000000"/>
              </w:rPr>
            </w:pPr>
            <w:r>
              <w:rPr>
                <w:color w:val="000000"/>
              </w:rPr>
              <w:t>1400</w:t>
            </w:r>
          </w:p>
        </w:tc>
        <w:tc>
          <w:tcPr>
            <w:tcW w:w="1300" w:type="dxa"/>
            <w:tcBorders>
              <w:top w:val="nil"/>
              <w:left w:val="nil"/>
              <w:bottom w:val="single" w:sz="4" w:space="0" w:color="auto"/>
              <w:right w:val="single" w:sz="4" w:space="0" w:color="auto"/>
            </w:tcBorders>
            <w:shd w:val="clear" w:color="auto" w:fill="auto"/>
            <w:noWrap/>
            <w:vAlign w:val="center"/>
            <w:hideMark/>
          </w:tcPr>
          <w:p w14:paraId="4E0B4976" w14:textId="77777777" w:rsidR="00A45F2C" w:rsidRDefault="00A45F2C">
            <w:pPr>
              <w:jc w:val="center"/>
              <w:rPr>
                <w:color w:val="000000"/>
              </w:rPr>
            </w:pPr>
            <w:r>
              <w:rPr>
                <w:color w:val="000000"/>
              </w:rPr>
              <w:t>1230</w:t>
            </w:r>
          </w:p>
        </w:tc>
        <w:tc>
          <w:tcPr>
            <w:tcW w:w="880" w:type="dxa"/>
            <w:tcBorders>
              <w:top w:val="nil"/>
              <w:left w:val="nil"/>
              <w:bottom w:val="single" w:sz="4" w:space="0" w:color="auto"/>
              <w:right w:val="single" w:sz="4" w:space="0" w:color="auto"/>
            </w:tcBorders>
            <w:shd w:val="clear" w:color="auto" w:fill="auto"/>
            <w:noWrap/>
            <w:vAlign w:val="center"/>
            <w:hideMark/>
          </w:tcPr>
          <w:p w14:paraId="220E1D85" w14:textId="77777777" w:rsidR="00A45F2C" w:rsidRDefault="00A45F2C">
            <w:pPr>
              <w:jc w:val="center"/>
              <w:rPr>
                <w:color w:val="000000"/>
              </w:rPr>
            </w:pPr>
            <w:r>
              <w:rPr>
                <w:color w:val="000000"/>
              </w:rPr>
              <w:t>l</w:t>
            </w:r>
          </w:p>
        </w:tc>
      </w:tr>
      <w:tr w:rsidR="00A45F2C" w14:paraId="7E892300"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A1037EB" w14:textId="77777777" w:rsidR="00A45F2C" w:rsidRDefault="00A45F2C">
            <w:pPr>
              <w:jc w:val="center"/>
              <w:rPr>
                <w:color w:val="000000"/>
              </w:rPr>
            </w:pPr>
            <w:r>
              <w:rPr>
                <w:color w:val="000000"/>
              </w:rPr>
              <w:t>P (GPa)</w:t>
            </w:r>
          </w:p>
        </w:tc>
        <w:tc>
          <w:tcPr>
            <w:tcW w:w="1720" w:type="dxa"/>
            <w:tcBorders>
              <w:top w:val="nil"/>
              <w:left w:val="nil"/>
              <w:bottom w:val="single" w:sz="4" w:space="0" w:color="auto"/>
              <w:right w:val="single" w:sz="4" w:space="0" w:color="auto"/>
            </w:tcBorders>
            <w:shd w:val="clear" w:color="auto" w:fill="auto"/>
            <w:noWrap/>
            <w:vAlign w:val="center"/>
            <w:hideMark/>
          </w:tcPr>
          <w:p w14:paraId="7B3E02EA" w14:textId="77777777" w:rsidR="00A45F2C" w:rsidRDefault="00A45F2C">
            <w:pPr>
              <w:jc w:val="center"/>
              <w:rPr>
                <w:color w:val="000000"/>
              </w:rPr>
            </w:pPr>
            <w:r>
              <w:rPr>
                <w:color w:val="000000"/>
              </w:rPr>
              <w:t>0.08</w:t>
            </w:r>
          </w:p>
        </w:tc>
        <w:tc>
          <w:tcPr>
            <w:tcW w:w="880" w:type="dxa"/>
            <w:tcBorders>
              <w:top w:val="nil"/>
              <w:left w:val="nil"/>
              <w:bottom w:val="single" w:sz="4" w:space="0" w:color="auto"/>
              <w:right w:val="single" w:sz="4" w:space="0" w:color="auto"/>
            </w:tcBorders>
            <w:shd w:val="clear" w:color="auto" w:fill="auto"/>
            <w:noWrap/>
            <w:vAlign w:val="center"/>
            <w:hideMark/>
          </w:tcPr>
          <w:p w14:paraId="1502D554" w14:textId="77777777" w:rsidR="00A45F2C" w:rsidRDefault="00A45F2C">
            <w:pPr>
              <w:jc w:val="center"/>
              <w:rPr>
                <w:color w:val="000000"/>
              </w:rPr>
            </w:pPr>
            <w:r>
              <w:rPr>
                <w:color w:val="000000"/>
              </w:rPr>
              <w:t>l</w:t>
            </w:r>
          </w:p>
        </w:tc>
        <w:tc>
          <w:tcPr>
            <w:tcW w:w="1300" w:type="dxa"/>
            <w:tcBorders>
              <w:top w:val="nil"/>
              <w:left w:val="nil"/>
              <w:bottom w:val="single" w:sz="4" w:space="0" w:color="auto"/>
              <w:right w:val="single" w:sz="4" w:space="0" w:color="auto"/>
            </w:tcBorders>
            <w:shd w:val="clear" w:color="auto" w:fill="auto"/>
            <w:noWrap/>
            <w:vAlign w:val="center"/>
            <w:hideMark/>
          </w:tcPr>
          <w:p w14:paraId="28BEB6FB" w14:textId="77777777" w:rsidR="00A45F2C" w:rsidRDefault="00A45F2C">
            <w:pPr>
              <w:jc w:val="center"/>
              <w:rPr>
                <w:color w:val="000000"/>
              </w:rPr>
            </w:pPr>
            <w:r>
              <w:rPr>
                <w:color w:val="000000"/>
              </w:rPr>
              <w:t>1.2</w:t>
            </w:r>
          </w:p>
        </w:tc>
        <w:tc>
          <w:tcPr>
            <w:tcW w:w="1300" w:type="dxa"/>
            <w:tcBorders>
              <w:top w:val="nil"/>
              <w:left w:val="nil"/>
              <w:bottom w:val="single" w:sz="4" w:space="0" w:color="auto"/>
              <w:right w:val="single" w:sz="4" w:space="0" w:color="auto"/>
            </w:tcBorders>
            <w:shd w:val="clear" w:color="auto" w:fill="auto"/>
            <w:noWrap/>
            <w:vAlign w:val="center"/>
            <w:hideMark/>
          </w:tcPr>
          <w:p w14:paraId="377E8F41" w14:textId="77777777" w:rsidR="00A45F2C" w:rsidRDefault="00A45F2C">
            <w:pPr>
              <w:jc w:val="center"/>
              <w:rPr>
                <w:color w:val="000000"/>
              </w:rPr>
            </w:pPr>
            <w:r>
              <w:rPr>
                <w:color w:val="000000"/>
              </w:rPr>
              <w:t>0.5</w:t>
            </w:r>
          </w:p>
        </w:tc>
        <w:tc>
          <w:tcPr>
            <w:tcW w:w="880" w:type="dxa"/>
            <w:tcBorders>
              <w:top w:val="nil"/>
              <w:left w:val="nil"/>
              <w:bottom w:val="single" w:sz="4" w:space="0" w:color="auto"/>
              <w:right w:val="single" w:sz="4" w:space="0" w:color="auto"/>
            </w:tcBorders>
            <w:shd w:val="clear" w:color="auto" w:fill="auto"/>
            <w:noWrap/>
            <w:vAlign w:val="center"/>
            <w:hideMark/>
          </w:tcPr>
          <w:p w14:paraId="0D4A82D0" w14:textId="77777777" w:rsidR="00A45F2C" w:rsidRDefault="00A45F2C">
            <w:pPr>
              <w:jc w:val="center"/>
              <w:rPr>
                <w:color w:val="000000"/>
              </w:rPr>
            </w:pPr>
            <w:r>
              <w:rPr>
                <w:color w:val="000000"/>
              </w:rPr>
              <w:t>l</w:t>
            </w:r>
          </w:p>
        </w:tc>
      </w:tr>
      <w:tr w:rsidR="00A45F2C" w14:paraId="77154245"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E10B51A" w14:textId="77777777" w:rsidR="00A45F2C" w:rsidRDefault="00A45F2C">
            <w:pPr>
              <w:jc w:val="center"/>
              <w:rPr>
                <w:color w:val="000000"/>
              </w:rPr>
            </w:pPr>
            <w:r>
              <w:rPr>
                <w:color w:val="000000"/>
              </w:rPr>
              <w:t>Fo</w:t>
            </w:r>
          </w:p>
        </w:tc>
        <w:tc>
          <w:tcPr>
            <w:tcW w:w="1720" w:type="dxa"/>
            <w:tcBorders>
              <w:top w:val="nil"/>
              <w:left w:val="nil"/>
              <w:bottom w:val="single" w:sz="4" w:space="0" w:color="auto"/>
              <w:right w:val="single" w:sz="4" w:space="0" w:color="auto"/>
            </w:tcBorders>
            <w:shd w:val="clear" w:color="auto" w:fill="auto"/>
            <w:noWrap/>
            <w:vAlign w:val="center"/>
            <w:hideMark/>
          </w:tcPr>
          <w:p w14:paraId="12009B43" w14:textId="77777777" w:rsidR="00A45F2C" w:rsidRDefault="00A45F2C">
            <w:pPr>
              <w:jc w:val="center"/>
              <w:rPr>
                <w:color w:val="000000"/>
              </w:rPr>
            </w:pPr>
            <w:r>
              <w:rPr>
                <w:color w:val="000000"/>
              </w:rPr>
              <w:t>11.4</w:t>
            </w:r>
          </w:p>
        </w:tc>
        <w:tc>
          <w:tcPr>
            <w:tcW w:w="880" w:type="dxa"/>
            <w:tcBorders>
              <w:top w:val="nil"/>
              <w:left w:val="nil"/>
              <w:bottom w:val="single" w:sz="4" w:space="0" w:color="auto"/>
              <w:right w:val="single" w:sz="4" w:space="0" w:color="auto"/>
            </w:tcBorders>
            <w:shd w:val="clear" w:color="auto" w:fill="auto"/>
            <w:noWrap/>
            <w:vAlign w:val="center"/>
            <w:hideMark/>
          </w:tcPr>
          <w:p w14:paraId="3C5113B6" w14:textId="77777777" w:rsidR="00A45F2C" w:rsidRDefault="00A45F2C">
            <w:pPr>
              <w:jc w:val="center"/>
              <w:rPr>
                <w:color w:val="000000"/>
              </w:rPr>
            </w:pPr>
            <w:r>
              <w:rPr>
                <w:color w:val="000000"/>
              </w:rPr>
              <w:t>l &amp; m</w:t>
            </w:r>
          </w:p>
        </w:tc>
        <w:tc>
          <w:tcPr>
            <w:tcW w:w="1300" w:type="dxa"/>
            <w:tcBorders>
              <w:top w:val="nil"/>
              <w:left w:val="nil"/>
              <w:bottom w:val="single" w:sz="4" w:space="0" w:color="auto"/>
              <w:right w:val="single" w:sz="4" w:space="0" w:color="auto"/>
            </w:tcBorders>
            <w:shd w:val="clear" w:color="auto" w:fill="auto"/>
            <w:noWrap/>
            <w:vAlign w:val="center"/>
            <w:hideMark/>
          </w:tcPr>
          <w:p w14:paraId="0D6DF3B4" w14:textId="77777777" w:rsidR="00A45F2C" w:rsidRDefault="00A45F2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4E2AF7E9"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61759656" w14:textId="77777777" w:rsidR="00A45F2C" w:rsidRDefault="00A45F2C">
            <w:pPr>
              <w:jc w:val="center"/>
              <w:rPr>
                <w:color w:val="000000"/>
              </w:rPr>
            </w:pPr>
            <w:r>
              <w:rPr>
                <w:color w:val="000000"/>
              </w:rPr>
              <w:t> </w:t>
            </w:r>
          </w:p>
        </w:tc>
      </w:tr>
      <w:tr w:rsidR="00A45F2C" w14:paraId="4A16DF8F"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59C59E4" w14:textId="77777777" w:rsidR="00A45F2C" w:rsidRDefault="00A45F2C">
            <w:pPr>
              <w:jc w:val="center"/>
              <w:rPr>
                <w:color w:val="000000"/>
              </w:rPr>
            </w:pPr>
            <w:r>
              <w:rPr>
                <w:color w:val="000000"/>
              </w:rPr>
              <w:t>Al</w:t>
            </w:r>
            <w:r>
              <w:rPr>
                <w:color w:val="000000"/>
                <w:vertAlign w:val="superscript"/>
              </w:rPr>
              <w:t>ol</w:t>
            </w:r>
          </w:p>
        </w:tc>
        <w:tc>
          <w:tcPr>
            <w:tcW w:w="1720" w:type="dxa"/>
            <w:tcBorders>
              <w:top w:val="nil"/>
              <w:left w:val="nil"/>
              <w:bottom w:val="single" w:sz="4" w:space="0" w:color="auto"/>
              <w:right w:val="single" w:sz="4" w:space="0" w:color="auto"/>
            </w:tcBorders>
            <w:shd w:val="clear" w:color="auto" w:fill="auto"/>
            <w:noWrap/>
            <w:vAlign w:val="center"/>
            <w:hideMark/>
          </w:tcPr>
          <w:p w14:paraId="5A312704" w14:textId="77777777" w:rsidR="00A45F2C" w:rsidRDefault="00A45F2C">
            <w:pPr>
              <w:jc w:val="center"/>
              <w:rPr>
                <w:color w:val="000000"/>
              </w:rPr>
            </w:pPr>
            <w:r>
              <w:rPr>
                <w:color w:val="000000"/>
              </w:rPr>
              <w:t>0.00078</w:t>
            </w:r>
          </w:p>
        </w:tc>
        <w:tc>
          <w:tcPr>
            <w:tcW w:w="880" w:type="dxa"/>
            <w:tcBorders>
              <w:top w:val="nil"/>
              <w:left w:val="nil"/>
              <w:bottom w:val="single" w:sz="4" w:space="0" w:color="auto"/>
              <w:right w:val="single" w:sz="4" w:space="0" w:color="auto"/>
            </w:tcBorders>
            <w:shd w:val="clear" w:color="auto" w:fill="auto"/>
            <w:noWrap/>
            <w:vAlign w:val="center"/>
            <w:hideMark/>
          </w:tcPr>
          <w:p w14:paraId="2AB29E38" w14:textId="77777777" w:rsidR="00A45F2C" w:rsidRDefault="00A45F2C">
            <w:pPr>
              <w:jc w:val="center"/>
              <w:rPr>
                <w:color w:val="000000"/>
              </w:rPr>
            </w:pPr>
            <w:r>
              <w:rPr>
                <w:color w:val="000000"/>
              </w:rPr>
              <w:t>l &amp; m</w:t>
            </w:r>
          </w:p>
        </w:tc>
        <w:tc>
          <w:tcPr>
            <w:tcW w:w="1300" w:type="dxa"/>
            <w:tcBorders>
              <w:top w:val="nil"/>
              <w:left w:val="nil"/>
              <w:bottom w:val="single" w:sz="4" w:space="0" w:color="auto"/>
              <w:right w:val="single" w:sz="4" w:space="0" w:color="auto"/>
            </w:tcBorders>
            <w:shd w:val="clear" w:color="auto" w:fill="auto"/>
            <w:noWrap/>
            <w:vAlign w:val="center"/>
            <w:hideMark/>
          </w:tcPr>
          <w:p w14:paraId="216C950D" w14:textId="77777777" w:rsidR="00A45F2C" w:rsidRDefault="00A45F2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D9ECADE"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2FD99ADD" w14:textId="77777777" w:rsidR="00A45F2C" w:rsidRDefault="00A45F2C">
            <w:pPr>
              <w:jc w:val="center"/>
              <w:rPr>
                <w:color w:val="000000"/>
              </w:rPr>
            </w:pPr>
            <w:r>
              <w:rPr>
                <w:color w:val="000000"/>
              </w:rPr>
              <w:t> </w:t>
            </w:r>
          </w:p>
        </w:tc>
      </w:tr>
      <w:tr w:rsidR="00A45F2C" w14:paraId="5BBB6B14"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A8B5188" w14:textId="77777777" w:rsidR="00A45F2C" w:rsidRDefault="00A45F2C">
            <w:pPr>
              <w:jc w:val="center"/>
              <w:rPr>
                <w:color w:val="000000"/>
              </w:rPr>
            </w:pPr>
            <w:r>
              <w:rPr>
                <w:i/>
                <w:iCs/>
                <w:color w:val="000000"/>
              </w:rPr>
              <w:t>X</w:t>
            </w:r>
            <w:r>
              <w:rPr>
                <w:color w:val="000000"/>
              </w:rPr>
              <w:t>Ti</w:t>
            </w:r>
            <w:r>
              <w:rPr>
                <w:color w:val="000000"/>
                <w:vertAlign w:val="superscript"/>
              </w:rPr>
              <w:t>melt</w:t>
            </w:r>
          </w:p>
        </w:tc>
        <w:tc>
          <w:tcPr>
            <w:tcW w:w="1720" w:type="dxa"/>
            <w:tcBorders>
              <w:top w:val="nil"/>
              <w:left w:val="nil"/>
              <w:bottom w:val="single" w:sz="4" w:space="0" w:color="auto"/>
              <w:right w:val="single" w:sz="4" w:space="0" w:color="auto"/>
            </w:tcBorders>
            <w:shd w:val="clear" w:color="auto" w:fill="auto"/>
            <w:noWrap/>
            <w:vAlign w:val="center"/>
            <w:hideMark/>
          </w:tcPr>
          <w:p w14:paraId="7DC3AD69"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6E0A1A2"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02A5B3E0" w14:textId="77777777" w:rsidR="00A45F2C" w:rsidRDefault="00A45F2C">
            <w:pPr>
              <w:jc w:val="center"/>
              <w:rPr>
                <w:color w:val="000000"/>
              </w:rPr>
            </w:pPr>
            <w:r>
              <w:rPr>
                <w:color w:val="000000"/>
              </w:rPr>
              <w:t>0.0192</w:t>
            </w:r>
          </w:p>
        </w:tc>
        <w:tc>
          <w:tcPr>
            <w:tcW w:w="1300" w:type="dxa"/>
            <w:tcBorders>
              <w:top w:val="nil"/>
              <w:left w:val="nil"/>
              <w:bottom w:val="single" w:sz="4" w:space="0" w:color="auto"/>
              <w:right w:val="single" w:sz="4" w:space="0" w:color="auto"/>
            </w:tcBorders>
            <w:shd w:val="clear" w:color="auto" w:fill="auto"/>
            <w:noWrap/>
            <w:vAlign w:val="center"/>
            <w:hideMark/>
          </w:tcPr>
          <w:p w14:paraId="29F23AB2" w14:textId="77777777" w:rsidR="00A45F2C" w:rsidRDefault="00A45F2C">
            <w:pPr>
              <w:jc w:val="center"/>
              <w:rPr>
                <w:color w:val="000000"/>
              </w:rPr>
            </w:pPr>
            <w:r>
              <w:rPr>
                <w:color w:val="000000"/>
              </w:rPr>
              <w:t>0.0219</w:t>
            </w:r>
          </w:p>
        </w:tc>
        <w:tc>
          <w:tcPr>
            <w:tcW w:w="880" w:type="dxa"/>
            <w:tcBorders>
              <w:top w:val="nil"/>
              <w:left w:val="nil"/>
              <w:bottom w:val="single" w:sz="4" w:space="0" w:color="auto"/>
              <w:right w:val="single" w:sz="4" w:space="0" w:color="auto"/>
            </w:tcBorders>
            <w:shd w:val="clear" w:color="auto" w:fill="auto"/>
            <w:noWrap/>
            <w:vAlign w:val="center"/>
            <w:hideMark/>
          </w:tcPr>
          <w:p w14:paraId="4CC2797C" w14:textId="77777777" w:rsidR="00A45F2C" w:rsidRDefault="00A45F2C">
            <w:pPr>
              <w:jc w:val="center"/>
              <w:rPr>
                <w:color w:val="000000"/>
              </w:rPr>
            </w:pPr>
            <w:r>
              <w:rPr>
                <w:color w:val="000000"/>
              </w:rPr>
              <w:t>l</w:t>
            </w:r>
          </w:p>
        </w:tc>
      </w:tr>
      <w:tr w:rsidR="00A45F2C" w14:paraId="268344A6"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007C0B9" w14:textId="77777777" w:rsidR="00A45F2C" w:rsidRDefault="00A45F2C">
            <w:pPr>
              <w:jc w:val="center"/>
              <w:rPr>
                <w:color w:val="000000"/>
              </w:rPr>
            </w:pPr>
            <w:r>
              <w:rPr>
                <w:color w:val="000000"/>
              </w:rPr>
              <w:t>Al</w:t>
            </w:r>
            <w:r>
              <w:rPr>
                <w:color w:val="000000"/>
                <w:vertAlign w:val="superscript"/>
              </w:rPr>
              <w:t>T</w:t>
            </w:r>
          </w:p>
        </w:tc>
        <w:tc>
          <w:tcPr>
            <w:tcW w:w="1720" w:type="dxa"/>
            <w:tcBorders>
              <w:top w:val="nil"/>
              <w:left w:val="nil"/>
              <w:bottom w:val="single" w:sz="4" w:space="0" w:color="auto"/>
              <w:right w:val="single" w:sz="4" w:space="0" w:color="auto"/>
            </w:tcBorders>
            <w:shd w:val="clear" w:color="auto" w:fill="auto"/>
            <w:noWrap/>
            <w:vAlign w:val="center"/>
            <w:hideMark/>
          </w:tcPr>
          <w:p w14:paraId="0479469D"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3B969A80"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1BB1F373" w14:textId="77777777" w:rsidR="00A45F2C" w:rsidRDefault="00A45F2C">
            <w:pPr>
              <w:jc w:val="center"/>
              <w:rPr>
                <w:color w:val="000000"/>
              </w:rPr>
            </w:pPr>
            <w:r>
              <w:rPr>
                <w:color w:val="000000"/>
              </w:rPr>
              <w:t>0.0675</w:t>
            </w:r>
          </w:p>
        </w:tc>
        <w:tc>
          <w:tcPr>
            <w:tcW w:w="1300" w:type="dxa"/>
            <w:tcBorders>
              <w:top w:val="nil"/>
              <w:left w:val="nil"/>
              <w:bottom w:val="single" w:sz="4" w:space="0" w:color="auto"/>
              <w:right w:val="single" w:sz="4" w:space="0" w:color="auto"/>
            </w:tcBorders>
            <w:shd w:val="clear" w:color="auto" w:fill="auto"/>
            <w:noWrap/>
            <w:vAlign w:val="center"/>
            <w:hideMark/>
          </w:tcPr>
          <w:p w14:paraId="14D5392E" w14:textId="77777777" w:rsidR="00A45F2C" w:rsidRDefault="00A45F2C">
            <w:pPr>
              <w:jc w:val="center"/>
              <w:rPr>
                <w:color w:val="000000"/>
              </w:rPr>
            </w:pPr>
            <w:r>
              <w:rPr>
                <w:color w:val="000000"/>
              </w:rPr>
              <w:t>0.1067</w:t>
            </w:r>
          </w:p>
        </w:tc>
        <w:tc>
          <w:tcPr>
            <w:tcW w:w="880" w:type="dxa"/>
            <w:tcBorders>
              <w:top w:val="nil"/>
              <w:left w:val="nil"/>
              <w:bottom w:val="single" w:sz="4" w:space="0" w:color="auto"/>
              <w:right w:val="single" w:sz="4" w:space="0" w:color="auto"/>
            </w:tcBorders>
            <w:shd w:val="clear" w:color="auto" w:fill="auto"/>
            <w:noWrap/>
            <w:vAlign w:val="center"/>
            <w:hideMark/>
          </w:tcPr>
          <w:p w14:paraId="52FF483E" w14:textId="77777777" w:rsidR="00A45F2C" w:rsidRDefault="00A45F2C">
            <w:pPr>
              <w:jc w:val="center"/>
              <w:rPr>
                <w:color w:val="000000"/>
              </w:rPr>
            </w:pPr>
            <w:r>
              <w:rPr>
                <w:color w:val="000000"/>
              </w:rPr>
              <w:t>l</w:t>
            </w:r>
          </w:p>
        </w:tc>
      </w:tr>
      <w:tr w:rsidR="00A45F2C" w14:paraId="6AC3E128"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4ED4AC8" w14:textId="77777777" w:rsidR="00A45F2C" w:rsidRDefault="00A45F2C">
            <w:pPr>
              <w:jc w:val="center"/>
              <w:rPr>
                <w:color w:val="000000"/>
              </w:rPr>
            </w:pPr>
            <w:r>
              <w:rPr>
                <w:color w:val="000000"/>
              </w:rPr>
              <w:t>Al</w:t>
            </w:r>
            <w:r>
              <w:rPr>
                <w:color w:val="000000"/>
                <w:vertAlign w:val="superscript"/>
              </w:rPr>
              <w:t>M1</w:t>
            </w:r>
          </w:p>
        </w:tc>
        <w:tc>
          <w:tcPr>
            <w:tcW w:w="1720" w:type="dxa"/>
            <w:tcBorders>
              <w:top w:val="nil"/>
              <w:left w:val="nil"/>
              <w:bottom w:val="single" w:sz="4" w:space="0" w:color="auto"/>
              <w:right w:val="single" w:sz="4" w:space="0" w:color="auto"/>
            </w:tcBorders>
            <w:shd w:val="clear" w:color="auto" w:fill="auto"/>
            <w:noWrap/>
            <w:vAlign w:val="center"/>
            <w:hideMark/>
          </w:tcPr>
          <w:p w14:paraId="6E5A9027"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23591C89"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2CA86AB2" w14:textId="77777777" w:rsidR="00A45F2C" w:rsidRDefault="00A45F2C">
            <w:pPr>
              <w:jc w:val="center"/>
              <w:rPr>
                <w:color w:val="000000"/>
              </w:rPr>
            </w:pPr>
            <w:r>
              <w:rPr>
                <w:color w:val="000000"/>
              </w:rPr>
              <w:t>0.0715</w:t>
            </w:r>
          </w:p>
        </w:tc>
        <w:tc>
          <w:tcPr>
            <w:tcW w:w="1300" w:type="dxa"/>
            <w:tcBorders>
              <w:top w:val="nil"/>
              <w:left w:val="nil"/>
              <w:bottom w:val="single" w:sz="4" w:space="0" w:color="auto"/>
              <w:right w:val="single" w:sz="4" w:space="0" w:color="auto"/>
            </w:tcBorders>
            <w:shd w:val="clear" w:color="auto" w:fill="auto"/>
            <w:noWrap/>
            <w:vAlign w:val="center"/>
            <w:hideMark/>
          </w:tcPr>
          <w:p w14:paraId="5411E79C" w14:textId="77777777" w:rsidR="00A45F2C" w:rsidRDefault="00A45F2C">
            <w:pPr>
              <w:jc w:val="center"/>
              <w:rPr>
                <w:color w:val="000000"/>
              </w:rPr>
            </w:pPr>
            <w:r>
              <w:rPr>
                <w:color w:val="000000"/>
              </w:rPr>
              <w:t>0.0515</w:t>
            </w:r>
          </w:p>
        </w:tc>
        <w:tc>
          <w:tcPr>
            <w:tcW w:w="880" w:type="dxa"/>
            <w:tcBorders>
              <w:top w:val="nil"/>
              <w:left w:val="nil"/>
              <w:bottom w:val="single" w:sz="4" w:space="0" w:color="auto"/>
              <w:right w:val="single" w:sz="4" w:space="0" w:color="auto"/>
            </w:tcBorders>
            <w:shd w:val="clear" w:color="auto" w:fill="auto"/>
            <w:noWrap/>
            <w:vAlign w:val="center"/>
            <w:hideMark/>
          </w:tcPr>
          <w:p w14:paraId="4DEF274F" w14:textId="77777777" w:rsidR="00A45F2C" w:rsidRDefault="00A45F2C">
            <w:pPr>
              <w:jc w:val="center"/>
              <w:rPr>
                <w:color w:val="000000"/>
              </w:rPr>
            </w:pPr>
            <w:r>
              <w:rPr>
                <w:color w:val="000000"/>
              </w:rPr>
              <w:t>l</w:t>
            </w:r>
          </w:p>
        </w:tc>
      </w:tr>
      <w:tr w:rsidR="00A45F2C" w14:paraId="69586EF5"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7A1A51A" w14:textId="77777777" w:rsidR="00A45F2C" w:rsidRDefault="00A45F2C">
            <w:pPr>
              <w:jc w:val="center"/>
              <w:rPr>
                <w:color w:val="000000"/>
              </w:rPr>
            </w:pPr>
            <w:r>
              <w:rPr>
                <w:color w:val="000000"/>
              </w:rPr>
              <w:t>Ca</w:t>
            </w:r>
            <w:r>
              <w:rPr>
                <w:color w:val="000000"/>
                <w:vertAlign w:val="superscript"/>
              </w:rPr>
              <w:t>M2</w:t>
            </w:r>
          </w:p>
        </w:tc>
        <w:tc>
          <w:tcPr>
            <w:tcW w:w="1720" w:type="dxa"/>
            <w:tcBorders>
              <w:top w:val="nil"/>
              <w:left w:val="nil"/>
              <w:bottom w:val="single" w:sz="4" w:space="0" w:color="auto"/>
              <w:right w:val="single" w:sz="4" w:space="0" w:color="auto"/>
            </w:tcBorders>
            <w:shd w:val="clear" w:color="auto" w:fill="auto"/>
            <w:noWrap/>
            <w:vAlign w:val="center"/>
            <w:hideMark/>
          </w:tcPr>
          <w:p w14:paraId="0F47D407"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19DD481"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2EEE290A" w14:textId="77777777" w:rsidR="00A45F2C" w:rsidRDefault="00A45F2C">
            <w:pPr>
              <w:jc w:val="center"/>
              <w:rPr>
                <w:color w:val="000000"/>
              </w:rPr>
            </w:pPr>
            <w:r>
              <w:rPr>
                <w:color w:val="000000"/>
              </w:rPr>
              <w:t>0.0717</w:t>
            </w:r>
          </w:p>
        </w:tc>
        <w:tc>
          <w:tcPr>
            <w:tcW w:w="1300" w:type="dxa"/>
            <w:tcBorders>
              <w:top w:val="nil"/>
              <w:left w:val="nil"/>
              <w:bottom w:val="single" w:sz="4" w:space="0" w:color="auto"/>
              <w:right w:val="single" w:sz="4" w:space="0" w:color="auto"/>
            </w:tcBorders>
            <w:shd w:val="clear" w:color="auto" w:fill="auto"/>
            <w:noWrap/>
            <w:vAlign w:val="center"/>
            <w:hideMark/>
          </w:tcPr>
          <w:p w14:paraId="01A925C0" w14:textId="77777777" w:rsidR="00A45F2C" w:rsidRDefault="00A45F2C">
            <w:pPr>
              <w:jc w:val="center"/>
              <w:rPr>
                <w:color w:val="000000"/>
              </w:rPr>
            </w:pPr>
            <w:r>
              <w:rPr>
                <w:color w:val="000000"/>
              </w:rPr>
              <w:t>0.0989</w:t>
            </w:r>
          </w:p>
        </w:tc>
        <w:tc>
          <w:tcPr>
            <w:tcW w:w="880" w:type="dxa"/>
            <w:tcBorders>
              <w:top w:val="nil"/>
              <w:left w:val="nil"/>
              <w:bottom w:val="single" w:sz="4" w:space="0" w:color="auto"/>
              <w:right w:val="single" w:sz="4" w:space="0" w:color="auto"/>
            </w:tcBorders>
            <w:shd w:val="clear" w:color="auto" w:fill="auto"/>
            <w:noWrap/>
            <w:vAlign w:val="center"/>
            <w:hideMark/>
          </w:tcPr>
          <w:p w14:paraId="5119E44E" w14:textId="77777777" w:rsidR="00A45F2C" w:rsidRDefault="00A45F2C">
            <w:pPr>
              <w:jc w:val="center"/>
              <w:rPr>
                <w:color w:val="000000"/>
              </w:rPr>
            </w:pPr>
            <w:r>
              <w:rPr>
                <w:color w:val="000000"/>
              </w:rPr>
              <w:t>l</w:t>
            </w:r>
          </w:p>
        </w:tc>
      </w:tr>
      <w:tr w:rsidR="00A45F2C" w14:paraId="3958E9D3"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0A5A485" w14:textId="77777777" w:rsidR="00A45F2C" w:rsidRDefault="00A45F2C">
            <w:pPr>
              <w:jc w:val="center"/>
              <w:rPr>
                <w:color w:val="000000"/>
              </w:rPr>
            </w:pPr>
            <w:r>
              <w:rPr>
                <w:color w:val="000000"/>
              </w:rPr>
              <w:t>Mg</w:t>
            </w:r>
            <w:r>
              <w:rPr>
                <w:color w:val="000000"/>
                <w:vertAlign w:val="superscript"/>
              </w:rPr>
              <w:t>M2</w:t>
            </w:r>
          </w:p>
        </w:tc>
        <w:tc>
          <w:tcPr>
            <w:tcW w:w="1720" w:type="dxa"/>
            <w:tcBorders>
              <w:top w:val="nil"/>
              <w:left w:val="nil"/>
              <w:bottom w:val="single" w:sz="4" w:space="0" w:color="auto"/>
              <w:right w:val="single" w:sz="4" w:space="0" w:color="auto"/>
            </w:tcBorders>
            <w:shd w:val="clear" w:color="auto" w:fill="auto"/>
            <w:noWrap/>
            <w:vAlign w:val="center"/>
            <w:hideMark/>
          </w:tcPr>
          <w:p w14:paraId="6DA52AED"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746CB12B"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08D5B9BB" w14:textId="77777777" w:rsidR="00A45F2C" w:rsidRDefault="00A45F2C">
            <w:pPr>
              <w:jc w:val="center"/>
              <w:rPr>
                <w:color w:val="000000"/>
              </w:rPr>
            </w:pPr>
            <w:r>
              <w:rPr>
                <w:color w:val="000000"/>
              </w:rPr>
              <w:t>0.7064</w:t>
            </w:r>
          </w:p>
        </w:tc>
        <w:tc>
          <w:tcPr>
            <w:tcW w:w="1300" w:type="dxa"/>
            <w:tcBorders>
              <w:top w:val="nil"/>
              <w:left w:val="nil"/>
              <w:bottom w:val="single" w:sz="4" w:space="0" w:color="auto"/>
              <w:right w:val="single" w:sz="4" w:space="0" w:color="auto"/>
            </w:tcBorders>
            <w:shd w:val="clear" w:color="auto" w:fill="auto"/>
            <w:noWrap/>
            <w:vAlign w:val="center"/>
            <w:hideMark/>
          </w:tcPr>
          <w:p w14:paraId="0A42FF32" w14:textId="77777777" w:rsidR="00A45F2C" w:rsidRDefault="00A45F2C">
            <w:pPr>
              <w:jc w:val="center"/>
              <w:rPr>
                <w:color w:val="000000"/>
              </w:rPr>
            </w:pPr>
            <w:r>
              <w:rPr>
                <w:color w:val="000000"/>
              </w:rPr>
              <w:t>0.6312</w:t>
            </w:r>
          </w:p>
        </w:tc>
        <w:tc>
          <w:tcPr>
            <w:tcW w:w="880" w:type="dxa"/>
            <w:tcBorders>
              <w:top w:val="nil"/>
              <w:left w:val="nil"/>
              <w:bottom w:val="single" w:sz="4" w:space="0" w:color="auto"/>
              <w:right w:val="single" w:sz="4" w:space="0" w:color="auto"/>
            </w:tcBorders>
            <w:shd w:val="clear" w:color="auto" w:fill="auto"/>
            <w:noWrap/>
            <w:vAlign w:val="center"/>
            <w:hideMark/>
          </w:tcPr>
          <w:p w14:paraId="4744E6D9" w14:textId="77777777" w:rsidR="00A45F2C" w:rsidRDefault="00A45F2C">
            <w:pPr>
              <w:jc w:val="center"/>
              <w:rPr>
                <w:color w:val="000000"/>
              </w:rPr>
            </w:pPr>
            <w:r>
              <w:rPr>
                <w:color w:val="000000"/>
              </w:rPr>
              <w:t>l</w:t>
            </w:r>
          </w:p>
        </w:tc>
      </w:tr>
      <w:tr w:rsidR="00A45F2C" w14:paraId="3CF10070"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30F1913" w14:textId="77777777" w:rsidR="00A45F2C" w:rsidRDefault="00A45F2C">
            <w:pPr>
              <w:jc w:val="center"/>
              <w:rPr>
                <w:color w:val="000000"/>
              </w:rPr>
            </w:pPr>
            <w:r>
              <w:rPr>
                <w:color w:val="000000"/>
              </w:rPr>
              <w:t>Mg</w:t>
            </w:r>
            <w:r>
              <w:rPr>
                <w:color w:val="000000"/>
                <w:vertAlign w:val="superscript"/>
              </w:rPr>
              <w:t>M1</w:t>
            </w:r>
          </w:p>
        </w:tc>
        <w:tc>
          <w:tcPr>
            <w:tcW w:w="1720" w:type="dxa"/>
            <w:tcBorders>
              <w:top w:val="nil"/>
              <w:left w:val="nil"/>
              <w:bottom w:val="single" w:sz="4" w:space="0" w:color="auto"/>
              <w:right w:val="single" w:sz="4" w:space="0" w:color="auto"/>
            </w:tcBorders>
            <w:shd w:val="clear" w:color="auto" w:fill="auto"/>
            <w:noWrap/>
            <w:vAlign w:val="center"/>
            <w:hideMark/>
          </w:tcPr>
          <w:p w14:paraId="1541A414"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12405342"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48C6C319" w14:textId="77777777" w:rsidR="00A45F2C" w:rsidRDefault="00A45F2C">
            <w:pPr>
              <w:jc w:val="center"/>
              <w:rPr>
                <w:color w:val="000000"/>
              </w:rPr>
            </w:pPr>
            <w:r>
              <w:rPr>
                <w:color w:val="000000"/>
              </w:rPr>
              <w:t>0.8965</w:t>
            </w:r>
          </w:p>
        </w:tc>
        <w:tc>
          <w:tcPr>
            <w:tcW w:w="1300" w:type="dxa"/>
            <w:tcBorders>
              <w:top w:val="nil"/>
              <w:left w:val="nil"/>
              <w:bottom w:val="single" w:sz="4" w:space="0" w:color="auto"/>
              <w:right w:val="single" w:sz="4" w:space="0" w:color="auto"/>
            </w:tcBorders>
            <w:shd w:val="clear" w:color="auto" w:fill="auto"/>
            <w:noWrap/>
            <w:vAlign w:val="center"/>
            <w:hideMark/>
          </w:tcPr>
          <w:p w14:paraId="0C3771CC" w14:textId="77777777" w:rsidR="00A45F2C" w:rsidRDefault="00A45F2C">
            <w:pPr>
              <w:jc w:val="center"/>
              <w:rPr>
                <w:color w:val="000000"/>
              </w:rPr>
            </w:pPr>
            <w:r>
              <w:rPr>
                <w:color w:val="000000"/>
              </w:rPr>
              <w:t>0.9321</w:t>
            </w:r>
          </w:p>
        </w:tc>
        <w:tc>
          <w:tcPr>
            <w:tcW w:w="880" w:type="dxa"/>
            <w:tcBorders>
              <w:top w:val="nil"/>
              <w:left w:val="nil"/>
              <w:bottom w:val="single" w:sz="4" w:space="0" w:color="auto"/>
              <w:right w:val="single" w:sz="4" w:space="0" w:color="auto"/>
            </w:tcBorders>
            <w:shd w:val="clear" w:color="auto" w:fill="auto"/>
            <w:noWrap/>
            <w:vAlign w:val="center"/>
            <w:hideMark/>
          </w:tcPr>
          <w:p w14:paraId="46155F2C" w14:textId="77777777" w:rsidR="00A45F2C" w:rsidRDefault="00A45F2C">
            <w:pPr>
              <w:jc w:val="center"/>
              <w:rPr>
                <w:color w:val="000000"/>
              </w:rPr>
            </w:pPr>
            <w:r>
              <w:rPr>
                <w:color w:val="000000"/>
              </w:rPr>
              <w:t>l</w:t>
            </w:r>
          </w:p>
        </w:tc>
      </w:tr>
      <w:tr w:rsidR="00A45F2C" w14:paraId="38CBE694"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4AAA048" w14:textId="77777777" w:rsidR="00A45F2C" w:rsidRDefault="00A45F2C">
            <w:pPr>
              <w:jc w:val="center"/>
              <w:rPr>
                <w:color w:val="000000"/>
              </w:rPr>
            </w:pPr>
            <w:r>
              <w:rPr>
                <w:color w:val="000000"/>
              </w:rPr>
              <w:t>Fe</w:t>
            </w:r>
            <w:r>
              <w:rPr>
                <w:color w:val="000000"/>
                <w:vertAlign w:val="superscript"/>
              </w:rPr>
              <w:t>M1</w:t>
            </w:r>
          </w:p>
        </w:tc>
        <w:tc>
          <w:tcPr>
            <w:tcW w:w="1720" w:type="dxa"/>
            <w:tcBorders>
              <w:top w:val="nil"/>
              <w:left w:val="nil"/>
              <w:bottom w:val="single" w:sz="4" w:space="0" w:color="auto"/>
              <w:right w:val="single" w:sz="4" w:space="0" w:color="auto"/>
            </w:tcBorders>
            <w:shd w:val="clear" w:color="auto" w:fill="auto"/>
            <w:noWrap/>
            <w:vAlign w:val="center"/>
            <w:hideMark/>
          </w:tcPr>
          <w:p w14:paraId="20D3AA99"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73446B26"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22CF7A28" w14:textId="77777777" w:rsidR="00A45F2C" w:rsidRDefault="00A45F2C">
            <w:pPr>
              <w:jc w:val="center"/>
              <w:rPr>
                <w:color w:val="000000"/>
              </w:rPr>
            </w:pPr>
            <w:r>
              <w:rPr>
                <w:color w:val="000000"/>
              </w:rPr>
              <w:t>0.0018</w:t>
            </w:r>
          </w:p>
        </w:tc>
        <w:tc>
          <w:tcPr>
            <w:tcW w:w="1300" w:type="dxa"/>
            <w:tcBorders>
              <w:top w:val="nil"/>
              <w:left w:val="nil"/>
              <w:bottom w:val="single" w:sz="4" w:space="0" w:color="auto"/>
              <w:right w:val="single" w:sz="4" w:space="0" w:color="auto"/>
            </w:tcBorders>
            <w:shd w:val="clear" w:color="auto" w:fill="auto"/>
            <w:noWrap/>
            <w:vAlign w:val="center"/>
            <w:hideMark/>
          </w:tcPr>
          <w:p w14:paraId="0C8E12FF" w14:textId="77777777" w:rsidR="00A45F2C" w:rsidRDefault="00A45F2C">
            <w:pPr>
              <w:jc w:val="center"/>
              <w:rPr>
                <w:color w:val="000000"/>
              </w:rPr>
            </w:pPr>
            <w:r>
              <w:rPr>
                <w:color w:val="000000"/>
              </w:rPr>
              <w:t>0.0034</w:t>
            </w:r>
          </w:p>
        </w:tc>
        <w:tc>
          <w:tcPr>
            <w:tcW w:w="880" w:type="dxa"/>
            <w:tcBorders>
              <w:top w:val="nil"/>
              <w:left w:val="nil"/>
              <w:bottom w:val="single" w:sz="4" w:space="0" w:color="auto"/>
              <w:right w:val="single" w:sz="4" w:space="0" w:color="auto"/>
            </w:tcBorders>
            <w:shd w:val="clear" w:color="auto" w:fill="auto"/>
            <w:noWrap/>
            <w:vAlign w:val="center"/>
            <w:hideMark/>
          </w:tcPr>
          <w:p w14:paraId="417B7889" w14:textId="77777777" w:rsidR="00A45F2C" w:rsidRDefault="00A45F2C">
            <w:pPr>
              <w:jc w:val="center"/>
              <w:rPr>
                <w:color w:val="000000"/>
              </w:rPr>
            </w:pPr>
            <w:r>
              <w:rPr>
                <w:color w:val="000000"/>
              </w:rPr>
              <w:t>l</w:t>
            </w:r>
          </w:p>
        </w:tc>
      </w:tr>
      <w:tr w:rsidR="00A45F2C" w14:paraId="3DC127C2"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1598832" w14:textId="77777777" w:rsidR="00A45F2C" w:rsidRDefault="00A45F2C">
            <w:pPr>
              <w:jc w:val="center"/>
              <w:rPr>
                <w:color w:val="000000"/>
              </w:rPr>
            </w:pPr>
            <w:r>
              <w:rPr>
                <w:i/>
                <w:iCs/>
                <w:color w:val="000000"/>
              </w:rPr>
              <w:t>XC</w:t>
            </w:r>
            <w:r>
              <w:rPr>
                <w:color w:val="000000"/>
              </w:rPr>
              <w:t>a</w:t>
            </w:r>
          </w:p>
        </w:tc>
        <w:tc>
          <w:tcPr>
            <w:tcW w:w="1720" w:type="dxa"/>
            <w:tcBorders>
              <w:top w:val="nil"/>
              <w:left w:val="nil"/>
              <w:bottom w:val="single" w:sz="4" w:space="0" w:color="auto"/>
              <w:right w:val="single" w:sz="4" w:space="0" w:color="auto"/>
            </w:tcBorders>
            <w:shd w:val="clear" w:color="auto" w:fill="auto"/>
            <w:noWrap/>
            <w:vAlign w:val="center"/>
            <w:hideMark/>
          </w:tcPr>
          <w:p w14:paraId="62CAA421"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13076826"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1E3336CC" w14:textId="77777777" w:rsidR="00A45F2C" w:rsidRDefault="00A45F2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DCA0468"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3A17CA85" w14:textId="77777777" w:rsidR="00A45F2C" w:rsidRDefault="00A45F2C">
            <w:pPr>
              <w:jc w:val="center"/>
              <w:rPr>
                <w:color w:val="000000"/>
              </w:rPr>
            </w:pPr>
            <w:r>
              <w:rPr>
                <w:color w:val="000000"/>
              </w:rPr>
              <w:t> </w:t>
            </w:r>
          </w:p>
        </w:tc>
      </w:tr>
      <w:tr w:rsidR="00A45F2C" w14:paraId="20D55D26"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61F1658" w14:textId="77777777" w:rsidR="00A45F2C" w:rsidRDefault="00A45F2C">
            <w:pPr>
              <w:jc w:val="center"/>
              <w:rPr>
                <w:color w:val="000000"/>
              </w:rPr>
            </w:pPr>
            <w:r>
              <w:rPr>
                <w:i/>
                <w:iCs/>
                <w:color w:val="000000"/>
              </w:rPr>
              <w:t>X</w:t>
            </w:r>
            <w:r>
              <w:rPr>
                <w:color w:val="000000"/>
              </w:rPr>
              <w:t>Na</w:t>
            </w:r>
          </w:p>
        </w:tc>
        <w:tc>
          <w:tcPr>
            <w:tcW w:w="1720" w:type="dxa"/>
            <w:tcBorders>
              <w:top w:val="nil"/>
              <w:left w:val="nil"/>
              <w:bottom w:val="single" w:sz="4" w:space="0" w:color="auto"/>
              <w:right w:val="single" w:sz="4" w:space="0" w:color="auto"/>
            </w:tcBorders>
            <w:shd w:val="clear" w:color="auto" w:fill="auto"/>
            <w:noWrap/>
            <w:vAlign w:val="center"/>
            <w:hideMark/>
          </w:tcPr>
          <w:p w14:paraId="61A8F1C7"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295047E5"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07E2E58D" w14:textId="77777777" w:rsidR="00A45F2C" w:rsidRDefault="00A45F2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68CFF08"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A20A136" w14:textId="77777777" w:rsidR="00A45F2C" w:rsidRDefault="00A45F2C">
            <w:pPr>
              <w:jc w:val="center"/>
              <w:rPr>
                <w:color w:val="000000"/>
              </w:rPr>
            </w:pPr>
            <w:r>
              <w:rPr>
                <w:color w:val="000000"/>
              </w:rPr>
              <w:t> </w:t>
            </w:r>
          </w:p>
        </w:tc>
      </w:tr>
      <w:tr w:rsidR="00A45F2C" w14:paraId="24E34EEB"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4634E0D" w14:textId="77777777" w:rsidR="00A45F2C" w:rsidRDefault="00A45F2C">
            <w:pPr>
              <w:jc w:val="center"/>
              <w:rPr>
                <w:color w:val="000000"/>
              </w:rPr>
            </w:pPr>
            <w:r>
              <w:rPr>
                <w:color w:val="000000"/>
              </w:rPr>
              <w:t>D</w:t>
            </w:r>
            <w:r>
              <w:rPr>
                <w:color w:val="000000"/>
                <w:vertAlign w:val="subscript"/>
              </w:rPr>
              <w:t>0</w:t>
            </w:r>
          </w:p>
        </w:tc>
        <w:tc>
          <w:tcPr>
            <w:tcW w:w="1720" w:type="dxa"/>
            <w:tcBorders>
              <w:top w:val="nil"/>
              <w:left w:val="nil"/>
              <w:bottom w:val="single" w:sz="4" w:space="0" w:color="auto"/>
              <w:right w:val="single" w:sz="4" w:space="0" w:color="auto"/>
            </w:tcBorders>
            <w:shd w:val="clear" w:color="auto" w:fill="auto"/>
            <w:noWrap/>
            <w:vAlign w:val="center"/>
            <w:hideMark/>
          </w:tcPr>
          <w:p w14:paraId="60B61AFE"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45366D0C"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540238FA" w14:textId="77777777" w:rsidR="00A45F2C" w:rsidRDefault="00A45F2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450C3EE"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9797DFE" w14:textId="77777777" w:rsidR="00A45F2C" w:rsidRDefault="00A45F2C">
            <w:pPr>
              <w:jc w:val="center"/>
              <w:rPr>
                <w:color w:val="000000"/>
              </w:rPr>
            </w:pPr>
            <w:r>
              <w:rPr>
                <w:color w:val="000000"/>
              </w:rPr>
              <w:t> </w:t>
            </w:r>
          </w:p>
        </w:tc>
      </w:tr>
      <w:tr w:rsidR="00A45F2C" w14:paraId="4F53DDE8"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F575873" w14:textId="77777777" w:rsidR="00A45F2C" w:rsidRDefault="00A45F2C">
            <w:pPr>
              <w:jc w:val="center"/>
              <w:rPr>
                <w:color w:val="000000"/>
              </w:rPr>
            </w:pPr>
            <w:r>
              <w:rPr>
                <w:color w:val="000000"/>
              </w:rPr>
              <w:t>r</w:t>
            </w:r>
            <w:r>
              <w:rPr>
                <w:color w:val="000000"/>
                <w:vertAlign w:val="subscript"/>
              </w:rPr>
              <w:t>0</w:t>
            </w:r>
          </w:p>
        </w:tc>
        <w:tc>
          <w:tcPr>
            <w:tcW w:w="1720" w:type="dxa"/>
            <w:tcBorders>
              <w:top w:val="nil"/>
              <w:left w:val="nil"/>
              <w:bottom w:val="single" w:sz="4" w:space="0" w:color="auto"/>
              <w:right w:val="single" w:sz="4" w:space="0" w:color="auto"/>
            </w:tcBorders>
            <w:shd w:val="clear" w:color="auto" w:fill="auto"/>
            <w:noWrap/>
            <w:vAlign w:val="center"/>
            <w:hideMark/>
          </w:tcPr>
          <w:p w14:paraId="14E90DC5"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4BC1F7D0"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6B4CB7B5" w14:textId="77777777" w:rsidR="00A45F2C" w:rsidRDefault="00A45F2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9309017"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714AD94" w14:textId="77777777" w:rsidR="00A45F2C" w:rsidRDefault="00A45F2C">
            <w:pPr>
              <w:jc w:val="center"/>
              <w:rPr>
                <w:color w:val="000000"/>
              </w:rPr>
            </w:pPr>
            <w:r>
              <w:rPr>
                <w:color w:val="000000"/>
              </w:rPr>
              <w:t> </w:t>
            </w:r>
          </w:p>
        </w:tc>
      </w:tr>
      <w:tr w:rsidR="00A45F2C" w14:paraId="506D1DE3"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F74F0A2" w14:textId="77777777" w:rsidR="00A45F2C" w:rsidRDefault="00A45F2C">
            <w:pPr>
              <w:jc w:val="center"/>
              <w:rPr>
                <w:color w:val="000000"/>
              </w:rPr>
            </w:pPr>
            <w:r>
              <w:rPr>
                <w:color w:val="000000"/>
              </w:rPr>
              <w:t>E</w:t>
            </w:r>
          </w:p>
        </w:tc>
        <w:tc>
          <w:tcPr>
            <w:tcW w:w="1720" w:type="dxa"/>
            <w:tcBorders>
              <w:top w:val="nil"/>
              <w:left w:val="nil"/>
              <w:bottom w:val="single" w:sz="4" w:space="0" w:color="auto"/>
              <w:right w:val="single" w:sz="4" w:space="0" w:color="auto"/>
            </w:tcBorders>
            <w:shd w:val="clear" w:color="auto" w:fill="auto"/>
            <w:noWrap/>
            <w:vAlign w:val="center"/>
            <w:hideMark/>
          </w:tcPr>
          <w:p w14:paraId="24407183"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74F6F54"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1D6EC0F6" w14:textId="77777777" w:rsidR="00A45F2C" w:rsidRDefault="00A45F2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3CED4FDF"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771DE1D2" w14:textId="77777777" w:rsidR="00A45F2C" w:rsidRDefault="00A45F2C">
            <w:pPr>
              <w:jc w:val="center"/>
              <w:rPr>
                <w:color w:val="000000"/>
              </w:rPr>
            </w:pPr>
            <w:r>
              <w:rPr>
                <w:color w:val="000000"/>
              </w:rPr>
              <w:t> </w:t>
            </w:r>
          </w:p>
        </w:tc>
      </w:tr>
      <w:tr w:rsidR="00A45F2C" w14:paraId="371DABF7"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5207D30" w14:textId="77777777" w:rsidR="00A45F2C" w:rsidRDefault="00A45F2C">
            <w:pPr>
              <w:jc w:val="center"/>
              <w:rPr>
                <w:color w:val="000000"/>
              </w:rPr>
            </w:pPr>
            <w:r>
              <w:rPr>
                <w:color w:val="000000"/>
              </w:rPr>
              <w:t>D(Ti)</w:t>
            </w:r>
          </w:p>
        </w:tc>
        <w:tc>
          <w:tcPr>
            <w:tcW w:w="1720" w:type="dxa"/>
            <w:tcBorders>
              <w:top w:val="nil"/>
              <w:left w:val="nil"/>
              <w:bottom w:val="single" w:sz="4" w:space="0" w:color="auto"/>
              <w:right w:val="single" w:sz="4" w:space="0" w:color="auto"/>
            </w:tcBorders>
            <w:shd w:val="clear" w:color="auto" w:fill="auto"/>
            <w:noWrap/>
            <w:vAlign w:val="center"/>
            <w:hideMark/>
          </w:tcPr>
          <w:p w14:paraId="4A6F473F"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2A0D0731"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50D9AB55" w14:textId="77777777" w:rsidR="00A45F2C" w:rsidRDefault="00A45F2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498EAF20" w14:textId="77777777" w:rsidR="00A45F2C" w:rsidRDefault="00A45F2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1E130E6" w14:textId="77777777" w:rsidR="00A45F2C" w:rsidRDefault="00A45F2C">
            <w:pPr>
              <w:jc w:val="center"/>
              <w:rPr>
                <w:color w:val="000000"/>
              </w:rPr>
            </w:pPr>
            <w:r>
              <w:rPr>
                <w:color w:val="000000"/>
              </w:rPr>
              <w:t> </w:t>
            </w:r>
          </w:p>
        </w:tc>
      </w:tr>
      <w:tr w:rsidR="00A45F2C" w14:paraId="64AE41F5" w14:textId="77777777" w:rsidTr="00A45F2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85AF65B" w14:textId="77777777" w:rsidR="00A45F2C" w:rsidRDefault="00A45F2C">
            <w:pPr>
              <w:jc w:val="center"/>
              <w:rPr>
                <w:color w:val="000000"/>
              </w:rPr>
            </w:pPr>
            <w:r>
              <w:rPr>
                <w:color w:val="000000"/>
              </w:rPr>
              <w:t>Log(ƒO</w:t>
            </w:r>
            <w:r>
              <w:rPr>
                <w:color w:val="000000"/>
                <w:vertAlign w:val="subscript"/>
              </w:rPr>
              <w:t>2</w:t>
            </w: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24A9C073" w14:textId="77777777" w:rsidR="00A45F2C" w:rsidRDefault="00A45F2C">
            <w:pPr>
              <w:jc w:val="center"/>
              <w:rPr>
                <w:color w:val="000000"/>
              </w:rPr>
            </w:pPr>
            <w:r>
              <w:rPr>
                <w:color w:val="000000"/>
              </w:rPr>
              <w:t>-14.54</w:t>
            </w:r>
          </w:p>
        </w:tc>
        <w:tc>
          <w:tcPr>
            <w:tcW w:w="880" w:type="dxa"/>
            <w:tcBorders>
              <w:top w:val="nil"/>
              <w:left w:val="nil"/>
              <w:bottom w:val="single" w:sz="4" w:space="0" w:color="auto"/>
              <w:right w:val="single" w:sz="4" w:space="0" w:color="auto"/>
            </w:tcBorders>
            <w:shd w:val="clear" w:color="auto" w:fill="auto"/>
            <w:noWrap/>
            <w:vAlign w:val="center"/>
            <w:hideMark/>
          </w:tcPr>
          <w:p w14:paraId="1F48C8E2" w14:textId="77777777" w:rsidR="00A45F2C" w:rsidRDefault="00A45F2C">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464F360E" w14:textId="77777777" w:rsidR="00A45F2C" w:rsidRDefault="00A45F2C">
            <w:pPr>
              <w:jc w:val="center"/>
              <w:rPr>
                <w:color w:val="000000"/>
              </w:rPr>
            </w:pPr>
            <w:r>
              <w:rPr>
                <w:color w:val="000000"/>
              </w:rPr>
              <w:t>-9.72</w:t>
            </w:r>
          </w:p>
        </w:tc>
        <w:tc>
          <w:tcPr>
            <w:tcW w:w="1300" w:type="dxa"/>
            <w:tcBorders>
              <w:top w:val="nil"/>
              <w:left w:val="nil"/>
              <w:bottom w:val="single" w:sz="4" w:space="0" w:color="auto"/>
              <w:right w:val="single" w:sz="4" w:space="0" w:color="auto"/>
            </w:tcBorders>
            <w:shd w:val="clear" w:color="auto" w:fill="auto"/>
            <w:noWrap/>
            <w:vAlign w:val="center"/>
            <w:hideMark/>
          </w:tcPr>
          <w:p w14:paraId="67D99A84" w14:textId="77777777" w:rsidR="00A45F2C" w:rsidRDefault="00A45F2C">
            <w:pPr>
              <w:jc w:val="center"/>
              <w:rPr>
                <w:color w:val="000000"/>
              </w:rPr>
            </w:pPr>
            <w:r>
              <w:rPr>
                <w:color w:val="000000"/>
              </w:rPr>
              <w:t>-11.57</w:t>
            </w:r>
          </w:p>
        </w:tc>
        <w:tc>
          <w:tcPr>
            <w:tcW w:w="880" w:type="dxa"/>
            <w:tcBorders>
              <w:top w:val="nil"/>
              <w:left w:val="nil"/>
              <w:bottom w:val="single" w:sz="4" w:space="0" w:color="auto"/>
              <w:right w:val="single" w:sz="4" w:space="0" w:color="auto"/>
            </w:tcBorders>
            <w:shd w:val="clear" w:color="auto" w:fill="auto"/>
            <w:noWrap/>
            <w:vAlign w:val="center"/>
            <w:hideMark/>
          </w:tcPr>
          <w:p w14:paraId="22099538" w14:textId="77777777" w:rsidR="00A45F2C" w:rsidRDefault="00A45F2C">
            <w:pPr>
              <w:jc w:val="center"/>
              <w:rPr>
                <w:color w:val="000000"/>
              </w:rPr>
            </w:pPr>
            <w:r>
              <w:rPr>
                <w:color w:val="000000"/>
              </w:rPr>
              <w:t> </w:t>
            </w:r>
          </w:p>
        </w:tc>
      </w:tr>
      <w:tr w:rsidR="00A45F2C" w14:paraId="303C0D54" w14:textId="77777777" w:rsidTr="00A45F2C">
        <w:trPr>
          <w:trHeight w:val="62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0C255230" w14:textId="77777777" w:rsidR="00A45F2C" w:rsidRDefault="00A45F2C">
            <w:pPr>
              <w:jc w:val="center"/>
              <w:rPr>
                <w:color w:val="000000"/>
              </w:rPr>
            </w:pPr>
            <w:r>
              <w:rPr>
                <w:color w:val="000000"/>
              </w:rPr>
              <w:t>Sample/ Experiment</w:t>
            </w:r>
          </w:p>
        </w:tc>
        <w:tc>
          <w:tcPr>
            <w:tcW w:w="1720" w:type="dxa"/>
            <w:tcBorders>
              <w:top w:val="nil"/>
              <w:left w:val="nil"/>
              <w:bottom w:val="single" w:sz="4" w:space="0" w:color="auto"/>
              <w:right w:val="single" w:sz="4" w:space="0" w:color="auto"/>
            </w:tcBorders>
            <w:shd w:val="clear" w:color="auto" w:fill="auto"/>
            <w:vAlign w:val="center"/>
            <w:hideMark/>
          </w:tcPr>
          <w:p w14:paraId="0ECEAA6C" w14:textId="77777777" w:rsidR="00A45F2C" w:rsidRDefault="00A45F2C">
            <w:pPr>
              <w:jc w:val="center"/>
              <w:rPr>
                <w:color w:val="000000"/>
              </w:rPr>
            </w:pPr>
            <w:r>
              <w:rPr>
                <w:color w:val="000000"/>
              </w:rPr>
              <w:t>LPUM/0.4-1.5 gl HA02-0.8</w:t>
            </w:r>
          </w:p>
        </w:tc>
        <w:tc>
          <w:tcPr>
            <w:tcW w:w="880" w:type="dxa"/>
            <w:tcBorders>
              <w:top w:val="nil"/>
              <w:left w:val="nil"/>
              <w:bottom w:val="single" w:sz="4" w:space="0" w:color="auto"/>
              <w:right w:val="single" w:sz="4" w:space="0" w:color="auto"/>
            </w:tcBorders>
            <w:shd w:val="clear" w:color="auto" w:fill="auto"/>
            <w:vAlign w:val="center"/>
            <w:hideMark/>
          </w:tcPr>
          <w:p w14:paraId="296CA071" w14:textId="77777777" w:rsidR="00A45F2C" w:rsidRDefault="00A45F2C">
            <w:pPr>
              <w:jc w:val="center"/>
              <w:rPr>
                <w:color w:val="000000"/>
              </w:rPr>
            </w:pPr>
            <w:r>
              <w:rPr>
                <w:color w:val="000000"/>
              </w:rPr>
              <w:t>l &amp; m</w:t>
            </w:r>
          </w:p>
        </w:tc>
        <w:tc>
          <w:tcPr>
            <w:tcW w:w="1300" w:type="dxa"/>
            <w:tcBorders>
              <w:top w:val="nil"/>
              <w:left w:val="nil"/>
              <w:bottom w:val="single" w:sz="4" w:space="0" w:color="auto"/>
              <w:right w:val="single" w:sz="4" w:space="0" w:color="auto"/>
            </w:tcBorders>
            <w:shd w:val="clear" w:color="auto" w:fill="auto"/>
            <w:vAlign w:val="center"/>
            <w:hideMark/>
          </w:tcPr>
          <w:p w14:paraId="4753D329" w14:textId="77777777" w:rsidR="00A45F2C" w:rsidRDefault="00A45F2C">
            <w:pPr>
              <w:jc w:val="center"/>
              <w:rPr>
                <w:color w:val="000000"/>
              </w:rPr>
            </w:pPr>
            <w:r>
              <w:rPr>
                <w:color w:val="000000"/>
              </w:rPr>
              <w:t>LPUM0.55 B1288</w:t>
            </w:r>
          </w:p>
        </w:tc>
        <w:tc>
          <w:tcPr>
            <w:tcW w:w="1300" w:type="dxa"/>
            <w:tcBorders>
              <w:top w:val="nil"/>
              <w:left w:val="nil"/>
              <w:bottom w:val="single" w:sz="4" w:space="0" w:color="auto"/>
              <w:right w:val="single" w:sz="4" w:space="0" w:color="auto"/>
            </w:tcBorders>
            <w:shd w:val="clear" w:color="auto" w:fill="auto"/>
            <w:vAlign w:val="center"/>
            <w:hideMark/>
          </w:tcPr>
          <w:p w14:paraId="75D8AA00" w14:textId="77777777" w:rsidR="00A45F2C" w:rsidRDefault="00A45F2C">
            <w:pPr>
              <w:jc w:val="center"/>
              <w:rPr>
                <w:color w:val="000000"/>
              </w:rPr>
            </w:pPr>
            <w:r>
              <w:rPr>
                <w:color w:val="000000"/>
              </w:rPr>
              <w:t>LPUM88 HAO4-5</w:t>
            </w:r>
          </w:p>
        </w:tc>
        <w:tc>
          <w:tcPr>
            <w:tcW w:w="880" w:type="dxa"/>
            <w:tcBorders>
              <w:top w:val="nil"/>
              <w:left w:val="nil"/>
              <w:bottom w:val="single" w:sz="4" w:space="0" w:color="auto"/>
              <w:right w:val="single" w:sz="4" w:space="0" w:color="auto"/>
            </w:tcBorders>
            <w:shd w:val="clear" w:color="auto" w:fill="auto"/>
            <w:vAlign w:val="center"/>
            <w:hideMark/>
          </w:tcPr>
          <w:p w14:paraId="13FEC79A" w14:textId="77777777" w:rsidR="00A45F2C" w:rsidRDefault="00A45F2C">
            <w:pPr>
              <w:jc w:val="center"/>
              <w:rPr>
                <w:color w:val="000000"/>
              </w:rPr>
            </w:pPr>
            <w:r>
              <w:rPr>
                <w:color w:val="000000"/>
              </w:rPr>
              <w:t>l</w:t>
            </w:r>
          </w:p>
        </w:tc>
      </w:tr>
    </w:tbl>
    <w:p w14:paraId="7075F573" w14:textId="77777777" w:rsidR="00957DC6" w:rsidRPr="001D3003" w:rsidRDefault="00957DC6" w:rsidP="00957DC6">
      <w:pPr>
        <w:rPr>
          <w:color w:val="000000" w:themeColor="text1"/>
        </w:rPr>
      </w:pPr>
    </w:p>
    <w:p w14:paraId="1E9534A9" w14:textId="62145CBE" w:rsidR="00957DC6" w:rsidRPr="00A45F2C" w:rsidRDefault="00957DC6" w:rsidP="004830E7">
      <w:pPr>
        <w:rPr>
          <w:i/>
          <w:iCs/>
          <w:color w:val="000000" w:themeColor="text1"/>
        </w:rPr>
      </w:pPr>
      <w:r w:rsidRPr="00557062">
        <w:rPr>
          <w:i/>
          <w:iCs/>
          <w:color w:val="000000" w:themeColor="text1"/>
        </w:rPr>
        <w:br w:type="page"/>
      </w:r>
      <w:r w:rsidRPr="00557062">
        <w:rPr>
          <w:b/>
          <w:bCs/>
        </w:rPr>
        <w:lastRenderedPageBreak/>
        <w:t xml:space="preserve">Table </w:t>
      </w:r>
      <w:r w:rsidR="004C2419">
        <w:rPr>
          <w:b/>
          <w:bCs/>
        </w:rPr>
        <w:t>2.</w:t>
      </w:r>
      <w:r w:rsidRPr="00557062">
        <w:rPr>
          <w:b/>
          <w:bCs/>
        </w:rPr>
        <w:t>2.</w:t>
      </w:r>
      <w:r w:rsidRPr="00557062">
        <w:t xml:space="preserve"> Continued</w:t>
      </w:r>
      <w:r w:rsidR="00C47A39">
        <w:t>.</w:t>
      </w:r>
    </w:p>
    <w:tbl>
      <w:tblPr>
        <w:tblW w:w="8630" w:type="dxa"/>
        <w:tblLook w:val="04A0" w:firstRow="1" w:lastRow="0" w:firstColumn="1" w:lastColumn="0" w:noHBand="0" w:noVBand="1"/>
      </w:tblPr>
      <w:tblGrid>
        <w:gridCol w:w="1435"/>
        <w:gridCol w:w="1175"/>
        <w:gridCol w:w="1287"/>
        <w:gridCol w:w="1702"/>
        <w:gridCol w:w="872"/>
        <w:gridCol w:w="1287"/>
        <w:gridCol w:w="872"/>
      </w:tblGrid>
      <w:tr w:rsidR="00836210" w14:paraId="43599278" w14:textId="77777777" w:rsidTr="00836210">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BECD5" w14:textId="77777777" w:rsidR="00836210" w:rsidRDefault="00836210">
            <w:pPr>
              <w:jc w:val="center"/>
              <w:rPr>
                <w:color w:val="000000"/>
              </w:rPr>
            </w:pPr>
            <w:r>
              <w:rPr>
                <w:color w:val="000000"/>
              </w:rPr>
              <w:t>Element</w:t>
            </w:r>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5C0986B0" w14:textId="0B97BC0D" w:rsidR="00836210" w:rsidRDefault="00836210">
            <w:pPr>
              <w:jc w:val="center"/>
              <w:rPr>
                <w:color w:val="000000"/>
              </w:rPr>
            </w:pPr>
            <w:r>
              <w:rPr>
                <w:color w:val="000000"/>
              </w:rPr>
              <w:t>Cpx (</w:t>
            </w:r>
            <w:r w:rsidR="00747808">
              <w:rPr>
                <w:color w:val="000000"/>
              </w:rPr>
              <w:t>D</w:t>
            </w:r>
            <w:r>
              <w:rPr>
                <w:color w:val="000000"/>
              </w:rPr>
              <w:t>)</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14:paraId="7480E992" w14:textId="71DDA171" w:rsidR="00836210" w:rsidRDefault="00836210">
            <w:pPr>
              <w:jc w:val="center"/>
              <w:rPr>
                <w:color w:val="000000"/>
              </w:rPr>
            </w:pPr>
            <w:r>
              <w:rPr>
                <w:color w:val="000000"/>
              </w:rPr>
              <w:t>Cpx (</w:t>
            </w:r>
            <w:r w:rsidR="00747808">
              <w:rPr>
                <w:color w:val="000000"/>
              </w:rPr>
              <w:t>D</w:t>
            </w:r>
            <w:r>
              <w:rPr>
                <w:color w:val="000000"/>
              </w:rPr>
              <w:t>)</w:t>
            </w:r>
          </w:p>
        </w:tc>
        <w:tc>
          <w:tcPr>
            <w:tcW w:w="1702" w:type="dxa"/>
            <w:tcBorders>
              <w:top w:val="single" w:sz="4" w:space="0" w:color="auto"/>
              <w:left w:val="nil"/>
              <w:bottom w:val="single" w:sz="4" w:space="0" w:color="auto"/>
              <w:right w:val="single" w:sz="4" w:space="0" w:color="auto"/>
            </w:tcBorders>
            <w:shd w:val="clear" w:color="auto" w:fill="auto"/>
            <w:noWrap/>
            <w:vAlign w:val="center"/>
            <w:hideMark/>
          </w:tcPr>
          <w:p w14:paraId="108D8BDD" w14:textId="71C4CF43" w:rsidR="00836210" w:rsidRDefault="00836210">
            <w:pPr>
              <w:jc w:val="center"/>
              <w:rPr>
                <w:color w:val="000000"/>
              </w:rPr>
            </w:pPr>
            <w:r>
              <w:rPr>
                <w:color w:val="000000"/>
              </w:rPr>
              <w:t>Cpx (</w:t>
            </w:r>
            <w:r w:rsidR="00747808">
              <w:rPr>
                <w:color w:val="000000"/>
              </w:rPr>
              <w:t>D</w:t>
            </w:r>
            <w:r>
              <w:rPr>
                <w:color w:val="000000"/>
              </w:rPr>
              <w:t>)</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14:paraId="213B60A6" w14:textId="77777777" w:rsidR="00836210" w:rsidRDefault="00836210">
            <w:pPr>
              <w:jc w:val="center"/>
              <w:rPr>
                <w:color w:val="000000"/>
              </w:rPr>
            </w:pPr>
            <w:r>
              <w:rPr>
                <w:color w:val="000000"/>
              </w:rPr>
              <w:t>ref.</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14:paraId="7DF77F17" w14:textId="6370A15A" w:rsidR="00836210" w:rsidRDefault="00836210">
            <w:pPr>
              <w:jc w:val="center"/>
              <w:rPr>
                <w:color w:val="000000"/>
              </w:rPr>
            </w:pPr>
            <w:r>
              <w:rPr>
                <w:color w:val="000000"/>
              </w:rPr>
              <w:t>Pig (</w:t>
            </w:r>
            <w:r w:rsidR="00747808">
              <w:rPr>
                <w:color w:val="000000"/>
              </w:rPr>
              <w:t>D</w:t>
            </w:r>
            <w:r>
              <w:rPr>
                <w:color w:val="000000"/>
              </w:rPr>
              <w:t>)</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14:paraId="1AD39DCD" w14:textId="77777777" w:rsidR="00836210" w:rsidRDefault="00836210">
            <w:pPr>
              <w:jc w:val="center"/>
              <w:rPr>
                <w:color w:val="000000"/>
              </w:rPr>
            </w:pPr>
            <w:r>
              <w:rPr>
                <w:color w:val="000000"/>
              </w:rPr>
              <w:t>ref.</w:t>
            </w:r>
          </w:p>
        </w:tc>
      </w:tr>
      <w:tr w:rsidR="00836210" w14:paraId="65B0B454"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5E54ECFE" w14:textId="77777777" w:rsidR="00836210" w:rsidRDefault="00836210">
            <w:pPr>
              <w:jc w:val="center"/>
              <w:rPr>
                <w:color w:val="000000"/>
              </w:rPr>
            </w:pPr>
            <w:r>
              <w:rPr>
                <w:color w:val="000000"/>
              </w:rPr>
              <w:t>La</w:t>
            </w:r>
          </w:p>
        </w:tc>
        <w:tc>
          <w:tcPr>
            <w:tcW w:w="1175" w:type="dxa"/>
            <w:tcBorders>
              <w:top w:val="nil"/>
              <w:left w:val="nil"/>
              <w:bottom w:val="single" w:sz="4" w:space="0" w:color="auto"/>
              <w:right w:val="single" w:sz="4" w:space="0" w:color="auto"/>
            </w:tcBorders>
            <w:shd w:val="clear" w:color="auto" w:fill="auto"/>
            <w:noWrap/>
            <w:vAlign w:val="center"/>
            <w:hideMark/>
          </w:tcPr>
          <w:p w14:paraId="7B14BF96" w14:textId="77777777" w:rsidR="00836210" w:rsidRDefault="00836210">
            <w:pPr>
              <w:jc w:val="center"/>
              <w:rPr>
                <w:color w:val="000000"/>
              </w:rPr>
            </w:pPr>
            <w:r>
              <w:rPr>
                <w:color w:val="000000"/>
              </w:rPr>
              <w:t>1.97E-02</w:t>
            </w:r>
          </w:p>
        </w:tc>
        <w:tc>
          <w:tcPr>
            <w:tcW w:w="1287" w:type="dxa"/>
            <w:tcBorders>
              <w:top w:val="nil"/>
              <w:left w:val="nil"/>
              <w:bottom w:val="single" w:sz="4" w:space="0" w:color="auto"/>
              <w:right w:val="single" w:sz="4" w:space="0" w:color="auto"/>
            </w:tcBorders>
            <w:shd w:val="clear" w:color="auto" w:fill="auto"/>
            <w:noWrap/>
            <w:vAlign w:val="center"/>
            <w:hideMark/>
          </w:tcPr>
          <w:p w14:paraId="6606CC3C" w14:textId="77777777" w:rsidR="00836210" w:rsidRDefault="00836210">
            <w:pPr>
              <w:jc w:val="center"/>
              <w:rPr>
                <w:color w:val="000000"/>
              </w:rPr>
            </w:pPr>
            <w:r>
              <w:rPr>
                <w:color w:val="000000"/>
              </w:rPr>
              <w:t>2.37E-02</w:t>
            </w:r>
          </w:p>
        </w:tc>
        <w:tc>
          <w:tcPr>
            <w:tcW w:w="1702" w:type="dxa"/>
            <w:tcBorders>
              <w:top w:val="nil"/>
              <w:left w:val="nil"/>
              <w:bottom w:val="single" w:sz="4" w:space="0" w:color="auto"/>
              <w:right w:val="single" w:sz="4" w:space="0" w:color="auto"/>
            </w:tcBorders>
            <w:shd w:val="clear" w:color="auto" w:fill="auto"/>
            <w:noWrap/>
            <w:vAlign w:val="center"/>
            <w:hideMark/>
          </w:tcPr>
          <w:p w14:paraId="2DD6059F" w14:textId="77777777" w:rsidR="00836210" w:rsidRDefault="00836210">
            <w:pPr>
              <w:jc w:val="center"/>
              <w:rPr>
                <w:color w:val="000000"/>
              </w:rPr>
            </w:pPr>
            <w:r>
              <w:rPr>
                <w:color w:val="000000"/>
              </w:rPr>
              <w:t>3.44E-02</w:t>
            </w:r>
          </w:p>
        </w:tc>
        <w:tc>
          <w:tcPr>
            <w:tcW w:w="872" w:type="dxa"/>
            <w:tcBorders>
              <w:top w:val="nil"/>
              <w:left w:val="nil"/>
              <w:bottom w:val="single" w:sz="4" w:space="0" w:color="auto"/>
              <w:right w:val="single" w:sz="4" w:space="0" w:color="auto"/>
            </w:tcBorders>
            <w:shd w:val="clear" w:color="auto" w:fill="auto"/>
            <w:noWrap/>
            <w:vAlign w:val="center"/>
            <w:hideMark/>
          </w:tcPr>
          <w:p w14:paraId="06A266DA"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1F50749E" w14:textId="77777777" w:rsidR="00836210" w:rsidRDefault="00836210">
            <w:pPr>
              <w:jc w:val="center"/>
              <w:rPr>
                <w:color w:val="000000"/>
              </w:rPr>
            </w:pPr>
            <w:r>
              <w:rPr>
                <w:color w:val="000000"/>
              </w:rPr>
              <w:t>5.68E-03</w:t>
            </w:r>
          </w:p>
        </w:tc>
        <w:tc>
          <w:tcPr>
            <w:tcW w:w="872" w:type="dxa"/>
            <w:tcBorders>
              <w:top w:val="nil"/>
              <w:left w:val="nil"/>
              <w:bottom w:val="single" w:sz="4" w:space="0" w:color="auto"/>
              <w:right w:val="single" w:sz="4" w:space="0" w:color="auto"/>
            </w:tcBorders>
            <w:shd w:val="clear" w:color="auto" w:fill="auto"/>
            <w:noWrap/>
            <w:vAlign w:val="center"/>
            <w:hideMark/>
          </w:tcPr>
          <w:p w14:paraId="6C968672" w14:textId="77777777" w:rsidR="00836210" w:rsidRDefault="00836210">
            <w:pPr>
              <w:jc w:val="center"/>
              <w:rPr>
                <w:color w:val="000000"/>
              </w:rPr>
            </w:pPr>
            <w:r>
              <w:rPr>
                <w:color w:val="000000"/>
              </w:rPr>
              <w:t>g, Cal.</w:t>
            </w:r>
          </w:p>
        </w:tc>
      </w:tr>
      <w:tr w:rsidR="00836210" w14:paraId="0C39A909"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4702F087" w14:textId="77777777" w:rsidR="00836210" w:rsidRDefault="00836210">
            <w:pPr>
              <w:jc w:val="center"/>
              <w:rPr>
                <w:color w:val="000000"/>
              </w:rPr>
            </w:pPr>
            <w:r>
              <w:rPr>
                <w:color w:val="000000"/>
              </w:rPr>
              <w:t>Ce</w:t>
            </w:r>
          </w:p>
        </w:tc>
        <w:tc>
          <w:tcPr>
            <w:tcW w:w="1175" w:type="dxa"/>
            <w:tcBorders>
              <w:top w:val="nil"/>
              <w:left w:val="nil"/>
              <w:bottom w:val="single" w:sz="4" w:space="0" w:color="auto"/>
              <w:right w:val="single" w:sz="4" w:space="0" w:color="auto"/>
            </w:tcBorders>
            <w:shd w:val="clear" w:color="auto" w:fill="auto"/>
            <w:noWrap/>
            <w:vAlign w:val="center"/>
            <w:hideMark/>
          </w:tcPr>
          <w:p w14:paraId="56D2481A" w14:textId="77777777" w:rsidR="00836210" w:rsidRDefault="00836210">
            <w:pPr>
              <w:jc w:val="center"/>
              <w:rPr>
                <w:color w:val="000000"/>
              </w:rPr>
            </w:pPr>
            <w:r>
              <w:rPr>
                <w:color w:val="000000"/>
              </w:rPr>
              <w:t>2.87E-02</w:t>
            </w:r>
          </w:p>
        </w:tc>
        <w:tc>
          <w:tcPr>
            <w:tcW w:w="1287" w:type="dxa"/>
            <w:tcBorders>
              <w:top w:val="nil"/>
              <w:left w:val="nil"/>
              <w:bottom w:val="single" w:sz="4" w:space="0" w:color="auto"/>
              <w:right w:val="single" w:sz="4" w:space="0" w:color="auto"/>
            </w:tcBorders>
            <w:shd w:val="clear" w:color="auto" w:fill="auto"/>
            <w:noWrap/>
            <w:vAlign w:val="center"/>
            <w:hideMark/>
          </w:tcPr>
          <w:p w14:paraId="5C24FE36" w14:textId="77777777" w:rsidR="00836210" w:rsidRDefault="00836210">
            <w:pPr>
              <w:jc w:val="center"/>
              <w:rPr>
                <w:color w:val="000000"/>
              </w:rPr>
            </w:pPr>
            <w:r>
              <w:rPr>
                <w:color w:val="000000"/>
              </w:rPr>
              <w:t>3.52E-02</w:t>
            </w:r>
          </w:p>
        </w:tc>
        <w:tc>
          <w:tcPr>
            <w:tcW w:w="1702" w:type="dxa"/>
            <w:tcBorders>
              <w:top w:val="nil"/>
              <w:left w:val="nil"/>
              <w:bottom w:val="single" w:sz="4" w:space="0" w:color="auto"/>
              <w:right w:val="single" w:sz="4" w:space="0" w:color="auto"/>
            </w:tcBorders>
            <w:shd w:val="clear" w:color="auto" w:fill="auto"/>
            <w:noWrap/>
            <w:vAlign w:val="center"/>
            <w:hideMark/>
          </w:tcPr>
          <w:p w14:paraId="1239459F" w14:textId="77777777" w:rsidR="00836210" w:rsidRDefault="00836210">
            <w:pPr>
              <w:jc w:val="center"/>
              <w:rPr>
                <w:color w:val="000000"/>
              </w:rPr>
            </w:pPr>
            <w:r>
              <w:rPr>
                <w:color w:val="000000"/>
              </w:rPr>
              <w:t>5.29E-02</w:t>
            </w:r>
          </w:p>
        </w:tc>
        <w:tc>
          <w:tcPr>
            <w:tcW w:w="872" w:type="dxa"/>
            <w:tcBorders>
              <w:top w:val="nil"/>
              <w:left w:val="nil"/>
              <w:bottom w:val="single" w:sz="4" w:space="0" w:color="auto"/>
              <w:right w:val="single" w:sz="4" w:space="0" w:color="auto"/>
            </w:tcBorders>
            <w:shd w:val="clear" w:color="auto" w:fill="auto"/>
            <w:noWrap/>
            <w:vAlign w:val="center"/>
            <w:hideMark/>
          </w:tcPr>
          <w:p w14:paraId="3A309CBC"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75F9A612" w14:textId="77777777" w:rsidR="00836210" w:rsidRDefault="00836210">
            <w:pPr>
              <w:jc w:val="center"/>
              <w:rPr>
                <w:color w:val="000000"/>
              </w:rPr>
            </w:pPr>
            <w:r>
              <w:rPr>
                <w:color w:val="000000"/>
              </w:rPr>
              <w:t>1.15E-02</w:t>
            </w:r>
          </w:p>
        </w:tc>
        <w:tc>
          <w:tcPr>
            <w:tcW w:w="872" w:type="dxa"/>
            <w:tcBorders>
              <w:top w:val="nil"/>
              <w:left w:val="nil"/>
              <w:bottom w:val="single" w:sz="4" w:space="0" w:color="auto"/>
              <w:right w:val="single" w:sz="4" w:space="0" w:color="auto"/>
            </w:tcBorders>
            <w:shd w:val="clear" w:color="auto" w:fill="auto"/>
            <w:noWrap/>
            <w:vAlign w:val="center"/>
            <w:hideMark/>
          </w:tcPr>
          <w:p w14:paraId="0564EF36" w14:textId="77777777" w:rsidR="00836210" w:rsidRDefault="00836210">
            <w:pPr>
              <w:jc w:val="center"/>
              <w:rPr>
                <w:color w:val="000000"/>
              </w:rPr>
            </w:pPr>
            <w:r>
              <w:rPr>
                <w:color w:val="000000"/>
              </w:rPr>
              <w:t>g, Cal.</w:t>
            </w:r>
          </w:p>
        </w:tc>
      </w:tr>
      <w:tr w:rsidR="00836210" w14:paraId="7EFE7FFF"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1B167D83" w14:textId="77777777" w:rsidR="00836210" w:rsidRDefault="00836210">
            <w:pPr>
              <w:jc w:val="center"/>
              <w:rPr>
                <w:color w:val="000000"/>
              </w:rPr>
            </w:pPr>
            <w:r>
              <w:rPr>
                <w:color w:val="000000"/>
              </w:rPr>
              <w:t>Pr</w:t>
            </w:r>
          </w:p>
        </w:tc>
        <w:tc>
          <w:tcPr>
            <w:tcW w:w="1175" w:type="dxa"/>
            <w:tcBorders>
              <w:top w:val="nil"/>
              <w:left w:val="nil"/>
              <w:bottom w:val="single" w:sz="4" w:space="0" w:color="auto"/>
              <w:right w:val="single" w:sz="4" w:space="0" w:color="auto"/>
            </w:tcBorders>
            <w:shd w:val="clear" w:color="auto" w:fill="auto"/>
            <w:noWrap/>
            <w:vAlign w:val="center"/>
            <w:hideMark/>
          </w:tcPr>
          <w:p w14:paraId="48D9C9C1" w14:textId="77777777" w:rsidR="00836210" w:rsidRDefault="00836210">
            <w:pPr>
              <w:jc w:val="center"/>
              <w:rPr>
                <w:color w:val="000000"/>
              </w:rPr>
            </w:pPr>
            <w:r>
              <w:rPr>
                <w:color w:val="000000"/>
              </w:rPr>
              <w:t>3.98E-02</w:t>
            </w:r>
          </w:p>
        </w:tc>
        <w:tc>
          <w:tcPr>
            <w:tcW w:w="1287" w:type="dxa"/>
            <w:tcBorders>
              <w:top w:val="nil"/>
              <w:left w:val="nil"/>
              <w:bottom w:val="single" w:sz="4" w:space="0" w:color="auto"/>
              <w:right w:val="single" w:sz="4" w:space="0" w:color="auto"/>
            </w:tcBorders>
            <w:shd w:val="clear" w:color="auto" w:fill="auto"/>
            <w:noWrap/>
            <w:vAlign w:val="center"/>
            <w:hideMark/>
          </w:tcPr>
          <w:p w14:paraId="661DCFAC" w14:textId="77777777" w:rsidR="00836210" w:rsidRDefault="00836210">
            <w:pPr>
              <w:jc w:val="center"/>
              <w:rPr>
                <w:color w:val="000000"/>
              </w:rPr>
            </w:pPr>
            <w:r>
              <w:rPr>
                <w:color w:val="000000"/>
              </w:rPr>
              <w:t>4.97E-02</w:t>
            </w:r>
          </w:p>
        </w:tc>
        <w:tc>
          <w:tcPr>
            <w:tcW w:w="1702" w:type="dxa"/>
            <w:tcBorders>
              <w:top w:val="nil"/>
              <w:left w:val="nil"/>
              <w:bottom w:val="single" w:sz="4" w:space="0" w:color="auto"/>
              <w:right w:val="single" w:sz="4" w:space="0" w:color="auto"/>
            </w:tcBorders>
            <w:shd w:val="clear" w:color="auto" w:fill="auto"/>
            <w:noWrap/>
            <w:vAlign w:val="center"/>
            <w:hideMark/>
          </w:tcPr>
          <w:p w14:paraId="20B4DC2B" w14:textId="77777777" w:rsidR="00836210" w:rsidRDefault="00836210">
            <w:pPr>
              <w:jc w:val="center"/>
              <w:rPr>
                <w:color w:val="000000"/>
              </w:rPr>
            </w:pPr>
            <w:r>
              <w:rPr>
                <w:color w:val="000000"/>
              </w:rPr>
              <w:t>7.70E-02</w:t>
            </w:r>
          </w:p>
        </w:tc>
        <w:tc>
          <w:tcPr>
            <w:tcW w:w="872" w:type="dxa"/>
            <w:tcBorders>
              <w:top w:val="nil"/>
              <w:left w:val="nil"/>
              <w:bottom w:val="single" w:sz="4" w:space="0" w:color="auto"/>
              <w:right w:val="single" w:sz="4" w:space="0" w:color="auto"/>
            </w:tcBorders>
            <w:shd w:val="clear" w:color="auto" w:fill="auto"/>
            <w:noWrap/>
            <w:vAlign w:val="center"/>
            <w:hideMark/>
          </w:tcPr>
          <w:p w14:paraId="556F1990"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22348F24" w14:textId="77777777" w:rsidR="00836210" w:rsidRDefault="00836210">
            <w:pPr>
              <w:jc w:val="center"/>
              <w:rPr>
                <w:color w:val="000000"/>
              </w:rPr>
            </w:pPr>
            <w:r>
              <w:rPr>
                <w:color w:val="000000"/>
              </w:rPr>
              <w:t>2.05E-02</w:t>
            </w:r>
          </w:p>
        </w:tc>
        <w:tc>
          <w:tcPr>
            <w:tcW w:w="872" w:type="dxa"/>
            <w:tcBorders>
              <w:top w:val="nil"/>
              <w:left w:val="nil"/>
              <w:bottom w:val="single" w:sz="4" w:space="0" w:color="auto"/>
              <w:right w:val="single" w:sz="4" w:space="0" w:color="auto"/>
            </w:tcBorders>
            <w:shd w:val="clear" w:color="auto" w:fill="auto"/>
            <w:noWrap/>
            <w:vAlign w:val="center"/>
            <w:hideMark/>
          </w:tcPr>
          <w:p w14:paraId="55642C26" w14:textId="77777777" w:rsidR="00836210" w:rsidRDefault="00836210">
            <w:pPr>
              <w:jc w:val="center"/>
              <w:rPr>
                <w:color w:val="000000"/>
              </w:rPr>
            </w:pPr>
            <w:r>
              <w:rPr>
                <w:color w:val="000000"/>
              </w:rPr>
              <w:t>g, Cal.</w:t>
            </w:r>
          </w:p>
        </w:tc>
      </w:tr>
      <w:tr w:rsidR="00836210" w14:paraId="0A2C6A8F"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048163CF" w14:textId="77777777" w:rsidR="00836210" w:rsidRDefault="00836210">
            <w:pPr>
              <w:jc w:val="center"/>
              <w:rPr>
                <w:color w:val="000000"/>
              </w:rPr>
            </w:pPr>
            <w:r>
              <w:rPr>
                <w:color w:val="000000"/>
              </w:rPr>
              <w:t>Nd</w:t>
            </w:r>
          </w:p>
        </w:tc>
        <w:tc>
          <w:tcPr>
            <w:tcW w:w="1175" w:type="dxa"/>
            <w:tcBorders>
              <w:top w:val="nil"/>
              <w:left w:val="nil"/>
              <w:bottom w:val="single" w:sz="4" w:space="0" w:color="auto"/>
              <w:right w:val="single" w:sz="4" w:space="0" w:color="auto"/>
            </w:tcBorders>
            <w:shd w:val="clear" w:color="auto" w:fill="auto"/>
            <w:noWrap/>
            <w:vAlign w:val="center"/>
            <w:hideMark/>
          </w:tcPr>
          <w:p w14:paraId="72DEAD93" w14:textId="77777777" w:rsidR="00836210" w:rsidRDefault="00836210">
            <w:pPr>
              <w:jc w:val="center"/>
              <w:rPr>
                <w:color w:val="000000"/>
              </w:rPr>
            </w:pPr>
            <w:r>
              <w:rPr>
                <w:color w:val="000000"/>
              </w:rPr>
              <w:t>5.28E-02</w:t>
            </w:r>
          </w:p>
        </w:tc>
        <w:tc>
          <w:tcPr>
            <w:tcW w:w="1287" w:type="dxa"/>
            <w:tcBorders>
              <w:top w:val="nil"/>
              <w:left w:val="nil"/>
              <w:bottom w:val="single" w:sz="4" w:space="0" w:color="auto"/>
              <w:right w:val="single" w:sz="4" w:space="0" w:color="auto"/>
            </w:tcBorders>
            <w:shd w:val="clear" w:color="auto" w:fill="auto"/>
            <w:noWrap/>
            <w:vAlign w:val="center"/>
            <w:hideMark/>
          </w:tcPr>
          <w:p w14:paraId="63B5D524" w14:textId="77777777" w:rsidR="00836210" w:rsidRDefault="00836210">
            <w:pPr>
              <w:jc w:val="center"/>
              <w:rPr>
                <w:color w:val="000000"/>
              </w:rPr>
            </w:pPr>
            <w:r>
              <w:rPr>
                <w:color w:val="000000"/>
              </w:rPr>
              <w:t>6.70E-02</w:t>
            </w:r>
          </w:p>
        </w:tc>
        <w:tc>
          <w:tcPr>
            <w:tcW w:w="1702" w:type="dxa"/>
            <w:tcBorders>
              <w:top w:val="nil"/>
              <w:left w:val="nil"/>
              <w:bottom w:val="single" w:sz="4" w:space="0" w:color="auto"/>
              <w:right w:val="single" w:sz="4" w:space="0" w:color="auto"/>
            </w:tcBorders>
            <w:shd w:val="clear" w:color="auto" w:fill="auto"/>
            <w:noWrap/>
            <w:vAlign w:val="center"/>
            <w:hideMark/>
          </w:tcPr>
          <w:p w14:paraId="51BE9FEB" w14:textId="77777777" w:rsidR="00836210" w:rsidRDefault="00836210">
            <w:pPr>
              <w:jc w:val="center"/>
              <w:rPr>
                <w:color w:val="000000"/>
              </w:rPr>
            </w:pPr>
            <w:r>
              <w:rPr>
                <w:color w:val="000000"/>
              </w:rPr>
              <w:t>1.06E-01</w:t>
            </w:r>
          </w:p>
        </w:tc>
        <w:tc>
          <w:tcPr>
            <w:tcW w:w="872" w:type="dxa"/>
            <w:tcBorders>
              <w:top w:val="nil"/>
              <w:left w:val="nil"/>
              <w:bottom w:val="single" w:sz="4" w:space="0" w:color="auto"/>
              <w:right w:val="single" w:sz="4" w:space="0" w:color="auto"/>
            </w:tcBorders>
            <w:shd w:val="clear" w:color="auto" w:fill="auto"/>
            <w:noWrap/>
            <w:vAlign w:val="center"/>
            <w:hideMark/>
          </w:tcPr>
          <w:p w14:paraId="1909CC0C"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27E59B63" w14:textId="77777777" w:rsidR="00836210" w:rsidRDefault="00836210">
            <w:pPr>
              <w:jc w:val="center"/>
              <w:rPr>
                <w:color w:val="000000"/>
              </w:rPr>
            </w:pPr>
            <w:r>
              <w:rPr>
                <w:color w:val="000000"/>
              </w:rPr>
              <w:t>2.47E-02</w:t>
            </w:r>
          </w:p>
        </w:tc>
        <w:tc>
          <w:tcPr>
            <w:tcW w:w="872" w:type="dxa"/>
            <w:tcBorders>
              <w:top w:val="nil"/>
              <w:left w:val="nil"/>
              <w:bottom w:val="single" w:sz="4" w:space="0" w:color="auto"/>
              <w:right w:val="single" w:sz="4" w:space="0" w:color="auto"/>
            </w:tcBorders>
            <w:shd w:val="clear" w:color="auto" w:fill="auto"/>
            <w:noWrap/>
            <w:vAlign w:val="center"/>
            <w:hideMark/>
          </w:tcPr>
          <w:p w14:paraId="2E86F331" w14:textId="77777777" w:rsidR="00836210" w:rsidRDefault="00836210">
            <w:pPr>
              <w:jc w:val="center"/>
              <w:rPr>
                <w:color w:val="000000"/>
              </w:rPr>
            </w:pPr>
            <w:r>
              <w:rPr>
                <w:color w:val="000000"/>
              </w:rPr>
              <w:t>g, Cal.</w:t>
            </w:r>
          </w:p>
        </w:tc>
      </w:tr>
      <w:tr w:rsidR="00836210" w14:paraId="45E491C7"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65009590" w14:textId="77777777" w:rsidR="00836210" w:rsidRDefault="00836210">
            <w:pPr>
              <w:jc w:val="center"/>
              <w:rPr>
                <w:color w:val="000000"/>
              </w:rPr>
            </w:pPr>
            <w:r>
              <w:rPr>
                <w:color w:val="000000"/>
              </w:rPr>
              <w:t>Sm</w:t>
            </w:r>
          </w:p>
        </w:tc>
        <w:tc>
          <w:tcPr>
            <w:tcW w:w="1175" w:type="dxa"/>
            <w:tcBorders>
              <w:top w:val="nil"/>
              <w:left w:val="nil"/>
              <w:bottom w:val="single" w:sz="4" w:space="0" w:color="auto"/>
              <w:right w:val="single" w:sz="4" w:space="0" w:color="auto"/>
            </w:tcBorders>
            <w:shd w:val="clear" w:color="auto" w:fill="auto"/>
            <w:noWrap/>
            <w:vAlign w:val="center"/>
            <w:hideMark/>
          </w:tcPr>
          <w:p w14:paraId="62769631" w14:textId="77777777" w:rsidR="00836210" w:rsidRDefault="00836210">
            <w:pPr>
              <w:jc w:val="center"/>
              <w:rPr>
                <w:color w:val="000000"/>
              </w:rPr>
            </w:pPr>
            <w:r>
              <w:rPr>
                <w:color w:val="000000"/>
              </w:rPr>
              <w:t>7.80E-02</w:t>
            </w:r>
          </w:p>
        </w:tc>
        <w:tc>
          <w:tcPr>
            <w:tcW w:w="1287" w:type="dxa"/>
            <w:tcBorders>
              <w:top w:val="nil"/>
              <w:left w:val="nil"/>
              <w:bottom w:val="single" w:sz="4" w:space="0" w:color="auto"/>
              <w:right w:val="single" w:sz="4" w:space="0" w:color="auto"/>
            </w:tcBorders>
            <w:shd w:val="clear" w:color="auto" w:fill="auto"/>
            <w:noWrap/>
            <w:vAlign w:val="center"/>
            <w:hideMark/>
          </w:tcPr>
          <w:p w14:paraId="7A6CD0AE" w14:textId="77777777" w:rsidR="00836210" w:rsidRDefault="00836210">
            <w:pPr>
              <w:jc w:val="center"/>
              <w:rPr>
                <w:color w:val="000000"/>
              </w:rPr>
            </w:pPr>
            <w:r>
              <w:rPr>
                <w:color w:val="000000"/>
              </w:rPr>
              <w:t>1.01E-01</w:t>
            </w:r>
          </w:p>
        </w:tc>
        <w:tc>
          <w:tcPr>
            <w:tcW w:w="1702" w:type="dxa"/>
            <w:tcBorders>
              <w:top w:val="nil"/>
              <w:left w:val="nil"/>
              <w:bottom w:val="single" w:sz="4" w:space="0" w:color="auto"/>
              <w:right w:val="single" w:sz="4" w:space="0" w:color="auto"/>
            </w:tcBorders>
            <w:shd w:val="clear" w:color="auto" w:fill="auto"/>
            <w:noWrap/>
            <w:vAlign w:val="center"/>
            <w:hideMark/>
          </w:tcPr>
          <w:p w14:paraId="3B8E9F38" w14:textId="77777777" w:rsidR="00836210" w:rsidRDefault="00836210">
            <w:pPr>
              <w:jc w:val="center"/>
              <w:rPr>
                <w:color w:val="000000"/>
              </w:rPr>
            </w:pPr>
            <w:r>
              <w:rPr>
                <w:color w:val="000000"/>
              </w:rPr>
              <w:t>1.67E-01</w:t>
            </w:r>
          </w:p>
        </w:tc>
        <w:tc>
          <w:tcPr>
            <w:tcW w:w="872" w:type="dxa"/>
            <w:tcBorders>
              <w:top w:val="nil"/>
              <w:left w:val="nil"/>
              <w:bottom w:val="single" w:sz="4" w:space="0" w:color="auto"/>
              <w:right w:val="single" w:sz="4" w:space="0" w:color="auto"/>
            </w:tcBorders>
            <w:shd w:val="clear" w:color="auto" w:fill="auto"/>
            <w:noWrap/>
            <w:vAlign w:val="center"/>
            <w:hideMark/>
          </w:tcPr>
          <w:p w14:paraId="697EF27F"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4629D318" w14:textId="77777777" w:rsidR="00836210" w:rsidRDefault="00836210">
            <w:pPr>
              <w:jc w:val="center"/>
              <w:rPr>
                <w:color w:val="000000"/>
              </w:rPr>
            </w:pPr>
            <w:r>
              <w:rPr>
                <w:color w:val="000000"/>
              </w:rPr>
              <w:t>3.44E-02</w:t>
            </w:r>
          </w:p>
        </w:tc>
        <w:tc>
          <w:tcPr>
            <w:tcW w:w="872" w:type="dxa"/>
            <w:tcBorders>
              <w:top w:val="nil"/>
              <w:left w:val="nil"/>
              <w:bottom w:val="single" w:sz="4" w:space="0" w:color="auto"/>
              <w:right w:val="single" w:sz="4" w:space="0" w:color="auto"/>
            </w:tcBorders>
            <w:shd w:val="clear" w:color="auto" w:fill="auto"/>
            <w:noWrap/>
            <w:vAlign w:val="center"/>
            <w:hideMark/>
          </w:tcPr>
          <w:p w14:paraId="4D941B35" w14:textId="77777777" w:rsidR="00836210" w:rsidRDefault="00836210">
            <w:pPr>
              <w:jc w:val="center"/>
              <w:rPr>
                <w:color w:val="000000"/>
              </w:rPr>
            </w:pPr>
            <w:r>
              <w:rPr>
                <w:color w:val="000000"/>
              </w:rPr>
              <w:t>g, Cal.</w:t>
            </w:r>
          </w:p>
        </w:tc>
      </w:tr>
      <w:tr w:rsidR="00836210" w14:paraId="4649702D"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6CB94ABE" w14:textId="77777777" w:rsidR="00836210" w:rsidRDefault="00836210">
            <w:pPr>
              <w:jc w:val="center"/>
              <w:rPr>
                <w:color w:val="000000"/>
              </w:rPr>
            </w:pPr>
            <w:r>
              <w:rPr>
                <w:color w:val="000000"/>
              </w:rPr>
              <w:t>Eu</w:t>
            </w:r>
          </w:p>
        </w:tc>
        <w:tc>
          <w:tcPr>
            <w:tcW w:w="1175" w:type="dxa"/>
            <w:tcBorders>
              <w:top w:val="nil"/>
              <w:left w:val="nil"/>
              <w:bottom w:val="single" w:sz="4" w:space="0" w:color="auto"/>
              <w:right w:val="single" w:sz="4" w:space="0" w:color="auto"/>
            </w:tcBorders>
            <w:shd w:val="clear" w:color="auto" w:fill="auto"/>
            <w:noWrap/>
            <w:vAlign w:val="center"/>
            <w:hideMark/>
          </w:tcPr>
          <w:p w14:paraId="1B7557DB" w14:textId="77777777" w:rsidR="00836210" w:rsidRDefault="00836210">
            <w:pPr>
              <w:jc w:val="center"/>
              <w:rPr>
                <w:color w:val="000000"/>
              </w:rPr>
            </w:pPr>
            <w:r>
              <w:rPr>
                <w:color w:val="000000"/>
              </w:rPr>
              <w:t>1.68E-01</w:t>
            </w:r>
          </w:p>
        </w:tc>
        <w:tc>
          <w:tcPr>
            <w:tcW w:w="1287" w:type="dxa"/>
            <w:tcBorders>
              <w:top w:val="nil"/>
              <w:left w:val="nil"/>
              <w:bottom w:val="single" w:sz="4" w:space="0" w:color="auto"/>
              <w:right w:val="single" w:sz="4" w:space="0" w:color="auto"/>
            </w:tcBorders>
            <w:shd w:val="clear" w:color="auto" w:fill="auto"/>
            <w:noWrap/>
            <w:vAlign w:val="center"/>
            <w:hideMark/>
          </w:tcPr>
          <w:p w14:paraId="7FB837B5" w14:textId="77777777" w:rsidR="00836210" w:rsidRDefault="00836210">
            <w:pPr>
              <w:jc w:val="center"/>
              <w:rPr>
                <w:color w:val="000000"/>
              </w:rPr>
            </w:pPr>
            <w:r>
              <w:rPr>
                <w:color w:val="000000"/>
              </w:rPr>
              <w:t>1.73E-01</w:t>
            </w:r>
          </w:p>
        </w:tc>
        <w:tc>
          <w:tcPr>
            <w:tcW w:w="1702" w:type="dxa"/>
            <w:tcBorders>
              <w:top w:val="nil"/>
              <w:left w:val="nil"/>
              <w:bottom w:val="single" w:sz="4" w:space="0" w:color="auto"/>
              <w:right w:val="single" w:sz="4" w:space="0" w:color="auto"/>
            </w:tcBorders>
            <w:shd w:val="clear" w:color="auto" w:fill="auto"/>
            <w:noWrap/>
            <w:vAlign w:val="center"/>
            <w:hideMark/>
          </w:tcPr>
          <w:p w14:paraId="593E2213" w14:textId="77777777" w:rsidR="00836210" w:rsidRDefault="00836210">
            <w:pPr>
              <w:jc w:val="center"/>
              <w:rPr>
                <w:color w:val="000000"/>
              </w:rPr>
            </w:pPr>
            <w:r>
              <w:rPr>
                <w:color w:val="000000"/>
              </w:rPr>
              <w:t>2.08E-01</w:t>
            </w:r>
          </w:p>
        </w:tc>
        <w:tc>
          <w:tcPr>
            <w:tcW w:w="872" w:type="dxa"/>
            <w:tcBorders>
              <w:top w:val="nil"/>
              <w:left w:val="nil"/>
              <w:bottom w:val="single" w:sz="4" w:space="0" w:color="auto"/>
              <w:right w:val="single" w:sz="4" w:space="0" w:color="auto"/>
            </w:tcBorders>
            <w:shd w:val="clear" w:color="auto" w:fill="auto"/>
            <w:noWrap/>
            <w:vAlign w:val="center"/>
            <w:hideMark/>
          </w:tcPr>
          <w:p w14:paraId="3FAE0E8A" w14:textId="77777777" w:rsidR="00836210" w:rsidRDefault="00836210">
            <w:pPr>
              <w:jc w:val="center"/>
              <w:rPr>
                <w:color w:val="000000"/>
              </w:rPr>
            </w:pPr>
            <w:r>
              <w:rPr>
                <w:color w:val="000000"/>
              </w:rPr>
              <w:t>e, Cal.</w:t>
            </w:r>
          </w:p>
        </w:tc>
        <w:tc>
          <w:tcPr>
            <w:tcW w:w="1287" w:type="dxa"/>
            <w:tcBorders>
              <w:top w:val="nil"/>
              <w:left w:val="nil"/>
              <w:bottom w:val="single" w:sz="4" w:space="0" w:color="auto"/>
              <w:right w:val="single" w:sz="4" w:space="0" w:color="auto"/>
            </w:tcBorders>
            <w:shd w:val="clear" w:color="auto" w:fill="auto"/>
            <w:noWrap/>
            <w:vAlign w:val="center"/>
            <w:hideMark/>
          </w:tcPr>
          <w:p w14:paraId="1370A398" w14:textId="77777777" w:rsidR="00836210" w:rsidRDefault="00836210">
            <w:pPr>
              <w:jc w:val="center"/>
              <w:rPr>
                <w:color w:val="000000"/>
              </w:rPr>
            </w:pPr>
            <w:r>
              <w:rPr>
                <w:color w:val="000000"/>
              </w:rPr>
              <w:t>5.84E-02</w:t>
            </w:r>
          </w:p>
        </w:tc>
        <w:tc>
          <w:tcPr>
            <w:tcW w:w="872" w:type="dxa"/>
            <w:tcBorders>
              <w:top w:val="nil"/>
              <w:left w:val="nil"/>
              <w:bottom w:val="single" w:sz="4" w:space="0" w:color="auto"/>
              <w:right w:val="single" w:sz="4" w:space="0" w:color="auto"/>
            </w:tcBorders>
            <w:shd w:val="clear" w:color="auto" w:fill="auto"/>
            <w:noWrap/>
            <w:vAlign w:val="center"/>
            <w:hideMark/>
          </w:tcPr>
          <w:p w14:paraId="6340C16D" w14:textId="77777777" w:rsidR="00836210" w:rsidRDefault="00836210">
            <w:pPr>
              <w:jc w:val="center"/>
              <w:rPr>
                <w:color w:val="000000"/>
              </w:rPr>
            </w:pPr>
            <w:r>
              <w:rPr>
                <w:color w:val="000000"/>
              </w:rPr>
              <w:t>g, Cal.</w:t>
            </w:r>
          </w:p>
        </w:tc>
      </w:tr>
      <w:tr w:rsidR="00836210" w14:paraId="02AA846E"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0A6158AD" w14:textId="77777777" w:rsidR="00836210" w:rsidRDefault="00836210">
            <w:pPr>
              <w:jc w:val="center"/>
              <w:rPr>
                <w:color w:val="000000"/>
              </w:rPr>
            </w:pPr>
            <w:r>
              <w:rPr>
                <w:color w:val="000000"/>
              </w:rPr>
              <w:t>Gd</w:t>
            </w:r>
          </w:p>
        </w:tc>
        <w:tc>
          <w:tcPr>
            <w:tcW w:w="1175" w:type="dxa"/>
            <w:tcBorders>
              <w:top w:val="nil"/>
              <w:left w:val="nil"/>
              <w:bottom w:val="single" w:sz="4" w:space="0" w:color="auto"/>
              <w:right w:val="single" w:sz="4" w:space="0" w:color="auto"/>
            </w:tcBorders>
            <w:shd w:val="clear" w:color="auto" w:fill="auto"/>
            <w:noWrap/>
            <w:vAlign w:val="center"/>
            <w:hideMark/>
          </w:tcPr>
          <w:p w14:paraId="53938EA8" w14:textId="77777777" w:rsidR="00836210" w:rsidRDefault="00836210">
            <w:pPr>
              <w:jc w:val="center"/>
              <w:rPr>
                <w:color w:val="000000"/>
              </w:rPr>
            </w:pPr>
            <w:r>
              <w:rPr>
                <w:color w:val="000000"/>
              </w:rPr>
              <w:t>9.83E-02</w:t>
            </w:r>
          </w:p>
        </w:tc>
        <w:tc>
          <w:tcPr>
            <w:tcW w:w="1287" w:type="dxa"/>
            <w:tcBorders>
              <w:top w:val="nil"/>
              <w:left w:val="nil"/>
              <w:bottom w:val="single" w:sz="4" w:space="0" w:color="auto"/>
              <w:right w:val="single" w:sz="4" w:space="0" w:color="auto"/>
            </w:tcBorders>
            <w:shd w:val="clear" w:color="auto" w:fill="auto"/>
            <w:noWrap/>
            <w:vAlign w:val="center"/>
            <w:hideMark/>
          </w:tcPr>
          <w:p w14:paraId="5ED4AA81" w14:textId="77777777" w:rsidR="00836210" w:rsidRDefault="00836210">
            <w:pPr>
              <w:jc w:val="center"/>
              <w:rPr>
                <w:color w:val="000000"/>
              </w:rPr>
            </w:pPr>
            <w:r>
              <w:rPr>
                <w:color w:val="000000"/>
              </w:rPr>
              <w:t>1.29E-01</w:t>
            </w:r>
          </w:p>
        </w:tc>
        <w:tc>
          <w:tcPr>
            <w:tcW w:w="1702" w:type="dxa"/>
            <w:tcBorders>
              <w:top w:val="nil"/>
              <w:left w:val="nil"/>
              <w:bottom w:val="single" w:sz="4" w:space="0" w:color="auto"/>
              <w:right w:val="single" w:sz="4" w:space="0" w:color="auto"/>
            </w:tcBorders>
            <w:shd w:val="clear" w:color="auto" w:fill="auto"/>
            <w:noWrap/>
            <w:vAlign w:val="center"/>
            <w:hideMark/>
          </w:tcPr>
          <w:p w14:paraId="1F9E1126" w14:textId="77777777" w:rsidR="00836210" w:rsidRDefault="00836210">
            <w:pPr>
              <w:jc w:val="center"/>
              <w:rPr>
                <w:color w:val="000000"/>
              </w:rPr>
            </w:pPr>
            <w:r>
              <w:rPr>
                <w:color w:val="000000"/>
              </w:rPr>
              <w:t>2.17E-01</w:t>
            </w:r>
          </w:p>
        </w:tc>
        <w:tc>
          <w:tcPr>
            <w:tcW w:w="872" w:type="dxa"/>
            <w:tcBorders>
              <w:top w:val="nil"/>
              <w:left w:val="nil"/>
              <w:bottom w:val="single" w:sz="4" w:space="0" w:color="auto"/>
              <w:right w:val="single" w:sz="4" w:space="0" w:color="auto"/>
            </w:tcBorders>
            <w:shd w:val="clear" w:color="auto" w:fill="auto"/>
            <w:noWrap/>
            <w:vAlign w:val="center"/>
            <w:hideMark/>
          </w:tcPr>
          <w:p w14:paraId="0E04A311"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62F088DB" w14:textId="77777777" w:rsidR="00836210" w:rsidRDefault="00836210">
            <w:pPr>
              <w:jc w:val="center"/>
              <w:rPr>
                <w:color w:val="000000"/>
              </w:rPr>
            </w:pPr>
            <w:r>
              <w:rPr>
                <w:color w:val="000000"/>
              </w:rPr>
              <w:t>7.03E-02</w:t>
            </w:r>
          </w:p>
        </w:tc>
        <w:tc>
          <w:tcPr>
            <w:tcW w:w="872" w:type="dxa"/>
            <w:tcBorders>
              <w:top w:val="nil"/>
              <w:left w:val="nil"/>
              <w:bottom w:val="single" w:sz="4" w:space="0" w:color="auto"/>
              <w:right w:val="single" w:sz="4" w:space="0" w:color="auto"/>
            </w:tcBorders>
            <w:shd w:val="clear" w:color="auto" w:fill="auto"/>
            <w:noWrap/>
            <w:vAlign w:val="center"/>
            <w:hideMark/>
          </w:tcPr>
          <w:p w14:paraId="40BF36EA" w14:textId="77777777" w:rsidR="00836210" w:rsidRDefault="00836210">
            <w:pPr>
              <w:jc w:val="center"/>
              <w:rPr>
                <w:color w:val="000000"/>
              </w:rPr>
            </w:pPr>
            <w:r>
              <w:rPr>
                <w:color w:val="000000"/>
              </w:rPr>
              <w:t>g, Cal.</w:t>
            </w:r>
          </w:p>
        </w:tc>
      </w:tr>
      <w:tr w:rsidR="00836210" w14:paraId="0E6C331B"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62A72622" w14:textId="77777777" w:rsidR="00836210" w:rsidRDefault="00836210">
            <w:pPr>
              <w:jc w:val="center"/>
              <w:rPr>
                <w:color w:val="000000"/>
              </w:rPr>
            </w:pPr>
            <w:r>
              <w:rPr>
                <w:color w:val="000000"/>
              </w:rPr>
              <w:t>Tb</w:t>
            </w:r>
          </w:p>
        </w:tc>
        <w:tc>
          <w:tcPr>
            <w:tcW w:w="1175" w:type="dxa"/>
            <w:tcBorders>
              <w:top w:val="nil"/>
              <w:left w:val="nil"/>
              <w:bottom w:val="single" w:sz="4" w:space="0" w:color="auto"/>
              <w:right w:val="single" w:sz="4" w:space="0" w:color="auto"/>
            </w:tcBorders>
            <w:shd w:val="clear" w:color="auto" w:fill="auto"/>
            <w:noWrap/>
            <w:vAlign w:val="center"/>
            <w:hideMark/>
          </w:tcPr>
          <w:p w14:paraId="416ECCB5" w14:textId="77777777" w:rsidR="00836210" w:rsidRDefault="00836210">
            <w:pPr>
              <w:jc w:val="center"/>
              <w:rPr>
                <w:color w:val="000000"/>
              </w:rPr>
            </w:pPr>
            <w:r>
              <w:rPr>
                <w:color w:val="000000"/>
              </w:rPr>
              <w:t>1.07E-01</w:t>
            </w:r>
          </w:p>
        </w:tc>
        <w:tc>
          <w:tcPr>
            <w:tcW w:w="1287" w:type="dxa"/>
            <w:tcBorders>
              <w:top w:val="nil"/>
              <w:left w:val="nil"/>
              <w:bottom w:val="single" w:sz="4" w:space="0" w:color="auto"/>
              <w:right w:val="single" w:sz="4" w:space="0" w:color="auto"/>
            </w:tcBorders>
            <w:shd w:val="clear" w:color="auto" w:fill="auto"/>
            <w:noWrap/>
            <w:vAlign w:val="center"/>
            <w:hideMark/>
          </w:tcPr>
          <w:p w14:paraId="52B00AE1" w14:textId="77777777" w:rsidR="00836210" w:rsidRDefault="00836210">
            <w:pPr>
              <w:jc w:val="center"/>
              <w:rPr>
                <w:color w:val="000000"/>
              </w:rPr>
            </w:pPr>
            <w:r>
              <w:rPr>
                <w:color w:val="000000"/>
              </w:rPr>
              <w:t>1.41E-01</w:t>
            </w:r>
          </w:p>
        </w:tc>
        <w:tc>
          <w:tcPr>
            <w:tcW w:w="1702" w:type="dxa"/>
            <w:tcBorders>
              <w:top w:val="nil"/>
              <w:left w:val="nil"/>
              <w:bottom w:val="single" w:sz="4" w:space="0" w:color="auto"/>
              <w:right w:val="single" w:sz="4" w:space="0" w:color="auto"/>
            </w:tcBorders>
            <w:shd w:val="clear" w:color="auto" w:fill="auto"/>
            <w:noWrap/>
            <w:vAlign w:val="center"/>
            <w:hideMark/>
          </w:tcPr>
          <w:p w14:paraId="469E2C62" w14:textId="77777777" w:rsidR="00836210" w:rsidRDefault="00836210">
            <w:pPr>
              <w:jc w:val="center"/>
              <w:rPr>
                <w:color w:val="000000"/>
              </w:rPr>
            </w:pPr>
            <w:r>
              <w:rPr>
                <w:color w:val="000000"/>
              </w:rPr>
              <w:t>2.38E-01</w:t>
            </w:r>
          </w:p>
        </w:tc>
        <w:tc>
          <w:tcPr>
            <w:tcW w:w="872" w:type="dxa"/>
            <w:tcBorders>
              <w:top w:val="nil"/>
              <w:left w:val="nil"/>
              <w:bottom w:val="single" w:sz="4" w:space="0" w:color="auto"/>
              <w:right w:val="single" w:sz="4" w:space="0" w:color="auto"/>
            </w:tcBorders>
            <w:shd w:val="clear" w:color="auto" w:fill="auto"/>
            <w:noWrap/>
            <w:vAlign w:val="center"/>
            <w:hideMark/>
          </w:tcPr>
          <w:p w14:paraId="3D1992DA"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19239A93" w14:textId="77777777" w:rsidR="00836210" w:rsidRDefault="00836210">
            <w:pPr>
              <w:jc w:val="center"/>
              <w:rPr>
                <w:color w:val="000000"/>
              </w:rPr>
            </w:pPr>
            <w:r>
              <w:rPr>
                <w:color w:val="000000"/>
              </w:rPr>
              <w:t>9.37E-02</w:t>
            </w:r>
          </w:p>
        </w:tc>
        <w:tc>
          <w:tcPr>
            <w:tcW w:w="872" w:type="dxa"/>
            <w:tcBorders>
              <w:top w:val="nil"/>
              <w:left w:val="nil"/>
              <w:bottom w:val="single" w:sz="4" w:space="0" w:color="auto"/>
              <w:right w:val="single" w:sz="4" w:space="0" w:color="auto"/>
            </w:tcBorders>
            <w:shd w:val="clear" w:color="auto" w:fill="auto"/>
            <w:noWrap/>
            <w:vAlign w:val="center"/>
            <w:hideMark/>
          </w:tcPr>
          <w:p w14:paraId="05EDCA07" w14:textId="77777777" w:rsidR="00836210" w:rsidRDefault="00836210">
            <w:pPr>
              <w:jc w:val="center"/>
              <w:rPr>
                <w:color w:val="000000"/>
              </w:rPr>
            </w:pPr>
            <w:r>
              <w:rPr>
                <w:color w:val="000000"/>
              </w:rPr>
              <w:t>g, Cal.</w:t>
            </w:r>
          </w:p>
        </w:tc>
      </w:tr>
      <w:tr w:rsidR="00836210" w14:paraId="5E3CEB58"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67F14E00" w14:textId="77777777" w:rsidR="00836210" w:rsidRDefault="00836210">
            <w:pPr>
              <w:jc w:val="center"/>
              <w:rPr>
                <w:color w:val="000000"/>
              </w:rPr>
            </w:pPr>
            <w:r>
              <w:rPr>
                <w:color w:val="000000"/>
              </w:rPr>
              <w:t>Dy</w:t>
            </w:r>
          </w:p>
        </w:tc>
        <w:tc>
          <w:tcPr>
            <w:tcW w:w="1175" w:type="dxa"/>
            <w:tcBorders>
              <w:top w:val="nil"/>
              <w:left w:val="nil"/>
              <w:bottom w:val="single" w:sz="4" w:space="0" w:color="auto"/>
              <w:right w:val="single" w:sz="4" w:space="0" w:color="auto"/>
            </w:tcBorders>
            <w:shd w:val="clear" w:color="auto" w:fill="auto"/>
            <w:noWrap/>
            <w:vAlign w:val="center"/>
            <w:hideMark/>
          </w:tcPr>
          <w:p w14:paraId="2F4A42DF" w14:textId="77777777" w:rsidR="00836210" w:rsidRDefault="00836210">
            <w:pPr>
              <w:jc w:val="center"/>
              <w:rPr>
                <w:color w:val="000000"/>
              </w:rPr>
            </w:pPr>
            <w:r>
              <w:rPr>
                <w:color w:val="000000"/>
              </w:rPr>
              <w:t>1.13E-01</w:t>
            </w:r>
          </w:p>
        </w:tc>
        <w:tc>
          <w:tcPr>
            <w:tcW w:w="1287" w:type="dxa"/>
            <w:tcBorders>
              <w:top w:val="nil"/>
              <w:left w:val="nil"/>
              <w:bottom w:val="single" w:sz="4" w:space="0" w:color="auto"/>
              <w:right w:val="single" w:sz="4" w:space="0" w:color="auto"/>
            </w:tcBorders>
            <w:shd w:val="clear" w:color="auto" w:fill="auto"/>
            <w:noWrap/>
            <w:vAlign w:val="center"/>
            <w:hideMark/>
          </w:tcPr>
          <w:p w14:paraId="4EF43BEE" w14:textId="77777777" w:rsidR="00836210" w:rsidRDefault="00836210">
            <w:pPr>
              <w:jc w:val="center"/>
              <w:rPr>
                <w:color w:val="000000"/>
              </w:rPr>
            </w:pPr>
            <w:r>
              <w:rPr>
                <w:color w:val="000000"/>
              </w:rPr>
              <w:t>1.49E-01</w:t>
            </w:r>
          </w:p>
        </w:tc>
        <w:tc>
          <w:tcPr>
            <w:tcW w:w="1702" w:type="dxa"/>
            <w:tcBorders>
              <w:top w:val="nil"/>
              <w:left w:val="nil"/>
              <w:bottom w:val="single" w:sz="4" w:space="0" w:color="auto"/>
              <w:right w:val="single" w:sz="4" w:space="0" w:color="auto"/>
            </w:tcBorders>
            <w:shd w:val="clear" w:color="auto" w:fill="auto"/>
            <w:noWrap/>
            <w:vAlign w:val="center"/>
            <w:hideMark/>
          </w:tcPr>
          <w:p w14:paraId="0AABE7EA" w14:textId="77777777" w:rsidR="00836210" w:rsidRDefault="00836210">
            <w:pPr>
              <w:jc w:val="center"/>
              <w:rPr>
                <w:color w:val="000000"/>
              </w:rPr>
            </w:pPr>
            <w:r>
              <w:rPr>
                <w:color w:val="000000"/>
              </w:rPr>
              <w:t>2.54E-01</w:t>
            </w:r>
          </w:p>
        </w:tc>
        <w:tc>
          <w:tcPr>
            <w:tcW w:w="872" w:type="dxa"/>
            <w:tcBorders>
              <w:top w:val="nil"/>
              <w:left w:val="nil"/>
              <w:bottom w:val="single" w:sz="4" w:space="0" w:color="auto"/>
              <w:right w:val="single" w:sz="4" w:space="0" w:color="auto"/>
            </w:tcBorders>
            <w:shd w:val="clear" w:color="auto" w:fill="auto"/>
            <w:noWrap/>
            <w:vAlign w:val="center"/>
            <w:hideMark/>
          </w:tcPr>
          <w:p w14:paraId="7FECB64C"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371A8DF3" w14:textId="77777777" w:rsidR="00836210" w:rsidRDefault="00836210">
            <w:pPr>
              <w:jc w:val="center"/>
              <w:rPr>
                <w:color w:val="000000"/>
              </w:rPr>
            </w:pPr>
            <w:r>
              <w:rPr>
                <w:color w:val="000000"/>
              </w:rPr>
              <w:t>1.14E-01</w:t>
            </w:r>
          </w:p>
        </w:tc>
        <w:tc>
          <w:tcPr>
            <w:tcW w:w="872" w:type="dxa"/>
            <w:tcBorders>
              <w:top w:val="nil"/>
              <w:left w:val="nil"/>
              <w:bottom w:val="single" w:sz="4" w:space="0" w:color="auto"/>
              <w:right w:val="single" w:sz="4" w:space="0" w:color="auto"/>
            </w:tcBorders>
            <w:shd w:val="clear" w:color="auto" w:fill="auto"/>
            <w:noWrap/>
            <w:vAlign w:val="center"/>
            <w:hideMark/>
          </w:tcPr>
          <w:p w14:paraId="10C4855D" w14:textId="77777777" w:rsidR="00836210" w:rsidRDefault="00836210">
            <w:pPr>
              <w:jc w:val="center"/>
              <w:rPr>
                <w:color w:val="000000"/>
              </w:rPr>
            </w:pPr>
            <w:r>
              <w:rPr>
                <w:color w:val="000000"/>
              </w:rPr>
              <w:t>g, Cal.</w:t>
            </w:r>
          </w:p>
        </w:tc>
      </w:tr>
      <w:tr w:rsidR="00836210" w14:paraId="43DB82A9"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621D6F66" w14:textId="77777777" w:rsidR="00836210" w:rsidRDefault="00836210">
            <w:pPr>
              <w:jc w:val="center"/>
              <w:rPr>
                <w:color w:val="000000"/>
              </w:rPr>
            </w:pPr>
            <w:r>
              <w:rPr>
                <w:color w:val="000000"/>
              </w:rPr>
              <w:t>Y</w:t>
            </w:r>
          </w:p>
        </w:tc>
        <w:tc>
          <w:tcPr>
            <w:tcW w:w="1175" w:type="dxa"/>
            <w:tcBorders>
              <w:top w:val="nil"/>
              <w:left w:val="nil"/>
              <w:bottom w:val="single" w:sz="4" w:space="0" w:color="auto"/>
              <w:right w:val="single" w:sz="4" w:space="0" w:color="auto"/>
            </w:tcBorders>
            <w:shd w:val="clear" w:color="auto" w:fill="auto"/>
            <w:noWrap/>
            <w:vAlign w:val="center"/>
            <w:hideMark/>
          </w:tcPr>
          <w:p w14:paraId="1E47937E" w14:textId="77777777" w:rsidR="00836210" w:rsidRDefault="00836210">
            <w:pPr>
              <w:jc w:val="center"/>
              <w:rPr>
                <w:color w:val="000000"/>
              </w:rPr>
            </w:pPr>
            <w:r>
              <w:rPr>
                <w:color w:val="000000"/>
              </w:rPr>
              <w:t>1.15E-01</w:t>
            </w:r>
          </w:p>
        </w:tc>
        <w:tc>
          <w:tcPr>
            <w:tcW w:w="1287" w:type="dxa"/>
            <w:tcBorders>
              <w:top w:val="nil"/>
              <w:left w:val="nil"/>
              <w:bottom w:val="single" w:sz="4" w:space="0" w:color="auto"/>
              <w:right w:val="single" w:sz="4" w:space="0" w:color="auto"/>
            </w:tcBorders>
            <w:shd w:val="clear" w:color="auto" w:fill="auto"/>
            <w:noWrap/>
            <w:vAlign w:val="center"/>
            <w:hideMark/>
          </w:tcPr>
          <w:p w14:paraId="3AF210C8" w14:textId="77777777" w:rsidR="00836210" w:rsidRDefault="00836210">
            <w:pPr>
              <w:jc w:val="center"/>
              <w:rPr>
                <w:color w:val="000000"/>
              </w:rPr>
            </w:pPr>
            <w:r>
              <w:rPr>
                <w:color w:val="000000"/>
              </w:rPr>
              <w:t>1.53E-01</w:t>
            </w:r>
          </w:p>
        </w:tc>
        <w:tc>
          <w:tcPr>
            <w:tcW w:w="1702" w:type="dxa"/>
            <w:tcBorders>
              <w:top w:val="nil"/>
              <w:left w:val="nil"/>
              <w:bottom w:val="single" w:sz="4" w:space="0" w:color="auto"/>
              <w:right w:val="single" w:sz="4" w:space="0" w:color="auto"/>
            </w:tcBorders>
            <w:shd w:val="clear" w:color="auto" w:fill="auto"/>
            <w:noWrap/>
            <w:vAlign w:val="center"/>
            <w:hideMark/>
          </w:tcPr>
          <w:p w14:paraId="737A917C" w14:textId="77777777" w:rsidR="00836210" w:rsidRDefault="00836210">
            <w:pPr>
              <w:jc w:val="center"/>
              <w:rPr>
                <w:color w:val="000000"/>
              </w:rPr>
            </w:pPr>
            <w:r>
              <w:rPr>
                <w:color w:val="000000"/>
              </w:rPr>
              <w:t>2.61E-01</w:t>
            </w:r>
          </w:p>
        </w:tc>
        <w:tc>
          <w:tcPr>
            <w:tcW w:w="872" w:type="dxa"/>
            <w:tcBorders>
              <w:top w:val="nil"/>
              <w:left w:val="nil"/>
              <w:bottom w:val="single" w:sz="4" w:space="0" w:color="auto"/>
              <w:right w:val="single" w:sz="4" w:space="0" w:color="auto"/>
            </w:tcBorders>
            <w:shd w:val="clear" w:color="auto" w:fill="auto"/>
            <w:noWrap/>
            <w:vAlign w:val="center"/>
            <w:hideMark/>
          </w:tcPr>
          <w:p w14:paraId="402C312A"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7A67007B" w14:textId="77777777" w:rsidR="00836210" w:rsidRDefault="00836210">
            <w:pPr>
              <w:jc w:val="center"/>
              <w:rPr>
                <w:color w:val="000000"/>
              </w:rPr>
            </w:pPr>
            <w:r>
              <w:rPr>
                <w:color w:val="000000"/>
              </w:rPr>
              <w:t>1.37E-01</w:t>
            </w:r>
          </w:p>
        </w:tc>
        <w:tc>
          <w:tcPr>
            <w:tcW w:w="872" w:type="dxa"/>
            <w:tcBorders>
              <w:top w:val="nil"/>
              <w:left w:val="nil"/>
              <w:bottom w:val="single" w:sz="4" w:space="0" w:color="auto"/>
              <w:right w:val="single" w:sz="4" w:space="0" w:color="auto"/>
            </w:tcBorders>
            <w:shd w:val="clear" w:color="auto" w:fill="auto"/>
            <w:noWrap/>
            <w:vAlign w:val="center"/>
            <w:hideMark/>
          </w:tcPr>
          <w:p w14:paraId="5C8A61EC" w14:textId="77777777" w:rsidR="00836210" w:rsidRDefault="00836210">
            <w:pPr>
              <w:jc w:val="center"/>
              <w:rPr>
                <w:color w:val="000000"/>
              </w:rPr>
            </w:pPr>
            <w:r>
              <w:rPr>
                <w:color w:val="000000"/>
              </w:rPr>
              <w:t>g, Cal.</w:t>
            </w:r>
          </w:p>
        </w:tc>
      </w:tr>
      <w:tr w:rsidR="00836210" w14:paraId="3C2FDB4D"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573064C3" w14:textId="77777777" w:rsidR="00836210" w:rsidRDefault="00836210">
            <w:pPr>
              <w:jc w:val="center"/>
              <w:rPr>
                <w:color w:val="000000"/>
              </w:rPr>
            </w:pPr>
            <w:r>
              <w:rPr>
                <w:color w:val="000000"/>
              </w:rPr>
              <w:t>Ho</w:t>
            </w:r>
          </w:p>
        </w:tc>
        <w:tc>
          <w:tcPr>
            <w:tcW w:w="1175" w:type="dxa"/>
            <w:tcBorders>
              <w:top w:val="nil"/>
              <w:left w:val="nil"/>
              <w:bottom w:val="single" w:sz="4" w:space="0" w:color="auto"/>
              <w:right w:val="single" w:sz="4" w:space="0" w:color="auto"/>
            </w:tcBorders>
            <w:shd w:val="clear" w:color="auto" w:fill="auto"/>
            <w:noWrap/>
            <w:vAlign w:val="center"/>
            <w:hideMark/>
          </w:tcPr>
          <w:p w14:paraId="76965EBC" w14:textId="77777777" w:rsidR="00836210" w:rsidRDefault="00836210">
            <w:pPr>
              <w:jc w:val="center"/>
              <w:rPr>
                <w:color w:val="000000"/>
              </w:rPr>
            </w:pPr>
            <w:r>
              <w:rPr>
                <w:color w:val="000000"/>
              </w:rPr>
              <w:t>1.17E-01</w:t>
            </w:r>
          </w:p>
        </w:tc>
        <w:tc>
          <w:tcPr>
            <w:tcW w:w="1287" w:type="dxa"/>
            <w:tcBorders>
              <w:top w:val="nil"/>
              <w:left w:val="nil"/>
              <w:bottom w:val="single" w:sz="4" w:space="0" w:color="auto"/>
              <w:right w:val="single" w:sz="4" w:space="0" w:color="auto"/>
            </w:tcBorders>
            <w:shd w:val="clear" w:color="auto" w:fill="auto"/>
            <w:noWrap/>
            <w:vAlign w:val="center"/>
            <w:hideMark/>
          </w:tcPr>
          <w:p w14:paraId="01BD4098" w14:textId="77777777" w:rsidR="00836210" w:rsidRDefault="00836210">
            <w:pPr>
              <w:jc w:val="center"/>
              <w:rPr>
                <w:color w:val="000000"/>
              </w:rPr>
            </w:pPr>
            <w:r>
              <w:rPr>
                <w:color w:val="000000"/>
              </w:rPr>
              <w:t>1.55E-01</w:t>
            </w:r>
          </w:p>
        </w:tc>
        <w:tc>
          <w:tcPr>
            <w:tcW w:w="1702" w:type="dxa"/>
            <w:tcBorders>
              <w:top w:val="nil"/>
              <w:left w:val="nil"/>
              <w:bottom w:val="single" w:sz="4" w:space="0" w:color="auto"/>
              <w:right w:val="single" w:sz="4" w:space="0" w:color="auto"/>
            </w:tcBorders>
            <w:shd w:val="clear" w:color="auto" w:fill="auto"/>
            <w:noWrap/>
            <w:vAlign w:val="center"/>
            <w:hideMark/>
          </w:tcPr>
          <w:p w14:paraId="5463C914" w14:textId="77777777" w:rsidR="00836210" w:rsidRDefault="00836210">
            <w:pPr>
              <w:jc w:val="center"/>
              <w:rPr>
                <w:color w:val="000000"/>
              </w:rPr>
            </w:pPr>
            <w:r>
              <w:rPr>
                <w:color w:val="000000"/>
              </w:rPr>
              <w:t>2.64E-01</w:t>
            </w:r>
          </w:p>
        </w:tc>
        <w:tc>
          <w:tcPr>
            <w:tcW w:w="872" w:type="dxa"/>
            <w:tcBorders>
              <w:top w:val="nil"/>
              <w:left w:val="nil"/>
              <w:bottom w:val="single" w:sz="4" w:space="0" w:color="auto"/>
              <w:right w:val="single" w:sz="4" w:space="0" w:color="auto"/>
            </w:tcBorders>
            <w:shd w:val="clear" w:color="auto" w:fill="auto"/>
            <w:noWrap/>
            <w:vAlign w:val="center"/>
            <w:hideMark/>
          </w:tcPr>
          <w:p w14:paraId="1325F783"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32950EA5" w14:textId="77777777" w:rsidR="00836210" w:rsidRDefault="00836210">
            <w:pPr>
              <w:jc w:val="center"/>
              <w:rPr>
                <w:color w:val="000000"/>
              </w:rPr>
            </w:pPr>
            <w:r>
              <w:rPr>
                <w:color w:val="000000"/>
              </w:rPr>
              <w:t>1.35E-01</w:t>
            </w:r>
          </w:p>
        </w:tc>
        <w:tc>
          <w:tcPr>
            <w:tcW w:w="872" w:type="dxa"/>
            <w:tcBorders>
              <w:top w:val="nil"/>
              <w:left w:val="nil"/>
              <w:bottom w:val="single" w:sz="4" w:space="0" w:color="auto"/>
              <w:right w:val="single" w:sz="4" w:space="0" w:color="auto"/>
            </w:tcBorders>
            <w:shd w:val="clear" w:color="auto" w:fill="auto"/>
            <w:noWrap/>
            <w:vAlign w:val="center"/>
            <w:hideMark/>
          </w:tcPr>
          <w:p w14:paraId="1B5F904F" w14:textId="77777777" w:rsidR="00836210" w:rsidRDefault="00836210">
            <w:pPr>
              <w:jc w:val="center"/>
              <w:rPr>
                <w:color w:val="000000"/>
              </w:rPr>
            </w:pPr>
            <w:r>
              <w:rPr>
                <w:color w:val="000000"/>
              </w:rPr>
              <w:t>g, Cal.</w:t>
            </w:r>
          </w:p>
        </w:tc>
      </w:tr>
      <w:tr w:rsidR="00836210" w14:paraId="5095D395"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12FCE015" w14:textId="77777777" w:rsidR="00836210" w:rsidRDefault="00836210">
            <w:pPr>
              <w:jc w:val="center"/>
              <w:rPr>
                <w:color w:val="000000"/>
              </w:rPr>
            </w:pPr>
            <w:r>
              <w:rPr>
                <w:color w:val="000000"/>
              </w:rPr>
              <w:t>Er</w:t>
            </w:r>
          </w:p>
        </w:tc>
        <w:tc>
          <w:tcPr>
            <w:tcW w:w="1175" w:type="dxa"/>
            <w:tcBorders>
              <w:top w:val="nil"/>
              <w:left w:val="nil"/>
              <w:bottom w:val="single" w:sz="4" w:space="0" w:color="auto"/>
              <w:right w:val="single" w:sz="4" w:space="0" w:color="auto"/>
            </w:tcBorders>
            <w:shd w:val="clear" w:color="auto" w:fill="auto"/>
            <w:noWrap/>
            <w:vAlign w:val="center"/>
            <w:hideMark/>
          </w:tcPr>
          <w:p w14:paraId="0A2D4792" w14:textId="77777777" w:rsidR="00836210" w:rsidRDefault="00836210">
            <w:pPr>
              <w:jc w:val="center"/>
              <w:rPr>
                <w:color w:val="000000"/>
              </w:rPr>
            </w:pPr>
            <w:r>
              <w:rPr>
                <w:color w:val="000000"/>
              </w:rPr>
              <w:t>1.18E-01</w:t>
            </w:r>
          </w:p>
        </w:tc>
        <w:tc>
          <w:tcPr>
            <w:tcW w:w="1287" w:type="dxa"/>
            <w:tcBorders>
              <w:top w:val="nil"/>
              <w:left w:val="nil"/>
              <w:bottom w:val="single" w:sz="4" w:space="0" w:color="auto"/>
              <w:right w:val="single" w:sz="4" w:space="0" w:color="auto"/>
            </w:tcBorders>
            <w:shd w:val="clear" w:color="auto" w:fill="auto"/>
            <w:noWrap/>
            <w:vAlign w:val="center"/>
            <w:hideMark/>
          </w:tcPr>
          <w:p w14:paraId="061F5986" w14:textId="77777777" w:rsidR="00836210" w:rsidRDefault="00836210">
            <w:pPr>
              <w:jc w:val="center"/>
              <w:rPr>
                <w:color w:val="000000"/>
              </w:rPr>
            </w:pPr>
            <w:r>
              <w:rPr>
                <w:color w:val="000000"/>
              </w:rPr>
              <w:t>1.57E-01</w:t>
            </w:r>
          </w:p>
        </w:tc>
        <w:tc>
          <w:tcPr>
            <w:tcW w:w="1702" w:type="dxa"/>
            <w:tcBorders>
              <w:top w:val="nil"/>
              <w:left w:val="nil"/>
              <w:bottom w:val="single" w:sz="4" w:space="0" w:color="auto"/>
              <w:right w:val="single" w:sz="4" w:space="0" w:color="auto"/>
            </w:tcBorders>
            <w:shd w:val="clear" w:color="auto" w:fill="auto"/>
            <w:noWrap/>
            <w:vAlign w:val="center"/>
            <w:hideMark/>
          </w:tcPr>
          <w:p w14:paraId="7BBA26F8" w14:textId="77777777" w:rsidR="00836210" w:rsidRDefault="00836210">
            <w:pPr>
              <w:jc w:val="center"/>
              <w:rPr>
                <w:color w:val="000000"/>
              </w:rPr>
            </w:pPr>
            <w:r>
              <w:rPr>
                <w:color w:val="000000"/>
              </w:rPr>
              <w:t>2.68E-01</w:t>
            </w:r>
          </w:p>
        </w:tc>
        <w:tc>
          <w:tcPr>
            <w:tcW w:w="872" w:type="dxa"/>
            <w:tcBorders>
              <w:top w:val="nil"/>
              <w:left w:val="nil"/>
              <w:bottom w:val="single" w:sz="4" w:space="0" w:color="auto"/>
              <w:right w:val="single" w:sz="4" w:space="0" w:color="auto"/>
            </w:tcBorders>
            <w:shd w:val="clear" w:color="auto" w:fill="auto"/>
            <w:noWrap/>
            <w:vAlign w:val="center"/>
            <w:hideMark/>
          </w:tcPr>
          <w:p w14:paraId="2F75E843"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595C2908" w14:textId="77777777" w:rsidR="00836210" w:rsidRDefault="00836210">
            <w:pPr>
              <w:jc w:val="center"/>
              <w:rPr>
                <w:color w:val="000000"/>
              </w:rPr>
            </w:pPr>
            <w:r>
              <w:rPr>
                <w:color w:val="000000"/>
              </w:rPr>
              <w:t>1.59E-01</w:t>
            </w:r>
          </w:p>
        </w:tc>
        <w:tc>
          <w:tcPr>
            <w:tcW w:w="872" w:type="dxa"/>
            <w:tcBorders>
              <w:top w:val="nil"/>
              <w:left w:val="nil"/>
              <w:bottom w:val="single" w:sz="4" w:space="0" w:color="auto"/>
              <w:right w:val="single" w:sz="4" w:space="0" w:color="auto"/>
            </w:tcBorders>
            <w:shd w:val="clear" w:color="auto" w:fill="auto"/>
            <w:noWrap/>
            <w:vAlign w:val="center"/>
            <w:hideMark/>
          </w:tcPr>
          <w:p w14:paraId="3F9EF7D1" w14:textId="77777777" w:rsidR="00836210" w:rsidRDefault="00836210">
            <w:pPr>
              <w:jc w:val="center"/>
              <w:rPr>
                <w:color w:val="000000"/>
              </w:rPr>
            </w:pPr>
            <w:r>
              <w:rPr>
                <w:color w:val="000000"/>
              </w:rPr>
              <w:t>g, Cal.</w:t>
            </w:r>
          </w:p>
        </w:tc>
      </w:tr>
      <w:tr w:rsidR="00836210" w14:paraId="6A880081"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1EE2DFFC" w14:textId="77777777" w:rsidR="00836210" w:rsidRDefault="00836210">
            <w:pPr>
              <w:jc w:val="center"/>
              <w:rPr>
                <w:color w:val="000000"/>
              </w:rPr>
            </w:pPr>
            <w:r>
              <w:rPr>
                <w:color w:val="000000"/>
              </w:rPr>
              <w:t>Tm</w:t>
            </w:r>
          </w:p>
        </w:tc>
        <w:tc>
          <w:tcPr>
            <w:tcW w:w="1175" w:type="dxa"/>
            <w:tcBorders>
              <w:top w:val="nil"/>
              <w:left w:val="nil"/>
              <w:bottom w:val="single" w:sz="4" w:space="0" w:color="auto"/>
              <w:right w:val="single" w:sz="4" w:space="0" w:color="auto"/>
            </w:tcBorders>
            <w:shd w:val="clear" w:color="auto" w:fill="auto"/>
            <w:noWrap/>
            <w:vAlign w:val="center"/>
            <w:hideMark/>
          </w:tcPr>
          <w:p w14:paraId="00B78CC2" w14:textId="77777777" w:rsidR="00836210" w:rsidRDefault="00836210">
            <w:pPr>
              <w:jc w:val="center"/>
              <w:rPr>
                <w:color w:val="000000"/>
              </w:rPr>
            </w:pPr>
            <w:r>
              <w:rPr>
                <w:color w:val="000000"/>
              </w:rPr>
              <w:t>1.18E-01</w:t>
            </w:r>
          </w:p>
        </w:tc>
        <w:tc>
          <w:tcPr>
            <w:tcW w:w="1287" w:type="dxa"/>
            <w:tcBorders>
              <w:top w:val="nil"/>
              <w:left w:val="nil"/>
              <w:bottom w:val="single" w:sz="4" w:space="0" w:color="auto"/>
              <w:right w:val="single" w:sz="4" w:space="0" w:color="auto"/>
            </w:tcBorders>
            <w:shd w:val="clear" w:color="auto" w:fill="auto"/>
            <w:noWrap/>
            <w:vAlign w:val="center"/>
            <w:hideMark/>
          </w:tcPr>
          <w:p w14:paraId="1C9FA986" w14:textId="77777777" w:rsidR="00836210" w:rsidRDefault="00836210">
            <w:pPr>
              <w:jc w:val="center"/>
              <w:rPr>
                <w:color w:val="000000"/>
              </w:rPr>
            </w:pPr>
            <w:r>
              <w:rPr>
                <w:color w:val="000000"/>
              </w:rPr>
              <w:t>1.57E-01</w:t>
            </w:r>
          </w:p>
        </w:tc>
        <w:tc>
          <w:tcPr>
            <w:tcW w:w="1702" w:type="dxa"/>
            <w:tcBorders>
              <w:top w:val="nil"/>
              <w:left w:val="nil"/>
              <w:bottom w:val="single" w:sz="4" w:space="0" w:color="auto"/>
              <w:right w:val="single" w:sz="4" w:space="0" w:color="auto"/>
            </w:tcBorders>
            <w:shd w:val="clear" w:color="auto" w:fill="auto"/>
            <w:noWrap/>
            <w:vAlign w:val="center"/>
            <w:hideMark/>
          </w:tcPr>
          <w:p w14:paraId="34373241" w14:textId="77777777" w:rsidR="00836210" w:rsidRDefault="00836210">
            <w:pPr>
              <w:jc w:val="center"/>
              <w:rPr>
                <w:color w:val="000000"/>
              </w:rPr>
            </w:pPr>
            <w:r>
              <w:rPr>
                <w:color w:val="000000"/>
              </w:rPr>
              <w:t>2.68E-01</w:t>
            </w:r>
          </w:p>
        </w:tc>
        <w:tc>
          <w:tcPr>
            <w:tcW w:w="872" w:type="dxa"/>
            <w:tcBorders>
              <w:top w:val="nil"/>
              <w:left w:val="nil"/>
              <w:bottom w:val="single" w:sz="4" w:space="0" w:color="auto"/>
              <w:right w:val="single" w:sz="4" w:space="0" w:color="auto"/>
            </w:tcBorders>
            <w:shd w:val="clear" w:color="auto" w:fill="auto"/>
            <w:noWrap/>
            <w:vAlign w:val="center"/>
            <w:hideMark/>
          </w:tcPr>
          <w:p w14:paraId="448FABE9"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56C2E5FE" w14:textId="77777777" w:rsidR="00836210" w:rsidRDefault="00836210">
            <w:pPr>
              <w:jc w:val="center"/>
              <w:rPr>
                <w:color w:val="000000"/>
              </w:rPr>
            </w:pPr>
            <w:r>
              <w:rPr>
                <w:color w:val="000000"/>
              </w:rPr>
              <w:t>1.82E-01</w:t>
            </w:r>
          </w:p>
        </w:tc>
        <w:tc>
          <w:tcPr>
            <w:tcW w:w="872" w:type="dxa"/>
            <w:tcBorders>
              <w:top w:val="nil"/>
              <w:left w:val="nil"/>
              <w:bottom w:val="single" w:sz="4" w:space="0" w:color="auto"/>
              <w:right w:val="single" w:sz="4" w:space="0" w:color="auto"/>
            </w:tcBorders>
            <w:shd w:val="clear" w:color="auto" w:fill="auto"/>
            <w:noWrap/>
            <w:vAlign w:val="center"/>
            <w:hideMark/>
          </w:tcPr>
          <w:p w14:paraId="0DFE296D" w14:textId="77777777" w:rsidR="00836210" w:rsidRDefault="00836210">
            <w:pPr>
              <w:jc w:val="center"/>
              <w:rPr>
                <w:color w:val="000000"/>
              </w:rPr>
            </w:pPr>
            <w:r>
              <w:rPr>
                <w:color w:val="000000"/>
              </w:rPr>
              <w:t>g, Cal.</w:t>
            </w:r>
          </w:p>
        </w:tc>
      </w:tr>
      <w:tr w:rsidR="00836210" w14:paraId="61AD9B8B"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7E8840C2" w14:textId="77777777" w:rsidR="00836210" w:rsidRDefault="00836210">
            <w:pPr>
              <w:jc w:val="center"/>
              <w:rPr>
                <w:color w:val="000000"/>
              </w:rPr>
            </w:pPr>
            <w:r>
              <w:rPr>
                <w:color w:val="000000"/>
              </w:rPr>
              <w:t>Yb</w:t>
            </w:r>
          </w:p>
        </w:tc>
        <w:tc>
          <w:tcPr>
            <w:tcW w:w="1175" w:type="dxa"/>
            <w:tcBorders>
              <w:top w:val="nil"/>
              <w:left w:val="nil"/>
              <w:bottom w:val="single" w:sz="4" w:space="0" w:color="auto"/>
              <w:right w:val="single" w:sz="4" w:space="0" w:color="auto"/>
            </w:tcBorders>
            <w:shd w:val="clear" w:color="auto" w:fill="auto"/>
            <w:noWrap/>
            <w:vAlign w:val="center"/>
            <w:hideMark/>
          </w:tcPr>
          <w:p w14:paraId="4C2941E5" w14:textId="77777777" w:rsidR="00836210" w:rsidRDefault="00836210">
            <w:pPr>
              <w:jc w:val="center"/>
              <w:rPr>
                <w:color w:val="000000"/>
              </w:rPr>
            </w:pPr>
            <w:r>
              <w:rPr>
                <w:color w:val="000000"/>
              </w:rPr>
              <w:t>1.17E-01</w:t>
            </w:r>
          </w:p>
        </w:tc>
        <w:tc>
          <w:tcPr>
            <w:tcW w:w="1287" w:type="dxa"/>
            <w:tcBorders>
              <w:top w:val="nil"/>
              <w:left w:val="nil"/>
              <w:bottom w:val="single" w:sz="4" w:space="0" w:color="auto"/>
              <w:right w:val="single" w:sz="4" w:space="0" w:color="auto"/>
            </w:tcBorders>
            <w:shd w:val="clear" w:color="auto" w:fill="auto"/>
            <w:noWrap/>
            <w:vAlign w:val="center"/>
            <w:hideMark/>
          </w:tcPr>
          <w:p w14:paraId="65D1CBED" w14:textId="77777777" w:rsidR="00836210" w:rsidRDefault="00836210">
            <w:pPr>
              <w:jc w:val="center"/>
              <w:rPr>
                <w:color w:val="000000"/>
              </w:rPr>
            </w:pPr>
            <w:r>
              <w:rPr>
                <w:color w:val="000000"/>
              </w:rPr>
              <w:t>1.55E-01</w:t>
            </w:r>
          </w:p>
        </w:tc>
        <w:tc>
          <w:tcPr>
            <w:tcW w:w="1702" w:type="dxa"/>
            <w:tcBorders>
              <w:top w:val="nil"/>
              <w:left w:val="nil"/>
              <w:bottom w:val="single" w:sz="4" w:space="0" w:color="auto"/>
              <w:right w:val="single" w:sz="4" w:space="0" w:color="auto"/>
            </w:tcBorders>
            <w:shd w:val="clear" w:color="auto" w:fill="auto"/>
            <w:noWrap/>
            <w:vAlign w:val="center"/>
            <w:hideMark/>
          </w:tcPr>
          <w:p w14:paraId="3C8925DB" w14:textId="77777777" w:rsidR="00836210" w:rsidRDefault="00836210">
            <w:pPr>
              <w:jc w:val="center"/>
              <w:rPr>
                <w:color w:val="000000"/>
              </w:rPr>
            </w:pPr>
            <w:r>
              <w:rPr>
                <w:color w:val="000000"/>
              </w:rPr>
              <w:t>2.64E-01</w:t>
            </w:r>
          </w:p>
        </w:tc>
        <w:tc>
          <w:tcPr>
            <w:tcW w:w="872" w:type="dxa"/>
            <w:tcBorders>
              <w:top w:val="nil"/>
              <w:left w:val="nil"/>
              <w:bottom w:val="single" w:sz="4" w:space="0" w:color="auto"/>
              <w:right w:val="single" w:sz="4" w:space="0" w:color="auto"/>
            </w:tcBorders>
            <w:shd w:val="clear" w:color="auto" w:fill="auto"/>
            <w:noWrap/>
            <w:vAlign w:val="center"/>
            <w:hideMark/>
          </w:tcPr>
          <w:p w14:paraId="747E0577"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21A4AE4D" w14:textId="77777777" w:rsidR="00836210" w:rsidRDefault="00836210">
            <w:pPr>
              <w:jc w:val="center"/>
              <w:rPr>
                <w:color w:val="000000"/>
              </w:rPr>
            </w:pPr>
            <w:r>
              <w:rPr>
                <w:color w:val="000000"/>
              </w:rPr>
              <w:t>2.10E-01</w:t>
            </w:r>
          </w:p>
        </w:tc>
        <w:tc>
          <w:tcPr>
            <w:tcW w:w="872" w:type="dxa"/>
            <w:tcBorders>
              <w:top w:val="nil"/>
              <w:left w:val="nil"/>
              <w:bottom w:val="single" w:sz="4" w:space="0" w:color="auto"/>
              <w:right w:val="single" w:sz="4" w:space="0" w:color="auto"/>
            </w:tcBorders>
            <w:shd w:val="clear" w:color="auto" w:fill="auto"/>
            <w:noWrap/>
            <w:vAlign w:val="center"/>
            <w:hideMark/>
          </w:tcPr>
          <w:p w14:paraId="45BF946B" w14:textId="77777777" w:rsidR="00836210" w:rsidRDefault="00836210">
            <w:pPr>
              <w:jc w:val="center"/>
              <w:rPr>
                <w:color w:val="000000"/>
              </w:rPr>
            </w:pPr>
            <w:r>
              <w:rPr>
                <w:color w:val="000000"/>
              </w:rPr>
              <w:t>g, Cal.</w:t>
            </w:r>
          </w:p>
        </w:tc>
      </w:tr>
      <w:tr w:rsidR="00836210" w14:paraId="3C0B9495"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5C35190F" w14:textId="77777777" w:rsidR="00836210" w:rsidRDefault="00836210">
            <w:pPr>
              <w:jc w:val="center"/>
              <w:rPr>
                <w:color w:val="000000"/>
              </w:rPr>
            </w:pPr>
            <w:r>
              <w:rPr>
                <w:color w:val="000000"/>
              </w:rPr>
              <w:t>Lu</w:t>
            </w:r>
          </w:p>
        </w:tc>
        <w:tc>
          <w:tcPr>
            <w:tcW w:w="1175" w:type="dxa"/>
            <w:tcBorders>
              <w:top w:val="nil"/>
              <w:left w:val="nil"/>
              <w:bottom w:val="single" w:sz="4" w:space="0" w:color="auto"/>
              <w:right w:val="single" w:sz="4" w:space="0" w:color="auto"/>
            </w:tcBorders>
            <w:shd w:val="clear" w:color="auto" w:fill="auto"/>
            <w:noWrap/>
            <w:vAlign w:val="center"/>
            <w:hideMark/>
          </w:tcPr>
          <w:p w14:paraId="7C0F2E0F" w14:textId="77777777" w:rsidR="00836210" w:rsidRDefault="00836210">
            <w:pPr>
              <w:jc w:val="center"/>
              <w:rPr>
                <w:color w:val="000000"/>
              </w:rPr>
            </w:pPr>
            <w:r>
              <w:rPr>
                <w:color w:val="000000"/>
              </w:rPr>
              <w:t>1.14E-01</w:t>
            </w:r>
          </w:p>
        </w:tc>
        <w:tc>
          <w:tcPr>
            <w:tcW w:w="1287" w:type="dxa"/>
            <w:tcBorders>
              <w:top w:val="nil"/>
              <w:left w:val="nil"/>
              <w:bottom w:val="single" w:sz="4" w:space="0" w:color="auto"/>
              <w:right w:val="single" w:sz="4" w:space="0" w:color="auto"/>
            </w:tcBorders>
            <w:shd w:val="clear" w:color="auto" w:fill="auto"/>
            <w:noWrap/>
            <w:vAlign w:val="center"/>
            <w:hideMark/>
          </w:tcPr>
          <w:p w14:paraId="6D66FEF1" w14:textId="77777777" w:rsidR="00836210" w:rsidRDefault="00836210">
            <w:pPr>
              <w:jc w:val="center"/>
              <w:rPr>
                <w:color w:val="000000"/>
              </w:rPr>
            </w:pPr>
            <w:r>
              <w:rPr>
                <w:color w:val="000000"/>
              </w:rPr>
              <w:t>1.52E-01</w:t>
            </w:r>
          </w:p>
        </w:tc>
        <w:tc>
          <w:tcPr>
            <w:tcW w:w="1702" w:type="dxa"/>
            <w:tcBorders>
              <w:top w:val="nil"/>
              <w:left w:val="nil"/>
              <w:bottom w:val="single" w:sz="4" w:space="0" w:color="auto"/>
              <w:right w:val="single" w:sz="4" w:space="0" w:color="auto"/>
            </w:tcBorders>
            <w:shd w:val="clear" w:color="auto" w:fill="auto"/>
            <w:noWrap/>
            <w:vAlign w:val="center"/>
            <w:hideMark/>
          </w:tcPr>
          <w:p w14:paraId="234F4961" w14:textId="77777777" w:rsidR="00836210" w:rsidRDefault="00836210">
            <w:pPr>
              <w:jc w:val="center"/>
              <w:rPr>
                <w:color w:val="000000"/>
              </w:rPr>
            </w:pPr>
            <w:r>
              <w:rPr>
                <w:color w:val="000000"/>
              </w:rPr>
              <w:t>2.58E-01</w:t>
            </w:r>
          </w:p>
        </w:tc>
        <w:tc>
          <w:tcPr>
            <w:tcW w:w="872" w:type="dxa"/>
            <w:tcBorders>
              <w:top w:val="nil"/>
              <w:left w:val="nil"/>
              <w:bottom w:val="single" w:sz="4" w:space="0" w:color="auto"/>
              <w:right w:val="single" w:sz="4" w:space="0" w:color="auto"/>
            </w:tcBorders>
            <w:shd w:val="clear" w:color="auto" w:fill="auto"/>
            <w:noWrap/>
            <w:vAlign w:val="center"/>
            <w:hideMark/>
          </w:tcPr>
          <w:p w14:paraId="33BEE262"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3CFFA2C4" w14:textId="77777777" w:rsidR="00836210" w:rsidRDefault="00836210">
            <w:pPr>
              <w:jc w:val="center"/>
              <w:rPr>
                <w:color w:val="000000"/>
              </w:rPr>
            </w:pPr>
            <w:r>
              <w:rPr>
                <w:color w:val="000000"/>
              </w:rPr>
              <w:t>2.27E-01</w:t>
            </w:r>
          </w:p>
        </w:tc>
        <w:tc>
          <w:tcPr>
            <w:tcW w:w="872" w:type="dxa"/>
            <w:tcBorders>
              <w:top w:val="nil"/>
              <w:left w:val="nil"/>
              <w:bottom w:val="single" w:sz="4" w:space="0" w:color="auto"/>
              <w:right w:val="single" w:sz="4" w:space="0" w:color="auto"/>
            </w:tcBorders>
            <w:shd w:val="clear" w:color="auto" w:fill="auto"/>
            <w:noWrap/>
            <w:vAlign w:val="center"/>
            <w:hideMark/>
          </w:tcPr>
          <w:p w14:paraId="361418E3" w14:textId="77777777" w:rsidR="00836210" w:rsidRDefault="00836210">
            <w:pPr>
              <w:jc w:val="center"/>
              <w:rPr>
                <w:color w:val="000000"/>
              </w:rPr>
            </w:pPr>
            <w:r>
              <w:rPr>
                <w:color w:val="000000"/>
              </w:rPr>
              <w:t>g, Cal.</w:t>
            </w:r>
          </w:p>
        </w:tc>
      </w:tr>
      <w:tr w:rsidR="00836210" w14:paraId="6934BFE3"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234FE2FC" w14:textId="77777777" w:rsidR="00836210" w:rsidRDefault="00836210">
            <w:pPr>
              <w:jc w:val="center"/>
              <w:rPr>
                <w:color w:val="000000"/>
              </w:rPr>
            </w:pPr>
            <w:r>
              <w:rPr>
                <w:color w:val="000000"/>
              </w:rPr>
              <w:t>Hf</w:t>
            </w:r>
          </w:p>
        </w:tc>
        <w:tc>
          <w:tcPr>
            <w:tcW w:w="1175" w:type="dxa"/>
            <w:tcBorders>
              <w:top w:val="nil"/>
              <w:left w:val="nil"/>
              <w:bottom w:val="single" w:sz="4" w:space="0" w:color="auto"/>
              <w:right w:val="single" w:sz="4" w:space="0" w:color="auto"/>
            </w:tcBorders>
            <w:shd w:val="clear" w:color="auto" w:fill="auto"/>
            <w:noWrap/>
            <w:vAlign w:val="center"/>
            <w:hideMark/>
          </w:tcPr>
          <w:p w14:paraId="4AC3A2A1" w14:textId="77777777" w:rsidR="00836210" w:rsidRDefault="00836210">
            <w:pPr>
              <w:jc w:val="center"/>
              <w:rPr>
                <w:color w:val="000000"/>
              </w:rPr>
            </w:pPr>
            <w:r>
              <w:rPr>
                <w:color w:val="000000"/>
              </w:rPr>
              <w:t>7.32E-02</w:t>
            </w:r>
          </w:p>
        </w:tc>
        <w:tc>
          <w:tcPr>
            <w:tcW w:w="1287" w:type="dxa"/>
            <w:tcBorders>
              <w:top w:val="nil"/>
              <w:left w:val="nil"/>
              <w:bottom w:val="single" w:sz="4" w:space="0" w:color="auto"/>
              <w:right w:val="single" w:sz="4" w:space="0" w:color="auto"/>
            </w:tcBorders>
            <w:shd w:val="clear" w:color="auto" w:fill="auto"/>
            <w:noWrap/>
            <w:vAlign w:val="center"/>
            <w:hideMark/>
          </w:tcPr>
          <w:p w14:paraId="4E42E676" w14:textId="77777777" w:rsidR="00836210" w:rsidRDefault="00836210">
            <w:pPr>
              <w:jc w:val="center"/>
              <w:rPr>
                <w:color w:val="000000"/>
              </w:rPr>
            </w:pPr>
            <w:r>
              <w:rPr>
                <w:color w:val="000000"/>
              </w:rPr>
              <w:t>1.14E-01</w:t>
            </w:r>
          </w:p>
        </w:tc>
        <w:tc>
          <w:tcPr>
            <w:tcW w:w="1702" w:type="dxa"/>
            <w:tcBorders>
              <w:top w:val="nil"/>
              <w:left w:val="nil"/>
              <w:bottom w:val="single" w:sz="4" w:space="0" w:color="auto"/>
              <w:right w:val="single" w:sz="4" w:space="0" w:color="auto"/>
            </w:tcBorders>
            <w:shd w:val="clear" w:color="auto" w:fill="auto"/>
            <w:noWrap/>
            <w:vAlign w:val="center"/>
            <w:hideMark/>
          </w:tcPr>
          <w:p w14:paraId="77900CE3" w14:textId="77777777" w:rsidR="00836210" w:rsidRDefault="00836210">
            <w:pPr>
              <w:jc w:val="center"/>
              <w:rPr>
                <w:color w:val="000000"/>
              </w:rPr>
            </w:pPr>
            <w:r>
              <w:rPr>
                <w:color w:val="000000"/>
              </w:rPr>
              <w:t>2.66E-01</w:t>
            </w:r>
          </w:p>
        </w:tc>
        <w:tc>
          <w:tcPr>
            <w:tcW w:w="872" w:type="dxa"/>
            <w:tcBorders>
              <w:top w:val="nil"/>
              <w:left w:val="nil"/>
              <w:bottom w:val="single" w:sz="4" w:space="0" w:color="auto"/>
              <w:right w:val="single" w:sz="4" w:space="0" w:color="auto"/>
            </w:tcBorders>
            <w:shd w:val="clear" w:color="auto" w:fill="auto"/>
            <w:noWrap/>
            <w:vAlign w:val="center"/>
            <w:hideMark/>
          </w:tcPr>
          <w:p w14:paraId="6C4B605D" w14:textId="77777777" w:rsidR="00836210" w:rsidRDefault="00836210">
            <w:pPr>
              <w:jc w:val="center"/>
              <w:rPr>
                <w:color w:val="000000"/>
              </w:rPr>
            </w:pPr>
            <w:r>
              <w:rPr>
                <w:color w:val="000000"/>
              </w:rPr>
              <w:t>f, Cal.</w:t>
            </w:r>
          </w:p>
        </w:tc>
        <w:tc>
          <w:tcPr>
            <w:tcW w:w="1287" w:type="dxa"/>
            <w:tcBorders>
              <w:top w:val="nil"/>
              <w:left w:val="nil"/>
              <w:bottom w:val="single" w:sz="4" w:space="0" w:color="auto"/>
              <w:right w:val="single" w:sz="4" w:space="0" w:color="auto"/>
            </w:tcBorders>
            <w:shd w:val="clear" w:color="auto" w:fill="auto"/>
            <w:noWrap/>
            <w:vAlign w:val="center"/>
            <w:hideMark/>
          </w:tcPr>
          <w:p w14:paraId="22BCD263" w14:textId="77777777" w:rsidR="00836210" w:rsidRDefault="00836210">
            <w:pPr>
              <w:jc w:val="center"/>
              <w:rPr>
                <w:color w:val="000000"/>
              </w:rPr>
            </w:pPr>
            <w:r>
              <w:rPr>
                <w:color w:val="000000"/>
              </w:rPr>
              <w:t>6.81E-02</w:t>
            </w:r>
          </w:p>
        </w:tc>
        <w:tc>
          <w:tcPr>
            <w:tcW w:w="872" w:type="dxa"/>
            <w:tcBorders>
              <w:top w:val="nil"/>
              <w:left w:val="nil"/>
              <w:bottom w:val="single" w:sz="4" w:space="0" w:color="auto"/>
              <w:right w:val="single" w:sz="4" w:space="0" w:color="auto"/>
            </w:tcBorders>
            <w:shd w:val="clear" w:color="auto" w:fill="auto"/>
            <w:noWrap/>
            <w:vAlign w:val="center"/>
            <w:hideMark/>
          </w:tcPr>
          <w:p w14:paraId="40DFEA85" w14:textId="77777777" w:rsidR="00836210" w:rsidRDefault="00836210">
            <w:pPr>
              <w:jc w:val="center"/>
              <w:rPr>
                <w:color w:val="000000"/>
              </w:rPr>
            </w:pPr>
            <w:r>
              <w:rPr>
                <w:color w:val="000000"/>
              </w:rPr>
              <w:t>h</w:t>
            </w:r>
          </w:p>
        </w:tc>
      </w:tr>
      <w:tr w:rsidR="00836210" w14:paraId="2D84DB87"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27B263EC" w14:textId="77777777" w:rsidR="00836210" w:rsidRDefault="00836210">
            <w:pPr>
              <w:jc w:val="center"/>
              <w:rPr>
                <w:color w:val="000000"/>
              </w:rPr>
            </w:pPr>
            <w:r>
              <w:rPr>
                <w:color w:val="000000"/>
              </w:rPr>
              <w:t>Stage</w:t>
            </w:r>
          </w:p>
        </w:tc>
        <w:tc>
          <w:tcPr>
            <w:tcW w:w="1175" w:type="dxa"/>
            <w:tcBorders>
              <w:top w:val="nil"/>
              <w:left w:val="nil"/>
              <w:bottom w:val="single" w:sz="4" w:space="0" w:color="auto"/>
              <w:right w:val="single" w:sz="4" w:space="0" w:color="auto"/>
            </w:tcBorders>
            <w:shd w:val="clear" w:color="auto" w:fill="auto"/>
            <w:noWrap/>
            <w:vAlign w:val="center"/>
            <w:hideMark/>
          </w:tcPr>
          <w:p w14:paraId="01B02343" w14:textId="77777777" w:rsidR="00836210" w:rsidRDefault="00836210">
            <w:pPr>
              <w:jc w:val="center"/>
              <w:rPr>
                <w:color w:val="000000"/>
              </w:rPr>
            </w:pPr>
            <w:r>
              <w:rPr>
                <w:color w:val="000000"/>
              </w:rPr>
              <w:t>4</w:t>
            </w:r>
          </w:p>
        </w:tc>
        <w:tc>
          <w:tcPr>
            <w:tcW w:w="1287" w:type="dxa"/>
            <w:tcBorders>
              <w:top w:val="nil"/>
              <w:left w:val="nil"/>
              <w:bottom w:val="single" w:sz="4" w:space="0" w:color="auto"/>
              <w:right w:val="single" w:sz="4" w:space="0" w:color="auto"/>
            </w:tcBorders>
            <w:shd w:val="clear" w:color="auto" w:fill="auto"/>
            <w:noWrap/>
            <w:vAlign w:val="center"/>
            <w:hideMark/>
          </w:tcPr>
          <w:p w14:paraId="5D45829A" w14:textId="77777777" w:rsidR="00836210" w:rsidRDefault="00836210">
            <w:pPr>
              <w:jc w:val="center"/>
              <w:rPr>
                <w:color w:val="000000"/>
              </w:rPr>
            </w:pPr>
            <w:r>
              <w:rPr>
                <w:color w:val="000000"/>
              </w:rPr>
              <w:t>5</w:t>
            </w:r>
          </w:p>
        </w:tc>
        <w:tc>
          <w:tcPr>
            <w:tcW w:w="1702" w:type="dxa"/>
            <w:tcBorders>
              <w:top w:val="nil"/>
              <w:left w:val="nil"/>
              <w:bottom w:val="single" w:sz="4" w:space="0" w:color="auto"/>
              <w:right w:val="single" w:sz="4" w:space="0" w:color="auto"/>
            </w:tcBorders>
            <w:shd w:val="clear" w:color="auto" w:fill="auto"/>
            <w:noWrap/>
            <w:vAlign w:val="center"/>
            <w:hideMark/>
          </w:tcPr>
          <w:p w14:paraId="4EB02FCE" w14:textId="77777777" w:rsidR="00836210" w:rsidRDefault="00836210">
            <w:pPr>
              <w:jc w:val="center"/>
              <w:rPr>
                <w:color w:val="000000"/>
              </w:rPr>
            </w:pPr>
            <w:r>
              <w:rPr>
                <w:color w:val="000000"/>
              </w:rPr>
              <w:t>6</w:t>
            </w:r>
          </w:p>
        </w:tc>
        <w:tc>
          <w:tcPr>
            <w:tcW w:w="872" w:type="dxa"/>
            <w:tcBorders>
              <w:top w:val="nil"/>
              <w:left w:val="nil"/>
              <w:bottom w:val="single" w:sz="4" w:space="0" w:color="auto"/>
              <w:right w:val="single" w:sz="4" w:space="0" w:color="auto"/>
            </w:tcBorders>
            <w:shd w:val="clear" w:color="auto" w:fill="auto"/>
            <w:noWrap/>
            <w:vAlign w:val="center"/>
            <w:hideMark/>
          </w:tcPr>
          <w:p w14:paraId="5826C4DB"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center"/>
            <w:hideMark/>
          </w:tcPr>
          <w:p w14:paraId="625AE949" w14:textId="77777777" w:rsidR="00836210" w:rsidRDefault="00836210">
            <w:pPr>
              <w:jc w:val="center"/>
              <w:rPr>
                <w:color w:val="000000"/>
              </w:rPr>
            </w:pPr>
            <w:r>
              <w:rPr>
                <w:color w:val="000000"/>
              </w:rPr>
              <w:t>3, 4, 5, 6</w:t>
            </w:r>
          </w:p>
        </w:tc>
        <w:tc>
          <w:tcPr>
            <w:tcW w:w="872" w:type="dxa"/>
            <w:tcBorders>
              <w:top w:val="nil"/>
              <w:left w:val="nil"/>
              <w:bottom w:val="single" w:sz="4" w:space="0" w:color="auto"/>
              <w:right w:val="single" w:sz="4" w:space="0" w:color="auto"/>
            </w:tcBorders>
            <w:shd w:val="clear" w:color="auto" w:fill="auto"/>
            <w:noWrap/>
            <w:vAlign w:val="center"/>
            <w:hideMark/>
          </w:tcPr>
          <w:p w14:paraId="54B48CA8" w14:textId="77777777" w:rsidR="00836210" w:rsidRDefault="00836210">
            <w:pPr>
              <w:jc w:val="center"/>
              <w:rPr>
                <w:color w:val="000000"/>
              </w:rPr>
            </w:pPr>
            <w:r>
              <w:rPr>
                <w:color w:val="000000"/>
              </w:rPr>
              <w:t> </w:t>
            </w:r>
          </w:p>
        </w:tc>
      </w:tr>
      <w:tr w:rsidR="00836210" w14:paraId="3B00A27C"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5CE6A35B" w14:textId="77777777" w:rsidR="00836210" w:rsidRDefault="00836210">
            <w:pPr>
              <w:jc w:val="center"/>
              <w:rPr>
                <w:color w:val="000000"/>
              </w:rPr>
            </w:pPr>
            <w:r>
              <w:rPr>
                <w:color w:val="000000"/>
              </w:rPr>
              <w:t>T (ºC)</w:t>
            </w:r>
          </w:p>
        </w:tc>
        <w:tc>
          <w:tcPr>
            <w:tcW w:w="1175" w:type="dxa"/>
            <w:tcBorders>
              <w:top w:val="nil"/>
              <w:left w:val="nil"/>
              <w:bottom w:val="single" w:sz="4" w:space="0" w:color="auto"/>
              <w:right w:val="single" w:sz="4" w:space="0" w:color="auto"/>
            </w:tcBorders>
            <w:shd w:val="clear" w:color="auto" w:fill="auto"/>
            <w:noWrap/>
            <w:vAlign w:val="center"/>
            <w:hideMark/>
          </w:tcPr>
          <w:p w14:paraId="1715C7AE" w14:textId="77777777" w:rsidR="00836210" w:rsidRDefault="00836210">
            <w:pPr>
              <w:jc w:val="center"/>
              <w:rPr>
                <w:color w:val="000000"/>
              </w:rPr>
            </w:pPr>
            <w:r>
              <w:rPr>
                <w:color w:val="000000"/>
              </w:rPr>
              <w:t>1215</w:t>
            </w:r>
          </w:p>
        </w:tc>
        <w:tc>
          <w:tcPr>
            <w:tcW w:w="1287" w:type="dxa"/>
            <w:tcBorders>
              <w:top w:val="nil"/>
              <w:left w:val="nil"/>
              <w:bottom w:val="single" w:sz="4" w:space="0" w:color="auto"/>
              <w:right w:val="single" w:sz="4" w:space="0" w:color="auto"/>
            </w:tcBorders>
            <w:shd w:val="clear" w:color="auto" w:fill="auto"/>
            <w:noWrap/>
            <w:vAlign w:val="center"/>
            <w:hideMark/>
          </w:tcPr>
          <w:p w14:paraId="399A2E16" w14:textId="77777777" w:rsidR="00836210" w:rsidRDefault="00836210">
            <w:pPr>
              <w:jc w:val="center"/>
              <w:rPr>
                <w:color w:val="000000"/>
              </w:rPr>
            </w:pPr>
            <w:r>
              <w:rPr>
                <w:color w:val="000000"/>
              </w:rPr>
              <w:t>1130</w:t>
            </w:r>
          </w:p>
        </w:tc>
        <w:tc>
          <w:tcPr>
            <w:tcW w:w="1702" w:type="dxa"/>
            <w:tcBorders>
              <w:top w:val="nil"/>
              <w:left w:val="nil"/>
              <w:bottom w:val="single" w:sz="4" w:space="0" w:color="auto"/>
              <w:right w:val="single" w:sz="4" w:space="0" w:color="auto"/>
            </w:tcBorders>
            <w:shd w:val="clear" w:color="auto" w:fill="auto"/>
            <w:noWrap/>
            <w:vAlign w:val="center"/>
            <w:hideMark/>
          </w:tcPr>
          <w:p w14:paraId="6AE6CD98" w14:textId="77777777" w:rsidR="00836210" w:rsidRDefault="00836210">
            <w:pPr>
              <w:jc w:val="center"/>
              <w:rPr>
                <w:color w:val="000000"/>
              </w:rPr>
            </w:pPr>
            <w:r>
              <w:rPr>
                <w:color w:val="000000"/>
              </w:rPr>
              <w:t>1020</w:t>
            </w:r>
          </w:p>
        </w:tc>
        <w:tc>
          <w:tcPr>
            <w:tcW w:w="872" w:type="dxa"/>
            <w:tcBorders>
              <w:top w:val="nil"/>
              <w:left w:val="nil"/>
              <w:bottom w:val="single" w:sz="4" w:space="0" w:color="auto"/>
              <w:right w:val="single" w:sz="4" w:space="0" w:color="auto"/>
            </w:tcBorders>
            <w:shd w:val="clear" w:color="auto" w:fill="auto"/>
            <w:noWrap/>
            <w:vAlign w:val="center"/>
            <w:hideMark/>
          </w:tcPr>
          <w:p w14:paraId="336A24A0" w14:textId="77777777" w:rsidR="00836210" w:rsidRDefault="00836210">
            <w:pPr>
              <w:jc w:val="center"/>
              <w:rPr>
                <w:color w:val="000000"/>
              </w:rPr>
            </w:pPr>
            <w:r>
              <w:rPr>
                <w:color w:val="000000"/>
              </w:rPr>
              <w:t>l</w:t>
            </w:r>
          </w:p>
        </w:tc>
        <w:tc>
          <w:tcPr>
            <w:tcW w:w="1287" w:type="dxa"/>
            <w:tcBorders>
              <w:top w:val="nil"/>
              <w:left w:val="nil"/>
              <w:bottom w:val="single" w:sz="4" w:space="0" w:color="auto"/>
              <w:right w:val="single" w:sz="4" w:space="0" w:color="auto"/>
            </w:tcBorders>
            <w:shd w:val="clear" w:color="auto" w:fill="auto"/>
            <w:noWrap/>
            <w:vAlign w:val="bottom"/>
            <w:hideMark/>
          </w:tcPr>
          <w:p w14:paraId="0A0BD0E4"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0259683D" w14:textId="77777777" w:rsidR="00836210" w:rsidRDefault="00836210">
            <w:pPr>
              <w:jc w:val="center"/>
              <w:rPr>
                <w:color w:val="000000"/>
              </w:rPr>
            </w:pPr>
            <w:r>
              <w:rPr>
                <w:color w:val="000000"/>
              </w:rPr>
              <w:t> </w:t>
            </w:r>
          </w:p>
        </w:tc>
      </w:tr>
      <w:tr w:rsidR="00836210" w14:paraId="04783DC0"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22663CFA" w14:textId="77777777" w:rsidR="00836210" w:rsidRDefault="00836210">
            <w:pPr>
              <w:jc w:val="center"/>
              <w:rPr>
                <w:color w:val="000000"/>
              </w:rPr>
            </w:pPr>
            <w:r>
              <w:rPr>
                <w:color w:val="000000"/>
              </w:rPr>
              <w:t>P (GPa)</w:t>
            </w:r>
          </w:p>
        </w:tc>
        <w:tc>
          <w:tcPr>
            <w:tcW w:w="1175" w:type="dxa"/>
            <w:tcBorders>
              <w:top w:val="nil"/>
              <w:left w:val="nil"/>
              <w:bottom w:val="single" w:sz="4" w:space="0" w:color="auto"/>
              <w:right w:val="single" w:sz="4" w:space="0" w:color="auto"/>
            </w:tcBorders>
            <w:shd w:val="clear" w:color="auto" w:fill="auto"/>
            <w:noWrap/>
            <w:vAlign w:val="center"/>
            <w:hideMark/>
          </w:tcPr>
          <w:p w14:paraId="473E09B4" w14:textId="77777777" w:rsidR="00836210" w:rsidRDefault="00836210">
            <w:pPr>
              <w:jc w:val="center"/>
              <w:rPr>
                <w:color w:val="000000"/>
              </w:rPr>
            </w:pPr>
            <w:r>
              <w:rPr>
                <w:color w:val="000000"/>
              </w:rPr>
              <w:t>0.5</w:t>
            </w:r>
          </w:p>
        </w:tc>
        <w:tc>
          <w:tcPr>
            <w:tcW w:w="1287" w:type="dxa"/>
            <w:tcBorders>
              <w:top w:val="nil"/>
              <w:left w:val="nil"/>
              <w:bottom w:val="single" w:sz="4" w:space="0" w:color="auto"/>
              <w:right w:val="single" w:sz="4" w:space="0" w:color="auto"/>
            </w:tcBorders>
            <w:shd w:val="clear" w:color="auto" w:fill="auto"/>
            <w:noWrap/>
            <w:vAlign w:val="center"/>
            <w:hideMark/>
          </w:tcPr>
          <w:p w14:paraId="320711C9" w14:textId="77777777" w:rsidR="00836210" w:rsidRDefault="00836210">
            <w:pPr>
              <w:jc w:val="center"/>
              <w:rPr>
                <w:color w:val="000000"/>
              </w:rPr>
            </w:pPr>
            <w:r>
              <w:rPr>
                <w:color w:val="000000"/>
              </w:rPr>
              <w:t>0.3</w:t>
            </w:r>
          </w:p>
        </w:tc>
        <w:tc>
          <w:tcPr>
            <w:tcW w:w="1702" w:type="dxa"/>
            <w:tcBorders>
              <w:top w:val="nil"/>
              <w:left w:val="nil"/>
              <w:bottom w:val="single" w:sz="4" w:space="0" w:color="auto"/>
              <w:right w:val="single" w:sz="4" w:space="0" w:color="auto"/>
            </w:tcBorders>
            <w:shd w:val="clear" w:color="auto" w:fill="auto"/>
            <w:noWrap/>
            <w:vAlign w:val="center"/>
            <w:hideMark/>
          </w:tcPr>
          <w:p w14:paraId="54422C3A" w14:textId="77777777" w:rsidR="00836210" w:rsidRDefault="00836210">
            <w:pPr>
              <w:jc w:val="center"/>
              <w:rPr>
                <w:color w:val="000000"/>
              </w:rPr>
            </w:pPr>
            <w:r>
              <w:rPr>
                <w:color w:val="000000"/>
              </w:rPr>
              <w:t>0.08</w:t>
            </w:r>
          </w:p>
        </w:tc>
        <w:tc>
          <w:tcPr>
            <w:tcW w:w="872" w:type="dxa"/>
            <w:tcBorders>
              <w:top w:val="nil"/>
              <w:left w:val="nil"/>
              <w:bottom w:val="single" w:sz="4" w:space="0" w:color="auto"/>
              <w:right w:val="single" w:sz="4" w:space="0" w:color="auto"/>
            </w:tcBorders>
            <w:shd w:val="clear" w:color="auto" w:fill="auto"/>
            <w:noWrap/>
            <w:vAlign w:val="center"/>
            <w:hideMark/>
          </w:tcPr>
          <w:p w14:paraId="09A78F9B" w14:textId="77777777" w:rsidR="00836210" w:rsidRDefault="00836210">
            <w:pPr>
              <w:jc w:val="center"/>
              <w:rPr>
                <w:color w:val="000000"/>
              </w:rPr>
            </w:pPr>
            <w:r>
              <w:rPr>
                <w:color w:val="000000"/>
              </w:rPr>
              <w:t>l</w:t>
            </w:r>
          </w:p>
        </w:tc>
        <w:tc>
          <w:tcPr>
            <w:tcW w:w="1287" w:type="dxa"/>
            <w:tcBorders>
              <w:top w:val="nil"/>
              <w:left w:val="nil"/>
              <w:bottom w:val="single" w:sz="4" w:space="0" w:color="auto"/>
              <w:right w:val="single" w:sz="4" w:space="0" w:color="auto"/>
            </w:tcBorders>
            <w:shd w:val="clear" w:color="auto" w:fill="auto"/>
            <w:noWrap/>
            <w:vAlign w:val="bottom"/>
            <w:hideMark/>
          </w:tcPr>
          <w:p w14:paraId="7C3CDB50"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45B67A22" w14:textId="77777777" w:rsidR="00836210" w:rsidRDefault="00836210">
            <w:pPr>
              <w:jc w:val="center"/>
              <w:rPr>
                <w:color w:val="000000"/>
              </w:rPr>
            </w:pPr>
            <w:r>
              <w:rPr>
                <w:color w:val="000000"/>
              </w:rPr>
              <w:t> </w:t>
            </w:r>
          </w:p>
        </w:tc>
      </w:tr>
      <w:tr w:rsidR="00836210" w14:paraId="394C7B5E"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13E5A899" w14:textId="77777777" w:rsidR="00836210" w:rsidRDefault="00836210">
            <w:pPr>
              <w:jc w:val="center"/>
              <w:rPr>
                <w:color w:val="000000"/>
              </w:rPr>
            </w:pPr>
            <w:r>
              <w:rPr>
                <w:color w:val="000000"/>
              </w:rPr>
              <w:t>Fo</w:t>
            </w:r>
          </w:p>
        </w:tc>
        <w:tc>
          <w:tcPr>
            <w:tcW w:w="1175" w:type="dxa"/>
            <w:tcBorders>
              <w:top w:val="nil"/>
              <w:left w:val="nil"/>
              <w:bottom w:val="single" w:sz="4" w:space="0" w:color="auto"/>
              <w:right w:val="single" w:sz="4" w:space="0" w:color="auto"/>
            </w:tcBorders>
            <w:shd w:val="clear" w:color="auto" w:fill="auto"/>
            <w:noWrap/>
            <w:vAlign w:val="center"/>
            <w:hideMark/>
          </w:tcPr>
          <w:p w14:paraId="6C81B1BF"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468CE71F"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268B581F"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4AC05828"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bottom"/>
            <w:hideMark/>
          </w:tcPr>
          <w:p w14:paraId="5002C787"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15AD6D72" w14:textId="77777777" w:rsidR="00836210" w:rsidRDefault="00836210">
            <w:pPr>
              <w:jc w:val="center"/>
              <w:rPr>
                <w:color w:val="000000"/>
              </w:rPr>
            </w:pPr>
            <w:r>
              <w:rPr>
                <w:color w:val="000000"/>
              </w:rPr>
              <w:t> </w:t>
            </w:r>
          </w:p>
        </w:tc>
      </w:tr>
      <w:tr w:rsidR="00836210" w14:paraId="45DEBBDC"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46258D87" w14:textId="77777777" w:rsidR="00836210" w:rsidRDefault="00836210">
            <w:pPr>
              <w:jc w:val="center"/>
              <w:rPr>
                <w:color w:val="000000"/>
              </w:rPr>
            </w:pPr>
            <w:r>
              <w:rPr>
                <w:color w:val="000000"/>
              </w:rPr>
              <w:t>Al</w:t>
            </w:r>
            <w:r>
              <w:rPr>
                <w:color w:val="000000"/>
                <w:vertAlign w:val="superscript"/>
              </w:rPr>
              <w:t>ol</w:t>
            </w:r>
          </w:p>
        </w:tc>
        <w:tc>
          <w:tcPr>
            <w:tcW w:w="1175" w:type="dxa"/>
            <w:tcBorders>
              <w:top w:val="nil"/>
              <w:left w:val="nil"/>
              <w:bottom w:val="single" w:sz="4" w:space="0" w:color="auto"/>
              <w:right w:val="single" w:sz="4" w:space="0" w:color="auto"/>
            </w:tcBorders>
            <w:shd w:val="clear" w:color="auto" w:fill="auto"/>
            <w:noWrap/>
            <w:vAlign w:val="center"/>
            <w:hideMark/>
          </w:tcPr>
          <w:p w14:paraId="29B35FB7"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616BC9FE"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7F30FF4B"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15BEE147"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bottom"/>
            <w:hideMark/>
          </w:tcPr>
          <w:p w14:paraId="56D50C2D"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4640FAB5" w14:textId="77777777" w:rsidR="00836210" w:rsidRDefault="00836210">
            <w:pPr>
              <w:jc w:val="center"/>
              <w:rPr>
                <w:color w:val="000000"/>
              </w:rPr>
            </w:pPr>
            <w:r>
              <w:rPr>
                <w:color w:val="000000"/>
              </w:rPr>
              <w:t> </w:t>
            </w:r>
          </w:p>
        </w:tc>
      </w:tr>
      <w:tr w:rsidR="00836210" w14:paraId="11E0DDC1"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0CD9B30D" w14:textId="77777777" w:rsidR="00836210" w:rsidRDefault="00836210">
            <w:pPr>
              <w:jc w:val="center"/>
              <w:rPr>
                <w:color w:val="000000"/>
              </w:rPr>
            </w:pPr>
            <w:r>
              <w:rPr>
                <w:i/>
                <w:iCs/>
                <w:color w:val="000000"/>
              </w:rPr>
              <w:t>X</w:t>
            </w:r>
            <w:r>
              <w:rPr>
                <w:color w:val="000000"/>
              </w:rPr>
              <w:t>Ti</w:t>
            </w:r>
            <w:r>
              <w:rPr>
                <w:color w:val="000000"/>
                <w:vertAlign w:val="superscript"/>
              </w:rPr>
              <w:t>melt</w:t>
            </w:r>
          </w:p>
        </w:tc>
        <w:tc>
          <w:tcPr>
            <w:tcW w:w="1175" w:type="dxa"/>
            <w:tcBorders>
              <w:top w:val="nil"/>
              <w:left w:val="nil"/>
              <w:bottom w:val="single" w:sz="4" w:space="0" w:color="auto"/>
              <w:right w:val="single" w:sz="4" w:space="0" w:color="auto"/>
            </w:tcBorders>
            <w:shd w:val="clear" w:color="auto" w:fill="auto"/>
            <w:noWrap/>
            <w:vAlign w:val="center"/>
            <w:hideMark/>
          </w:tcPr>
          <w:p w14:paraId="16B6C22E"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7C442AFC"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5E32024D"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3F8F2E72"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bottom"/>
            <w:hideMark/>
          </w:tcPr>
          <w:p w14:paraId="72F5A985"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557558EA" w14:textId="77777777" w:rsidR="00836210" w:rsidRDefault="00836210">
            <w:pPr>
              <w:jc w:val="center"/>
              <w:rPr>
                <w:color w:val="000000"/>
              </w:rPr>
            </w:pPr>
            <w:r>
              <w:rPr>
                <w:color w:val="000000"/>
              </w:rPr>
              <w:t> </w:t>
            </w:r>
          </w:p>
        </w:tc>
      </w:tr>
      <w:tr w:rsidR="00836210" w14:paraId="600ABF8D"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7AA7F94B" w14:textId="77777777" w:rsidR="00836210" w:rsidRDefault="00836210">
            <w:pPr>
              <w:jc w:val="center"/>
              <w:rPr>
                <w:color w:val="000000"/>
              </w:rPr>
            </w:pPr>
            <w:r>
              <w:rPr>
                <w:color w:val="000000"/>
              </w:rPr>
              <w:t>Al</w:t>
            </w:r>
            <w:r>
              <w:rPr>
                <w:color w:val="000000"/>
                <w:vertAlign w:val="superscript"/>
              </w:rPr>
              <w:t>T</w:t>
            </w:r>
          </w:p>
        </w:tc>
        <w:tc>
          <w:tcPr>
            <w:tcW w:w="1175" w:type="dxa"/>
            <w:tcBorders>
              <w:top w:val="nil"/>
              <w:left w:val="nil"/>
              <w:bottom w:val="single" w:sz="4" w:space="0" w:color="auto"/>
              <w:right w:val="single" w:sz="4" w:space="0" w:color="auto"/>
            </w:tcBorders>
            <w:shd w:val="clear" w:color="auto" w:fill="auto"/>
            <w:noWrap/>
            <w:vAlign w:val="center"/>
            <w:hideMark/>
          </w:tcPr>
          <w:p w14:paraId="1913BDB1" w14:textId="77777777" w:rsidR="00836210" w:rsidRDefault="00836210">
            <w:pPr>
              <w:jc w:val="center"/>
              <w:rPr>
                <w:color w:val="000000"/>
              </w:rPr>
            </w:pPr>
            <w:r>
              <w:rPr>
                <w:color w:val="000000"/>
              </w:rPr>
              <w:t>0.0845</w:t>
            </w:r>
          </w:p>
        </w:tc>
        <w:tc>
          <w:tcPr>
            <w:tcW w:w="1287" w:type="dxa"/>
            <w:tcBorders>
              <w:top w:val="nil"/>
              <w:left w:val="nil"/>
              <w:bottom w:val="single" w:sz="4" w:space="0" w:color="auto"/>
              <w:right w:val="single" w:sz="4" w:space="0" w:color="auto"/>
            </w:tcBorders>
            <w:shd w:val="clear" w:color="auto" w:fill="auto"/>
            <w:noWrap/>
            <w:vAlign w:val="center"/>
            <w:hideMark/>
          </w:tcPr>
          <w:p w14:paraId="2560E421" w14:textId="77777777" w:rsidR="00836210" w:rsidRDefault="00836210">
            <w:pPr>
              <w:jc w:val="center"/>
              <w:rPr>
                <w:color w:val="000000"/>
              </w:rPr>
            </w:pPr>
            <w:r>
              <w:rPr>
                <w:color w:val="000000"/>
              </w:rPr>
              <w:t>0.0627</w:t>
            </w:r>
          </w:p>
        </w:tc>
        <w:tc>
          <w:tcPr>
            <w:tcW w:w="1702" w:type="dxa"/>
            <w:tcBorders>
              <w:top w:val="nil"/>
              <w:left w:val="nil"/>
              <w:bottom w:val="single" w:sz="4" w:space="0" w:color="auto"/>
              <w:right w:val="single" w:sz="4" w:space="0" w:color="auto"/>
            </w:tcBorders>
            <w:shd w:val="clear" w:color="auto" w:fill="auto"/>
            <w:noWrap/>
            <w:vAlign w:val="center"/>
            <w:hideMark/>
          </w:tcPr>
          <w:p w14:paraId="111C7BA4" w14:textId="77777777" w:rsidR="00836210" w:rsidRDefault="00836210">
            <w:pPr>
              <w:jc w:val="center"/>
              <w:rPr>
                <w:color w:val="000000"/>
              </w:rPr>
            </w:pPr>
            <w:r>
              <w:rPr>
                <w:color w:val="000000"/>
              </w:rPr>
              <w:t>0.0598</w:t>
            </w:r>
          </w:p>
        </w:tc>
        <w:tc>
          <w:tcPr>
            <w:tcW w:w="872" w:type="dxa"/>
            <w:tcBorders>
              <w:top w:val="nil"/>
              <w:left w:val="nil"/>
              <w:bottom w:val="single" w:sz="4" w:space="0" w:color="auto"/>
              <w:right w:val="single" w:sz="4" w:space="0" w:color="auto"/>
            </w:tcBorders>
            <w:shd w:val="clear" w:color="auto" w:fill="auto"/>
            <w:noWrap/>
            <w:vAlign w:val="center"/>
            <w:hideMark/>
          </w:tcPr>
          <w:p w14:paraId="0CBFF828" w14:textId="77777777" w:rsidR="00836210" w:rsidRDefault="00836210">
            <w:pPr>
              <w:jc w:val="center"/>
              <w:rPr>
                <w:color w:val="000000"/>
              </w:rPr>
            </w:pPr>
            <w:r>
              <w:rPr>
                <w:color w:val="000000"/>
              </w:rPr>
              <w:t>l</w:t>
            </w:r>
          </w:p>
        </w:tc>
        <w:tc>
          <w:tcPr>
            <w:tcW w:w="1287" w:type="dxa"/>
            <w:tcBorders>
              <w:top w:val="nil"/>
              <w:left w:val="nil"/>
              <w:bottom w:val="single" w:sz="4" w:space="0" w:color="auto"/>
              <w:right w:val="single" w:sz="4" w:space="0" w:color="auto"/>
            </w:tcBorders>
            <w:shd w:val="clear" w:color="auto" w:fill="auto"/>
            <w:noWrap/>
            <w:vAlign w:val="bottom"/>
            <w:hideMark/>
          </w:tcPr>
          <w:p w14:paraId="3B9FC523"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7B5AA8CD" w14:textId="77777777" w:rsidR="00836210" w:rsidRDefault="00836210">
            <w:pPr>
              <w:jc w:val="center"/>
              <w:rPr>
                <w:color w:val="000000"/>
              </w:rPr>
            </w:pPr>
            <w:r>
              <w:rPr>
                <w:color w:val="000000"/>
              </w:rPr>
              <w:t> </w:t>
            </w:r>
          </w:p>
        </w:tc>
      </w:tr>
      <w:tr w:rsidR="00836210" w14:paraId="69137241"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17636076" w14:textId="77777777" w:rsidR="00836210" w:rsidRDefault="00836210">
            <w:pPr>
              <w:jc w:val="center"/>
              <w:rPr>
                <w:color w:val="000000"/>
              </w:rPr>
            </w:pPr>
            <w:r>
              <w:rPr>
                <w:color w:val="000000"/>
              </w:rPr>
              <w:t>Al</w:t>
            </w:r>
            <w:r>
              <w:rPr>
                <w:color w:val="000000"/>
                <w:vertAlign w:val="superscript"/>
              </w:rPr>
              <w:t>M1</w:t>
            </w:r>
          </w:p>
        </w:tc>
        <w:tc>
          <w:tcPr>
            <w:tcW w:w="1175" w:type="dxa"/>
            <w:tcBorders>
              <w:top w:val="nil"/>
              <w:left w:val="nil"/>
              <w:bottom w:val="single" w:sz="4" w:space="0" w:color="auto"/>
              <w:right w:val="single" w:sz="4" w:space="0" w:color="auto"/>
            </w:tcBorders>
            <w:shd w:val="clear" w:color="auto" w:fill="auto"/>
            <w:noWrap/>
            <w:vAlign w:val="center"/>
            <w:hideMark/>
          </w:tcPr>
          <w:p w14:paraId="5A785958" w14:textId="77777777" w:rsidR="00836210" w:rsidRDefault="00836210">
            <w:pPr>
              <w:jc w:val="center"/>
              <w:rPr>
                <w:color w:val="000000"/>
              </w:rPr>
            </w:pPr>
            <w:r>
              <w:rPr>
                <w:color w:val="000000"/>
              </w:rPr>
              <w:t>0.0488</w:t>
            </w:r>
          </w:p>
        </w:tc>
        <w:tc>
          <w:tcPr>
            <w:tcW w:w="1287" w:type="dxa"/>
            <w:tcBorders>
              <w:top w:val="nil"/>
              <w:left w:val="nil"/>
              <w:bottom w:val="single" w:sz="4" w:space="0" w:color="auto"/>
              <w:right w:val="single" w:sz="4" w:space="0" w:color="auto"/>
            </w:tcBorders>
            <w:shd w:val="clear" w:color="auto" w:fill="auto"/>
            <w:noWrap/>
            <w:vAlign w:val="center"/>
            <w:hideMark/>
          </w:tcPr>
          <w:p w14:paraId="560873F0" w14:textId="77777777" w:rsidR="00836210" w:rsidRDefault="00836210">
            <w:pPr>
              <w:jc w:val="center"/>
              <w:rPr>
                <w:color w:val="000000"/>
              </w:rPr>
            </w:pPr>
            <w:r>
              <w:rPr>
                <w:color w:val="000000"/>
              </w:rPr>
              <w:t>0.0167</w:t>
            </w:r>
          </w:p>
        </w:tc>
        <w:tc>
          <w:tcPr>
            <w:tcW w:w="1702" w:type="dxa"/>
            <w:tcBorders>
              <w:top w:val="nil"/>
              <w:left w:val="nil"/>
              <w:bottom w:val="single" w:sz="4" w:space="0" w:color="auto"/>
              <w:right w:val="single" w:sz="4" w:space="0" w:color="auto"/>
            </w:tcBorders>
            <w:shd w:val="clear" w:color="auto" w:fill="auto"/>
            <w:noWrap/>
            <w:vAlign w:val="center"/>
            <w:hideMark/>
          </w:tcPr>
          <w:p w14:paraId="1D549867" w14:textId="77777777" w:rsidR="00836210" w:rsidRDefault="00836210">
            <w:pPr>
              <w:jc w:val="center"/>
              <w:rPr>
                <w:color w:val="000000"/>
              </w:rPr>
            </w:pPr>
            <w:r>
              <w:rPr>
                <w:color w:val="000000"/>
              </w:rPr>
              <w:t>0.0124</w:t>
            </w:r>
          </w:p>
        </w:tc>
        <w:tc>
          <w:tcPr>
            <w:tcW w:w="872" w:type="dxa"/>
            <w:tcBorders>
              <w:top w:val="nil"/>
              <w:left w:val="nil"/>
              <w:bottom w:val="single" w:sz="4" w:space="0" w:color="auto"/>
              <w:right w:val="single" w:sz="4" w:space="0" w:color="auto"/>
            </w:tcBorders>
            <w:shd w:val="clear" w:color="auto" w:fill="auto"/>
            <w:noWrap/>
            <w:vAlign w:val="center"/>
            <w:hideMark/>
          </w:tcPr>
          <w:p w14:paraId="51677591" w14:textId="77777777" w:rsidR="00836210" w:rsidRDefault="00836210">
            <w:pPr>
              <w:jc w:val="center"/>
              <w:rPr>
                <w:color w:val="000000"/>
              </w:rPr>
            </w:pPr>
            <w:r>
              <w:rPr>
                <w:color w:val="000000"/>
              </w:rPr>
              <w:t>l</w:t>
            </w:r>
          </w:p>
        </w:tc>
        <w:tc>
          <w:tcPr>
            <w:tcW w:w="1287" w:type="dxa"/>
            <w:tcBorders>
              <w:top w:val="nil"/>
              <w:left w:val="nil"/>
              <w:bottom w:val="single" w:sz="4" w:space="0" w:color="auto"/>
              <w:right w:val="single" w:sz="4" w:space="0" w:color="auto"/>
            </w:tcBorders>
            <w:shd w:val="clear" w:color="auto" w:fill="auto"/>
            <w:noWrap/>
            <w:vAlign w:val="bottom"/>
            <w:hideMark/>
          </w:tcPr>
          <w:p w14:paraId="091626D4"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31DC3CC0" w14:textId="77777777" w:rsidR="00836210" w:rsidRDefault="00836210">
            <w:pPr>
              <w:jc w:val="center"/>
              <w:rPr>
                <w:color w:val="000000"/>
              </w:rPr>
            </w:pPr>
            <w:r>
              <w:rPr>
                <w:color w:val="000000"/>
              </w:rPr>
              <w:t> </w:t>
            </w:r>
          </w:p>
        </w:tc>
      </w:tr>
      <w:tr w:rsidR="00836210" w14:paraId="7D1A2448"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2A132605" w14:textId="77777777" w:rsidR="00836210" w:rsidRDefault="00836210">
            <w:pPr>
              <w:jc w:val="center"/>
              <w:rPr>
                <w:color w:val="000000"/>
              </w:rPr>
            </w:pPr>
            <w:r>
              <w:rPr>
                <w:color w:val="000000"/>
              </w:rPr>
              <w:t>Ca</w:t>
            </w:r>
            <w:r>
              <w:rPr>
                <w:color w:val="000000"/>
                <w:vertAlign w:val="superscript"/>
              </w:rPr>
              <w:t>M2</w:t>
            </w:r>
          </w:p>
        </w:tc>
        <w:tc>
          <w:tcPr>
            <w:tcW w:w="1175" w:type="dxa"/>
            <w:tcBorders>
              <w:top w:val="nil"/>
              <w:left w:val="nil"/>
              <w:bottom w:val="single" w:sz="4" w:space="0" w:color="auto"/>
              <w:right w:val="single" w:sz="4" w:space="0" w:color="auto"/>
            </w:tcBorders>
            <w:shd w:val="clear" w:color="auto" w:fill="auto"/>
            <w:noWrap/>
            <w:vAlign w:val="center"/>
            <w:hideMark/>
          </w:tcPr>
          <w:p w14:paraId="3BA651B4" w14:textId="77777777" w:rsidR="00836210" w:rsidRDefault="00836210">
            <w:pPr>
              <w:jc w:val="center"/>
              <w:rPr>
                <w:color w:val="000000"/>
              </w:rPr>
            </w:pPr>
            <w:r>
              <w:rPr>
                <w:color w:val="000000"/>
              </w:rPr>
              <w:t>0.4183</w:t>
            </w:r>
          </w:p>
        </w:tc>
        <w:tc>
          <w:tcPr>
            <w:tcW w:w="1287" w:type="dxa"/>
            <w:tcBorders>
              <w:top w:val="nil"/>
              <w:left w:val="nil"/>
              <w:bottom w:val="single" w:sz="4" w:space="0" w:color="auto"/>
              <w:right w:val="single" w:sz="4" w:space="0" w:color="auto"/>
            </w:tcBorders>
            <w:shd w:val="clear" w:color="auto" w:fill="auto"/>
            <w:noWrap/>
            <w:vAlign w:val="center"/>
            <w:hideMark/>
          </w:tcPr>
          <w:p w14:paraId="76992F98" w14:textId="77777777" w:rsidR="00836210" w:rsidRDefault="00836210">
            <w:pPr>
              <w:jc w:val="center"/>
              <w:rPr>
                <w:color w:val="000000"/>
              </w:rPr>
            </w:pPr>
            <w:r>
              <w:rPr>
                <w:color w:val="000000"/>
              </w:rPr>
              <w:t>0.4442</w:t>
            </w:r>
          </w:p>
        </w:tc>
        <w:tc>
          <w:tcPr>
            <w:tcW w:w="1702" w:type="dxa"/>
            <w:tcBorders>
              <w:top w:val="nil"/>
              <w:left w:val="nil"/>
              <w:bottom w:val="single" w:sz="4" w:space="0" w:color="auto"/>
              <w:right w:val="single" w:sz="4" w:space="0" w:color="auto"/>
            </w:tcBorders>
            <w:shd w:val="clear" w:color="auto" w:fill="auto"/>
            <w:noWrap/>
            <w:vAlign w:val="center"/>
            <w:hideMark/>
          </w:tcPr>
          <w:p w14:paraId="6DC3C5D0" w14:textId="77777777" w:rsidR="00836210" w:rsidRDefault="00836210">
            <w:pPr>
              <w:jc w:val="center"/>
              <w:rPr>
                <w:color w:val="000000"/>
              </w:rPr>
            </w:pPr>
            <w:r>
              <w:rPr>
                <w:color w:val="000000"/>
              </w:rPr>
              <w:t>0.6385</w:t>
            </w:r>
          </w:p>
        </w:tc>
        <w:tc>
          <w:tcPr>
            <w:tcW w:w="872" w:type="dxa"/>
            <w:tcBorders>
              <w:top w:val="nil"/>
              <w:left w:val="nil"/>
              <w:bottom w:val="single" w:sz="4" w:space="0" w:color="auto"/>
              <w:right w:val="single" w:sz="4" w:space="0" w:color="auto"/>
            </w:tcBorders>
            <w:shd w:val="clear" w:color="auto" w:fill="auto"/>
            <w:noWrap/>
            <w:vAlign w:val="center"/>
            <w:hideMark/>
          </w:tcPr>
          <w:p w14:paraId="0A88B679" w14:textId="77777777" w:rsidR="00836210" w:rsidRDefault="00836210">
            <w:pPr>
              <w:jc w:val="center"/>
              <w:rPr>
                <w:color w:val="000000"/>
              </w:rPr>
            </w:pPr>
            <w:r>
              <w:rPr>
                <w:color w:val="000000"/>
              </w:rPr>
              <w:t>l</w:t>
            </w:r>
          </w:p>
        </w:tc>
        <w:tc>
          <w:tcPr>
            <w:tcW w:w="1287" w:type="dxa"/>
            <w:tcBorders>
              <w:top w:val="nil"/>
              <w:left w:val="nil"/>
              <w:bottom w:val="single" w:sz="4" w:space="0" w:color="auto"/>
              <w:right w:val="single" w:sz="4" w:space="0" w:color="auto"/>
            </w:tcBorders>
            <w:shd w:val="clear" w:color="auto" w:fill="auto"/>
            <w:noWrap/>
            <w:vAlign w:val="bottom"/>
            <w:hideMark/>
          </w:tcPr>
          <w:p w14:paraId="39CD07D0"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09B197D3" w14:textId="77777777" w:rsidR="00836210" w:rsidRDefault="00836210">
            <w:pPr>
              <w:jc w:val="center"/>
              <w:rPr>
                <w:color w:val="000000"/>
              </w:rPr>
            </w:pPr>
            <w:r>
              <w:rPr>
                <w:color w:val="000000"/>
              </w:rPr>
              <w:t> </w:t>
            </w:r>
          </w:p>
        </w:tc>
      </w:tr>
      <w:tr w:rsidR="00836210" w14:paraId="753AF558"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6EEEEBEB" w14:textId="77777777" w:rsidR="00836210" w:rsidRDefault="00836210">
            <w:pPr>
              <w:jc w:val="center"/>
              <w:rPr>
                <w:color w:val="000000"/>
              </w:rPr>
            </w:pPr>
            <w:r>
              <w:rPr>
                <w:color w:val="000000"/>
              </w:rPr>
              <w:t>Mg</w:t>
            </w:r>
            <w:r>
              <w:rPr>
                <w:color w:val="000000"/>
                <w:vertAlign w:val="superscript"/>
              </w:rPr>
              <w:t>M2</w:t>
            </w:r>
          </w:p>
        </w:tc>
        <w:tc>
          <w:tcPr>
            <w:tcW w:w="1175" w:type="dxa"/>
            <w:tcBorders>
              <w:top w:val="nil"/>
              <w:left w:val="nil"/>
              <w:bottom w:val="single" w:sz="4" w:space="0" w:color="auto"/>
              <w:right w:val="single" w:sz="4" w:space="0" w:color="auto"/>
            </w:tcBorders>
            <w:shd w:val="clear" w:color="auto" w:fill="auto"/>
            <w:noWrap/>
            <w:vAlign w:val="center"/>
            <w:hideMark/>
          </w:tcPr>
          <w:p w14:paraId="5EDD89AF"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73F7ED64"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095B07F9"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044D8BA4"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bottom"/>
            <w:hideMark/>
          </w:tcPr>
          <w:p w14:paraId="2DF2BE30"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54770656" w14:textId="77777777" w:rsidR="00836210" w:rsidRDefault="00836210">
            <w:pPr>
              <w:jc w:val="center"/>
              <w:rPr>
                <w:color w:val="000000"/>
              </w:rPr>
            </w:pPr>
            <w:r>
              <w:rPr>
                <w:color w:val="000000"/>
              </w:rPr>
              <w:t> </w:t>
            </w:r>
          </w:p>
        </w:tc>
      </w:tr>
      <w:tr w:rsidR="00836210" w14:paraId="70F151FE"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71E32495" w14:textId="77777777" w:rsidR="00836210" w:rsidRDefault="00836210">
            <w:pPr>
              <w:jc w:val="center"/>
              <w:rPr>
                <w:color w:val="000000"/>
              </w:rPr>
            </w:pPr>
            <w:r>
              <w:rPr>
                <w:color w:val="000000"/>
              </w:rPr>
              <w:t>Mg</w:t>
            </w:r>
            <w:r>
              <w:rPr>
                <w:color w:val="000000"/>
                <w:vertAlign w:val="superscript"/>
              </w:rPr>
              <w:t>M1</w:t>
            </w:r>
          </w:p>
        </w:tc>
        <w:tc>
          <w:tcPr>
            <w:tcW w:w="1175" w:type="dxa"/>
            <w:tcBorders>
              <w:top w:val="nil"/>
              <w:left w:val="nil"/>
              <w:bottom w:val="single" w:sz="4" w:space="0" w:color="auto"/>
              <w:right w:val="single" w:sz="4" w:space="0" w:color="auto"/>
            </w:tcBorders>
            <w:shd w:val="clear" w:color="auto" w:fill="auto"/>
            <w:noWrap/>
            <w:vAlign w:val="center"/>
            <w:hideMark/>
          </w:tcPr>
          <w:p w14:paraId="31FF4C76"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2A2506BD"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69803927"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771D8BB8"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bottom"/>
            <w:hideMark/>
          </w:tcPr>
          <w:p w14:paraId="43860A07"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083B95DF" w14:textId="77777777" w:rsidR="00836210" w:rsidRDefault="00836210">
            <w:pPr>
              <w:jc w:val="center"/>
              <w:rPr>
                <w:color w:val="000000"/>
              </w:rPr>
            </w:pPr>
            <w:r>
              <w:rPr>
                <w:color w:val="000000"/>
              </w:rPr>
              <w:t> </w:t>
            </w:r>
          </w:p>
        </w:tc>
      </w:tr>
      <w:tr w:rsidR="00836210" w14:paraId="7DE6E529"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74E37023" w14:textId="77777777" w:rsidR="00836210" w:rsidRDefault="00836210">
            <w:pPr>
              <w:jc w:val="center"/>
              <w:rPr>
                <w:color w:val="000000"/>
              </w:rPr>
            </w:pPr>
            <w:r>
              <w:rPr>
                <w:color w:val="000000"/>
              </w:rPr>
              <w:t>Fe</w:t>
            </w:r>
            <w:r>
              <w:rPr>
                <w:color w:val="000000"/>
                <w:vertAlign w:val="superscript"/>
              </w:rPr>
              <w:t>M1</w:t>
            </w:r>
          </w:p>
        </w:tc>
        <w:tc>
          <w:tcPr>
            <w:tcW w:w="1175" w:type="dxa"/>
            <w:tcBorders>
              <w:top w:val="nil"/>
              <w:left w:val="nil"/>
              <w:bottom w:val="single" w:sz="4" w:space="0" w:color="auto"/>
              <w:right w:val="single" w:sz="4" w:space="0" w:color="auto"/>
            </w:tcBorders>
            <w:shd w:val="clear" w:color="auto" w:fill="auto"/>
            <w:noWrap/>
            <w:vAlign w:val="center"/>
            <w:hideMark/>
          </w:tcPr>
          <w:p w14:paraId="5451DA16"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63286312"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1F6D84A7"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4786CFB6"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bottom"/>
            <w:hideMark/>
          </w:tcPr>
          <w:p w14:paraId="19DB592E"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0EF8E7F2" w14:textId="77777777" w:rsidR="00836210" w:rsidRDefault="00836210">
            <w:pPr>
              <w:jc w:val="center"/>
              <w:rPr>
                <w:color w:val="000000"/>
              </w:rPr>
            </w:pPr>
            <w:r>
              <w:rPr>
                <w:color w:val="000000"/>
              </w:rPr>
              <w:t> </w:t>
            </w:r>
          </w:p>
        </w:tc>
      </w:tr>
      <w:tr w:rsidR="00836210" w14:paraId="4D177AEE"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1DF24338" w14:textId="77777777" w:rsidR="00836210" w:rsidRDefault="00836210">
            <w:pPr>
              <w:jc w:val="center"/>
              <w:rPr>
                <w:color w:val="000000"/>
              </w:rPr>
            </w:pPr>
            <w:r>
              <w:rPr>
                <w:i/>
                <w:iCs/>
                <w:color w:val="000000"/>
              </w:rPr>
              <w:t>XC</w:t>
            </w:r>
            <w:r>
              <w:rPr>
                <w:color w:val="000000"/>
              </w:rPr>
              <w:t>a</w:t>
            </w:r>
          </w:p>
        </w:tc>
        <w:tc>
          <w:tcPr>
            <w:tcW w:w="1175" w:type="dxa"/>
            <w:tcBorders>
              <w:top w:val="nil"/>
              <w:left w:val="nil"/>
              <w:bottom w:val="single" w:sz="4" w:space="0" w:color="auto"/>
              <w:right w:val="single" w:sz="4" w:space="0" w:color="auto"/>
            </w:tcBorders>
            <w:shd w:val="clear" w:color="auto" w:fill="auto"/>
            <w:noWrap/>
            <w:vAlign w:val="center"/>
            <w:hideMark/>
          </w:tcPr>
          <w:p w14:paraId="72096F6B"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6F043EEC"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10EEE909"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386EB724"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bottom"/>
            <w:hideMark/>
          </w:tcPr>
          <w:p w14:paraId="0A74B4C0"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3A46E6F8" w14:textId="77777777" w:rsidR="00836210" w:rsidRDefault="00836210">
            <w:pPr>
              <w:jc w:val="center"/>
              <w:rPr>
                <w:color w:val="000000"/>
              </w:rPr>
            </w:pPr>
            <w:r>
              <w:rPr>
                <w:color w:val="000000"/>
              </w:rPr>
              <w:t> </w:t>
            </w:r>
          </w:p>
        </w:tc>
      </w:tr>
      <w:tr w:rsidR="00836210" w14:paraId="42AE9FCD"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18D3D734" w14:textId="77777777" w:rsidR="00836210" w:rsidRDefault="00836210">
            <w:pPr>
              <w:jc w:val="center"/>
              <w:rPr>
                <w:color w:val="000000"/>
              </w:rPr>
            </w:pPr>
            <w:r>
              <w:rPr>
                <w:i/>
                <w:iCs/>
                <w:color w:val="000000"/>
              </w:rPr>
              <w:t>X</w:t>
            </w:r>
            <w:r>
              <w:rPr>
                <w:color w:val="000000"/>
              </w:rPr>
              <w:t>Na</w:t>
            </w:r>
          </w:p>
        </w:tc>
        <w:tc>
          <w:tcPr>
            <w:tcW w:w="1175" w:type="dxa"/>
            <w:tcBorders>
              <w:top w:val="nil"/>
              <w:left w:val="nil"/>
              <w:bottom w:val="single" w:sz="4" w:space="0" w:color="auto"/>
              <w:right w:val="single" w:sz="4" w:space="0" w:color="auto"/>
            </w:tcBorders>
            <w:shd w:val="clear" w:color="auto" w:fill="auto"/>
            <w:noWrap/>
            <w:vAlign w:val="center"/>
            <w:hideMark/>
          </w:tcPr>
          <w:p w14:paraId="11F39819"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491E9F05"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36C7558A"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182956FE"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bottom"/>
            <w:hideMark/>
          </w:tcPr>
          <w:p w14:paraId="04FB092C"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2D9B879F" w14:textId="77777777" w:rsidR="00836210" w:rsidRDefault="00836210">
            <w:pPr>
              <w:jc w:val="center"/>
              <w:rPr>
                <w:color w:val="000000"/>
              </w:rPr>
            </w:pPr>
            <w:r>
              <w:rPr>
                <w:color w:val="000000"/>
              </w:rPr>
              <w:t> </w:t>
            </w:r>
          </w:p>
        </w:tc>
      </w:tr>
      <w:tr w:rsidR="00836210" w14:paraId="1D1BAE32"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4035486D" w14:textId="77777777" w:rsidR="00836210" w:rsidRDefault="00836210">
            <w:pPr>
              <w:jc w:val="center"/>
              <w:rPr>
                <w:color w:val="000000"/>
              </w:rPr>
            </w:pPr>
            <w:r>
              <w:rPr>
                <w:color w:val="000000"/>
              </w:rPr>
              <w:t>D</w:t>
            </w:r>
            <w:r>
              <w:rPr>
                <w:color w:val="000000"/>
                <w:vertAlign w:val="subscript"/>
              </w:rPr>
              <w:t>0</w:t>
            </w:r>
          </w:p>
        </w:tc>
        <w:tc>
          <w:tcPr>
            <w:tcW w:w="1175" w:type="dxa"/>
            <w:tcBorders>
              <w:top w:val="nil"/>
              <w:left w:val="nil"/>
              <w:bottom w:val="single" w:sz="4" w:space="0" w:color="auto"/>
              <w:right w:val="single" w:sz="4" w:space="0" w:color="auto"/>
            </w:tcBorders>
            <w:shd w:val="clear" w:color="auto" w:fill="auto"/>
            <w:noWrap/>
            <w:vAlign w:val="center"/>
            <w:hideMark/>
          </w:tcPr>
          <w:p w14:paraId="572845FA"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3F11737E"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1B88834A"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5F21718B"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center"/>
            <w:hideMark/>
          </w:tcPr>
          <w:p w14:paraId="210DBC29" w14:textId="77777777" w:rsidR="00836210" w:rsidRDefault="00836210">
            <w:pPr>
              <w:jc w:val="center"/>
              <w:rPr>
                <w:color w:val="000000"/>
              </w:rPr>
            </w:pPr>
            <w:r>
              <w:rPr>
                <w:color w:val="000000"/>
              </w:rPr>
              <w:t>0.38</w:t>
            </w:r>
          </w:p>
        </w:tc>
        <w:tc>
          <w:tcPr>
            <w:tcW w:w="872" w:type="dxa"/>
            <w:tcBorders>
              <w:top w:val="nil"/>
              <w:left w:val="nil"/>
              <w:bottom w:val="single" w:sz="4" w:space="0" w:color="auto"/>
              <w:right w:val="single" w:sz="4" w:space="0" w:color="auto"/>
            </w:tcBorders>
            <w:shd w:val="clear" w:color="auto" w:fill="auto"/>
            <w:noWrap/>
            <w:vAlign w:val="center"/>
            <w:hideMark/>
          </w:tcPr>
          <w:p w14:paraId="26F8427E" w14:textId="77777777" w:rsidR="00836210" w:rsidRDefault="00836210">
            <w:pPr>
              <w:jc w:val="center"/>
              <w:rPr>
                <w:color w:val="000000"/>
              </w:rPr>
            </w:pPr>
            <w:r>
              <w:rPr>
                <w:color w:val="000000"/>
              </w:rPr>
              <w:t>g</w:t>
            </w:r>
          </w:p>
        </w:tc>
      </w:tr>
      <w:tr w:rsidR="00836210" w14:paraId="586255EB"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49F68683" w14:textId="77777777" w:rsidR="00836210" w:rsidRDefault="00836210">
            <w:pPr>
              <w:jc w:val="center"/>
              <w:rPr>
                <w:color w:val="000000"/>
              </w:rPr>
            </w:pPr>
            <w:r>
              <w:rPr>
                <w:color w:val="000000"/>
              </w:rPr>
              <w:t>r</w:t>
            </w:r>
            <w:r>
              <w:rPr>
                <w:color w:val="000000"/>
                <w:vertAlign w:val="subscript"/>
              </w:rPr>
              <w:t>0</w:t>
            </w:r>
          </w:p>
        </w:tc>
        <w:tc>
          <w:tcPr>
            <w:tcW w:w="1175" w:type="dxa"/>
            <w:tcBorders>
              <w:top w:val="nil"/>
              <w:left w:val="nil"/>
              <w:bottom w:val="single" w:sz="4" w:space="0" w:color="auto"/>
              <w:right w:val="single" w:sz="4" w:space="0" w:color="auto"/>
            </w:tcBorders>
            <w:shd w:val="clear" w:color="auto" w:fill="auto"/>
            <w:noWrap/>
            <w:vAlign w:val="center"/>
            <w:hideMark/>
          </w:tcPr>
          <w:p w14:paraId="11931AF9"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537E6B98"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33F27558"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778C839D"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center"/>
            <w:hideMark/>
          </w:tcPr>
          <w:p w14:paraId="64A20549" w14:textId="77777777" w:rsidR="00836210" w:rsidRDefault="00836210">
            <w:pPr>
              <w:jc w:val="center"/>
              <w:rPr>
                <w:color w:val="000000"/>
              </w:rPr>
            </w:pPr>
            <w:r>
              <w:rPr>
                <w:color w:val="000000"/>
              </w:rPr>
              <w:t>0.759</w:t>
            </w:r>
          </w:p>
        </w:tc>
        <w:tc>
          <w:tcPr>
            <w:tcW w:w="872" w:type="dxa"/>
            <w:tcBorders>
              <w:top w:val="nil"/>
              <w:left w:val="nil"/>
              <w:bottom w:val="single" w:sz="4" w:space="0" w:color="auto"/>
              <w:right w:val="single" w:sz="4" w:space="0" w:color="auto"/>
            </w:tcBorders>
            <w:shd w:val="clear" w:color="auto" w:fill="auto"/>
            <w:noWrap/>
            <w:vAlign w:val="center"/>
            <w:hideMark/>
          </w:tcPr>
          <w:p w14:paraId="36B1A70C" w14:textId="77777777" w:rsidR="00836210" w:rsidRDefault="00836210">
            <w:pPr>
              <w:jc w:val="center"/>
              <w:rPr>
                <w:color w:val="000000"/>
              </w:rPr>
            </w:pPr>
            <w:r>
              <w:rPr>
                <w:color w:val="000000"/>
              </w:rPr>
              <w:t>g</w:t>
            </w:r>
          </w:p>
        </w:tc>
      </w:tr>
      <w:tr w:rsidR="00836210" w14:paraId="00D5B013"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4F86FB0D" w14:textId="77777777" w:rsidR="00836210" w:rsidRDefault="00836210">
            <w:pPr>
              <w:jc w:val="center"/>
              <w:rPr>
                <w:color w:val="000000"/>
              </w:rPr>
            </w:pPr>
            <w:r>
              <w:rPr>
                <w:color w:val="000000"/>
              </w:rPr>
              <w:t>E</w:t>
            </w:r>
          </w:p>
        </w:tc>
        <w:tc>
          <w:tcPr>
            <w:tcW w:w="1175" w:type="dxa"/>
            <w:tcBorders>
              <w:top w:val="nil"/>
              <w:left w:val="nil"/>
              <w:bottom w:val="single" w:sz="4" w:space="0" w:color="auto"/>
              <w:right w:val="single" w:sz="4" w:space="0" w:color="auto"/>
            </w:tcBorders>
            <w:shd w:val="clear" w:color="auto" w:fill="auto"/>
            <w:noWrap/>
            <w:vAlign w:val="center"/>
            <w:hideMark/>
          </w:tcPr>
          <w:p w14:paraId="085A0408"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00596660"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00B91E96"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58D70C53"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center"/>
            <w:hideMark/>
          </w:tcPr>
          <w:p w14:paraId="4D00BE54" w14:textId="77777777" w:rsidR="00836210" w:rsidRDefault="00836210">
            <w:pPr>
              <w:jc w:val="center"/>
              <w:rPr>
                <w:color w:val="000000"/>
              </w:rPr>
            </w:pPr>
            <w:r>
              <w:rPr>
                <w:color w:val="000000"/>
              </w:rPr>
              <w:t>198</w:t>
            </w:r>
          </w:p>
        </w:tc>
        <w:tc>
          <w:tcPr>
            <w:tcW w:w="872" w:type="dxa"/>
            <w:tcBorders>
              <w:top w:val="nil"/>
              <w:left w:val="nil"/>
              <w:bottom w:val="single" w:sz="4" w:space="0" w:color="auto"/>
              <w:right w:val="single" w:sz="4" w:space="0" w:color="auto"/>
            </w:tcBorders>
            <w:shd w:val="clear" w:color="auto" w:fill="auto"/>
            <w:noWrap/>
            <w:vAlign w:val="center"/>
            <w:hideMark/>
          </w:tcPr>
          <w:p w14:paraId="30928A70" w14:textId="77777777" w:rsidR="00836210" w:rsidRDefault="00836210">
            <w:pPr>
              <w:jc w:val="center"/>
              <w:rPr>
                <w:color w:val="000000"/>
              </w:rPr>
            </w:pPr>
            <w:r>
              <w:rPr>
                <w:color w:val="000000"/>
              </w:rPr>
              <w:t>g</w:t>
            </w:r>
          </w:p>
        </w:tc>
      </w:tr>
      <w:tr w:rsidR="00836210" w14:paraId="766D97B5"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20D08406" w14:textId="77777777" w:rsidR="00836210" w:rsidRDefault="00836210">
            <w:pPr>
              <w:jc w:val="center"/>
              <w:rPr>
                <w:color w:val="000000"/>
              </w:rPr>
            </w:pPr>
            <w:r>
              <w:rPr>
                <w:color w:val="000000"/>
              </w:rPr>
              <w:t>D(Ti)</w:t>
            </w:r>
          </w:p>
        </w:tc>
        <w:tc>
          <w:tcPr>
            <w:tcW w:w="1175" w:type="dxa"/>
            <w:tcBorders>
              <w:top w:val="nil"/>
              <w:left w:val="nil"/>
              <w:bottom w:val="single" w:sz="4" w:space="0" w:color="auto"/>
              <w:right w:val="single" w:sz="4" w:space="0" w:color="auto"/>
            </w:tcBorders>
            <w:shd w:val="clear" w:color="auto" w:fill="auto"/>
            <w:noWrap/>
            <w:vAlign w:val="center"/>
            <w:hideMark/>
          </w:tcPr>
          <w:p w14:paraId="7A6599B8" w14:textId="77777777" w:rsidR="00836210" w:rsidRDefault="00836210">
            <w:pPr>
              <w:jc w:val="center"/>
              <w:rPr>
                <w:color w:val="000000"/>
              </w:rPr>
            </w:pPr>
            <w:r>
              <w:rPr>
                <w:color w:val="000000"/>
              </w:rPr>
              <w:t>-</w:t>
            </w:r>
          </w:p>
        </w:tc>
        <w:tc>
          <w:tcPr>
            <w:tcW w:w="1287" w:type="dxa"/>
            <w:tcBorders>
              <w:top w:val="nil"/>
              <w:left w:val="nil"/>
              <w:bottom w:val="single" w:sz="4" w:space="0" w:color="auto"/>
              <w:right w:val="single" w:sz="4" w:space="0" w:color="auto"/>
            </w:tcBorders>
            <w:shd w:val="clear" w:color="auto" w:fill="auto"/>
            <w:noWrap/>
            <w:vAlign w:val="center"/>
            <w:hideMark/>
          </w:tcPr>
          <w:p w14:paraId="26C70E63" w14:textId="77777777" w:rsidR="00836210" w:rsidRDefault="00836210">
            <w:pPr>
              <w:jc w:val="center"/>
              <w:rPr>
                <w:color w:val="000000"/>
              </w:rPr>
            </w:pPr>
            <w:r>
              <w:rPr>
                <w:color w:val="000000"/>
              </w:rPr>
              <w:t>-</w:t>
            </w:r>
          </w:p>
        </w:tc>
        <w:tc>
          <w:tcPr>
            <w:tcW w:w="1702" w:type="dxa"/>
            <w:tcBorders>
              <w:top w:val="nil"/>
              <w:left w:val="nil"/>
              <w:bottom w:val="single" w:sz="4" w:space="0" w:color="auto"/>
              <w:right w:val="single" w:sz="4" w:space="0" w:color="auto"/>
            </w:tcBorders>
            <w:shd w:val="clear" w:color="auto" w:fill="auto"/>
            <w:noWrap/>
            <w:vAlign w:val="center"/>
            <w:hideMark/>
          </w:tcPr>
          <w:p w14:paraId="3D7FA270"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64877E8C"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center"/>
            <w:hideMark/>
          </w:tcPr>
          <w:p w14:paraId="3D0EB539"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784B28EA" w14:textId="77777777" w:rsidR="00836210" w:rsidRDefault="00836210">
            <w:pPr>
              <w:jc w:val="center"/>
              <w:rPr>
                <w:color w:val="000000"/>
              </w:rPr>
            </w:pPr>
            <w:r>
              <w:rPr>
                <w:color w:val="000000"/>
              </w:rPr>
              <w:t> </w:t>
            </w:r>
          </w:p>
        </w:tc>
      </w:tr>
      <w:tr w:rsidR="00836210" w14:paraId="1C27D73F" w14:textId="77777777" w:rsidTr="00836210">
        <w:trPr>
          <w:trHeight w:val="300"/>
        </w:trPr>
        <w:tc>
          <w:tcPr>
            <w:tcW w:w="1435" w:type="dxa"/>
            <w:tcBorders>
              <w:top w:val="nil"/>
              <w:left w:val="single" w:sz="4" w:space="0" w:color="auto"/>
              <w:bottom w:val="single" w:sz="4" w:space="0" w:color="auto"/>
              <w:right w:val="single" w:sz="4" w:space="0" w:color="auto"/>
            </w:tcBorders>
            <w:shd w:val="clear" w:color="auto" w:fill="auto"/>
            <w:noWrap/>
            <w:vAlign w:val="center"/>
            <w:hideMark/>
          </w:tcPr>
          <w:p w14:paraId="656200F3" w14:textId="77777777" w:rsidR="00836210" w:rsidRDefault="00836210">
            <w:pPr>
              <w:jc w:val="center"/>
              <w:rPr>
                <w:color w:val="000000"/>
              </w:rPr>
            </w:pPr>
            <w:r>
              <w:rPr>
                <w:color w:val="000000"/>
              </w:rPr>
              <w:t>Log(ƒO</w:t>
            </w:r>
            <w:r>
              <w:rPr>
                <w:color w:val="000000"/>
                <w:vertAlign w:val="subscript"/>
              </w:rPr>
              <w:t>2</w:t>
            </w:r>
            <w:r>
              <w:rPr>
                <w:color w:val="000000"/>
              </w:rPr>
              <w:t>)</w:t>
            </w:r>
          </w:p>
        </w:tc>
        <w:tc>
          <w:tcPr>
            <w:tcW w:w="1175" w:type="dxa"/>
            <w:tcBorders>
              <w:top w:val="nil"/>
              <w:left w:val="nil"/>
              <w:bottom w:val="single" w:sz="4" w:space="0" w:color="auto"/>
              <w:right w:val="single" w:sz="4" w:space="0" w:color="auto"/>
            </w:tcBorders>
            <w:shd w:val="clear" w:color="auto" w:fill="auto"/>
            <w:noWrap/>
            <w:vAlign w:val="center"/>
            <w:hideMark/>
          </w:tcPr>
          <w:p w14:paraId="7BCB5067" w14:textId="77777777" w:rsidR="00836210" w:rsidRDefault="00836210">
            <w:pPr>
              <w:jc w:val="center"/>
              <w:rPr>
                <w:color w:val="000000"/>
              </w:rPr>
            </w:pPr>
            <w:r>
              <w:rPr>
                <w:color w:val="000000"/>
              </w:rPr>
              <w:t>-11.75</w:t>
            </w:r>
          </w:p>
        </w:tc>
        <w:tc>
          <w:tcPr>
            <w:tcW w:w="1287" w:type="dxa"/>
            <w:tcBorders>
              <w:top w:val="nil"/>
              <w:left w:val="nil"/>
              <w:bottom w:val="single" w:sz="4" w:space="0" w:color="auto"/>
              <w:right w:val="single" w:sz="4" w:space="0" w:color="auto"/>
            </w:tcBorders>
            <w:shd w:val="clear" w:color="auto" w:fill="auto"/>
            <w:noWrap/>
            <w:vAlign w:val="center"/>
            <w:hideMark/>
          </w:tcPr>
          <w:p w14:paraId="41D86F5C" w14:textId="77777777" w:rsidR="00836210" w:rsidRDefault="00836210">
            <w:pPr>
              <w:jc w:val="center"/>
              <w:rPr>
                <w:color w:val="000000"/>
              </w:rPr>
            </w:pPr>
            <w:r>
              <w:rPr>
                <w:color w:val="000000"/>
              </w:rPr>
              <w:t>-12.87</w:t>
            </w:r>
          </w:p>
        </w:tc>
        <w:tc>
          <w:tcPr>
            <w:tcW w:w="1702" w:type="dxa"/>
            <w:tcBorders>
              <w:top w:val="nil"/>
              <w:left w:val="nil"/>
              <w:bottom w:val="single" w:sz="4" w:space="0" w:color="auto"/>
              <w:right w:val="single" w:sz="4" w:space="0" w:color="auto"/>
            </w:tcBorders>
            <w:shd w:val="clear" w:color="auto" w:fill="auto"/>
            <w:noWrap/>
            <w:vAlign w:val="center"/>
            <w:hideMark/>
          </w:tcPr>
          <w:p w14:paraId="273504A6" w14:textId="77777777" w:rsidR="00836210" w:rsidRDefault="00836210">
            <w:pPr>
              <w:jc w:val="center"/>
              <w:rPr>
                <w:color w:val="000000"/>
              </w:rPr>
            </w:pPr>
            <w:r>
              <w:rPr>
                <w:color w:val="000000"/>
              </w:rPr>
              <w:t>-14.54</w:t>
            </w:r>
          </w:p>
        </w:tc>
        <w:tc>
          <w:tcPr>
            <w:tcW w:w="872" w:type="dxa"/>
            <w:tcBorders>
              <w:top w:val="nil"/>
              <w:left w:val="nil"/>
              <w:bottom w:val="single" w:sz="4" w:space="0" w:color="auto"/>
              <w:right w:val="single" w:sz="4" w:space="0" w:color="auto"/>
            </w:tcBorders>
            <w:shd w:val="clear" w:color="auto" w:fill="auto"/>
            <w:noWrap/>
            <w:vAlign w:val="center"/>
            <w:hideMark/>
          </w:tcPr>
          <w:p w14:paraId="3800212F" w14:textId="77777777" w:rsidR="00836210" w:rsidRDefault="00836210">
            <w:pPr>
              <w:jc w:val="center"/>
              <w:rPr>
                <w:color w:val="000000"/>
              </w:rPr>
            </w:pPr>
            <w:r>
              <w:rPr>
                <w:color w:val="000000"/>
              </w:rPr>
              <w:t> </w:t>
            </w:r>
          </w:p>
        </w:tc>
        <w:tc>
          <w:tcPr>
            <w:tcW w:w="1287" w:type="dxa"/>
            <w:tcBorders>
              <w:top w:val="nil"/>
              <w:left w:val="nil"/>
              <w:bottom w:val="single" w:sz="4" w:space="0" w:color="auto"/>
              <w:right w:val="single" w:sz="4" w:space="0" w:color="auto"/>
            </w:tcBorders>
            <w:shd w:val="clear" w:color="auto" w:fill="auto"/>
            <w:noWrap/>
            <w:vAlign w:val="center"/>
            <w:hideMark/>
          </w:tcPr>
          <w:p w14:paraId="7805C97C" w14:textId="77777777" w:rsidR="00836210" w:rsidRDefault="00836210">
            <w:pPr>
              <w:jc w:val="center"/>
              <w:rPr>
                <w:color w:val="000000"/>
              </w:rPr>
            </w:pPr>
            <w:r>
              <w:rPr>
                <w:color w:val="000000"/>
              </w:rPr>
              <w:t>-</w:t>
            </w:r>
          </w:p>
        </w:tc>
        <w:tc>
          <w:tcPr>
            <w:tcW w:w="872" w:type="dxa"/>
            <w:tcBorders>
              <w:top w:val="nil"/>
              <w:left w:val="nil"/>
              <w:bottom w:val="single" w:sz="4" w:space="0" w:color="auto"/>
              <w:right w:val="single" w:sz="4" w:space="0" w:color="auto"/>
            </w:tcBorders>
            <w:shd w:val="clear" w:color="auto" w:fill="auto"/>
            <w:noWrap/>
            <w:vAlign w:val="center"/>
            <w:hideMark/>
          </w:tcPr>
          <w:p w14:paraId="110F89D8" w14:textId="77777777" w:rsidR="00836210" w:rsidRDefault="00836210">
            <w:pPr>
              <w:jc w:val="center"/>
              <w:rPr>
                <w:color w:val="000000"/>
              </w:rPr>
            </w:pPr>
            <w:r>
              <w:rPr>
                <w:color w:val="000000"/>
              </w:rPr>
              <w:t> </w:t>
            </w:r>
          </w:p>
        </w:tc>
      </w:tr>
      <w:tr w:rsidR="00836210" w14:paraId="2A0AB9D0" w14:textId="77777777" w:rsidTr="00836210">
        <w:trPr>
          <w:trHeight w:val="620"/>
        </w:trPr>
        <w:tc>
          <w:tcPr>
            <w:tcW w:w="1435" w:type="dxa"/>
            <w:tcBorders>
              <w:top w:val="nil"/>
              <w:left w:val="single" w:sz="4" w:space="0" w:color="auto"/>
              <w:bottom w:val="single" w:sz="4" w:space="0" w:color="auto"/>
              <w:right w:val="single" w:sz="4" w:space="0" w:color="auto"/>
            </w:tcBorders>
            <w:shd w:val="clear" w:color="auto" w:fill="auto"/>
            <w:vAlign w:val="center"/>
            <w:hideMark/>
          </w:tcPr>
          <w:p w14:paraId="3F795312" w14:textId="77777777" w:rsidR="00836210" w:rsidRDefault="00836210">
            <w:pPr>
              <w:jc w:val="center"/>
              <w:rPr>
                <w:color w:val="000000"/>
              </w:rPr>
            </w:pPr>
            <w:r>
              <w:rPr>
                <w:color w:val="000000"/>
              </w:rPr>
              <w:t>Sample/ Experiment</w:t>
            </w:r>
          </w:p>
        </w:tc>
        <w:tc>
          <w:tcPr>
            <w:tcW w:w="1175" w:type="dxa"/>
            <w:tcBorders>
              <w:top w:val="nil"/>
              <w:left w:val="nil"/>
              <w:bottom w:val="single" w:sz="4" w:space="0" w:color="auto"/>
              <w:right w:val="single" w:sz="4" w:space="0" w:color="auto"/>
            </w:tcBorders>
            <w:shd w:val="clear" w:color="auto" w:fill="auto"/>
            <w:vAlign w:val="center"/>
            <w:hideMark/>
          </w:tcPr>
          <w:p w14:paraId="2C74A272" w14:textId="77777777" w:rsidR="00836210" w:rsidRDefault="00836210">
            <w:pPr>
              <w:jc w:val="center"/>
              <w:rPr>
                <w:color w:val="000000"/>
              </w:rPr>
            </w:pPr>
            <w:r>
              <w:rPr>
                <w:color w:val="000000"/>
              </w:rPr>
              <w:t>LPUM88 HAO2-5</w:t>
            </w:r>
          </w:p>
        </w:tc>
        <w:tc>
          <w:tcPr>
            <w:tcW w:w="1287" w:type="dxa"/>
            <w:tcBorders>
              <w:top w:val="nil"/>
              <w:left w:val="nil"/>
              <w:bottom w:val="single" w:sz="4" w:space="0" w:color="auto"/>
              <w:right w:val="single" w:sz="4" w:space="0" w:color="auto"/>
            </w:tcBorders>
            <w:shd w:val="clear" w:color="auto" w:fill="auto"/>
            <w:vAlign w:val="center"/>
            <w:hideMark/>
          </w:tcPr>
          <w:p w14:paraId="1188BF24" w14:textId="77777777" w:rsidR="00836210" w:rsidRDefault="00836210">
            <w:pPr>
              <w:jc w:val="center"/>
              <w:rPr>
                <w:color w:val="000000"/>
              </w:rPr>
            </w:pPr>
            <w:r>
              <w:rPr>
                <w:color w:val="000000"/>
              </w:rPr>
              <w:t>LPUM/02-5 HA02-3</w:t>
            </w:r>
          </w:p>
        </w:tc>
        <w:tc>
          <w:tcPr>
            <w:tcW w:w="1702" w:type="dxa"/>
            <w:tcBorders>
              <w:top w:val="nil"/>
              <w:left w:val="nil"/>
              <w:bottom w:val="single" w:sz="4" w:space="0" w:color="auto"/>
              <w:right w:val="single" w:sz="4" w:space="0" w:color="auto"/>
            </w:tcBorders>
            <w:shd w:val="clear" w:color="auto" w:fill="auto"/>
            <w:vAlign w:val="center"/>
            <w:hideMark/>
          </w:tcPr>
          <w:p w14:paraId="461985BE" w14:textId="77777777" w:rsidR="00836210" w:rsidRDefault="00836210">
            <w:pPr>
              <w:jc w:val="center"/>
              <w:rPr>
                <w:color w:val="000000"/>
              </w:rPr>
            </w:pPr>
            <w:r>
              <w:rPr>
                <w:color w:val="000000"/>
              </w:rPr>
              <w:t>LPUM/0.4-1.5 gl HA02-0.8</w:t>
            </w:r>
          </w:p>
        </w:tc>
        <w:tc>
          <w:tcPr>
            <w:tcW w:w="872" w:type="dxa"/>
            <w:tcBorders>
              <w:top w:val="nil"/>
              <w:left w:val="nil"/>
              <w:bottom w:val="single" w:sz="4" w:space="0" w:color="auto"/>
              <w:right w:val="single" w:sz="4" w:space="0" w:color="auto"/>
            </w:tcBorders>
            <w:shd w:val="clear" w:color="auto" w:fill="auto"/>
            <w:vAlign w:val="center"/>
            <w:hideMark/>
          </w:tcPr>
          <w:p w14:paraId="5C2CB6AB" w14:textId="77777777" w:rsidR="00836210" w:rsidRDefault="00836210">
            <w:pPr>
              <w:jc w:val="center"/>
              <w:rPr>
                <w:color w:val="000000"/>
              </w:rPr>
            </w:pPr>
            <w:r>
              <w:rPr>
                <w:color w:val="000000"/>
              </w:rPr>
              <w:t>l</w:t>
            </w:r>
          </w:p>
        </w:tc>
        <w:tc>
          <w:tcPr>
            <w:tcW w:w="1287" w:type="dxa"/>
            <w:tcBorders>
              <w:top w:val="nil"/>
              <w:left w:val="nil"/>
              <w:bottom w:val="single" w:sz="4" w:space="0" w:color="auto"/>
              <w:right w:val="single" w:sz="4" w:space="0" w:color="auto"/>
            </w:tcBorders>
            <w:shd w:val="clear" w:color="auto" w:fill="auto"/>
            <w:vAlign w:val="center"/>
            <w:hideMark/>
          </w:tcPr>
          <w:p w14:paraId="3A68A67F" w14:textId="77777777" w:rsidR="00836210" w:rsidRDefault="00836210">
            <w:pPr>
              <w:jc w:val="center"/>
              <w:rPr>
                <w:color w:val="000000"/>
              </w:rPr>
            </w:pPr>
            <w:r>
              <w:rPr>
                <w:color w:val="000000"/>
              </w:rPr>
              <w:t>Eu14-17</w:t>
            </w:r>
          </w:p>
        </w:tc>
        <w:tc>
          <w:tcPr>
            <w:tcW w:w="872" w:type="dxa"/>
            <w:tcBorders>
              <w:top w:val="nil"/>
              <w:left w:val="nil"/>
              <w:bottom w:val="single" w:sz="4" w:space="0" w:color="auto"/>
              <w:right w:val="single" w:sz="4" w:space="0" w:color="auto"/>
            </w:tcBorders>
            <w:shd w:val="clear" w:color="auto" w:fill="auto"/>
            <w:vAlign w:val="center"/>
            <w:hideMark/>
          </w:tcPr>
          <w:p w14:paraId="5BC830F3" w14:textId="77777777" w:rsidR="00836210" w:rsidRDefault="00836210">
            <w:pPr>
              <w:jc w:val="center"/>
              <w:rPr>
                <w:color w:val="000000"/>
              </w:rPr>
            </w:pPr>
            <w:r>
              <w:rPr>
                <w:color w:val="000000"/>
              </w:rPr>
              <w:t>g</w:t>
            </w:r>
          </w:p>
        </w:tc>
      </w:tr>
    </w:tbl>
    <w:p w14:paraId="6774CE6D" w14:textId="77777777" w:rsidR="00957DC6" w:rsidRPr="008030CD" w:rsidRDefault="00957DC6" w:rsidP="00957DC6">
      <w:pPr>
        <w:rPr>
          <w:color w:val="000000" w:themeColor="text1"/>
        </w:rPr>
      </w:pPr>
    </w:p>
    <w:p w14:paraId="514E3B2C" w14:textId="3697368C" w:rsidR="00BF31DF" w:rsidRPr="00F40558" w:rsidRDefault="00957DC6" w:rsidP="00BF31DF">
      <w:pPr>
        <w:rPr>
          <w:i/>
          <w:iCs/>
          <w:color w:val="000000" w:themeColor="text1"/>
        </w:rPr>
      </w:pPr>
      <w:r w:rsidRPr="00557062">
        <w:rPr>
          <w:i/>
          <w:iCs/>
          <w:color w:val="000000" w:themeColor="text1"/>
        </w:rPr>
        <w:br w:type="page"/>
      </w:r>
      <w:r w:rsidR="00BF31DF" w:rsidRPr="00557062">
        <w:rPr>
          <w:b/>
          <w:bCs/>
        </w:rPr>
        <w:lastRenderedPageBreak/>
        <w:t xml:space="preserve">Table </w:t>
      </w:r>
      <w:r w:rsidR="00BF31DF">
        <w:rPr>
          <w:b/>
          <w:bCs/>
        </w:rPr>
        <w:t>2.</w:t>
      </w:r>
      <w:r w:rsidR="00BF31DF" w:rsidRPr="00557062">
        <w:rPr>
          <w:b/>
          <w:bCs/>
        </w:rPr>
        <w:t>2.</w:t>
      </w:r>
      <w:r w:rsidR="00BF31DF" w:rsidRPr="00557062">
        <w:t xml:space="preserve"> Continued</w:t>
      </w:r>
      <w:r w:rsidR="00C47A39">
        <w:t>.</w:t>
      </w:r>
    </w:p>
    <w:tbl>
      <w:tblPr>
        <w:tblW w:w="8160" w:type="dxa"/>
        <w:tblLook w:val="04A0" w:firstRow="1" w:lastRow="0" w:firstColumn="1" w:lastColumn="0" w:noHBand="0" w:noVBand="1"/>
      </w:tblPr>
      <w:tblGrid>
        <w:gridCol w:w="1336"/>
        <w:gridCol w:w="1300"/>
        <w:gridCol w:w="1300"/>
        <w:gridCol w:w="1720"/>
        <w:gridCol w:w="1720"/>
        <w:gridCol w:w="880"/>
      </w:tblGrid>
      <w:tr w:rsidR="0047535C" w14:paraId="0511CE3A" w14:textId="77777777" w:rsidTr="0047535C">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FC4E4" w14:textId="77777777" w:rsidR="0047535C" w:rsidRDefault="0047535C">
            <w:pPr>
              <w:jc w:val="center"/>
              <w:rPr>
                <w:color w:val="000000"/>
              </w:rPr>
            </w:pPr>
            <w:r>
              <w:rPr>
                <w:color w:val="000000"/>
              </w:rPr>
              <w:t>Element</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7FC139DD" w14:textId="21C0864C" w:rsidR="0047535C" w:rsidRDefault="0047535C">
            <w:pPr>
              <w:jc w:val="center"/>
              <w:rPr>
                <w:color w:val="000000"/>
              </w:rPr>
            </w:pPr>
            <w:r>
              <w:rPr>
                <w:color w:val="000000"/>
              </w:rPr>
              <w:t>Plag (</w:t>
            </w:r>
            <w:r w:rsidR="00747808">
              <w:rPr>
                <w:color w:val="000000"/>
              </w:rPr>
              <w:t>D</w:t>
            </w:r>
            <w:r>
              <w:rPr>
                <w:color w:val="000000"/>
              </w:rPr>
              <w:t>)</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32D5C7BA" w14:textId="5E0954CE" w:rsidR="0047535C" w:rsidRDefault="0047535C">
            <w:pPr>
              <w:jc w:val="center"/>
              <w:rPr>
                <w:color w:val="000000"/>
              </w:rPr>
            </w:pPr>
            <w:r>
              <w:rPr>
                <w:color w:val="000000"/>
              </w:rPr>
              <w:t>Plag (</w:t>
            </w:r>
            <w:r w:rsidR="00747808">
              <w:rPr>
                <w:color w:val="000000"/>
              </w:rPr>
              <w:t>D</w:t>
            </w:r>
            <w:r>
              <w:rPr>
                <w:color w:val="000000"/>
              </w:rPr>
              <w:t>)</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4E5BE889" w14:textId="3E6E7665" w:rsidR="0047535C" w:rsidRDefault="0047535C">
            <w:pPr>
              <w:jc w:val="center"/>
              <w:rPr>
                <w:color w:val="000000"/>
              </w:rPr>
            </w:pPr>
            <w:r>
              <w:rPr>
                <w:color w:val="000000"/>
              </w:rPr>
              <w:t>Plag (</w:t>
            </w:r>
            <w:r w:rsidR="00747808">
              <w:rPr>
                <w:color w:val="000000"/>
              </w:rPr>
              <w:t>D</w:t>
            </w:r>
            <w:r>
              <w:rPr>
                <w:color w:val="000000"/>
              </w:rPr>
              <w:t>)</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36F4B1ED" w14:textId="065C0BF9" w:rsidR="0047535C" w:rsidRDefault="0047535C">
            <w:pPr>
              <w:jc w:val="center"/>
              <w:rPr>
                <w:color w:val="000000"/>
              </w:rPr>
            </w:pPr>
            <w:r>
              <w:rPr>
                <w:color w:val="000000"/>
              </w:rPr>
              <w:t>Plag (</w:t>
            </w:r>
            <w:r w:rsidR="00747808">
              <w:rPr>
                <w:color w:val="000000"/>
              </w:rPr>
              <w:t>D</w:t>
            </w:r>
            <w:r>
              <w:rPr>
                <w:color w:val="000000"/>
              </w:rPr>
              <w:t>)</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645AA8FD" w14:textId="77777777" w:rsidR="0047535C" w:rsidRDefault="0047535C">
            <w:pPr>
              <w:jc w:val="center"/>
              <w:rPr>
                <w:color w:val="000000"/>
              </w:rPr>
            </w:pPr>
            <w:r>
              <w:rPr>
                <w:color w:val="000000"/>
              </w:rPr>
              <w:t>ref.</w:t>
            </w:r>
          </w:p>
        </w:tc>
      </w:tr>
      <w:tr w:rsidR="0047535C" w14:paraId="1297BED3"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7213228" w14:textId="77777777" w:rsidR="0047535C" w:rsidRDefault="0047535C">
            <w:pPr>
              <w:jc w:val="center"/>
              <w:rPr>
                <w:color w:val="000000"/>
              </w:rPr>
            </w:pPr>
            <w:r>
              <w:rPr>
                <w:color w:val="000000"/>
              </w:rPr>
              <w:t>La</w:t>
            </w:r>
          </w:p>
        </w:tc>
        <w:tc>
          <w:tcPr>
            <w:tcW w:w="1300" w:type="dxa"/>
            <w:tcBorders>
              <w:top w:val="nil"/>
              <w:left w:val="nil"/>
              <w:bottom w:val="single" w:sz="4" w:space="0" w:color="auto"/>
              <w:right w:val="single" w:sz="4" w:space="0" w:color="auto"/>
            </w:tcBorders>
            <w:shd w:val="clear" w:color="auto" w:fill="auto"/>
            <w:noWrap/>
            <w:vAlign w:val="center"/>
            <w:hideMark/>
          </w:tcPr>
          <w:p w14:paraId="6F8DED03" w14:textId="77777777" w:rsidR="0047535C" w:rsidRDefault="0047535C">
            <w:pPr>
              <w:jc w:val="center"/>
              <w:rPr>
                <w:color w:val="000000"/>
              </w:rPr>
            </w:pPr>
            <w:r>
              <w:rPr>
                <w:color w:val="000000"/>
              </w:rPr>
              <w:t>1.11E-02</w:t>
            </w:r>
          </w:p>
        </w:tc>
        <w:tc>
          <w:tcPr>
            <w:tcW w:w="1300" w:type="dxa"/>
            <w:tcBorders>
              <w:top w:val="nil"/>
              <w:left w:val="nil"/>
              <w:bottom w:val="single" w:sz="4" w:space="0" w:color="auto"/>
              <w:right w:val="single" w:sz="4" w:space="0" w:color="auto"/>
            </w:tcBorders>
            <w:shd w:val="clear" w:color="auto" w:fill="auto"/>
            <w:noWrap/>
            <w:vAlign w:val="center"/>
            <w:hideMark/>
          </w:tcPr>
          <w:p w14:paraId="32CA8D0B" w14:textId="77777777" w:rsidR="0047535C" w:rsidRDefault="0047535C">
            <w:pPr>
              <w:jc w:val="center"/>
              <w:rPr>
                <w:color w:val="000000"/>
              </w:rPr>
            </w:pPr>
            <w:r>
              <w:rPr>
                <w:color w:val="000000"/>
              </w:rPr>
              <w:t>8.46E-03</w:t>
            </w:r>
          </w:p>
        </w:tc>
        <w:tc>
          <w:tcPr>
            <w:tcW w:w="1720" w:type="dxa"/>
            <w:tcBorders>
              <w:top w:val="nil"/>
              <w:left w:val="nil"/>
              <w:bottom w:val="single" w:sz="4" w:space="0" w:color="auto"/>
              <w:right w:val="single" w:sz="4" w:space="0" w:color="auto"/>
            </w:tcBorders>
            <w:shd w:val="clear" w:color="auto" w:fill="auto"/>
            <w:noWrap/>
            <w:vAlign w:val="center"/>
            <w:hideMark/>
          </w:tcPr>
          <w:p w14:paraId="1F91A9B4" w14:textId="77777777" w:rsidR="0047535C" w:rsidRDefault="0047535C">
            <w:pPr>
              <w:jc w:val="center"/>
              <w:rPr>
                <w:color w:val="000000"/>
              </w:rPr>
            </w:pPr>
            <w:r>
              <w:rPr>
                <w:color w:val="000000"/>
              </w:rPr>
              <w:t>5.80E-03</w:t>
            </w:r>
          </w:p>
        </w:tc>
        <w:tc>
          <w:tcPr>
            <w:tcW w:w="1720" w:type="dxa"/>
            <w:tcBorders>
              <w:top w:val="nil"/>
              <w:left w:val="nil"/>
              <w:bottom w:val="single" w:sz="4" w:space="0" w:color="auto"/>
              <w:right w:val="single" w:sz="4" w:space="0" w:color="auto"/>
            </w:tcBorders>
            <w:shd w:val="clear" w:color="auto" w:fill="auto"/>
            <w:noWrap/>
            <w:vAlign w:val="center"/>
            <w:hideMark/>
          </w:tcPr>
          <w:p w14:paraId="3228158A" w14:textId="77777777" w:rsidR="0047535C" w:rsidRDefault="0047535C">
            <w:pPr>
              <w:jc w:val="center"/>
              <w:rPr>
                <w:color w:val="000000"/>
              </w:rPr>
            </w:pPr>
            <w:r>
              <w:rPr>
                <w:color w:val="000000"/>
              </w:rPr>
              <w:t>7.14E-03</w:t>
            </w:r>
          </w:p>
        </w:tc>
        <w:tc>
          <w:tcPr>
            <w:tcW w:w="880" w:type="dxa"/>
            <w:tcBorders>
              <w:top w:val="nil"/>
              <w:left w:val="nil"/>
              <w:bottom w:val="single" w:sz="4" w:space="0" w:color="auto"/>
              <w:right w:val="single" w:sz="4" w:space="0" w:color="auto"/>
            </w:tcBorders>
            <w:shd w:val="clear" w:color="auto" w:fill="auto"/>
            <w:noWrap/>
            <w:vAlign w:val="center"/>
            <w:hideMark/>
          </w:tcPr>
          <w:p w14:paraId="46CF1CFC" w14:textId="77777777" w:rsidR="0047535C" w:rsidRDefault="0047535C">
            <w:pPr>
              <w:jc w:val="center"/>
              <w:rPr>
                <w:color w:val="000000"/>
              </w:rPr>
            </w:pPr>
            <w:r>
              <w:rPr>
                <w:color w:val="000000"/>
              </w:rPr>
              <w:t>i, Cal.</w:t>
            </w:r>
          </w:p>
        </w:tc>
      </w:tr>
      <w:tr w:rsidR="0047535C" w14:paraId="6FB35192"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2805EDF" w14:textId="77777777" w:rsidR="0047535C" w:rsidRDefault="0047535C">
            <w:pPr>
              <w:jc w:val="center"/>
              <w:rPr>
                <w:color w:val="000000"/>
              </w:rPr>
            </w:pPr>
            <w:r>
              <w:rPr>
                <w:color w:val="000000"/>
              </w:rPr>
              <w:t>Ce</w:t>
            </w:r>
          </w:p>
        </w:tc>
        <w:tc>
          <w:tcPr>
            <w:tcW w:w="1300" w:type="dxa"/>
            <w:tcBorders>
              <w:top w:val="nil"/>
              <w:left w:val="nil"/>
              <w:bottom w:val="single" w:sz="4" w:space="0" w:color="auto"/>
              <w:right w:val="single" w:sz="4" w:space="0" w:color="auto"/>
            </w:tcBorders>
            <w:shd w:val="clear" w:color="auto" w:fill="auto"/>
            <w:noWrap/>
            <w:vAlign w:val="center"/>
            <w:hideMark/>
          </w:tcPr>
          <w:p w14:paraId="71C47005" w14:textId="77777777" w:rsidR="0047535C" w:rsidRDefault="0047535C">
            <w:pPr>
              <w:jc w:val="center"/>
              <w:rPr>
                <w:color w:val="000000"/>
              </w:rPr>
            </w:pPr>
            <w:r>
              <w:rPr>
                <w:color w:val="000000"/>
              </w:rPr>
              <w:t>1.04E-02</w:t>
            </w:r>
          </w:p>
        </w:tc>
        <w:tc>
          <w:tcPr>
            <w:tcW w:w="1300" w:type="dxa"/>
            <w:tcBorders>
              <w:top w:val="nil"/>
              <w:left w:val="nil"/>
              <w:bottom w:val="single" w:sz="4" w:space="0" w:color="auto"/>
              <w:right w:val="single" w:sz="4" w:space="0" w:color="auto"/>
            </w:tcBorders>
            <w:shd w:val="clear" w:color="auto" w:fill="auto"/>
            <w:noWrap/>
            <w:vAlign w:val="center"/>
            <w:hideMark/>
          </w:tcPr>
          <w:p w14:paraId="180A55F2" w14:textId="77777777" w:rsidR="0047535C" w:rsidRDefault="0047535C">
            <w:pPr>
              <w:jc w:val="center"/>
              <w:rPr>
                <w:color w:val="000000"/>
              </w:rPr>
            </w:pPr>
            <w:r>
              <w:rPr>
                <w:color w:val="000000"/>
              </w:rPr>
              <w:t>7.90E-03</w:t>
            </w:r>
          </w:p>
        </w:tc>
        <w:tc>
          <w:tcPr>
            <w:tcW w:w="1720" w:type="dxa"/>
            <w:tcBorders>
              <w:top w:val="nil"/>
              <w:left w:val="nil"/>
              <w:bottom w:val="single" w:sz="4" w:space="0" w:color="auto"/>
              <w:right w:val="single" w:sz="4" w:space="0" w:color="auto"/>
            </w:tcBorders>
            <w:shd w:val="clear" w:color="auto" w:fill="auto"/>
            <w:noWrap/>
            <w:vAlign w:val="center"/>
            <w:hideMark/>
          </w:tcPr>
          <w:p w14:paraId="5F8FEE91" w14:textId="77777777" w:rsidR="0047535C" w:rsidRDefault="0047535C">
            <w:pPr>
              <w:jc w:val="center"/>
              <w:rPr>
                <w:color w:val="000000"/>
              </w:rPr>
            </w:pPr>
            <w:r>
              <w:rPr>
                <w:color w:val="000000"/>
              </w:rPr>
              <w:t>5.39E-03</w:t>
            </w:r>
          </w:p>
        </w:tc>
        <w:tc>
          <w:tcPr>
            <w:tcW w:w="1720" w:type="dxa"/>
            <w:tcBorders>
              <w:top w:val="nil"/>
              <w:left w:val="nil"/>
              <w:bottom w:val="single" w:sz="4" w:space="0" w:color="auto"/>
              <w:right w:val="single" w:sz="4" w:space="0" w:color="auto"/>
            </w:tcBorders>
            <w:shd w:val="clear" w:color="auto" w:fill="auto"/>
            <w:noWrap/>
            <w:vAlign w:val="center"/>
            <w:hideMark/>
          </w:tcPr>
          <w:p w14:paraId="2FC01FB9" w14:textId="77777777" w:rsidR="0047535C" w:rsidRDefault="0047535C">
            <w:pPr>
              <w:jc w:val="center"/>
              <w:rPr>
                <w:color w:val="000000"/>
              </w:rPr>
            </w:pPr>
            <w:r>
              <w:rPr>
                <w:color w:val="000000"/>
              </w:rPr>
              <w:t>6.63E-03</w:t>
            </w:r>
          </w:p>
        </w:tc>
        <w:tc>
          <w:tcPr>
            <w:tcW w:w="880" w:type="dxa"/>
            <w:tcBorders>
              <w:top w:val="nil"/>
              <w:left w:val="nil"/>
              <w:bottom w:val="single" w:sz="4" w:space="0" w:color="auto"/>
              <w:right w:val="single" w:sz="4" w:space="0" w:color="auto"/>
            </w:tcBorders>
            <w:shd w:val="clear" w:color="auto" w:fill="auto"/>
            <w:noWrap/>
            <w:vAlign w:val="center"/>
            <w:hideMark/>
          </w:tcPr>
          <w:p w14:paraId="788DB706" w14:textId="77777777" w:rsidR="0047535C" w:rsidRDefault="0047535C">
            <w:pPr>
              <w:jc w:val="center"/>
              <w:rPr>
                <w:color w:val="000000"/>
              </w:rPr>
            </w:pPr>
            <w:r>
              <w:rPr>
                <w:color w:val="000000"/>
              </w:rPr>
              <w:t>i, Cal.</w:t>
            </w:r>
          </w:p>
        </w:tc>
      </w:tr>
      <w:tr w:rsidR="0047535C" w14:paraId="2C2F3B95"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D4D3990" w14:textId="77777777" w:rsidR="0047535C" w:rsidRDefault="0047535C">
            <w:pPr>
              <w:jc w:val="center"/>
              <w:rPr>
                <w:color w:val="000000"/>
              </w:rPr>
            </w:pPr>
            <w:r>
              <w:rPr>
                <w:color w:val="000000"/>
              </w:rPr>
              <w:t>Pr</w:t>
            </w:r>
          </w:p>
        </w:tc>
        <w:tc>
          <w:tcPr>
            <w:tcW w:w="1300" w:type="dxa"/>
            <w:tcBorders>
              <w:top w:val="nil"/>
              <w:left w:val="nil"/>
              <w:bottom w:val="single" w:sz="4" w:space="0" w:color="auto"/>
              <w:right w:val="single" w:sz="4" w:space="0" w:color="auto"/>
            </w:tcBorders>
            <w:shd w:val="clear" w:color="auto" w:fill="auto"/>
            <w:noWrap/>
            <w:vAlign w:val="center"/>
            <w:hideMark/>
          </w:tcPr>
          <w:p w14:paraId="26A615F7" w14:textId="77777777" w:rsidR="0047535C" w:rsidRDefault="0047535C">
            <w:pPr>
              <w:jc w:val="center"/>
              <w:rPr>
                <w:color w:val="000000"/>
              </w:rPr>
            </w:pPr>
            <w:r>
              <w:rPr>
                <w:color w:val="000000"/>
              </w:rPr>
              <w:t>9.35E-03</w:t>
            </w:r>
          </w:p>
        </w:tc>
        <w:tc>
          <w:tcPr>
            <w:tcW w:w="1300" w:type="dxa"/>
            <w:tcBorders>
              <w:top w:val="nil"/>
              <w:left w:val="nil"/>
              <w:bottom w:val="single" w:sz="4" w:space="0" w:color="auto"/>
              <w:right w:val="single" w:sz="4" w:space="0" w:color="auto"/>
            </w:tcBorders>
            <w:shd w:val="clear" w:color="auto" w:fill="auto"/>
            <w:noWrap/>
            <w:vAlign w:val="center"/>
            <w:hideMark/>
          </w:tcPr>
          <w:p w14:paraId="4CA5779A" w14:textId="77777777" w:rsidR="0047535C" w:rsidRDefault="0047535C">
            <w:pPr>
              <w:jc w:val="center"/>
              <w:rPr>
                <w:color w:val="000000"/>
              </w:rPr>
            </w:pPr>
            <w:r>
              <w:rPr>
                <w:color w:val="000000"/>
              </w:rPr>
              <w:t>7.08E-03</w:t>
            </w:r>
          </w:p>
        </w:tc>
        <w:tc>
          <w:tcPr>
            <w:tcW w:w="1720" w:type="dxa"/>
            <w:tcBorders>
              <w:top w:val="nil"/>
              <w:left w:val="nil"/>
              <w:bottom w:val="single" w:sz="4" w:space="0" w:color="auto"/>
              <w:right w:val="single" w:sz="4" w:space="0" w:color="auto"/>
            </w:tcBorders>
            <w:shd w:val="clear" w:color="auto" w:fill="auto"/>
            <w:noWrap/>
            <w:vAlign w:val="center"/>
            <w:hideMark/>
          </w:tcPr>
          <w:p w14:paraId="02EA24BE" w14:textId="77777777" w:rsidR="0047535C" w:rsidRDefault="0047535C">
            <w:pPr>
              <w:jc w:val="center"/>
              <w:rPr>
                <w:color w:val="000000"/>
              </w:rPr>
            </w:pPr>
            <w:r>
              <w:rPr>
                <w:color w:val="000000"/>
              </w:rPr>
              <w:t>4.80E-03</w:t>
            </w:r>
          </w:p>
        </w:tc>
        <w:tc>
          <w:tcPr>
            <w:tcW w:w="1720" w:type="dxa"/>
            <w:tcBorders>
              <w:top w:val="nil"/>
              <w:left w:val="nil"/>
              <w:bottom w:val="single" w:sz="4" w:space="0" w:color="auto"/>
              <w:right w:val="single" w:sz="4" w:space="0" w:color="auto"/>
            </w:tcBorders>
            <w:shd w:val="clear" w:color="auto" w:fill="auto"/>
            <w:noWrap/>
            <w:vAlign w:val="center"/>
            <w:hideMark/>
          </w:tcPr>
          <w:p w14:paraId="6B903FAC" w14:textId="77777777" w:rsidR="0047535C" w:rsidRDefault="0047535C">
            <w:pPr>
              <w:jc w:val="center"/>
              <w:rPr>
                <w:color w:val="000000"/>
              </w:rPr>
            </w:pPr>
            <w:r>
              <w:rPr>
                <w:color w:val="000000"/>
              </w:rPr>
              <w:t>5.89E-03</w:t>
            </w:r>
          </w:p>
        </w:tc>
        <w:tc>
          <w:tcPr>
            <w:tcW w:w="880" w:type="dxa"/>
            <w:tcBorders>
              <w:top w:val="nil"/>
              <w:left w:val="nil"/>
              <w:bottom w:val="single" w:sz="4" w:space="0" w:color="auto"/>
              <w:right w:val="single" w:sz="4" w:space="0" w:color="auto"/>
            </w:tcBorders>
            <w:shd w:val="clear" w:color="auto" w:fill="auto"/>
            <w:noWrap/>
            <w:vAlign w:val="center"/>
            <w:hideMark/>
          </w:tcPr>
          <w:p w14:paraId="17E7A199" w14:textId="77777777" w:rsidR="0047535C" w:rsidRDefault="0047535C">
            <w:pPr>
              <w:jc w:val="center"/>
              <w:rPr>
                <w:color w:val="000000"/>
              </w:rPr>
            </w:pPr>
            <w:r>
              <w:rPr>
                <w:color w:val="000000"/>
              </w:rPr>
              <w:t>i, Cal.</w:t>
            </w:r>
          </w:p>
        </w:tc>
      </w:tr>
      <w:tr w:rsidR="0047535C" w14:paraId="78B46956"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B0D842B" w14:textId="77777777" w:rsidR="0047535C" w:rsidRDefault="0047535C">
            <w:pPr>
              <w:jc w:val="center"/>
              <w:rPr>
                <w:color w:val="000000"/>
              </w:rPr>
            </w:pPr>
            <w:r>
              <w:rPr>
                <w:color w:val="000000"/>
              </w:rPr>
              <w:t>Nd</w:t>
            </w:r>
          </w:p>
        </w:tc>
        <w:tc>
          <w:tcPr>
            <w:tcW w:w="1300" w:type="dxa"/>
            <w:tcBorders>
              <w:top w:val="nil"/>
              <w:left w:val="nil"/>
              <w:bottom w:val="single" w:sz="4" w:space="0" w:color="auto"/>
              <w:right w:val="single" w:sz="4" w:space="0" w:color="auto"/>
            </w:tcBorders>
            <w:shd w:val="clear" w:color="auto" w:fill="auto"/>
            <w:noWrap/>
            <w:vAlign w:val="center"/>
            <w:hideMark/>
          </w:tcPr>
          <w:p w14:paraId="40943293" w14:textId="77777777" w:rsidR="0047535C" w:rsidRDefault="0047535C">
            <w:pPr>
              <w:jc w:val="center"/>
              <w:rPr>
                <w:color w:val="000000"/>
              </w:rPr>
            </w:pPr>
            <w:r>
              <w:rPr>
                <w:color w:val="000000"/>
              </w:rPr>
              <w:t>8.13E-03</w:t>
            </w:r>
          </w:p>
        </w:tc>
        <w:tc>
          <w:tcPr>
            <w:tcW w:w="1300" w:type="dxa"/>
            <w:tcBorders>
              <w:top w:val="nil"/>
              <w:left w:val="nil"/>
              <w:bottom w:val="single" w:sz="4" w:space="0" w:color="auto"/>
              <w:right w:val="single" w:sz="4" w:space="0" w:color="auto"/>
            </w:tcBorders>
            <w:shd w:val="clear" w:color="auto" w:fill="auto"/>
            <w:noWrap/>
            <w:vAlign w:val="center"/>
            <w:hideMark/>
          </w:tcPr>
          <w:p w14:paraId="1064F9C9" w14:textId="77777777" w:rsidR="0047535C" w:rsidRDefault="0047535C">
            <w:pPr>
              <w:jc w:val="center"/>
              <w:rPr>
                <w:color w:val="000000"/>
              </w:rPr>
            </w:pPr>
            <w:r>
              <w:rPr>
                <w:color w:val="000000"/>
              </w:rPr>
              <w:t>6.11E-03</w:t>
            </w:r>
          </w:p>
        </w:tc>
        <w:tc>
          <w:tcPr>
            <w:tcW w:w="1720" w:type="dxa"/>
            <w:tcBorders>
              <w:top w:val="nil"/>
              <w:left w:val="nil"/>
              <w:bottom w:val="single" w:sz="4" w:space="0" w:color="auto"/>
              <w:right w:val="single" w:sz="4" w:space="0" w:color="auto"/>
            </w:tcBorders>
            <w:shd w:val="clear" w:color="auto" w:fill="auto"/>
            <w:noWrap/>
            <w:vAlign w:val="center"/>
            <w:hideMark/>
          </w:tcPr>
          <w:p w14:paraId="0CCF5955" w14:textId="77777777" w:rsidR="0047535C" w:rsidRDefault="0047535C">
            <w:pPr>
              <w:jc w:val="center"/>
              <w:rPr>
                <w:color w:val="000000"/>
              </w:rPr>
            </w:pPr>
            <w:r>
              <w:rPr>
                <w:color w:val="000000"/>
              </w:rPr>
              <w:t>4.09E-03</w:t>
            </w:r>
          </w:p>
        </w:tc>
        <w:tc>
          <w:tcPr>
            <w:tcW w:w="1720" w:type="dxa"/>
            <w:tcBorders>
              <w:top w:val="nil"/>
              <w:left w:val="nil"/>
              <w:bottom w:val="single" w:sz="4" w:space="0" w:color="auto"/>
              <w:right w:val="single" w:sz="4" w:space="0" w:color="auto"/>
            </w:tcBorders>
            <w:shd w:val="clear" w:color="auto" w:fill="auto"/>
            <w:noWrap/>
            <w:vAlign w:val="center"/>
            <w:hideMark/>
          </w:tcPr>
          <w:p w14:paraId="09A2C608" w14:textId="77777777" w:rsidR="0047535C" w:rsidRDefault="0047535C">
            <w:pPr>
              <w:jc w:val="center"/>
              <w:rPr>
                <w:color w:val="000000"/>
              </w:rPr>
            </w:pPr>
            <w:r>
              <w:rPr>
                <w:color w:val="000000"/>
              </w:rPr>
              <w:t>5.02E-03</w:t>
            </w:r>
          </w:p>
        </w:tc>
        <w:tc>
          <w:tcPr>
            <w:tcW w:w="880" w:type="dxa"/>
            <w:tcBorders>
              <w:top w:val="nil"/>
              <w:left w:val="nil"/>
              <w:bottom w:val="single" w:sz="4" w:space="0" w:color="auto"/>
              <w:right w:val="single" w:sz="4" w:space="0" w:color="auto"/>
            </w:tcBorders>
            <w:shd w:val="clear" w:color="auto" w:fill="auto"/>
            <w:noWrap/>
            <w:vAlign w:val="center"/>
            <w:hideMark/>
          </w:tcPr>
          <w:p w14:paraId="4493E491" w14:textId="77777777" w:rsidR="0047535C" w:rsidRDefault="0047535C">
            <w:pPr>
              <w:jc w:val="center"/>
              <w:rPr>
                <w:color w:val="000000"/>
              </w:rPr>
            </w:pPr>
            <w:r>
              <w:rPr>
                <w:color w:val="000000"/>
              </w:rPr>
              <w:t>i, Cal.</w:t>
            </w:r>
          </w:p>
        </w:tc>
      </w:tr>
      <w:tr w:rsidR="0047535C" w14:paraId="55102D4B"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C3A0034" w14:textId="77777777" w:rsidR="0047535C" w:rsidRDefault="0047535C">
            <w:pPr>
              <w:jc w:val="center"/>
              <w:rPr>
                <w:color w:val="000000"/>
              </w:rPr>
            </w:pPr>
            <w:r>
              <w:rPr>
                <w:color w:val="000000"/>
              </w:rPr>
              <w:t>Sm</w:t>
            </w:r>
          </w:p>
        </w:tc>
        <w:tc>
          <w:tcPr>
            <w:tcW w:w="1300" w:type="dxa"/>
            <w:tcBorders>
              <w:top w:val="nil"/>
              <w:left w:val="nil"/>
              <w:bottom w:val="single" w:sz="4" w:space="0" w:color="auto"/>
              <w:right w:val="single" w:sz="4" w:space="0" w:color="auto"/>
            </w:tcBorders>
            <w:shd w:val="clear" w:color="auto" w:fill="auto"/>
            <w:noWrap/>
            <w:vAlign w:val="center"/>
            <w:hideMark/>
          </w:tcPr>
          <w:p w14:paraId="18269D64" w14:textId="77777777" w:rsidR="0047535C" w:rsidRDefault="0047535C">
            <w:pPr>
              <w:jc w:val="center"/>
              <w:rPr>
                <w:color w:val="000000"/>
              </w:rPr>
            </w:pPr>
            <w:r>
              <w:rPr>
                <w:color w:val="000000"/>
              </w:rPr>
              <w:t>5.82E-03</w:t>
            </w:r>
          </w:p>
        </w:tc>
        <w:tc>
          <w:tcPr>
            <w:tcW w:w="1300" w:type="dxa"/>
            <w:tcBorders>
              <w:top w:val="nil"/>
              <w:left w:val="nil"/>
              <w:bottom w:val="single" w:sz="4" w:space="0" w:color="auto"/>
              <w:right w:val="single" w:sz="4" w:space="0" w:color="auto"/>
            </w:tcBorders>
            <w:shd w:val="clear" w:color="auto" w:fill="auto"/>
            <w:noWrap/>
            <w:vAlign w:val="center"/>
            <w:hideMark/>
          </w:tcPr>
          <w:p w14:paraId="1C70B848" w14:textId="77777777" w:rsidR="0047535C" w:rsidRDefault="0047535C">
            <w:pPr>
              <w:jc w:val="center"/>
              <w:rPr>
                <w:color w:val="000000"/>
              </w:rPr>
            </w:pPr>
            <w:r>
              <w:rPr>
                <w:color w:val="000000"/>
              </w:rPr>
              <w:t>4.28E-03</w:t>
            </w:r>
          </w:p>
        </w:tc>
        <w:tc>
          <w:tcPr>
            <w:tcW w:w="1720" w:type="dxa"/>
            <w:tcBorders>
              <w:top w:val="nil"/>
              <w:left w:val="nil"/>
              <w:bottom w:val="single" w:sz="4" w:space="0" w:color="auto"/>
              <w:right w:val="single" w:sz="4" w:space="0" w:color="auto"/>
            </w:tcBorders>
            <w:shd w:val="clear" w:color="auto" w:fill="auto"/>
            <w:noWrap/>
            <w:vAlign w:val="center"/>
            <w:hideMark/>
          </w:tcPr>
          <w:p w14:paraId="2B5A696A" w14:textId="77777777" w:rsidR="0047535C" w:rsidRDefault="0047535C">
            <w:pPr>
              <w:jc w:val="center"/>
              <w:rPr>
                <w:color w:val="000000"/>
              </w:rPr>
            </w:pPr>
            <w:r>
              <w:rPr>
                <w:color w:val="000000"/>
              </w:rPr>
              <w:t>2.80E-03</w:t>
            </w:r>
          </w:p>
        </w:tc>
        <w:tc>
          <w:tcPr>
            <w:tcW w:w="1720" w:type="dxa"/>
            <w:tcBorders>
              <w:top w:val="nil"/>
              <w:left w:val="nil"/>
              <w:bottom w:val="single" w:sz="4" w:space="0" w:color="auto"/>
              <w:right w:val="single" w:sz="4" w:space="0" w:color="auto"/>
            </w:tcBorders>
            <w:shd w:val="clear" w:color="auto" w:fill="auto"/>
            <w:noWrap/>
            <w:vAlign w:val="center"/>
            <w:hideMark/>
          </w:tcPr>
          <w:p w14:paraId="468AD762" w14:textId="77777777" w:rsidR="0047535C" w:rsidRDefault="0047535C">
            <w:pPr>
              <w:jc w:val="center"/>
              <w:rPr>
                <w:color w:val="000000"/>
              </w:rPr>
            </w:pPr>
            <w:r>
              <w:rPr>
                <w:color w:val="000000"/>
              </w:rPr>
              <w:t>3.41E-03</w:t>
            </w:r>
          </w:p>
        </w:tc>
        <w:tc>
          <w:tcPr>
            <w:tcW w:w="880" w:type="dxa"/>
            <w:tcBorders>
              <w:top w:val="nil"/>
              <w:left w:val="nil"/>
              <w:bottom w:val="single" w:sz="4" w:space="0" w:color="auto"/>
              <w:right w:val="single" w:sz="4" w:space="0" w:color="auto"/>
            </w:tcBorders>
            <w:shd w:val="clear" w:color="auto" w:fill="auto"/>
            <w:noWrap/>
            <w:vAlign w:val="center"/>
            <w:hideMark/>
          </w:tcPr>
          <w:p w14:paraId="57759634" w14:textId="77777777" w:rsidR="0047535C" w:rsidRDefault="0047535C">
            <w:pPr>
              <w:jc w:val="center"/>
              <w:rPr>
                <w:color w:val="000000"/>
              </w:rPr>
            </w:pPr>
            <w:r>
              <w:rPr>
                <w:color w:val="000000"/>
              </w:rPr>
              <w:t>i, Cal.</w:t>
            </w:r>
          </w:p>
        </w:tc>
      </w:tr>
      <w:tr w:rsidR="0047535C" w14:paraId="771FD9D9"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8A67F5E" w14:textId="77777777" w:rsidR="0047535C" w:rsidRDefault="0047535C">
            <w:pPr>
              <w:jc w:val="center"/>
              <w:rPr>
                <w:color w:val="000000"/>
              </w:rPr>
            </w:pPr>
            <w:r>
              <w:rPr>
                <w:color w:val="000000"/>
              </w:rPr>
              <w:t>Eu</w:t>
            </w:r>
          </w:p>
        </w:tc>
        <w:tc>
          <w:tcPr>
            <w:tcW w:w="1300" w:type="dxa"/>
            <w:tcBorders>
              <w:top w:val="nil"/>
              <w:left w:val="nil"/>
              <w:bottom w:val="single" w:sz="4" w:space="0" w:color="auto"/>
              <w:right w:val="single" w:sz="4" w:space="0" w:color="auto"/>
            </w:tcBorders>
            <w:shd w:val="clear" w:color="auto" w:fill="auto"/>
            <w:noWrap/>
            <w:vAlign w:val="center"/>
            <w:hideMark/>
          </w:tcPr>
          <w:p w14:paraId="56713348" w14:textId="77777777" w:rsidR="0047535C" w:rsidRDefault="0047535C">
            <w:pPr>
              <w:jc w:val="center"/>
              <w:rPr>
                <w:color w:val="000000"/>
              </w:rPr>
            </w:pPr>
            <w:r>
              <w:rPr>
                <w:color w:val="000000"/>
              </w:rPr>
              <w:t>6.41E-01</w:t>
            </w:r>
          </w:p>
        </w:tc>
        <w:tc>
          <w:tcPr>
            <w:tcW w:w="1300" w:type="dxa"/>
            <w:tcBorders>
              <w:top w:val="nil"/>
              <w:left w:val="nil"/>
              <w:bottom w:val="single" w:sz="4" w:space="0" w:color="auto"/>
              <w:right w:val="single" w:sz="4" w:space="0" w:color="auto"/>
            </w:tcBorders>
            <w:shd w:val="clear" w:color="auto" w:fill="auto"/>
            <w:noWrap/>
            <w:vAlign w:val="center"/>
            <w:hideMark/>
          </w:tcPr>
          <w:p w14:paraId="4FC92DD8" w14:textId="77777777" w:rsidR="0047535C" w:rsidRDefault="0047535C">
            <w:pPr>
              <w:jc w:val="center"/>
              <w:rPr>
                <w:color w:val="000000"/>
              </w:rPr>
            </w:pPr>
            <w:r>
              <w:rPr>
                <w:color w:val="000000"/>
              </w:rPr>
              <w:t>9.61E-01</w:t>
            </w:r>
          </w:p>
        </w:tc>
        <w:tc>
          <w:tcPr>
            <w:tcW w:w="1720" w:type="dxa"/>
            <w:tcBorders>
              <w:top w:val="nil"/>
              <w:left w:val="nil"/>
              <w:bottom w:val="single" w:sz="4" w:space="0" w:color="auto"/>
              <w:right w:val="single" w:sz="4" w:space="0" w:color="auto"/>
            </w:tcBorders>
            <w:shd w:val="clear" w:color="auto" w:fill="auto"/>
            <w:noWrap/>
            <w:vAlign w:val="center"/>
            <w:hideMark/>
          </w:tcPr>
          <w:p w14:paraId="73F08564" w14:textId="77777777" w:rsidR="0047535C" w:rsidRDefault="0047535C">
            <w:pPr>
              <w:jc w:val="center"/>
              <w:rPr>
                <w:color w:val="000000"/>
              </w:rPr>
            </w:pPr>
            <w:r>
              <w:rPr>
                <w:color w:val="000000"/>
              </w:rPr>
              <w:t>1.40E+00</w:t>
            </w:r>
          </w:p>
        </w:tc>
        <w:tc>
          <w:tcPr>
            <w:tcW w:w="1720" w:type="dxa"/>
            <w:tcBorders>
              <w:top w:val="nil"/>
              <w:left w:val="nil"/>
              <w:bottom w:val="single" w:sz="4" w:space="0" w:color="auto"/>
              <w:right w:val="single" w:sz="4" w:space="0" w:color="auto"/>
            </w:tcBorders>
            <w:shd w:val="clear" w:color="auto" w:fill="auto"/>
            <w:noWrap/>
            <w:vAlign w:val="center"/>
            <w:hideMark/>
          </w:tcPr>
          <w:p w14:paraId="6D3A49EE" w14:textId="77777777" w:rsidR="0047535C" w:rsidRDefault="0047535C">
            <w:pPr>
              <w:jc w:val="center"/>
              <w:rPr>
                <w:color w:val="000000"/>
              </w:rPr>
            </w:pPr>
            <w:r>
              <w:rPr>
                <w:color w:val="000000"/>
              </w:rPr>
              <w:t>1.58E+00</w:t>
            </w:r>
          </w:p>
        </w:tc>
        <w:tc>
          <w:tcPr>
            <w:tcW w:w="880" w:type="dxa"/>
            <w:tcBorders>
              <w:top w:val="nil"/>
              <w:left w:val="nil"/>
              <w:bottom w:val="single" w:sz="4" w:space="0" w:color="auto"/>
              <w:right w:val="single" w:sz="4" w:space="0" w:color="auto"/>
            </w:tcBorders>
            <w:shd w:val="clear" w:color="auto" w:fill="auto"/>
            <w:noWrap/>
            <w:vAlign w:val="center"/>
            <w:hideMark/>
          </w:tcPr>
          <w:p w14:paraId="7033325C" w14:textId="77777777" w:rsidR="0047535C" w:rsidRDefault="0047535C">
            <w:pPr>
              <w:jc w:val="center"/>
              <w:rPr>
                <w:color w:val="000000"/>
              </w:rPr>
            </w:pPr>
            <w:r>
              <w:rPr>
                <w:color w:val="000000"/>
              </w:rPr>
              <w:t>g, Cal.</w:t>
            </w:r>
          </w:p>
        </w:tc>
      </w:tr>
      <w:tr w:rsidR="0047535C" w14:paraId="406E98EF"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BF53F5D" w14:textId="77777777" w:rsidR="0047535C" w:rsidRDefault="0047535C">
            <w:pPr>
              <w:jc w:val="center"/>
              <w:rPr>
                <w:color w:val="000000"/>
              </w:rPr>
            </w:pPr>
            <w:r>
              <w:rPr>
                <w:color w:val="000000"/>
              </w:rPr>
              <w:t>Gd</w:t>
            </w:r>
          </w:p>
        </w:tc>
        <w:tc>
          <w:tcPr>
            <w:tcW w:w="1300" w:type="dxa"/>
            <w:tcBorders>
              <w:top w:val="nil"/>
              <w:left w:val="nil"/>
              <w:bottom w:val="single" w:sz="4" w:space="0" w:color="auto"/>
              <w:right w:val="single" w:sz="4" w:space="0" w:color="auto"/>
            </w:tcBorders>
            <w:shd w:val="clear" w:color="auto" w:fill="auto"/>
            <w:noWrap/>
            <w:vAlign w:val="center"/>
            <w:hideMark/>
          </w:tcPr>
          <w:p w14:paraId="2A8C8B0F" w14:textId="77777777" w:rsidR="0047535C" w:rsidRDefault="0047535C">
            <w:pPr>
              <w:jc w:val="center"/>
              <w:rPr>
                <w:color w:val="000000"/>
              </w:rPr>
            </w:pPr>
            <w:r>
              <w:rPr>
                <w:color w:val="000000"/>
              </w:rPr>
              <w:t>4.00E-03</w:t>
            </w:r>
          </w:p>
        </w:tc>
        <w:tc>
          <w:tcPr>
            <w:tcW w:w="1300" w:type="dxa"/>
            <w:tcBorders>
              <w:top w:val="nil"/>
              <w:left w:val="nil"/>
              <w:bottom w:val="single" w:sz="4" w:space="0" w:color="auto"/>
              <w:right w:val="single" w:sz="4" w:space="0" w:color="auto"/>
            </w:tcBorders>
            <w:shd w:val="clear" w:color="auto" w:fill="auto"/>
            <w:noWrap/>
            <w:vAlign w:val="center"/>
            <w:hideMark/>
          </w:tcPr>
          <w:p w14:paraId="6CBF81BC" w14:textId="77777777" w:rsidR="0047535C" w:rsidRDefault="0047535C">
            <w:pPr>
              <w:jc w:val="center"/>
              <w:rPr>
                <w:color w:val="000000"/>
              </w:rPr>
            </w:pPr>
            <w:r>
              <w:rPr>
                <w:color w:val="000000"/>
              </w:rPr>
              <w:t>2.88E-03</w:t>
            </w:r>
          </w:p>
        </w:tc>
        <w:tc>
          <w:tcPr>
            <w:tcW w:w="1720" w:type="dxa"/>
            <w:tcBorders>
              <w:top w:val="nil"/>
              <w:left w:val="nil"/>
              <w:bottom w:val="single" w:sz="4" w:space="0" w:color="auto"/>
              <w:right w:val="single" w:sz="4" w:space="0" w:color="auto"/>
            </w:tcBorders>
            <w:shd w:val="clear" w:color="auto" w:fill="auto"/>
            <w:noWrap/>
            <w:vAlign w:val="center"/>
            <w:hideMark/>
          </w:tcPr>
          <w:p w14:paraId="09E0E77C" w14:textId="77777777" w:rsidR="0047535C" w:rsidRDefault="0047535C">
            <w:pPr>
              <w:jc w:val="center"/>
              <w:rPr>
                <w:color w:val="000000"/>
              </w:rPr>
            </w:pPr>
            <w:r>
              <w:rPr>
                <w:color w:val="000000"/>
              </w:rPr>
              <w:t>1.83E-03</w:t>
            </w:r>
          </w:p>
        </w:tc>
        <w:tc>
          <w:tcPr>
            <w:tcW w:w="1720" w:type="dxa"/>
            <w:tcBorders>
              <w:top w:val="nil"/>
              <w:left w:val="nil"/>
              <w:bottom w:val="single" w:sz="4" w:space="0" w:color="auto"/>
              <w:right w:val="single" w:sz="4" w:space="0" w:color="auto"/>
            </w:tcBorders>
            <w:shd w:val="clear" w:color="auto" w:fill="auto"/>
            <w:noWrap/>
            <w:vAlign w:val="center"/>
            <w:hideMark/>
          </w:tcPr>
          <w:p w14:paraId="141D3FF7" w14:textId="77777777" w:rsidR="0047535C" w:rsidRDefault="0047535C">
            <w:pPr>
              <w:jc w:val="center"/>
              <w:rPr>
                <w:color w:val="000000"/>
              </w:rPr>
            </w:pPr>
            <w:r>
              <w:rPr>
                <w:color w:val="000000"/>
              </w:rPr>
              <w:t>2.22E-03</w:t>
            </w:r>
          </w:p>
        </w:tc>
        <w:tc>
          <w:tcPr>
            <w:tcW w:w="880" w:type="dxa"/>
            <w:tcBorders>
              <w:top w:val="nil"/>
              <w:left w:val="nil"/>
              <w:bottom w:val="single" w:sz="4" w:space="0" w:color="auto"/>
              <w:right w:val="single" w:sz="4" w:space="0" w:color="auto"/>
            </w:tcBorders>
            <w:shd w:val="clear" w:color="auto" w:fill="auto"/>
            <w:noWrap/>
            <w:vAlign w:val="center"/>
            <w:hideMark/>
          </w:tcPr>
          <w:p w14:paraId="412B97E2" w14:textId="77777777" w:rsidR="0047535C" w:rsidRDefault="0047535C">
            <w:pPr>
              <w:jc w:val="center"/>
              <w:rPr>
                <w:color w:val="000000"/>
              </w:rPr>
            </w:pPr>
            <w:r>
              <w:rPr>
                <w:color w:val="000000"/>
              </w:rPr>
              <w:t>i, Cal.</w:t>
            </w:r>
          </w:p>
        </w:tc>
      </w:tr>
      <w:tr w:rsidR="0047535C" w14:paraId="4F617B64"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DEDEEE0" w14:textId="77777777" w:rsidR="0047535C" w:rsidRDefault="0047535C">
            <w:pPr>
              <w:jc w:val="center"/>
              <w:rPr>
                <w:color w:val="000000"/>
              </w:rPr>
            </w:pPr>
            <w:r>
              <w:rPr>
                <w:color w:val="000000"/>
              </w:rPr>
              <w:t>Tb</w:t>
            </w:r>
          </w:p>
        </w:tc>
        <w:tc>
          <w:tcPr>
            <w:tcW w:w="1300" w:type="dxa"/>
            <w:tcBorders>
              <w:top w:val="nil"/>
              <w:left w:val="nil"/>
              <w:bottom w:val="single" w:sz="4" w:space="0" w:color="auto"/>
              <w:right w:val="single" w:sz="4" w:space="0" w:color="auto"/>
            </w:tcBorders>
            <w:shd w:val="clear" w:color="auto" w:fill="auto"/>
            <w:noWrap/>
            <w:vAlign w:val="center"/>
            <w:hideMark/>
          </w:tcPr>
          <w:p w14:paraId="5BF1F059" w14:textId="77777777" w:rsidR="0047535C" w:rsidRDefault="0047535C">
            <w:pPr>
              <w:jc w:val="center"/>
              <w:rPr>
                <w:color w:val="000000"/>
              </w:rPr>
            </w:pPr>
            <w:r>
              <w:rPr>
                <w:color w:val="000000"/>
              </w:rPr>
              <w:t>3.22E-03</w:t>
            </w:r>
          </w:p>
        </w:tc>
        <w:tc>
          <w:tcPr>
            <w:tcW w:w="1300" w:type="dxa"/>
            <w:tcBorders>
              <w:top w:val="nil"/>
              <w:left w:val="nil"/>
              <w:bottom w:val="single" w:sz="4" w:space="0" w:color="auto"/>
              <w:right w:val="single" w:sz="4" w:space="0" w:color="auto"/>
            </w:tcBorders>
            <w:shd w:val="clear" w:color="auto" w:fill="auto"/>
            <w:noWrap/>
            <w:vAlign w:val="center"/>
            <w:hideMark/>
          </w:tcPr>
          <w:p w14:paraId="6B9E729A" w14:textId="77777777" w:rsidR="0047535C" w:rsidRDefault="0047535C">
            <w:pPr>
              <w:jc w:val="center"/>
              <w:rPr>
                <w:color w:val="000000"/>
              </w:rPr>
            </w:pPr>
            <w:r>
              <w:rPr>
                <w:color w:val="000000"/>
              </w:rPr>
              <w:t>2.29E-03</w:t>
            </w:r>
          </w:p>
        </w:tc>
        <w:tc>
          <w:tcPr>
            <w:tcW w:w="1720" w:type="dxa"/>
            <w:tcBorders>
              <w:top w:val="nil"/>
              <w:left w:val="nil"/>
              <w:bottom w:val="single" w:sz="4" w:space="0" w:color="auto"/>
              <w:right w:val="single" w:sz="4" w:space="0" w:color="auto"/>
            </w:tcBorders>
            <w:shd w:val="clear" w:color="auto" w:fill="auto"/>
            <w:noWrap/>
            <w:vAlign w:val="center"/>
            <w:hideMark/>
          </w:tcPr>
          <w:p w14:paraId="389F69D8" w14:textId="77777777" w:rsidR="0047535C" w:rsidRDefault="0047535C">
            <w:pPr>
              <w:jc w:val="center"/>
              <w:rPr>
                <w:color w:val="000000"/>
              </w:rPr>
            </w:pPr>
            <w:r>
              <w:rPr>
                <w:color w:val="000000"/>
              </w:rPr>
              <w:t>1.43E-03</w:t>
            </w:r>
          </w:p>
        </w:tc>
        <w:tc>
          <w:tcPr>
            <w:tcW w:w="1720" w:type="dxa"/>
            <w:tcBorders>
              <w:top w:val="nil"/>
              <w:left w:val="nil"/>
              <w:bottom w:val="single" w:sz="4" w:space="0" w:color="auto"/>
              <w:right w:val="single" w:sz="4" w:space="0" w:color="auto"/>
            </w:tcBorders>
            <w:shd w:val="clear" w:color="auto" w:fill="auto"/>
            <w:noWrap/>
            <w:vAlign w:val="center"/>
            <w:hideMark/>
          </w:tcPr>
          <w:p w14:paraId="56AC4C86" w14:textId="77777777" w:rsidR="0047535C" w:rsidRDefault="0047535C">
            <w:pPr>
              <w:jc w:val="center"/>
              <w:rPr>
                <w:color w:val="000000"/>
              </w:rPr>
            </w:pPr>
            <w:r>
              <w:rPr>
                <w:color w:val="000000"/>
              </w:rPr>
              <w:t>1.73E-03</w:t>
            </w:r>
          </w:p>
        </w:tc>
        <w:tc>
          <w:tcPr>
            <w:tcW w:w="880" w:type="dxa"/>
            <w:tcBorders>
              <w:top w:val="nil"/>
              <w:left w:val="nil"/>
              <w:bottom w:val="single" w:sz="4" w:space="0" w:color="auto"/>
              <w:right w:val="single" w:sz="4" w:space="0" w:color="auto"/>
            </w:tcBorders>
            <w:shd w:val="clear" w:color="auto" w:fill="auto"/>
            <w:noWrap/>
            <w:vAlign w:val="center"/>
            <w:hideMark/>
          </w:tcPr>
          <w:p w14:paraId="2B008E57" w14:textId="77777777" w:rsidR="0047535C" w:rsidRDefault="0047535C">
            <w:pPr>
              <w:jc w:val="center"/>
              <w:rPr>
                <w:color w:val="000000"/>
              </w:rPr>
            </w:pPr>
            <w:r>
              <w:rPr>
                <w:color w:val="000000"/>
              </w:rPr>
              <w:t>i, Cal.</w:t>
            </w:r>
          </w:p>
        </w:tc>
      </w:tr>
      <w:tr w:rsidR="0047535C" w14:paraId="0C00E1C3"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9C798B9" w14:textId="77777777" w:rsidR="0047535C" w:rsidRDefault="0047535C">
            <w:pPr>
              <w:jc w:val="center"/>
              <w:rPr>
                <w:color w:val="000000"/>
              </w:rPr>
            </w:pPr>
            <w:r>
              <w:rPr>
                <w:color w:val="000000"/>
              </w:rPr>
              <w:t>Dy</w:t>
            </w:r>
          </w:p>
        </w:tc>
        <w:tc>
          <w:tcPr>
            <w:tcW w:w="1300" w:type="dxa"/>
            <w:tcBorders>
              <w:top w:val="nil"/>
              <w:left w:val="nil"/>
              <w:bottom w:val="single" w:sz="4" w:space="0" w:color="auto"/>
              <w:right w:val="single" w:sz="4" w:space="0" w:color="auto"/>
            </w:tcBorders>
            <w:shd w:val="clear" w:color="auto" w:fill="auto"/>
            <w:noWrap/>
            <w:vAlign w:val="center"/>
            <w:hideMark/>
          </w:tcPr>
          <w:p w14:paraId="293AD28A" w14:textId="77777777" w:rsidR="0047535C" w:rsidRDefault="0047535C">
            <w:pPr>
              <w:jc w:val="center"/>
              <w:rPr>
                <w:color w:val="000000"/>
              </w:rPr>
            </w:pPr>
            <w:r>
              <w:rPr>
                <w:color w:val="000000"/>
              </w:rPr>
              <w:t>2.55E-03</w:t>
            </w:r>
          </w:p>
        </w:tc>
        <w:tc>
          <w:tcPr>
            <w:tcW w:w="1300" w:type="dxa"/>
            <w:tcBorders>
              <w:top w:val="nil"/>
              <w:left w:val="nil"/>
              <w:bottom w:val="single" w:sz="4" w:space="0" w:color="auto"/>
              <w:right w:val="single" w:sz="4" w:space="0" w:color="auto"/>
            </w:tcBorders>
            <w:shd w:val="clear" w:color="auto" w:fill="auto"/>
            <w:noWrap/>
            <w:vAlign w:val="center"/>
            <w:hideMark/>
          </w:tcPr>
          <w:p w14:paraId="50ABD019" w14:textId="77777777" w:rsidR="0047535C" w:rsidRDefault="0047535C">
            <w:pPr>
              <w:jc w:val="center"/>
              <w:rPr>
                <w:color w:val="000000"/>
              </w:rPr>
            </w:pPr>
            <w:r>
              <w:rPr>
                <w:color w:val="000000"/>
              </w:rPr>
              <w:t>1.78E-03</w:t>
            </w:r>
          </w:p>
        </w:tc>
        <w:tc>
          <w:tcPr>
            <w:tcW w:w="1720" w:type="dxa"/>
            <w:tcBorders>
              <w:top w:val="nil"/>
              <w:left w:val="nil"/>
              <w:bottom w:val="single" w:sz="4" w:space="0" w:color="auto"/>
              <w:right w:val="single" w:sz="4" w:space="0" w:color="auto"/>
            </w:tcBorders>
            <w:shd w:val="clear" w:color="auto" w:fill="auto"/>
            <w:noWrap/>
            <w:vAlign w:val="center"/>
            <w:hideMark/>
          </w:tcPr>
          <w:p w14:paraId="6A5B325C" w14:textId="77777777" w:rsidR="0047535C" w:rsidRDefault="0047535C">
            <w:pPr>
              <w:jc w:val="center"/>
              <w:rPr>
                <w:color w:val="000000"/>
              </w:rPr>
            </w:pPr>
            <w:r>
              <w:rPr>
                <w:color w:val="000000"/>
              </w:rPr>
              <w:t>1.10E-03</w:t>
            </w:r>
          </w:p>
        </w:tc>
        <w:tc>
          <w:tcPr>
            <w:tcW w:w="1720" w:type="dxa"/>
            <w:tcBorders>
              <w:top w:val="nil"/>
              <w:left w:val="nil"/>
              <w:bottom w:val="single" w:sz="4" w:space="0" w:color="auto"/>
              <w:right w:val="single" w:sz="4" w:space="0" w:color="auto"/>
            </w:tcBorders>
            <w:shd w:val="clear" w:color="auto" w:fill="auto"/>
            <w:noWrap/>
            <w:vAlign w:val="center"/>
            <w:hideMark/>
          </w:tcPr>
          <w:p w14:paraId="47A7E71C" w14:textId="77777777" w:rsidR="0047535C" w:rsidRDefault="0047535C">
            <w:pPr>
              <w:jc w:val="center"/>
              <w:rPr>
                <w:color w:val="000000"/>
              </w:rPr>
            </w:pPr>
            <w:r>
              <w:rPr>
                <w:color w:val="000000"/>
              </w:rPr>
              <w:t>1.32E-03</w:t>
            </w:r>
          </w:p>
        </w:tc>
        <w:tc>
          <w:tcPr>
            <w:tcW w:w="880" w:type="dxa"/>
            <w:tcBorders>
              <w:top w:val="nil"/>
              <w:left w:val="nil"/>
              <w:bottom w:val="single" w:sz="4" w:space="0" w:color="auto"/>
              <w:right w:val="single" w:sz="4" w:space="0" w:color="auto"/>
            </w:tcBorders>
            <w:shd w:val="clear" w:color="auto" w:fill="auto"/>
            <w:noWrap/>
            <w:vAlign w:val="center"/>
            <w:hideMark/>
          </w:tcPr>
          <w:p w14:paraId="0F5A0866" w14:textId="77777777" w:rsidR="0047535C" w:rsidRDefault="0047535C">
            <w:pPr>
              <w:jc w:val="center"/>
              <w:rPr>
                <w:color w:val="000000"/>
              </w:rPr>
            </w:pPr>
            <w:r>
              <w:rPr>
                <w:color w:val="000000"/>
              </w:rPr>
              <w:t>i, Cal.</w:t>
            </w:r>
          </w:p>
        </w:tc>
      </w:tr>
      <w:tr w:rsidR="0047535C" w14:paraId="4F44E668"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8E1ABDE" w14:textId="77777777" w:rsidR="0047535C" w:rsidRDefault="0047535C">
            <w:pPr>
              <w:jc w:val="center"/>
              <w:rPr>
                <w:color w:val="000000"/>
              </w:rPr>
            </w:pPr>
            <w:r>
              <w:rPr>
                <w:color w:val="000000"/>
              </w:rPr>
              <w:t>Y</w:t>
            </w:r>
          </w:p>
        </w:tc>
        <w:tc>
          <w:tcPr>
            <w:tcW w:w="1300" w:type="dxa"/>
            <w:tcBorders>
              <w:top w:val="nil"/>
              <w:left w:val="nil"/>
              <w:bottom w:val="single" w:sz="4" w:space="0" w:color="auto"/>
              <w:right w:val="single" w:sz="4" w:space="0" w:color="auto"/>
            </w:tcBorders>
            <w:shd w:val="clear" w:color="auto" w:fill="auto"/>
            <w:noWrap/>
            <w:vAlign w:val="center"/>
            <w:hideMark/>
          </w:tcPr>
          <w:p w14:paraId="248B15B4" w14:textId="77777777" w:rsidR="0047535C" w:rsidRDefault="0047535C">
            <w:pPr>
              <w:jc w:val="center"/>
              <w:rPr>
                <w:color w:val="000000"/>
              </w:rPr>
            </w:pPr>
            <w:r>
              <w:rPr>
                <w:color w:val="000000"/>
              </w:rPr>
              <w:t>2.19E-03</w:t>
            </w:r>
          </w:p>
        </w:tc>
        <w:tc>
          <w:tcPr>
            <w:tcW w:w="1300" w:type="dxa"/>
            <w:tcBorders>
              <w:top w:val="nil"/>
              <w:left w:val="nil"/>
              <w:bottom w:val="single" w:sz="4" w:space="0" w:color="auto"/>
              <w:right w:val="single" w:sz="4" w:space="0" w:color="auto"/>
            </w:tcBorders>
            <w:shd w:val="clear" w:color="auto" w:fill="auto"/>
            <w:noWrap/>
            <w:vAlign w:val="center"/>
            <w:hideMark/>
          </w:tcPr>
          <w:p w14:paraId="06CC5AC2" w14:textId="77777777" w:rsidR="0047535C" w:rsidRDefault="0047535C">
            <w:pPr>
              <w:jc w:val="center"/>
              <w:rPr>
                <w:color w:val="000000"/>
              </w:rPr>
            </w:pPr>
            <w:r>
              <w:rPr>
                <w:color w:val="000000"/>
              </w:rPr>
              <w:t>1.52E-03</w:t>
            </w:r>
          </w:p>
        </w:tc>
        <w:tc>
          <w:tcPr>
            <w:tcW w:w="1720" w:type="dxa"/>
            <w:tcBorders>
              <w:top w:val="nil"/>
              <w:left w:val="nil"/>
              <w:bottom w:val="single" w:sz="4" w:space="0" w:color="auto"/>
              <w:right w:val="single" w:sz="4" w:space="0" w:color="auto"/>
            </w:tcBorders>
            <w:shd w:val="clear" w:color="auto" w:fill="auto"/>
            <w:noWrap/>
            <w:vAlign w:val="center"/>
            <w:hideMark/>
          </w:tcPr>
          <w:p w14:paraId="68C27913" w14:textId="77777777" w:rsidR="0047535C" w:rsidRDefault="0047535C">
            <w:pPr>
              <w:jc w:val="center"/>
              <w:rPr>
                <w:color w:val="000000"/>
              </w:rPr>
            </w:pPr>
            <w:r>
              <w:rPr>
                <w:color w:val="000000"/>
              </w:rPr>
              <w:t>9.25E-04</w:t>
            </w:r>
          </w:p>
        </w:tc>
        <w:tc>
          <w:tcPr>
            <w:tcW w:w="1720" w:type="dxa"/>
            <w:tcBorders>
              <w:top w:val="nil"/>
              <w:left w:val="nil"/>
              <w:bottom w:val="single" w:sz="4" w:space="0" w:color="auto"/>
              <w:right w:val="single" w:sz="4" w:space="0" w:color="auto"/>
            </w:tcBorders>
            <w:shd w:val="clear" w:color="auto" w:fill="auto"/>
            <w:noWrap/>
            <w:vAlign w:val="center"/>
            <w:hideMark/>
          </w:tcPr>
          <w:p w14:paraId="07ABBB60" w14:textId="77777777" w:rsidR="0047535C" w:rsidRDefault="0047535C">
            <w:pPr>
              <w:jc w:val="center"/>
              <w:rPr>
                <w:color w:val="000000"/>
              </w:rPr>
            </w:pPr>
            <w:r>
              <w:rPr>
                <w:color w:val="000000"/>
              </w:rPr>
              <w:t>1.11E-03</w:t>
            </w:r>
          </w:p>
        </w:tc>
        <w:tc>
          <w:tcPr>
            <w:tcW w:w="880" w:type="dxa"/>
            <w:tcBorders>
              <w:top w:val="nil"/>
              <w:left w:val="nil"/>
              <w:bottom w:val="single" w:sz="4" w:space="0" w:color="auto"/>
              <w:right w:val="single" w:sz="4" w:space="0" w:color="auto"/>
            </w:tcBorders>
            <w:shd w:val="clear" w:color="auto" w:fill="auto"/>
            <w:noWrap/>
            <w:vAlign w:val="center"/>
            <w:hideMark/>
          </w:tcPr>
          <w:p w14:paraId="624013CF" w14:textId="77777777" w:rsidR="0047535C" w:rsidRDefault="0047535C">
            <w:pPr>
              <w:jc w:val="center"/>
              <w:rPr>
                <w:color w:val="000000"/>
              </w:rPr>
            </w:pPr>
            <w:r>
              <w:rPr>
                <w:color w:val="000000"/>
              </w:rPr>
              <w:t>i, Cal.</w:t>
            </w:r>
          </w:p>
        </w:tc>
      </w:tr>
      <w:tr w:rsidR="0047535C" w14:paraId="5D255101"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1480770" w14:textId="77777777" w:rsidR="0047535C" w:rsidRDefault="0047535C">
            <w:pPr>
              <w:jc w:val="center"/>
              <w:rPr>
                <w:color w:val="000000"/>
              </w:rPr>
            </w:pPr>
            <w:r>
              <w:rPr>
                <w:color w:val="000000"/>
              </w:rPr>
              <w:t>Ho</w:t>
            </w:r>
          </w:p>
        </w:tc>
        <w:tc>
          <w:tcPr>
            <w:tcW w:w="1300" w:type="dxa"/>
            <w:tcBorders>
              <w:top w:val="nil"/>
              <w:left w:val="nil"/>
              <w:bottom w:val="single" w:sz="4" w:space="0" w:color="auto"/>
              <w:right w:val="single" w:sz="4" w:space="0" w:color="auto"/>
            </w:tcBorders>
            <w:shd w:val="clear" w:color="auto" w:fill="auto"/>
            <w:noWrap/>
            <w:vAlign w:val="center"/>
            <w:hideMark/>
          </w:tcPr>
          <w:p w14:paraId="63521D7D" w14:textId="77777777" w:rsidR="0047535C" w:rsidRDefault="0047535C">
            <w:pPr>
              <w:jc w:val="center"/>
              <w:rPr>
                <w:color w:val="000000"/>
              </w:rPr>
            </w:pPr>
            <w:r>
              <w:rPr>
                <w:color w:val="000000"/>
              </w:rPr>
              <w:t>2.02E-03</w:t>
            </w:r>
          </w:p>
        </w:tc>
        <w:tc>
          <w:tcPr>
            <w:tcW w:w="1300" w:type="dxa"/>
            <w:tcBorders>
              <w:top w:val="nil"/>
              <w:left w:val="nil"/>
              <w:bottom w:val="single" w:sz="4" w:space="0" w:color="auto"/>
              <w:right w:val="single" w:sz="4" w:space="0" w:color="auto"/>
            </w:tcBorders>
            <w:shd w:val="clear" w:color="auto" w:fill="auto"/>
            <w:noWrap/>
            <w:vAlign w:val="center"/>
            <w:hideMark/>
          </w:tcPr>
          <w:p w14:paraId="60424164" w14:textId="77777777" w:rsidR="0047535C" w:rsidRDefault="0047535C">
            <w:pPr>
              <w:jc w:val="center"/>
              <w:rPr>
                <w:color w:val="000000"/>
              </w:rPr>
            </w:pPr>
            <w:r>
              <w:rPr>
                <w:color w:val="000000"/>
              </w:rPr>
              <w:t>1.40E-03</w:t>
            </w:r>
          </w:p>
        </w:tc>
        <w:tc>
          <w:tcPr>
            <w:tcW w:w="1720" w:type="dxa"/>
            <w:tcBorders>
              <w:top w:val="nil"/>
              <w:left w:val="nil"/>
              <w:bottom w:val="single" w:sz="4" w:space="0" w:color="auto"/>
              <w:right w:val="single" w:sz="4" w:space="0" w:color="auto"/>
            </w:tcBorders>
            <w:shd w:val="clear" w:color="auto" w:fill="auto"/>
            <w:noWrap/>
            <w:vAlign w:val="center"/>
            <w:hideMark/>
          </w:tcPr>
          <w:p w14:paraId="68D37244" w14:textId="77777777" w:rsidR="0047535C" w:rsidRDefault="0047535C">
            <w:pPr>
              <w:jc w:val="center"/>
              <w:rPr>
                <w:color w:val="000000"/>
              </w:rPr>
            </w:pPr>
            <w:r>
              <w:rPr>
                <w:color w:val="000000"/>
              </w:rPr>
              <w:t>8.46E-04</w:t>
            </w:r>
          </w:p>
        </w:tc>
        <w:tc>
          <w:tcPr>
            <w:tcW w:w="1720" w:type="dxa"/>
            <w:tcBorders>
              <w:top w:val="nil"/>
              <w:left w:val="nil"/>
              <w:bottom w:val="single" w:sz="4" w:space="0" w:color="auto"/>
              <w:right w:val="single" w:sz="4" w:space="0" w:color="auto"/>
            </w:tcBorders>
            <w:shd w:val="clear" w:color="auto" w:fill="auto"/>
            <w:noWrap/>
            <w:vAlign w:val="center"/>
            <w:hideMark/>
          </w:tcPr>
          <w:p w14:paraId="12D38BD9" w14:textId="77777777" w:rsidR="0047535C" w:rsidRDefault="0047535C">
            <w:pPr>
              <w:jc w:val="center"/>
              <w:rPr>
                <w:color w:val="000000"/>
              </w:rPr>
            </w:pPr>
            <w:r>
              <w:rPr>
                <w:color w:val="000000"/>
              </w:rPr>
              <w:t>1.01E-03</w:t>
            </w:r>
          </w:p>
        </w:tc>
        <w:tc>
          <w:tcPr>
            <w:tcW w:w="880" w:type="dxa"/>
            <w:tcBorders>
              <w:top w:val="nil"/>
              <w:left w:val="nil"/>
              <w:bottom w:val="single" w:sz="4" w:space="0" w:color="auto"/>
              <w:right w:val="single" w:sz="4" w:space="0" w:color="auto"/>
            </w:tcBorders>
            <w:shd w:val="clear" w:color="auto" w:fill="auto"/>
            <w:noWrap/>
            <w:vAlign w:val="center"/>
            <w:hideMark/>
          </w:tcPr>
          <w:p w14:paraId="58A8C1F2" w14:textId="77777777" w:rsidR="0047535C" w:rsidRDefault="0047535C">
            <w:pPr>
              <w:jc w:val="center"/>
              <w:rPr>
                <w:color w:val="000000"/>
              </w:rPr>
            </w:pPr>
            <w:r>
              <w:rPr>
                <w:color w:val="000000"/>
              </w:rPr>
              <w:t>i, Cal.</w:t>
            </w:r>
          </w:p>
        </w:tc>
      </w:tr>
      <w:tr w:rsidR="0047535C" w14:paraId="6A5D2B57"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BA1895F" w14:textId="77777777" w:rsidR="0047535C" w:rsidRDefault="0047535C">
            <w:pPr>
              <w:jc w:val="center"/>
              <w:rPr>
                <w:color w:val="000000"/>
              </w:rPr>
            </w:pPr>
            <w:r>
              <w:rPr>
                <w:color w:val="000000"/>
              </w:rPr>
              <w:t>Er</w:t>
            </w:r>
          </w:p>
        </w:tc>
        <w:tc>
          <w:tcPr>
            <w:tcW w:w="1300" w:type="dxa"/>
            <w:tcBorders>
              <w:top w:val="nil"/>
              <w:left w:val="nil"/>
              <w:bottom w:val="single" w:sz="4" w:space="0" w:color="auto"/>
              <w:right w:val="single" w:sz="4" w:space="0" w:color="auto"/>
            </w:tcBorders>
            <w:shd w:val="clear" w:color="auto" w:fill="auto"/>
            <w:noWrap/>
            <w:vAlign w:val="center"/>
            <w:hideMark/>
          </w:tcPr>
          <w:p w14:paraId="7F2004EF" w14:textId="77777777" w:rsidR="0047535C" w:rsidRDefault="0047535C">
            <w:pPr>
              <w:jc w:val="center"/>
              <w:rPr>
                <w:color w:val="000000"/>
              </w:rPr>
            </w:pPr>
            <w:r>
              <w:rPr>
                <w:color w:val="000000"/>
              </w:rPr>
              <w:t>1.61E-03</w:t>
            </w:r>
          </w:p>
        </w:tc>
        <w:tc>
          <w:tcPr>
            <w:tcW w:w="1300" w:type="dxa"/>
            <w:tcBorders>
              <w:top w:val="nil"/>
              <w:left w:val="nil"/>
              <w:bottom w:val="single" w:sz="4" w:space="0" w:color="auto"/>
              <w:right w:val="single" w:sz="4" w:space="0" w:color="auto"/>
            </w:tcBorders>
            <w:shd w:val="clear" w:color="auto" w:fill="auto"/>
            <w:noWrap/>
            <w:vAlign w:val="center"/>
            <w:hideMark/>
          </w:tcPr>
          <w:p w14:paraId="0A6A35BF" w14:textId="77777777" w:rsidR="0047535C" w:rsidRDefault="0047535C">
            <w:pPr>
              <w:jc w:val="center"/>
              <w:rPr>
                <w:color w:val="000000"/>
              </w:rPr>
            </w:pPr>
            <w:r>
              <w:rPr>
                <w:color w:val="000000"/>
              </w:rPr>
              <w:t>1.10E-03</w:t>
            </w:r>
          </w:p>
        </w:tc>
        <w:tc>
          <w:tcPr>
            <w:tcW w:w="1720" w:type="dxa"/>
            <w:tcBorders>
              <w:top w:val="nil"/>
              <w:left w:val="nil"/>
              <w:bottom w:val="single" w:sz="4" w:space="0" w:color="auto"/>
              <w:right w:val="single" w:sz="4" w:space="0" w:color="auto"/>
            </w:tcBorders>
            <w:shd w:val="clear" w:color="auto" w:fill="auto"/>
            <w:noWrap/>
            <w:vAlign w:val="center"/>
            <w:hideMark/>
          </w:tcPr>
          <w:p w14:paraId="279C89AD" w14:textId="77777777" w:rsidR="0047535C" w:rsidRDefault="0047535C">
            <w:pPr>
              <w:jc w:val="center"/>
              <w:rPr>
                <w:color w:val="000000"/>
              </w:rPr>
            </w:pPr>
            <w:r>
              <w:rPr>
                <w:color w:val="000000"/>
              </w:rPr>
              <w:t>6.55E-04</w:t>
            </w:r>
          </w:p>
        </w:tc>
        <w:tc>
          <w:tcPr>
            <w:tcW w:w="1720" w:type="dxa"/>
            <w:tcBorders>
              <w:top w:val="nil"/>
              <w:left w:val="nil"/>
              <w:bottom w:val="single" w:sz="4" w:space="0" w:color="auto"/>
              <w:right w:val="single" w:sz="4" w:space="0" w:color="auto"/>
            </w:tcBorders>
            <w:shd w:val="clear" w:color="auto" w:fill="auto"/>
            <w:noWrap/>
            <w:vAlign w:val="center"/>
            <w:hideMark/>
          </w:tcPr>
          <w:p w14:paraId="3B5A688C" w14:textId="77777777" w:rsidR="0047535C" w:rsidRDefault="0047535C">
            <w:pPr>
              <w:jc w:val="center"/>
              <w:rPr>
                <w:color w:val="000000"/>
              </w:rPr>
            </w:pPr>
            <w:r>
              <w:rPr>
                <w:color w:val="000000"/>
              </w:rPr>
              <w:t>7.80E-04</w:t>
            </w:r>
          </w:p>
        </w:tc>
        <w:tc>
          <w:tcPr>
            <w:tcW w:w="880" w:type="dxa"/>
            <w:tcBorders>
              <w:top w:val="nil"/>
              <w:left w:val="nil"/>
              <w:bottom w:val="single" w:sz="4" w:space="0" w:color="auto"/>
              <w:right w:val="single" w:sz="4" w:space="0" w:color="auto"/>
            </w:tcBorders>
            <w:shd w:val="clear" w:color="auto" w:fill="auto"/>
            <w:noWrap/>
            <w:vAlign w:val="center"/>
            <w:hideMark/>
          </w:tcPr>
          <w:p w14:paraId="16698D44" w14:textId="77777777" w:rsidR="0047535C" w:rsidRDefault="0047535C">
            <w:pPr>
              <w:jc w:val="center"/>
              <w:rPr>
                <w:color w:val="000000"/>
              </w:rPr>
            </w:pPr>
            <w:r>
              <w:rPr>
                <w:color w:val="000000"/>
              </w:rPr>
              <w:t>i, Cal.</w:t>
            </w:r>
          </w:p>
        </w:tc>
      </w:tr>
      <w:tr w:rsidR="0047535C" w14:paraId="2F276EA6"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35486F1" w14:textId="77777777" w:rsidR="0047535C" w:rsidRDefault="0047535C">
            <w:pPr>
              <w:jc w:val="center"/>
              <w:rPr>
                <w:color w:val="000000"/>
              </w:rPr>
            </w:pPr>
            <w:r>
              <w:rPr>
                <w:color w:val="000000"/>
              </w:rPr>
              <w:t>Tm</w:t>
            </w:r>
          </w:p>
        </w:tc>
        <w:tc>
          <w:tcPr>
            <w:tcW w:w="1300" w:type="dxa"/>
            <w:tcBorders>
              <w:top w:val="nil"/>
              <w:left w:val="nil"/>
              <w:bottom w:val="single" w:sz="4" w:space="0" w:color="auto"/>
              <w:right w:val="single" w:sz="4" w:space="0" w:color="auto"/>
            </w:tcBorders>
            <w:shd w:val="clear" w:color="auto" w:fill="auto"/>
            <w:noWrap/>
            <w:vAlign w:val="center"/>
            <w:hideMark/>
          </w:tcPr>
          <w:p w14:paraId="2CC99954" w14:textId="77777777" w:rsidR="0047535C" w:rsidRDefault="0047535C">
            <w:pPr>
              <w:jc w:val="center"/>
              <w:rPr>
                <w:color w:val="000000"/>
              </w:rPr>
            </w:pPr>
            <w:r>
              <w:rPr>
                <w:color w:val="000000"/>
              </w:rPr>
              <w:t>1.30E-03</w:t>
            </w:r>
          </w:p>
        </w:tc>
        <w:tc>
          <w:tcPr>
            <w:tcW w:w="1300" w:type="dxa"/>
            <w:tcBorders>
              <w:top w:val="nil"/>
              <w:left w:val="nil"/>
              <w:bottom w:val="single" w:sz="4" w:space="0" w:color="auto"/>
              <w:right w:val="single" w:sz="4" w:space="0" w:color="auto"/>
            </w:tcBorders>
            <w:shd w:val="clear" w:color="auto" w:fill="auto"/>
            <w:noWrap/>
            <w:vAlign w:val="center"/>
            <w:hideMark/>
          </w:tcPr>
          <w:p w14:paraId="4D0BF3D2" w14:textId="77777777" w:rsidR="0047535C" w:rsidRDefault="0047535C">
            <w:pPr>
              <w:jc w:val="center"/>
              <w:rPr>
                <w:color w:val="000000"/>
              </w:rPr>
            </w:pPr>
            <w:r>
              <w:rPr>
                <w:color w:val="000000"/>
              </w:rPr>
              <w:t>8.74E-04</w:t>
            </w:r>
          </w:p>
        </w:tc>
        <w:tc>
          <w:tcPr>
            <w:tcW w:w="1720" w:type="dxa"/>
            <w:tcBorders>
              <w:top w:val="nil"/>
              <w:left w:val="nil"/>
              <w:bottom w:val="single" w:sz="4" w:space="0" w:color="auto"/>
              <w:right w:val="single" w:sz="4" w:space="0" w:color="auto"/>
            </w:tcBorders>
            <w:shd w:val="clear" w:color="auto" w:fill="auto"/>
            <w:noWrap/>
            <w:vAlign w:val="center"/>
            <w:hideMark/>
          </w:tcPr>
          <w:p w14:paraId="5E95A3FE" w14:textId="77777777" w:rsidR="0047535C" w:rsidRDefault="0047535C">
            <w:pPr>
              <w:jc w:val="center"/>
              <w:rPr>
                <w:color w:val="000000"/>
              </w:rPr>
            </w:pPr>
            <w:r>
              <w:rPr>
                <w:color w:val="000000"/>
              </w:rPr>
              <w:t>5.13E-04</w:t>
            </w:r>
          </w:p>
        </w:tc>
        <w:tc>
          <w:tcPr>
            <w:tcW w:w="1720" w:type="dxa"/>
            <w:tcBorders>
              <w:top w:val="nil"/>
              <w:left w:val="nil"/>
              <w:bottom w:val="single" w:sz="4" w:space="0" w:color="auto"/>
              <w:right w:val="single" w:sz="4" w:space="0" w:color="auto"/>
            </w:tcBorders>
            <w:shd w:val="clear" w:color="auto" w:fill="auto"/>
            <w:noWrap/>
            <w:vAlign w:val="center"/>
            <w:hideMark/>
          </w:tcPr>
          <w:p w14:paraId="2DC125E9" w14:textId="77777777" w:rsidR="0047535C" w:rsidRDefault="0047535C">
            <w:pPr>
              <w:jc w:val="center"/>
              <w:rPr>
                <w:color w:val="000000"/>
              </w:rPr>
            </w:pPr>
            <w:r>
              <w:rPr>
                <w:color w:val="000000"/>
              </w:rPr>
              <w:t>6.08E-04</w:t>
            </w:r>
          </w:p>
        </w:tc>
        <w:tc>
          <w:tcPr>
            <w:tcW w:w="880" w:type="dxa"/>
            <w:tcBorders>
              <w:top w:val="nil"/>
              <w:left w:val="nil"/>
              <w:bottom w:val="single" w:sz="4" w:space="0" w:color="auto"/>
              <w:right w:val="single" w:sz="4" w:space="0" w:color="auto"/>
            </w:tcBorders>
            <w:shd w:val="clear" w:color="auto" w:fill="auto"/>
            <w:noWrap/>
            <w:vAlign w:val="center"/>
            <w:hideMark/>
          </w:tcPr>
          <w:p w14:paraId="65D81EEE" w14:textId="77777777" w:rsidR="0047535C" w:rsidRDefault="0047535C">
            <w:pPr>
              <w:jc w:val="center"/>
              <w:rPr>
                <w:color w:val="000000"/>
              </w:rPr>
            </w:pPr>
            <w:r>
              <w:rPr>
                <w:color w:val="000000"/>
              </w:rPr>
              <w:t>i, Cal.</w:t>
            </w:r>
          </w:p>
        </w:tc>
      </w:tr>
      <w:tr w:rsidR="0047535C" w14:paraId="5F06D643"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6CC9625" w14:textId="77777777" w:rsidR="0047535C" w:rsidRDefault="0047535C">
            <w:pPr>
              <w:jc w:val="center"/>
              <w:rPr>
                <w:color w:val="000000"/>
              </w:rPr>
            </w:pPr>
            <w:r>
              <w:rPr>
                <w:color w:val="000000"/>
              </w:rPr>
              <w:t>Yb</w:t>
            </w:r>
          </w:p>
        </w:tc>
        <w:tc>
          <w:tcPr>
            <w:tcW w:w="1300" w:type="dxa"/>
            <w:tcBorders>
              <w:top w:val="nil"/>
              <w:left w:val="nil"/>
              <w:bottom w:val="single" w:sz="4" w:space="0" w:color="auto"/>
              <w:right w:val="single" w:sz="4" w:space="0" w:color="auto"/>
            </w:tcBorders>
            <w:shd w:val="clear" w:color="auto" w:fill="auto"/>
            <w:noWrap/>
            <w:vAlign w:val="center"/>
            <w:hideMark/>
          </w:tcPr>
          <w:p w14:paraId="41A8D9FD" w14:textId="77777777" w:rsidR="0047535C" w:rsidRDefault="0047535C">
            <w:pPr>
              <w:jc w:val="center"/>
              <w:rPr>
                <w:color w:val="000000"/>
              </w:rPr>
            </w:pPr>
            <w:r>
              <w:rPr>
                <w:color w:val="000000"/>
              </w:rPr>
              <w:t>1.06E-03</w:t>
            </w:r>
          </w:p>
        </w:tc>
        <w:tc>
          <w:tcPr>
            <w:tcW w:w="1300" w:type="dxa"/>
            <w:tcBorders>
              <w:top w:val="nil"/>
              <w:left w:val="nil"/>
              <w:bottom w:val="single" w:sz="4" w:space="0" w:color="auto"/>
              <w:right w:val="single" w:sz="4" w:space="0" w:color="auto"/>
            </w:tcBorders>
            <w:shd w:val="clear" w:color="auto" w:fill="auto"/>
            <w:noWrap/>
            <w:vAlign w:val="center"/>
            <w:hideMark/>
          </w:tcPr>
          <w:p w14:paraId="05BFA2DE" w14:textId="77777777" w:rsidR="0047535C" w:rsidRDefault="0047535C">
            <w:pPr>
              <w:jc w:val="center"/>
              <w:rPr>
                <w:color w:val="000000"/>
              </w:rPr>
            </w:pPr>
            <w:r>
              <w:rPr>
                <w:color w:val="000000"/>
              </w:rPr>
              <w:t>7.05E-04</w:t>
            </w:r>
          </w:p>
        </w:tc>
        <w:tc>
          <w:tcPr>
            <w:tcW w:w="1720" w:type="dxa"/>
            <w:tcBorders>
              <w:top w:val="nil"/>
              <w:left w:val="nil"/>
              <w:bottom w:val="single" w:sz="4" w:space="0" w:color="auto"/>
              <w:right w:val="single" w:sz="4" w:space="0" w:color="auto"/>
            </w:tcBorders>
            <w:shd w:val="clear" w:color="auto" w:fill="auto"/>
            <w:noWrap/>
            <w:vAlign w:val="center"/>
            <w:hideMark/>
          </w:tcPr>
          <w:p w14:paraId="23D7DDF7" w14:textId="77777777" w:rsidR="0047535C" w:rsidRDefault="0047535C">
            <w:pPr>
              <w:jc w:val="center"/>
              <w:rPr>
                <w:color w:val="000000"/>
              </w:rPr>
            </w:pPr>
            <w:r>
              <w:rPr>
                <w:color w:val="000000"/>
              </w:rPr>
              <w:t>4.08E-04</w:t>
            </w:r>
          </w:p>
        </w:tc>
        <w:tc>
          <w:tcPr>
            <w:tcW w:w="1720" w:type="dxa"/>
            <w:tcBorders>
              <w:top w:val="nil"/>
              <w:left w:val="nil"/>
              <w:bottom w:val="single" w:sz="4" w:space="0" w:color="auto"/>
              <w:right w:val="single" w:sz="4" w:space="0" w:color="auto"/>
            </w:tcBorders>
            <w:shd w:val="clear" w:color="auto" w:fill="auto"/>
            <w:noWrap/>
            <w:vAlign w:val="center"/>
            <w:hideMark/>
          </w:tcPr>
          <w:p w14:paraId="2B6B12DD" w14:textId="77777777" w:rsidR="0047535C" w:rsidRDefault="0047535C">
            <w:pPr>
              <w:jc w:val="center"/>
              <w:rPr>
                <w:color w:val="000000"/>
              </w:rPr>
            </w:pPr>
            <w:r>
              <w:rPr>
                <w:color w:val="000000"/>
              </w:rPr>
              <w:t>4.82E-04</w:t>
            </w:r>
          </w:p>
        </w:tc>
        <w:tc>
          <w:tcPr>
            <w:tcW w:w="880" w:type="dxa"/>
            <w:tcBorders>
              <w:top w:val="nil"/>
              <w:left w:val="nil"/>
              <w:bottom w:val="single" w:sz="4" w:space="0" w:color="auto"/>
              <w:right w:val="single" w:sz="4" w:space="0" w:color="auto"/>
            </w:tcBorders>
            <w:shd w:val="clear" w:color="auto" w:fill="auto"/>
            <w:noWrap/>
            <w:vAlign w:val="center"/>
            <w:hideMark/>
          </w:tcPr>
          <w:p w14:paraId="45BF82B9" w14:textId="77777777" w:rsidR="0047535C" w:rsidRDefault="0047535C">
            <w:pPr>
              <w:jc w:val="center"/>
              <w:rPr>
                <w:color w:val="000000"/>
              </w:rPr>
            </w:pPr>
            <w:r>
              <w:rPr>
                <w:color w:val="000000"/>
              </w:rPr>
              <w:t>i, Cal.</w:t>
            </w:r>
          </w:p>
        </w:tc>
      </w:tr>
      <w:tr w:rsidR="0047535C" w14:paraId="414DC8EF"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456A720" w14:textId="77777777" w:rsidR="0047535C" w:rsidRDefault="0047535C">
            <w:pPr>
              <w:jc w:val="center"/>
              <w:rPr>
                <w:color w:val="000000"/>
              </w:rPr>
            </w:pPr>
            <w:r>
              <w:rPr>
                <w:color w:val="000000"/>
              </w:rPr>
              <w:t>Lu</w:t>
            </w:r>
          </w:p>
        </w:tc>
        <w:tc>
          <w:tcPr>
            <w:tcW w:w="1300" w:type="dxa"/>
            <w:tcBorders>
              <w:top w:val="nil"/>
              <w:left w:val="nil"/>
              <w:bottom w:val="single" w:sz="4" w:space="0" w:color="auto"/>
              <w:right w:val="single" w:sz="4" w:space="0" w:color="auto"/>
            </w:tcBorders>
            <w:shd w:val="clear" w:color="auto" w:fill="auto"/>
            <w:noWrap/>
            <w:vAlign w:val="center"/>
            <w:hideMark/>
          </w:tcPr>
          <w:p w14:paraId="2B5647D9" w14:textId="77777777" w:rsidR="0047535C" w:rsidRDefault="0047535C">
            <w:pPr>
              <w:jc w:val="center"/>
              <w:rPr>
                <w:color w:val="000000"/>
              </w:rPr>
            </w:pPr>
            <w:r>
              <w:rPr>
                <w:color w:val="000000"/>
              </w:rPr>
              <w:t>8.81E-04</w:t>
            </w:r>
          </w:p>
        </w:tc>
        <w:tc>
          <w:tcPr>
            <w:tcW w:w="1300" w:type="dxa"/>
            <w:tcBorders>
              <w:top w:val="nil"/>
              <w:left w:val="nil"/>
              <w:bottom w:val="single" w:sz="4" w:space="0" w:color="auto"/>
              <w:right w:val="single" w:sz="4" w:space="0" w:color="auto"/>
            </w:tcBorders>
            <w:shd w:val="clear" w:color="auto" w:fill="auto"/>
            <w:noWrap/>
            <w:vAlign w:val="center"/>
            <w:hideMark/>
          </w:tcPr>
          <w:p w14:paraId="280F25C7" w14:textId="77777777" w:rsidR="0047535C" w:rsidRDefault="0047535C">
            <w:pPr>
              <w:jc w:val="center"/>
              <w:rPr>
                <w:color w:val="000000"/>
              </w:rPr>
            </w:pPr>
            <w:r>
              <w:rPr>
                <w:color w:val="000000"/>
              </w:rPr>
              <w:t>5.79E-04</w:t>
            </w:r>
          </w:p>
        </w:tc>
        <w:tc>
          <w:tcPr>
            <w:tcW w:w="1720" w:type="dxa"/>
            <w:tcBorders>
              <w:top w:val="nil"/>
              <w:left w:val="nil"/>
              <w:bottom w:val="single" w:sz="4" w:space="0" w:color="auto"/>
              <w:right w:val="single" w:sz="4" w:space="0" w:color="auto"/>
            </w:tcBorders>
            <w:shd w:val="clear" w:color="auto" w:fill="auto"/>
            <w:noWrap/>
            <w:vAlign w:val="center"/>
            <w:hideMark/>
          </w:tcPr>
          <w:p w14:paraId="682903E1" w14:textId="77777777" w:rsidR="0047535C" w:rsidRDefault="0047535C">
            <w:pPr>
              <w:jc w:val="center"/>
              <w:rPr>
                <w:color w:val="000000"/>
              </w:rPr>
            </w:pPr>
            <w:r>
              <w:rPr>
                <w:color w:val="000000"/>
              </w:rPr>
              <w:t>3.30E-04</w:t>
            </w:r>
          </w:p>
        </w:tc>
        <w:tc>
          <w:tcPr>
            <w:tcW w:w="1720" w:type="dxa"/>
            <w:tcBorders>
              <w:top w:val="nil"/>
              <w:left w:val="nil"/>
              <w:bottom w:val="single" w:sz="4" w:space="0" w:color="auto"/>
              <w:right w:val="single" w:sz="4" w:space="0" w:color="auto"/>
            </w:tcBorders>
            <w:shd w:val="clear" w:color="auto" w:fill="auto"/>
            <w:noWrap/>
            <w:vAlign w:val="center"/>
            <w:hideMark/>
          </w:tcPr>
          <w:p w14:paraId="0886BE9C" w14:textId="77777777" w:rsidR="0047535C" w:rsidRDefault="0047535C">
            <w:pPr>
              <w:jc w:val="center"/>
              <w:rPr>
                <w:color w:val="000000"/>
              </w:rPr>
            </w:pPr>
            <w:r>
              <w:rPr>
                <w:color w:val="000000"/>
              </w:rPr>
              <w:t>3.89E-04</w:t>
            </w:r>
          </w:p>
        </w:tc>
        <w:tc>
          <w:tcPr>
            <w:tcW w:w="880" w:type="dxa"/>
            <w:tcBorders>
              <w:top w:val="nil"/>
              <w:left w:val="nil"/>
              <w:bottom w:val="single" w:sz="4" w:space="0" w:color="auto"/>
              <w:right w:val="single" w:sz="4" w:space="0" w:color="auto"/>
            </w:tcBorders>
            <w:shd w:val="clear" w:color="auto" w:fill="auto"/>
            <w:noWrap/>
            <w:vAlign w:val="center"/>
            <w:hideMark/>
          </w:tcPr>
          <w:p w14:paraId="344B216B" w14:textId="77777777" w:rsidR="0047535C" w:rsidRDefault="0047535C">
            <w:pPr>
              <w:jc w:val="center"/>
              <w:rPr>
                <w:color w:val="000000"/>
              </w:rPr>
            </w:pPr>
            <w:r>
              <w:rPr>
                <w:color w:val="000000"/>
              </w:rPr>
              <w:t>i, Cal.</w:t>
            </w:r>
          </w:p>
        </w:tc>
      </w:tr>
      <w:tr w:rsidR="0047535C" w14:paraId="0A05C29B"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022421A" w14:textId="77777777" w:rsidR="0047535C" w:rsidRDefault="0047535C">
            <w:pPr>
              <w:jc w:val="center"/>
              <w:rPr>
                <w:color w:val="000000"/>
              </w:rPr>
            </w:pPr>
            <w:r>
              <w:rPr>
                <w:color w:val="000000"/>
              </w:rPr>
              <w:t>Hf</w:t>
            </w:r>
          </w:p>
        </w:tc>
        <w:tc>
          <w:tcPr>
            <w:tcW w:w="1300" w:type="dxa"/>
            <w:tcBorders>
              <w:top w:val="nil"/>
              <w:left w:val="nil"/>
              <w:bottom w:val="single" w:sz="4" w:space="0" w:color="auto"/>
              <w:right w:val="single" w:sz="4" w:space="0" w:color="auto"/>
            </w:tcBorders>
            <w:shd w:val="clear" w:color="auto" w:fill="auto"/>
            <w:noWrap/>
            <w:vAlign w:val="center"/>
            <w:hideMark/>
          </w:tcPr>
          <w:p w14:paraId="1D4ED203" w14:textId="77777777" w:rsidR="0047535C" w:rsidRDefault="0047535C">
            <w:pPr>
              <w:jc w:val="center"/>
              <w:rPr>
                <w:color w:val="000000"/>
              </w:rPr>
            </w:pPr>
            <w:r>
              <w:rPr>
                <w:color w:val="000000"/>
              </w:rPr>
              <w:t>2.46E-04</w:t>
            </w:r>
          </w:p>
        </w:tc>
        <w:tc>
          <w:tcPr>
            <w:tcW w:w="1300" w:type="dxa"/>
            <w:tcBorders>
              <w:top w:val="nil"/>
              <w:left w:val="nil"/>
              <w:bottom w:val="single" w:sz="4" w:space="0" w:color="auto"/>
              <w:right w:val="single" w:sz="4" w:space="0" w:color="auto"/>
            </w:tcBorders>
            <w:shd w:val="clear" w:color="auto" w:fill="auto"/>
            <w:noWrap/>
            <w:vAlign w:val="center"/>
            <w:hideMark/>
          </w:tcPr>
          <w:p w14:paraId="73DB8C83" w14:textId="77777777" w:rsidR="0047535C" w:rsidRDefault="0047535C">
            <w:pPr>
              <w:jc w:val="center"/>
              <w:rPr>
                <w:color w:val="000000"/>
              </w:rPr>
            </w:pPr>
            <w:r>
              <w:rPr>
                <w:color w:val="000000"/>
              </w:rPr>
              <w:t>2.46E-04</w:t>
            </w:r>
          </w:p>
        </w:tc>
        <w:tc>
          <w:tcPr>
            <w:tcW w:w="1720" w:type="dxa"/>
            <w:tcBorders>
              <w:top w:val="nil"/>
              <w:left w:val="nil"/>
              <w:bottom w:val="single" w:sz="4" w:space="0" w:color="auto"/>
              <w:right w:val="single" w:sz="4" w:space="0" w:color="auto"/>
            </w:tcBorders>
            <w:shd w:val="clear" w:color="auto" w:fill="auto"/>
            <w:noWrap/>
            <w:vAlign w:val="center"/>
            <w:hideMark/>
          </w:tcPr>
          <w:p w14:paraId="48AA6C1C" w14:textId="77777777" w:rsidR="0047535C" w:rsidRDefault="0047535C">
            <w:pPr>
              <w:jc w:val="center"/>
              <w:rPr>
                <w:color w:val="000000"/>
              </w:rPr>
            </w:pPr>
            <w:r>
              <w:rPr>
                <w:color w:val="000000"/>
              </w:rPr>
              <w:t>2.46E-04</w:t>
            </w:r>
          </w:p>
        </w:tc>
        <w:tc>
          <w:tcPr>
            <w:tcW w:w="1720" w:type="dxa"/>
            <w:tcBorders>
              <w:top w:val="nil"/>
              <w:left w:val="nil"/>
              <w:bottom w:val="single" w:sz="4" w:space="0" w:color="auto"/>
              <w:right w:val="single" w:sz="4" w:space="0" w:color="auto"/>
            </w:tcBorders>
            <w:shd w:val="clear" w:color="auto" w:fill="auto"/>
            <w:noWrap/>
            <w:vAlign w:val="center"/>
            <w:hideMark/>
          </w:tcPr>
          <w:p w14:paraId="4D024503" w14:textId="77777777" w:rsidR="0047535C" w:rsidRDefault="0047535C">
            <w:pPr>
              <w:jc w:val="center"/>
              <w:rPr>
                <w:color w:val="000000"/>
              </w:rPr>
            </w:pPr>
            <w:r>
              <w:rPr>
                <w:color w:val="000000"/>
              </w:rPr>
              <w:t>2.46E-04</w:t>
            </w:r>
          </w:p>
        </w:tc>
        <w:tc>
          <w:tcPr>
            <w:tcW w:w="880" w:type="dxa"/>
            <w:tcBorders>
              <w:top w:val="nil"/>
              <w:left w:val="nil"/>
              <w:bottom w:val="single" w:sz="4" w:space="0" w:color="auto"/>
              <w:right w:val="single" w:sz="4" w:space="0" w:color="auto"/>
            </w:tcBorders>
            <w:shd w:val="clear" w:color="auto" w:fill="auto"/>
            <w:noWrap/>
            <w:vAlign w:val="center"/>
            <w:hideMark/>
          </w:tcPr>
          <w:p w14:paraId="6B1E71EF" w14:textId="77777777" w:rsidR="0047535C" w:rsidRDefault="0047535C">
            <w:pPr>
              <w:jc w:val="center"/>
              <w:rPr>
                <w:color w:val="000000"/>
              </w:rPr>
            </w:pPr>
            <w:r>
              <w:rPr>
                <w:color w:val="000000"/>
              </w:rPr>
              <w:t>i</w:t>
            </w:r>
          </w:p>
        </w:tc>
      </w:tr>
      <w:tr w:rsidR="0047535C" w14:paraId="491B1347"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A0773A0" w14:textId="77777777" w:rsidR="0047535C" w:rsidRDefault="0047535C">
            <w:pPr>
              <w:jc w:val="center"/>
              <w:rPr>
                <w:color w:val="000000"/>
              </w:rPr>
            </w:pPr>
            <w:r>
              <w:rPr>
                <w:color w:val="000000"/>
              </w:rPr>
              <w:t>Stage</w:t>
            </w:r>
          </w:p>
        </w:tc>
        <w:tc>
          <w:tcPr>
            <w:tcW w:w="1300" w:type="dxa"/>
            <w:tcBorders>
              <w:top w:val="nil"/>
              <w:left w:val="nil"/>
              <w:bottom w:val="single" w:sz="4" w:space="0" w:color="auto"/>
              <w:right w:val="single" w:sz="4" w:space="0" w:color="auto"/>
            </w:tcBorders>
            <w:shd w:val="clear" w:color="auto" w:fill="auto"/>
            <w:noWrap/>
            <w:vAlign w:val="center"/>
            <w:hideMark/>
          </w:tcPr>
          <w:p w14:paraId="2AEB8742" w14:textId="77777777" w:rsidR="0047535C" w:rsidRDefault="0047535C">
            <w:pPr>
              <w:jc w:val="center"/>
              <w:rPr>
                <w:color w:val="000000"/>
              </w:rPr>
            </w:pPr>
            <w:r>
              <w:rPr>
                <w:color w:val="000000"/>
              </w:rPr>
              <w:t>3</w:t>
            </w:r>
          </w:p>
        </w:tc>
        <w:tc>
          <w:tcPr>
            <w:tcW w:w="1300" w:type="dxa"/>
            <w:tcBorders>
              <w:top w:val="nil"/>
              <w:left w:val="nil"/>
              <w:bottom w:val="single" w:sz="4" w:space="0" w:color="auto"/>
              <w:right w:val="single" w:sz="4" w:space="0" w:color="auto"/>
            </w:tcBorders>
            <w:shd w:val="clear" w:color="auto" w:fill="auto"/>
            <w:noWrap/>
            <w:vAlign w:val="center"/>
            <w:hideMark/>
          </w:tcPr>
          <w:p w14:paraId="28B0C96B" w14:textId="77777777" w:rsidR="0047535C" w:rsidRDefault="0047535C">
            <w:pPr>
              <w:jc w:val="center"/>
              <w:rPr>
                <w:color w:val="000000"/>
              </w:rPr>
            </w:pPr>
            <w:r>
              <w:rPr>
                <w:color w:val="000000"/>
              </w:rPr>
              <w:t>4</w:t>
            </w:r>
          </w:p>
        </w:tc>
        <w:tc>
          <w:tcPr>
            <w:tcW w:w="1720" w:type="dxa"/>
            <w:tcBorders>
              <w:top w:val="nil"/>
              <w:left w:val="nil"/>
              <w:bottom w:val="single" w:sz="4" w:space="0" w:color="auto"/>
              <w:right w:val="single" w:sz="4" w:space="0" w:color="auto"/>
            </w:tcBorders>
            <w:shd w:val="clear" w:color="auto" w:fill="auto"/>
            <w:noWrap/>
            <w:vAlign w:val="center"/>
            <w:hideMark/>
          </w:tcPr>
          <w:p w14:paraId="212BCA91" w14:textId="77777777" w:rsidR="0047535C" w:rsidRDefault="0047535C">
            <w:pPr>
              <w:jc w:val="center"/>
              <w:rPr>
                <w:color w:val="000000"/>
              </w:rPr>
            </w:pPr>
            <w:r>
              <w:rPr>
                <w:color w:val="000000"/>
              </w:rPr>
              <w:t>5</w:t>
            </w:r>
          </w:p>
        </w:tc>
        <w:tc>
          <w:tcPr>
            <w:tcW w:w="1720" w:type="dxa"/>
            <w:tcBorders>
              <w:top w:val="nil"/>
              <w:left w:val="nil"/>
              <w:bottom w:val="single" w:sz="4" w:space="0" w:color="auto"/>
              <w:right w:val="single" w:sz="4" w:space="0" w:color="auto"/>
            </w:tcBorders>
            <w:shd w:val="clear" w:color="auto" w:fill="auto"/>
            <w:noWrap/>
            <w:vAlign w:val="center"/>
            <w:hideMark/>
          </w:tcPr>
          <w:p w14:paraId="2806D519" w14:textId="77777777" w:rsidR="0047535C" w:rsidRDefault="0047535C">
            <w:pPr>
              <w:jc w:val="center"/>
              <w:rPr>
                <w:color w:val="000000"/>
              </w:rPr>
            </w:pPr>
            <w:r>
              <w:rPr>
                <w:color w:val="000000"/>
              </w:rPr>
              <w:t>6</w:t>
            </w:r>
          </w:p>
        </w:tc>
        <w:tc>
          <w:tcPr>
            <w:tcW w:w="880" w:type="dxa"/>
            <w:tcBorders>
              <w:top w:val="nil"/>
              <w:left w:val="nil"/>
              <w:bottom w:val="single" w:sz="4" w:space="0" w:color="auto"/>
              <w:right w:val="single" w:sz="4" w:space="0" w:color="auto"/>
            </w:tcBorders>
            <w:shd w:val="clear" w:color="auto" w:fill="auto"/>
            <w:noWrap/>
            <w:vAlign w:val="center"/>
            <w:hideMark/>
          </w:tcPr>
          <w:p w14:paraId="2929F14E" w14:textId="77777777" w:rsidR="0047535C" w:rsidRDefault="0047535C">
            <w:pPr>
              <w:jc w:val="center"/>
              <w:rPr>
                <w:color w:val="000000"/>
              </w:rPr>
            </w:pPr>
            <w:r>
              <w:rPr>
                <w:color w:val="000000"/>
              </w:rPr>
              <w:t> </w:t>
            </w:r>
          </w:p>
        </w:tc>
      </w:tr>
      <w:tr w:rsidR="0047535C" w14:paraId="0642F427"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EBF71BF" w14:textId="77777777" w:rsidR="0047535C" w:rsidRDefault="0047535C">
            <w:pPr>
              <w:jc w:val="center"/>
              <w:rPr>
                <w:color w:val="000000"/>
              </w:rPr>
            </w:pPr>
            <w:r>
              <w:rPr>
                <w:color w:val="000000"/>
              </w:rPr>
              <w:t>T (ºC)</w:t>
            </w:r>
          </w:p>
        </w:tc>
        <w:tc>
          <w:tcPr>
            <w:tcW w:w="1300" w:type="dxa"/>
            <w:tcBorders>
              <w:top w:val="nil"/>
              <w:left w:val="nil"/>
              <w:bottom w:val="single" w:sz="4" w:space="0" w:color="auto"/>
              <w:right w:val="single" w:sz="4" w:space="0" w:color="auto"/>
            </w:tcBorders>
            <w:shd w:val="clear" w:color="auto" w:fill="auto"/>
            <w:noWrap/>
            <w:vAlign w:val="center"/>
            <w:hideMark/>
          </w:tcPr>
          <w:p w14:paraId="017B75E5" w14:textId="77777777" w:rsidR="0047535C" w:rsidRDefault="0047535C">
            <w:pPr>
              <w:jc w:val="center"/>
              <w:rPr>
                <w:color w:val="000000"/>
              </w:rPr>
            </w:pPr>
            <w:r>
              <w:rPr>
                <w:color w:val="000000"/>
              </w:rPr>
              <w:t>1215</w:t>
            </w:r>
          </w:p>
        </w:tc>
        <w:tc>
          <w:tcPr>
            <w:tcW w:w="1300" w:type="dxa"/>
            <w:tcBorders>
              <w:top w:val="nil"/>
              <w:left w:val="nil"/>
              <w:bottom w:val="single" w:sz="4" w:space="0" w:color="auto"/>
              <w:right w:val="single" w:sz="4" w:space="0" w:color="auto"/>
            </w:tcBorders>
            <w:shd w:val="clear" w:color="auto" w:fill="auto"/>
            <w:noWrap/>
            <w:vAlign w:val="center"/>
            <w:hideMark/>
          </w:tcPr>
          <w:p w14:paraId="78668CEF" w14:textId="77777777" w:rsidR="0047535C" w:rsidRDefault="0047535C">
            <w:pPr>
              <w:jc w:val="center"/>
              <w:rPr>
                <w:color w:val="000000"/>
              </w:rPr>
            </w:pPr>
            <w:r>
              <w:rPr>
                <w:color w:val="000000"/>
              </w:rPr>
              <w:t>1130</w:t>
            </w:r>
          </w:p>
        </w:tc>
        <w:tc>
          <w:tcPr>
            <w:tcW w:w="1720" w:type="dxa"/>
            <w:tcBorders>
              <w:top w:val="nil"/>
              <w:left w:val="nil"/>
              <w:bottom w:val="single" w:sz="4" w:space="0" w:color="auto"/>
              <w:right w:val="single" w:sz="4" w:space="0" w:color="auto"/>
            </w:tcBorders>
            <w:shd w:val="clear" w:color="auto" w:fill="auto"/>
            <w:noWrap/>
            <w:vAlign w:val="center"/>
            <w:hideMark/>
          </w:tcPr>
          <w:p w14:paraId="11399641" w14:textId="77777777" w:rsidR="0047535C" w:rsidRDefault="0047535C">
            <w:pPr>
              <w:jc w:val="center"/>
              <w:rPr>
                <w:color w:val="000000"/>
              </w:rPr>
            </w:pPr>
            <w:r>
              <w:rPr>
                <w:color w:val="000000"/>
              </w:rPr>
              <w:t>1040</w:t>
            </w:r>
          </w:p>
        </w:tc>
        <w:tc>
          <w:tcPr>
            <w:tcW w:w="1720" w:type="dxa"/>
            <w:tcBorders>
              <w:top w:val="nil"/>
              <w:left w:val="nil"/>
              <w:bottom w:val="single" w:sz="4" w:space="0" w:color="auto"/>
              <w:right w:val="single" w:sz="4" w:space="0" w:color="auto"/>
            </w:tcBorders>
            <w:shd w:val="clear" w:color="auto" w:fill="auto"/>
            <w:noWrap/>
            <w:vAlign w:val="center"/>
            <w:hideMark/>
          </w:tcPr>
          <w:p w14:paraId="6945EA24" w14:textId="77777777" w:rsidR="0047535C" w:rsidRDefault="0047535C">
            <w:pPr>
              <w:jc w:val="center"/>
              <w:rPr>
                <w:color w:val="000000"/>
              </w:rPr>
            </w:pPr>
            <w:r>
              <w:rPr>
                <w:color w:val="000000"/>
              </w:rPr>
              <w:t>1020</w:t>
            </w:r>
          </w:p>
        </w:tc>
        <w:tc>
          <w:tcPr>
            <w:tcW w:w="880" w:type="dxa"/>
            <w:tcBorders>
              <w:top w:val="nil"/>
              <w:left w:val="nil"/>
              <w:bottom w:val="single" w:sz="4" w:space="0" w:color="auto"/>
              <w:right w:val="single" w:sz="4" w:space="0" w:color="auto"/>
            </w:tcBorders>
            <w:shd w:val="clear" w:color="auto" w:fill="auto"/>
            <w:noWrap/>
            <w:vAlign w:val="center"/>
            <w:hideMark/>
          </w:tcPr>
          <w:p w14:paraId="3A345F90" w14:textId="77777777" w:rsidR="0047535C" w:rsidRDefault="0047535C">
            <w:pPr>
              <w:jc w:val="center"/>
              <w:rPr>
                <w:color w:val="000000"/>
              </w:rPr>
            </w:pPr>
            <w:r>
              <w:rPr>
                <w:color w:val="000000"/>
              </w:rPr>
              <w:t>l</w:t>
            </w:r>
          </w:p>
        </w:tc>
      </w:tr>
      <w:tr w:rsidR="0047535C" w14:paraId="12CC039B"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19D31AB" w14:textId="77777777" w:rsidR="0047535C" w:rsidRDefault="0047535C">
            <w:pPr>
              <w:jc w:val="center"/>
              <w:rPr>
                <w:color w:val="000000"/>
              </w:rPr>
            </w:pPr>
            <w:r>
              <w:rPr>
                <w:color w:val="000000"/>
              </w:rPr>
              <w:t>P (GPa)</w:t>
            </w:r>
          </w:p>
        </w:tc>
        <w:tc>
          <w:tcPr>
            <w:tcW w:w="1300" w:type="dxa"/>
            <w:tcBorders>
              <w:top w:val="nil"/>
              <w:left w:val="nil"/>
              <w:bottom w:val="single" w:sz="4" w:space="0" w:color="auto"/>
              <w:right w:val="single" w:sz="4" w:space="0" w:color="auto"/>
            </w:tcBorders>
            <w:shd w:val="clear" w:color="auto" w:fill="auto"/>
            <w:noWrap/>
            <w:vAlign w:val="center"/>
            <w:hideMark/>
          </w:tcPr>
          <w:p w14:paraId="16873B20" w14:textId="77777777" w:rsidR="0047535C" w:rsidRDefault="0047535C">
            <w:pPr>
              <w:jc w:val="center"/>
              <w:rPr>
                <w:color w:val="000000"/>
              </w:rPr>
            </w:pPr>
            <w:r>
              <w:rPr>
                <w:color w:val="000000"/>
              </w:rPr>
              <w:t>0.5</w:t>
            </w:r>
          </w:p>
        </w:tc>
        <w:tc>
          <w:tcPr>
            <w:tcW w:w="1300" w:type="dxa"/>
            <w:tcBorders>
              <w:top w:val="nil"/>
              <w:left w:val="nil"/>
              <w:bottom w:val="single" w:sz="4" w:space="0" w:color="auto"/>
              <w:right w:val="single" w:sz="4" w:space="0" w:color="auto"/>
            </w:tcBorders>
            <w:shd w:val="clear" w:color="auto" w:fill="auto"/>
            <w:noWrap/>
            <w:vAlign w:val="center"/>
            <w:hideMark/>
          </w:tcPr>
          <w:p w14:paraId="5CF3F179" w14:textId="77777777" w:rsidR="0047535C" w:rsidRDefault="0047535C">
            <w:pPr>
              <w:jc w:val="center"/>
              <w:rPr>
                <w:color w:val="000000"/>
              </w:rPr>
            </w:pPr>
            <w:r>
              <w:rPr>
                <w:color w:val="000000"/>
              </w:rPr>
              <w:t>0.3</w:t>
            </w:r>
          </w:p>
        </w:tc>
        <w:tc>
          <w:tcPr>
            <w:tcW w:w="1720" w:type="dxa"/>
            <w:tcBorders>
              <w:top w:val="nil"/>
              <w:left w:val="nil"/>
              <w:bottom w:val="single" w:sz="4" w:space="0" w:color="auto"/>
              <w:right w:val="single" w:sz="4" w:space="0" w:color="auto"/>
            </w:tcBorders>
            <w:shd w:val="clear" w:color="auto" w:fill="auto"/>
            <w:noWrap/>
            <w:vAlign w:val="center"/>
            <w:hideMark/>
          </w:tcPr>
          <w:p w14:paraId="1583874D" w14:textId="77777777" w:rsidR="0047535C" w:rsidRDefault="0047535C">
            <w:pPr>
              <w:jc w:val="center"/>
              <w:rPr>
                <w:color w:val="000000"/>
              </w:rPr>
            </w:pPr>
            <w:r>
              <w:rPr>
                <w:color w:val="000000"/>
              </w:rPr>
              <w:t>0.15</w:t>
            </w:r>
          </w:p>
        </w:tc>
        <w:tc>
          <w:tcPr>
            <w:tcW w:w="1720" w:type="dxa"/>
            <w:tcBorders>
              <w:top w:val="nil"/>
              <w:left w:val="nil"/>
              <w:bottom w:val="single" w:sz="4" w:space="0" w:color="auto"/>
              <w:right w:val="single" w:sz="4" w:space="0" w:color="auto"/>
            </w:tcBorders>
            <w:shd w:val="clear" w:color="auto" w:fill="auto"/>
            <w:noWrap/>
            <w:vAlign w:val="center"/>
            <w:hideMark/>
          </w:tcPr>
          <w:p w14:paraId="71EA4E5D" w14:textId="77777777" w:rsidR="0047535C" w:rsidRDefault="0047535C">
            <w:pPr>
              <w:jc w:val="center"/>
              <w:rPr>
                <w:color w:val="000000"/>
              </w:rPr>
            </w:pPr>
            <w:r>
              <w:rPr>
                <w:color w:val="000000"/>
              </w:rPr>
              <w:t>0.08</w:t>
            </w:r>
          </w:p>
        </w:tc>
        <w:tc>
          <w:tcPr>
            <w:tcW w:w="880" w:type="dxa"/>
            <w:tcBorders>
              <w:top w:val="nil"/>
              <w:left w:val="nil"/>
              <w:bottom w:val="single" w:sz="4" w:space="0" w:color="auto"/>
              <w:right w:val="single" w:sz="4" w:space="0" w:color="auto"/>
            </w:tcBorders>
            <w:shd w:val="clear" w:color="auto" w:fill="auto"/>
            <w:noWrap/>
            <w:vAlign w:val="center"/>
            <w:hideMark/>
          </w:tcPr>
          <w:p w14:paraId="44CD4B3C" w14:textId="77777777" w:rsidR="0047535C" w:rsidRDefault="0047535C">
            <w:pPr>
              <w:jc w:val="center"/>
              <w:rPr>
                <w:color w:val="000000"/>
              </w:rPr>
            </w:pPr>
            <w:r>
              <w:rPr>
                <w:color w:val="000000"/>
              </w:rPr>
              <w:t>l</w:t>
            </w:r>
          </w:p>
        </w:tc>
      </w:tr>
      <w:tr w:rsidR="0047535C" w14:paraId="593B2374"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7B31DBC" w14:textId="77777777" w:rsidR="0047535C" w:rsidRDefault="0047535C">
            <w:pPr>
              <w:jc w:val="center"/>
              <w:rPr>
                <w:color w:val="000000"/>
              </w:rPr>
            </w:pPr>
            <w:r>
              <w:rPr>
                <w:color w:val="000000"/>
              </w:rPr>
              <w:t>Fo</w:t>
            </w:r>
          </w:p>
        </w:tc>
        <w:tc>
          <w:tcPr>
            <w:tcW w:w="1300" w:type="dxa"/>
            <w:tcBorders>
              <w:top w:val="nil"/>
              <w:left w:val="nil"/>
              <w:bottom w:val="single" w:sz="4" w:space="0" w:color="auto"/>
              <w:right w:val="single" w:sz="4" w:space="0" w:color="auto"/>
            </w:tcBorders>
            <w:shd w:val="clear" w:color="auto" w:fill="auto"/>
            <w:noWrap/>
            <w:vAlign w:val="center"/>
            <w:hideMark/>
          </w:tcPr>
          <w:p w14:paraId="6D8899A0"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C7A7148"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7058AF32"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1545FB6A"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38CADADD" w14:textId="77777777" w:rsidR="0047535C" w:rsidRDefault="0047535C">
            <w:pPr>
              <w:jc w:val="center"/>
              <w:rPr>
                <w:color w:val="000000"/>
              </w:rPr>
            </w:pPr>
            <w:r>
              <w:rPr>
                <w:color w:val="000000"/>
              </w:rPr>
              <w:t> </w:t>
            </w:r>
          </w:p>
        </w:tc>
      </w:tr>
      <w:tr w:rsidR="0047535C" w14:paraId="055763E2"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CCC0ACE" w14:textId="77777777" w:rsidR="0047535C" w:rsidRDefault="0047535C">
            <w:pPr>
              <w:jc w:val="center"/>
              <w:rPr>
                <w:color w:val="000000"/>
              </w:rPr>
            </w:pPr>
            <w:r>
              <w:rPr>
                <w:color w:val="000000"/>
              </w:rPr>
              <w:t>Al</w:t>
            </w:r>
            <w:r>
              <w:rPr>
                <w:color w:val="000000"/>
                <w:vertAlign w:val="superscript"/>
              </w:rPr>
              <w:t>ol</w:t>
            </w:r>
          </w:p>
        </w:tc>
        <w:tc>
          <w:tcPr>
            <w:tcW w:w="1300" w:type="dxa"/>
            <w:tcBorders>
              <w:top w:val="nil"/>
              <w:left w:val="nil"/>
              <w:bottom w:val="single" w:sz="4" w:space="0" w:color="auto"/>
              <w:right w:val="single" w:sz="4" w:space="0" w:color="auto"/>
            </w:tcBorders>
            <w:shd w:val="clear" w:color="auto" w:fill="auto"/>
            <w:noWrap/>
            <w:vAlign w:val="center"/>
            <w:hideMark/>
          </w:tcPr>
          <w:p w14:paraId="4AC76FBB"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0162C2D"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4DA9B2FB"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024431F6"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D3D57A1" w14:textId="77777777" w:rsidR="0047535C" w:rsidRDefault="0047535C">
            <w:pPr>
              <w:jc w:val="center"/>
              <w:rPr>
                <w:color w:val="000000"/>
              </w:rPr>
            </w:pPr>
            <w:r>
              <w:rPr>
                <w:color w:val="000000"/>
              </w:rPr>
              <w:t> </w:t>
            </w:r>
          </w:p>
        </w:tc>
      </w:tr>
      <w:tr w:rsidR="0047535C" w14:paraId="4AAC2185"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49F758A" w14:textId="77777777" w:rsidR="0047535C" w:rsidRDefault="0047535C">
            <w:pPr>
              <w:jc w:val="center"/>
              <w:rPr>
                <w:color w:val="000000"/>
              </w:rPr>
            </w:pPr>
            <w:r>
              <w:rPr>
                <w:i/>
                <w:iCs/>
                <w:color w:val="000000"/>
              </w:rPr>
              <w:t>X</w:t>
            </w:r>
            <w:r>
              <w:rPr>
                <w:color w:val="000000"/>
              </w:rPr>
              <w:t>Ti</w:t>
            </w:r>
            <w:r>
              <w:rPr>
                <w:color w:val="000000"/>
                <w:vertAlign w:val="superscript"/>
              </w:rPr>
              <w:t>melt</w:t>
            </w:r>
          </w:p>
        </w:tc>
        <w:tc>
          <w:tcPr>
            <w:tcW w:w="1300" w:type="dxa"/>
            <w:tcBorders>
              <w:top w:val="nil"/>
              <w:left w:val="nil"/>
              <w:bottom w:val="single" w:sz="4" w:space="0" w:color="auto"/>
              <w:right w:val="single" w:sz="4" w:space="0" w:color="auto"/>
            </w:tcBorders>
            <w:shd w:val="clear" w:color="auto" w:fill="auto"/>
            <w:noWrap/>
            <w:vAlign w:val="center"/>
            <w:hideMark/>
          </w:tcPr>
          <w:p w14:paraId="746CEC4D"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11B22F9E"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7BD96915"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5EA13CAB"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6AA157A4" w14:textId="77777777" w:rsidR="0047535C" w:rsidRDefault="0047535C">
            <w:pPr>
              <w:jc w:val="center"/>
              <w:rPr>
                <w:color w:val="000000"/>
              </w:rPr>
            </w:pPr>
            <w:r>
              <w:rPr>
                <w:color w:val="000000"/>
              </w:rPr>
              <w:t> </w:t>
            </w:r>
          </w:p>
        </w:tc>
      </w:tr>
      <w:tr w:rsidR="0047535C" w14:paraId="7F36005A"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88EB738" w14:textId="77777777" w:rsidR="0047535C" w:rsidRDefault="0047535C">
            <w:pPr>
              <w:jc w:val="center"/>
              <w:rPr>
                <w:color w:val="000000"/>
              </w:rPr>
            </w:pPr>
            <w:r>
              <w:rPr>
                <w:color w:val="000000"/>
              </w:rPr>
              <w:t>Al</w:t>
            </w:r>
            <w:r>
              <w:rPr>
                <w:color w:val="000000"/>
                <w:vertAlign w:val="superscript"/>
              </w:rPr>
              <w:t>T</w:t>
            </w:r>
          </w:p>
        </w:tc>
        <w:tc>
          <w:tcPr>
            <w:tcW w:w="1300" w:type="dxa"/>
            <w:tcBorders>
              <w:top w:val="nil"/>
              <w:left w:val="nil"/>
              <w:bottom w:val="single" w:sz="4" w:space="0" w:color="auto"/>
              <w:right w:val="single" w:sz="4" w:space="0" w:color="auto"/>
            </w:tcBorders>
            <w:shd w:val="clear" w:color="auto" w:fill="auto"/>
            <w:noWrap/>
            <w:vAlign w:val="center"/>
            <w:hideMark/>
          </w:tcPr>
          <w:p w14:paraId="2617B942"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72AF19D"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45840FAB"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7659E1DE"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713AFE2D" w14:textId="77777777" w:rsidR="0047535C" w:rsidRDefault="0047535C">
            <w:pPr>
              <w:jc w:val="center"/>
              <w:rPr>
                <w:color w:val="000000"/>
              </w:rPr>
            </w:pPr>
            <w:r>
              <w:rPr>
                <w:color w:val="000000"/>
              </w:rPr>
              <w:t> </w:t>
            </w:r>
          </w:p>
        </w:tc>
      </w:tr>
      <w:tr w:rsidR="0047535C" w14:paraId="28533F57"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5B86E36" w14:textId="77777777" w:rsidR="0047535C" w:rsidRDefault="0047535C">
            <w:pPr>
              <w:jc w:val="center"/>
              <w:rPr>
                <w:color w:val="000000"/>
              </w:rPr>
            </w:pPr>
            <w:r>
              <w:rPr>
                <w:color w:val="000000"/>
              </w:rPr>
              <w:t>Al</w:t>
            </w:r>
            <w:r>
              <w:rPr>
                <w:color w:val="000000"/>
                <w:vertAlign w:val="superscript"/>
              </w:rPr>
              <w:t>M1</w:t>
            </w:r>
          </w:p>
        </w:tc>
        <w:tc>
          <w:tcPr>
            <w:tcW w:w="1300" w:type="dxa"/>
            <w:tcBorders>
              <w:top w:val="nil"/>
              <w:left w:val="nil"/>
              <w:bottom w:val="single" w:sz="4" w:space="0" w:color="auto"/>
              <w:right w:val="single" w:sz="4" w:space="0" w:color="auto"/>
            </w:tcBorders>
            <w:shd w:val="clear" w:color="auto" w:fill="auto"/>
            <w:noWrap/>
            <w:vAlign w:val="center"/>
            <w:hideMark/>
          </w:tcPr>
          <w:p w14:paraId="1F68EEA7"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179838C3"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45C65E3E"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661A3C59"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178A1BA5" w14:textId="77777777" w:rsidR="0047535C" w:rsidRDefault="0047535C">
            <w:pPr>
              <w:jc w:val="center"/>
              <w:rPr>
                <w:color w:val="000000"/>
              </w:rPr>
            </w:pPr>
            <w:r>
              <w:rPr>
                <w:color w:val="000000"/>
              </w:rPr>
              <w:t> </w:t>
            </w:r>
          </w:p>
        </w:tc>
      </w:tr>
      <w:tr w:rsidR="0047535C" w14:paraId="7CD952F6"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CB1C180" w14:textId="77777777" w:rsidR="0047535C" w:rsidRDefault="0047535C">
            <w:pPr>
              <w:jc w:val="center"/>
              <w:rPr>
                <w:color w:val="000000"/>
              </w:rPr>
            </w:pPr>
            <w:r>
              <w:rPr>
                <w:color w:val="000000"/>
              </w:rPr>
              <w:t>Ca</w:t>
            </w:r>
            <w:r>
              <w:rPr>
                <w:color w:val="000000"/>
                <w:vertAlign w:val="superscript"/>
              </w:rPr>
              <w:t>M2</w:t>
            </w:r>
          </w:p>
        </w:tc>
        <w:tc>
          <w:tcPr>
            <w:tcW w:w="1300" w:type="dxa"/>
            <w:tcBorders>
              <w:top w:val="nil"/>
              <w:left w:val="nil"/>
              <w:bottom w:val="single" w:sz="4" w:space="0" w:color="auto"/>
              <w:right w:val="single" w:sz="4" w:space="0" w:color="auto"/>
            </w:tcBorders>
            <w:shd w:val="clear" w:color="auto" w:fill="auto"/>
            <w:noWrap/>
            <w:vAlign w:val="center"/>
            <w:hideMark/>
          </w:tcPr>
          <w:p w14:paraId="6A591D9F"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7D23998"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56F87E71"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1617A991"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24D0E476" w14:textId="77777777" w:rsidR="0047535C" w:rsidRDefault="0047535C">
            <w:pPr>
              <w:jc w:val="center"/>
              <w:rPr>
                <w:color w:val="000000"/>
              </w:rPr>
            </w:pPr>
            <w:r>
              <w:rPr>
                <w:color w:val="000000"/>
              </w:rPr>
              <w:t> </w:t>
            </w:r>
          </w:p>
        </w:tc>
      </w:tr>
      <w:tr w:rsidR="0047535C" w14:paraId="64EAD340"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850AE3D" w14:textId="77777777" w:rsidR="0047535C" w:rsidRDefault="0047535C">
            <w:pPr>
              <w:jc w:val="center"/>
              <w:rPr>
                <w:color w:val="000000"/>
              </w:rPr>
            </w:pPr>
            <w:r>
              <w:rPr>
                <w:color w:val="000000"/>
              </w:rPr>
              <w:t>Mg</w:t>
            </w:r>
            <w:r>
              <w:rPr>
                <w:color w:val="000000"/>
                <w:vertAlign w:val="superscript"/>
              </w:rPr>
              <w:t>M2</w:t>
            </w:r>
          </w:p>
        </w:tc>
        <w:tc>
          <w:tcPr>
            <w:tcW w:w="1300" w:type="dxa"/>
            <w:tcBorders>
              <w:top w:val="nil"/>
              <w:left w:val="nil"/>
              <w:bottom w:val="single" w:sz="4" w:space="0" w:color="auto"/>
              <w:right w:val="single" w:sz="4" w:space="0" w:color="auto"/>
            </w:tcBorders>
            <w:shd w:val="clear" w:color="auto" w:fill="auto"/>
            <w:noWrap/>
            <w:vAlign w:val="center"/>
            <w:hideMark/>
          </w:tcPr>
          <w:p w14:paraId="0A393234"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4F47B8C6"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0D887380"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46C3BABC"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DDF91D7" w14:textId="77777777" w:rsidR="0047535C" w:rsidRDefault="0047535C">
            <w:pPr>
              <w:jc w:val="center"/>
              <w:rPr>
                <w:color w:val="000000"/>
              </w:rPr>
            </w:pPr>
            <w:r>
              <w:rPr>
                <w:color w:val="000000"/>
              </w:rPr>
              <w:t> </w:t>
            </w:r>
          </w:p>
        </w:tc>
      </w:tr>
      <w:tr w:rsidR="0047535C" w14:paraId="1F437E34"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FB7188A" w14:textId="77777777" w:rsidR="0047535C" w:rsidRDefault="0047535C">
            <w:pPr>
              <w:jc w:val="center"/>
              <w:rPr>
                <w:color w:val="000000"/>
              </w:rPr>
            </w:pPr>
            <w:r>
              <w:rPr>
                <w:color w:val="000000"/>
              </w:rPr>
              <w:t>Mg</w:t>
            </w:r>
            <w:r>
              <w:rPr>
                <w:color w:val="000000"/>
                <w:vertAlign w:val="superscript"/>
              </w:rPr>
              <w:t>M1</w:t>
            </w:r>
          </w:p>
        </w:tc>
        <w:tc>
          <w:tcPr>
            <w:tcW w:w="1300" w:type="dxa"/>
            <w:tcBorders>
              <w:top w:val="nil"/>
              <w:left w:val="nil"/>
              <w:bottom w:val="single" w:sz="4" w:space="0" w:color="auto"/>
              <w:right w:val="single" w:sz="4" w:space="0" w:color="auto"/>
            </w:tcBorders>
            <w:shd w:val="clear" w:color="auto" w:fill="auto"/>
            <w:noWrap/>
            <w:vAlign w:val="center"/>
            <w:hideMark/>
          </w:tcPr>
          <w:p w14:paraId="4E353B40"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B2EED46"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02518D45"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0DA546D8"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189B777C" w14:textId="77777777" w:rsidR="0047535C" w:rsidRDefault="0047535C">
            <w:pPr>
              <w:jc w:val="center"/>
              <w:rPr>
                <w:color w:val="000000"/>
              </w:rPr>
            </w:pPr>
            <w:r>
              <w:rPr>
                <w:color w:val="000000"/>
              </w:rPr>
              <w:t> </w:t>
            </w:r>
          </w:p>
        </w:tc>
      </w:tr>
      <w:tr w:rsidR="0047535C" w14:paraId="1185DE61"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B4D6688" w14:textId="77777777" w:rsidR="0047535C" w:rsidRDefault="0047535C">
            <w:pPr>
              <w:jc w:val="center"/>
              <w:rPr>
                <w:color w:val="000000"/>
              </w:rPr>
            </w:pPr>
            <w:r>
              <w:rPr>
                <w:color w:val="000000"/>
              </w:rPr>
              <w:t>Fe</w:t>
            </w:r>
            <w:r>
              <w:rPr>
                <w:color w:val="000000"/>
                <w:vertAlign w:val="superscript"/>
              </w:rPr>
              <w:t>M1</w:t>
            </w:r>
          </w:p>
        </w:tc>
        <w:tc>
          <w:tcPr>
            <w:tcW w:w="1300" w:type="dxa"/>
            <w:tcBorders>
              <w:top w:val="nil"/>
              <w:left w:val="nil"/>
              <w:bottom w:val="single" w:sz="4" w:space="0" w:color="auto"/>
              <w:right w:val="single" w:sz="4" w:space="0" w:color="auto"/>
            </w:tcBorders>
            <w:shd w:val="clear" w:color="auto" w:fill="auto"/>
            <w:noWrap/>
            <w:vAlign w:val="center"/>
            <w:hideMark/>
          </w:tcPr>
          <w:p w14:paraId="636360D9"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6873EF8"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3D879DA4"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16B765A3"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14C2D584" w14:textId="77777777" w:rsidR="0047535C" w:rsidRDefault="0047535C">
            <w:pPr>
              <w:jc w:val="center"/>
              <w:rPr>
                <w:color w:val="000000"/>
              </w:rPr>
            </w:pPr>
            <w:r>
              <w:rPr>
                <w:color w:val="000000"/>
              </w:rPr>
              <w:t> </w:t>
            </w:r>
          </w:p>
        </w:tc>
      </w:tr>
      <w:tr w:rsidR="0047535C" w14:paraId="7BCF2E51"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7B0F645" w14:textId="77777777" w:rsidR="0047535C" w:rsidRDefault="0047535C">
            <w:pPr>
              <w:jc w:val="center"/>
              <w:rPr>
                <w:color w:val="000000"/>
              </w:rPr>
            </w:pPr>
            <w:r>
              <w:rPr>
                <w:i/>
                <w:iCs/>
                <w:color w:val="000000"/>
              </w:rPr>
              <w:t>XC</w:t>
            </w: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3AE49666" w14:textId="77777777" w:rsidR="0047535C" w:rsidRDefault="0047535C">
            <w:pPr>
              <w:jc w:val="center"/>
              <w:rPr>
                <w:color w:val="000000"/>
              </w:rPr>
            </w:pPr>
            <w:r>
              <w:rPr>
                <w:color w:val="000000"/>
              </w:rPr>
              <w:t>0.9406</w:t>
            </w:r>
          </w:p>
        </w:tc>
        <w:tc>
          <w:tcPr>
            <w:tcW w:w="1300" w:type="dxa"/>
            <w:tcBorders>
              <w:top w:val="nil"/>
              <w:left w:val="nil"/>
              <w:bottom w:val="single" w:sz="4" w:space="0" w:color="auto"/>
              <w:right w:val="single" w:sz="4" w:space="0" w:color="auto"/>
            </w:tcBorders>
            <w:shd w:val="clear" w:color="auto" w:fill="auto"/>
            <w:noWrap/>
            <w:vAlign w:val="center"/>
            <w:hideMark/>
          </w:tcPr>
          <w:p w14:paraId="6E6A9F05" w14:textId="77777777" w:rsidR="0047535C" w:rsidRDefault="0047535C">
            <w:pPr>
              <w:jc w:val="center"/>
              <w:rPr>
                <w:color w:val="000000"/>
              </w:rPr>
            </w:pPr>
            <w:r>
              <w:rPr>
                <w:color w:val="000000"/>
              </w:rPr>
              <w:t>0.8833</w:t>
            </w:r>
          </w:p>
        </w:tc>
        <w:tc>
          <w:tcPr>
            <w:tcW w:w="1720" w:type="dxa"/>
            <w:tcBorders>
              <w:top w:val="nil"/>
              <w:left w:val="nil"/>
              <w:bottom w:val="single" w:sz="4" w:space="0" w:color="auto"/>
              <w:right w:val="single" w:sz="4" w:space="0" w:color="auto"/>
            </w:tcBorders>
            <w:shd w:val="clear" w:color="auto" w:fill="auto"/>
            <w:noWrap/>
            <w:vAlign w:val="center"/>
            <w:hideMark/>
          </w:tcPr>
          <w:p w14:paraId="0B63661A" w14:textId="77777777" w:rsidR="0047535C" w:rsidRDefault="0047535C">
            <w:pPr>
              <w:jc w:val="center"/>
              <w:rPr>
                <w:color w:val="000000"/>
              </w:rPr>
            </w:pPr>
            <w:r>
              <w:rPr>
                <w:color w:val="000000"/>
              </w:rPr>
              <w:t>0.8029</w:t>
            </w:r>
          </w:p>
        </w:tc>
        <w:tc>
          <w:tcPr>
            <w:tcW w:w="1720" w:type="dxa"/>
            <w:tcBorders>
              <w:top w:val="nil"/>
              <w:left w:val="nil"/>
              <w:bottom w:val="single" w:sz="4" w:space="0" w:color="auto"/>
              <w:right w:val="single" w:sz="4" w:space="0" w:color="auto"/>
            </w:tcBorders>
            <w:shd w:val="clear" w:color="auto" w:fill="auto"/>
            <w:noWrap/>
            <w:vAlign w:val="center"/>
            <w:hideMark/>
          </w:tcPr>
          <w:p w14:paraId="7F509A7B" w14:textId="77777777" w:rsidR="0047535C" w:rsidRDefault="0047535C">
            <w:pPr>
              <w:jc w:val="center"/>
              <w:rPr>
                <w:color w:val="000000"/>
              </w:rPr>
            </w:pPr>
            <w:r>
              <w:rPr>
                <w:color w:val="000000"/>
              </w:rPr>
              <w:t>0.7445</w:t>
            </w:r>
          </w:p>
        </w:tc>
        <w:tc>
          <w:tcPr>
            <w:tcW w:w="880" w:type="dxa"/>
            <w:tcBorders>
              <w:top w:val="nil"/>
              <w:left w:val="nil"/>
              <w:bottom w:val="single" w:sz="4" w:space="0" w:color="auto"/>
              <w:right w:val="single" w:sz="4" w:space="0" w:color="auto"/>
            </w:tcBorders>
            <w:shd w:val="clear" w:color="auto" w:fill="auto"/>
            <w:noWrap/>
            <w:vAlign w:val="center"/>
            <w:hideMark/>
          </w:tcPr>
          <w:p w14:paraId="524352E0" w14:textId="77777777" w:rsidR="0047535C" w:rsidRDefault="0047535C">
            <w:pPr>
              <w:jc w:val="center"/>
              <w:rPr>
                <w:color w:val="000000"/>
              </w:rPr>
            </w:pPr>
            <w:r>
              <w:rPr>
                <w:color w:val="000000"/>
              </w:rPr>
              <w:t>l</w:t>
            </w:r>
          </w:p>
        </w:tc>
      </w:tr>
      <w:tr w:rsidR="0047535C" w14:paraId="7505E4CD"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630DC8D" w14:textId="77777777" w:rsidR="0047535C" w:rsidRDefault="0047535C">
            <w:pPr>
              <w:jc w:val="center"/>
              <w:rPr>
                <w:color w:val="000000"/>
              </w:rPr>
            </w:pPr>
            <w:r>
              <w:rPr>
                <w:i/>
                <w:iCs/>
                <w:color w:val="000000"/>
              </w:rPr>
              <w:t>X</w:t>
            </w:r>
            <w:r>
              <w:rPr>
                <w:color w:val="000000"/>
              </w:rPr>
              <w:t>Na</w:t>
            </w:r>
          </w:p>
        </w:tc>
        <w:tc>
          <w:tcPr>
            <w:tcW w:w="1300" w:type="dxa"/>
            <w:tcBorders>
              <w:top w:val="nil"/>
              <w:left w:val="nil"/>
              <w:bottom w:val="single" w:sz="4" w:space="0" w:color="auto"/>
              <w:right w:val="single" w:sz="4" w:space="0" w:color="auto"/>
            </w:tcBorders>
            <w:shd w:val="clear" w:color="auto" w:fill="auto"/>
            <w:noWrap/>
            <w:vAlign w:val="center"/>
            <w:hideMark/>
          </w:tcPr>
          <w:p w14:paraId="2B89E245" w14:textId="77777777" w:rsidR="0047535C" w:rsidRDefault="0047535C">
            <w:pPr>
              <w:jc w:val="center"/>
              <w:rPr>
                <w:color w:val="000000"/>
              </w:rPr>
            </w:pPr>
            <w:r>
              <w:rPr>
                <w:color w:val="000000"/>
              </w:rPr>
              <w:t>0.0594</w:t>
            </w:r>
          </w:p>
        </w:tc>
        <w:tc>
          <w:tcPr>
            <w:tcW w:w="1300" w:type="dxa"/>
            <w:tcBorders>
              <w:top w:val="nil"/>
              <w:left w:val="nil"/>
              <w:bottom w:val="single" w:sz="4" w:space="0" w:color="auto"/>
              <w:right w:val="single" w:sz="4" w:space="0" w:color="auto"/>
            </w:tcBorders>
            <w:shd w:val="clear" w:color="auto" w:fill="auto"/>
            <w:noWrap/>
            <w:vAlign w:val="center"/>
            <w:hideMark/>
          </w:tcPr>
          <w:p w14:paraId="63BA2AC2" w14:textId="77777777" w:rsidR="0047535C" w:rsidRDefault="0047535C">
            <w:pPr>
              <w:jc w:val="center"/>
              <w:rPr>
                <w:color w:val="000000"/>
              </w:rPr>
            </w:pPr>
            <w:r>
              <w:rPr>
                <w:color w:val="000000"/>
              </w:rPr>
              <w:t>0.1138</w:t>
            </w:r>
          </w:p>
        </w:tc>
        <w:tc>
          <w:tcPr>
            <w:tcW w:w="1720" w:type="dxa"/>
            <w:tcBorders>
              <w:top w:val="nil"/>
              <w:left w:val="nil"/>
              <w:bottom w:val="single" w:sz="4" w:space="0" w:color="auto"/>
              <w:right w:val="single" w:sz="4" w:space="0" w:color="auto"/>
            </w:tcBorders>
            <w:shd w:val="clear" w:color="auto" w:fill="auto"/>
            <w:noWrap/>
            <w:vAlign w:val="center"/>
            <w:hideMark/>
          </w:tcPr>
          <w:p w14:paraId="78074F6E" w14:textId="77777777" w:rsidR="0047535C" w:rsidRDefault="0047535C">
            <w:pPr>
              <w:jc w:val="center"/>
              <w:rPr>
                <w:color w:val="000000"/>
              </w:rPr>
            </w:pPr>
            <w:r>
              <w:rPr>
                <w:color w:val="000000"/>
              </w:rPr>
              <w:t>0.1916</w:t>
            </w:r>
          </w:p>
        </w:tc>
        <w:tc>
          <w:tcPr>
            <w:tcW w:w="1720" w:type="dxa"/>
            <w:tcBorders>
              <w:top w:val="nil"/>
              <w:left w:val="nil"/>
              <w:bottom w:val="single" w:sz="4" w:space="0" w:color="auto"/>
              <w:right w:val="single" w:sz="4" w:space="0" w:color="auto"/>
            </w:tcBorders>
            <w:shd w:val="clear" w:color="auto" w:fill="auto"/>
            <w:noWrap/>
            <w:vAlign w:val="center"/>
            <w:hideMark/>
          </w:tcPr>
          <w:p w14:paraId="4B7F31EF" w14:textId="77777777" w:rsidR="0047535C" w:rsidRDefault="0047535C">
            <w:pPr>
              <w:jc w:val="center"/>
              <w:rPr>
                <w:color w:val="000000"/>
              </w:rPr>
            </w:pPr>
            <w:r>
              <w:rPr>
                <w:color w:val="000000"/>
              </w:rPr>
              <w:t>0.2424</w:t>
            </w:r>
          </w:p>
        </w:tc>
        <w:tc>
          <w:tcPr>
            <w:tcW w:w="880" w:type="dxa"/>
            <w:tcBorders>
              <w:top w:val="nil"/>
              <w:left w:val="nil"/>
              <w:bottom w:val="single" w:sz="4" w:space="0" w:color="auto"/>
              <w:right w:val="single" w:sz="4" w:space="0" w:color="auto"/>
            </w:tcBorders>
            <w:shd w:val="clear" w:color="auto" w:fill="auto"/>
            <w:noWrap/>
            <w:vAlign w:val="center"/>
            <w:hideMark/>
          </w:tcPr>
          <w:p w14:paraId="69AB8B24" w14:textId="77777777" w:rsidR="0047535C" w:rsidRDefault="0047535C">
            <w:pPr>
              <w:jc w:val="center"/>
              <w:rPr>
                <w:color w:val="000000"/>
              </w:rPr>
            </w:pPr>
            <w:r>
              <w:rPr>
                <w:color w:val="000000"/>
              </w:rPr>
              <w:t>l</w:t>
            </w:r>
          </w:p>
        </w:tc>
      </w:tr>
      <w:tr w:rsidR="0047535C" w14:paraId="4D52F40C"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E278EEB" w14:textId="77777777" w:rsidR="0047535C" w:rsidRDefault="0047535C">
            <w:pPr>
              <w:jc w:val="center"/>
              <w:rPr>
                <w:color w:val="000000"/>
              </w:rPr>
            </w:pPr>
            <w:r>
              <w:rPr>
                <w:color w:val="000000"/>
              </w:rPr>
              <w:t>D</w:t>
            </w:r>
            <w:r>
              <w:rPr>
                <w:color w:val="000000"/>
                <w:vertAlign w:val="subscript"/>
              </w:rPr>
              <w:t>0</w:t>
            </w:r>
          </w:p>
        </w:tc>
        <w:tc>
          <w:tcPr>
            <w:tcW w:w="1300" w:type="dxa"/>
            <w:tcBorders>
              <w:top w:val="nil"/>
              <w:left w:val="nil"/>
              <w:bottom w:val="single" w:sz="4" w:space="0" w:color="auto"/>
              <w:right w:val="single" w:sz="4" w:space="0" w:color="auto"/>
            </w:tcBorders>
            <w:shd w:val="clear" w:color="auto" w:fill="auto"/>
            <w:noWrap/>
            <w:vAlign w:val="center"/>
            <w:hideMark/>
          </w:tcPr>
          <w:p w14:paraId="4EA2D6B7"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814025F"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12ABD2D4"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64C3BA19"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43C73BEE" w14:textId="77777777" w:rsidR="0047535C" w:rsidRDefault="0047535C">
            <w:pPr>
              <w:jc w:val="center"/>
              <w:rPr>
                <w:color w:val="000000"/>
              </w:rPr>
            </w:pPr>
            <w:r>
              <w:rPr>
                <w:color w:val="000000"/>
              </w:rPr>
              <w:t> </w:t>
            </w:r>
          </w:p>
        </w:tc>
      </w:tr>
      <w:tr w:rsidR="0047535C" w14:paraId="2973D534"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269615B" w14:textId="77777777" w:rsidR="0047535C" w:rsidRDefault="0047535C">
            <w:pPr>
              <w:jc w:val="center"/>
              <w:rPr>
                <w:color w:val="000000"/>
              </w:rPr>
            </w:pPr>
            <w:r>
              <w:rPr>
                <w:color w:val="000000"/>
              </w:rPr>
              <w:t>r</w:t>
            </w:r>
            <w:r>
              <w:rPr>
                <w:color w:val="000000"/>
                <w:vertAlign w:val="subscript"/>
              </w:rPr>
              <w:t>0</w:t>
            </w:r>
          </w:p>
        </w:tc>
        <w:tc>
          <w:tcPr>
            <w:tcW w:w="1300" w:type="dxa"/>
            <w:tcBorders>
              <w:top w:val="nil"/>
              <w:left w:val="nil"/>
              <w:bottom w:val="single" w:sz="4" w:space="0" w:color="auto"/>
              <w:right w:val="single" w:sz="4" w:space="0" w:color="auto"/>
            </w:tcBorders>
            <w:shd w:val="clear" w:color="auto" w:fill="auto"/>
            <w:noWrap/>
            <w:vAlign w:val="center"/>
            <w:hideMark/>
          </w:tcPr>
          <w:p w14:paraId="1FC8903D"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C524622"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2B596C41"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209AD4A7"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6EDCD8BE" w14:textId="77777777" w:rsidR="0047535C" w:rsidRDefault="0047535C">
            <w:pPr>
              <w:jc w:val="center"/>
              <w:rPr>
                <w:color w:val="000000"/>
              </w:rPr>
            </w:pPr>
            <w:r>
              <w:rPr>
                <w:color w:val="000000"/>
              </w:rPr>
              <w:t> </w:t>
            </w:r>
          </w:p>
        </w:tc>
      </w:tr>
      <w:tr w:rsidR="0047535C" w14:paraId="445E4C48"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BC7002F" w14:textId="77777777" w:rsidR="0047535C" w:rsidRDefault="0047535C">
            <w:pPr>
              <w:jc w:val="center"/>
              <w:rPr>
                <w:color w:val="000000"/>
              </w:rPr>
            </w:pPr>
            <w:r>
              <w:rPr>
                <w:color w:val="000000"/>
              </w:rPr>
              <w:t>E</w:t>
            </w:r>
          </w:p>
        </w:tc>
        <w:tc>
          <w:tcPr>
            <w:tcW w:w="1300" w:type="dxa"/>
            <w:tcBorders>
              <w:top w:val="nil"/>
              <w:left w:val="nil"/>
              <w:bottom w:val="single" w:sz="4" w:space="0" w:color="auto"/>
              <w:right w:val="single" w:sz="4" w:space="0" w:color="auto"/>
            </w:tcBorders>
            <w:shd w:val="clear" w:color="auto" w:fill="auto"/>
            <w:noWrap/>
            <w:vAlign w:val="center"/>
            <w:hideMark/>
          </w:tcPr>
          <w:p w14:paraId="7C5EF22C"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17D7FCA"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269C4153"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5382D7EE"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DA2A9F0" w14:textId="77777777" w:rsidR="0047535C" w:rsidRDefault="0047535C">
            <w:pPr>
              <w:jc w:val="center"/>
              <w:rPr>
                <w:color w:val="000000"/>
              </w:rPr>
            </w:pPr>
            <w:r>
              <w:rPr>
                <w:color w:val="000000"/>
              </w:rPr>
              <w:t> </w:t>
            </w:r>
          </w:p>
        </w:tc>
      </w:tr>
      <w:tr w:rsidR="0047535C" w14:paraId="3EDDABD8"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0A135CD" w14:textId="77777777" w:rsidR="0047535C" w:rsidRDefault="0047535C">
            <w:pPr>
              <w:jc w:val="center"/>
              <w:rPr>
                <w:color w:val="000000"/>
              </w:rPr>
            </w:pPr>
            <w:r>
              <w:rPr>
                <w:color w:val="000000"/>
              </w:rPr>
              <w:t>D(Ti)</w:t>
            </w:r>
          </w:p>
        </w:tc>
        <w:tc>
          <w:tcPr>
            <w:tcW w:w="1300" w:type="dxa"/>
            <w:tcBorders>
              <w:top w:val="nil"/>
              <w:left w:val="nil"/>
              <w:bottom w:val="single" w:sz="4" w:space="0" w:color="auto"/>
              <w:right w:val="single" w:sz="4" w:space="0" w:color="auto"/>
            </w:tcBorders>
            <w:shd w:val="clear" w:color="auto" w:fill="auto"/>
            <w:noWrap/>
            <w:vAlign w:val="center"/>
            <w:hideMark/>
          </w:tcPr>
          <w:p w14:paraId="7399FCE5" w14:textId="77777777" w:rsidR="0047535C" w:rsidRDefault="0047535C">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587CE1B"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75FAD7D1" w14:textId="77777777" w:rsidR="0047535C" w:rsidRDefault="0047535C">
            <w:pPr>
              <w:jc w:val="center"/>
              <w:rPr>
                <w:color w:val="000000"/>
              </w:rPr>
            </w:pP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3336706D" w14:textId="77777777" w:rsidR="0047535C" w:rsidRDefault="0047535C">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4A83D70B" w14:textId="77777777" w:rsidR="0047535C" w:rsidRDefault="0047535C">
            <w:pPr>
              <w:jc w:val="center"/>
              <w:rPr>
                <w:color w:val="000000"/>
              </w:rPr>
            </w:pPr>
            <w:r>
              <w:rPr>
                <w:color w:val="000000"/>
              </w:rPr>
              <w:t> </w:t>
            </w:r>
          </w:p>
        </w:tc>
      </w:tr>
      <w:tr w:rsidR="0047535C" w14:paraId="24CC4082" w14:textId="77777777" w:rsidTr="0047535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916580E" w14:textId="77777777" w:rsidR="0047535C" w:rsidRDefault="0047535C">
            <w:pPr>
              <w:jc w:val="center"/>
              <w:rPr>
                <w:color w:val="000000"/>
              </w:rPr>
            </w:pPr>
            <w:r>
              <w:rPr>
                <w:color w:val="000000"/>
              </w:rPr>
              <w:t>Log(ƒO</w:t>
            </w:r>
            <w:r>
              <w:rPr>
                <w:color w:val="000000"/>
                <w:vertAlign w:val="subscript"/>
              </w:rPr>
              <w:t>2</w:t>
            </w: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493D0214" w14:textId="77777777" w:rsidR="0047535C" w:rsidRDefault="0047535C">
            <w:pPr>
              <w:jc w:val="center"/>
              <w:rPr>
                <w:color w:val="000000"/>
              </w:rPr>
            </w:pPr>
            <w:r>
              <w:rPr>
                <w:color w:val="000000"/>
              </w:rPr>
              <w:t>-11.75</w:t>
            </w:r>
          </w:p>
        </w:tc>
        <w:tc>
          <w:tcPr>
            <w:tcW w:w="1300" w:type="dxa"/>
            <w:tcBorders>
              <w:top w:val="nil"/>
              <w:left w:val="nil"/>
              <w:bottom w:val="single" w:sz="4" w:space="0" w:color="auto"/>
              <w:right w:val="single" w:sz="4" w:space="0" w:color="auto"/>
            </w:tcBorders>
            <w:shd w:val="clear" w:color="auto" w:fill="auto"/>
            <w:noWrap/>
            <w:vAlign w:val="center"/>
            <w:hideMark/>
          </w:tcPr>
          <w:p w14:paraId="44858FCF" w14:textId="77777777" w:rsidR="0047535C" w:rsidRDefault="0047535C">
            <w:pPr>
              <w:jc w:val="center"/>
              <w:rPr>
                <w:color w:val="000000"/>
              </w:rPr>
            </w:pPr>
            <w:r>
              <w:rPr>
                <w:color w:val="000000"/>
              </w:rPr>
              <w:t>-12.87</w:t>
            </w:r>
          </w:p>
        </w:tc>
        <w:tc>
          <w:tcPr>
            <w:tcW w:w="1720" w:type="dxa"/>
            <w:tcBorders>
              <w:top w:val="nil"/>
              <w:left w:val="nil"/>
              <w:bottom w:val="single" w:sz="4" w:space="0" w:color="auto"/>
              <w:right w:val="single" w:sz="4" w:space="0" w:color="auto"/>
            </w:tcBorders>
            <w:shd w:val="clear" w:color="auto" w:fill="auto"/>
            <w:noWrap/>
            <w:vAlign w:val="center"/>
            <w:hideMark/>
          </w:tcPr>
          <w:p w14:paraId="52EACA2C" w14:textId="77777777" w:rsidR="0047535C" w:rsidRDefault="0047535C">
            <w:pPr>
              <w:jc w:val="center"/>
              <w:rPr>
                <w:color w:val="000000"/>
              </w:rPr>
            </w:pPr>
            <w:r>
              <w:rPr>
                <w:color w:val="000000"/>
              </w:rPr>
              <w:t>-14.22</w:t>
            </w:r>
          </w:p>
        </w:tc>
        <w:tc>
          <w:tcPr>
            <w:tcW w:w="1720" w:type="dxa"/>
            <w:tcBorders>
              <w:top w:val="nil"/>
              <w:left w:val="nil"/>
              <w:bottom w:val="single" w:sz="4" w:space="0" w:color="auto"/>
              <w:right w:val="single" w:sz="4" w:space="0" w:color="auto"/>
            </w:tcBorders>
            <w:shd w:val="clear" w:color="auto" w:fill="auto"/>
            <w:noWrap/>
            <w:vAlign w:val="center"/>
            <w:hideMark/>
          </w:tcPr>
          <w:p w14:paraId="145AC8E3" w14:textId="77777777" w:rsidR="0047535C" w:rsidRDefault="0047535C">
            <w:pPr>
              <w:jc w:val="center"/>
              <w:rPr>
                <w:color w:val="000000"/>
              </w:rPr>
            </w:pPr>
            <w:r>
              <w:rPr>
                <w:color w:val="000000"/>
              </w:rPr>
              <w:t>-14.54</w:t>
            </w:r>
          </w:p>
        </w:tc>
        <w:tc>
          <w:tcPr>
            <w:tcW w:w="880" w:type="dxa"/>
            <w:tcBorders>
              <w:top w:val="nil"/>
              <w:left w:val="nil"/>
              <w:bottom w:val="single" w:sz="4" w:space="0" w:color="auto"/>
              <w:right w:val="single" w:sz="4" w:space="0" w:color="auto"/>
            </w:tcBorders>
            <w:shd w:val="clear" w:color="auto" w:fill="auto"/>
            <w:noWrap/>
            <w:vAlign w:val="center"/>
            <w:hideMark/>
          </w:tcPr>
          <w:p w14:paraId="79D96A34" w14:textId="77777777" w:rsidR="0047535C" w:rsidRDefault="0047535C">
            <w:pPr>
              <w:jc w:val="center"/>
              <w:rPr>
                <w:color w:val="000000"/>
              </w:rPr>
            </w:pPr>
            <w:r>
              <w:rPr>
                <w:color w:val="000000"/>
              </w:rPr>
              <w:t> </w:t>
            </w:r>
          </w:p>
        </w:tc>
      </w:tr>
      <w:tr w:rsidR="0047535C" w14:paraId="074B0D66" w14:textId="77777777" w:rsidTr="0047535C">
        <w:trPr>
          <w:trHeight w:val="62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AD37931" w14:textId="77777777" w:rsidR="0047535C" w:rsidRDefault="0047535C">
            <w:pPr>
              <w:jc w:val="center"/>
              <w:rPr>
                <w:color w:val="000000"/>
              </w:rPr>
            </w:pPr>
            <w:r>
              <w:rPr>
                <w:color w:val="000000"/>
              </w:rPr>
              <w:t>Sample/ Experiment</w:t>
            </w:r>
          </w:p>
        </w:tc>
        <w:tc>
          <w:tcPr>
            <w:tcW w:w="1300" w:type="dxa"/>
            <w:tcBorders>
              <w:top w:val="nil"/>
              <w:left w:val="nil"/>
              <w:bottom w:val="single" w:sz="4" w:space="0" w:color="auto"/>
              <w:right w:val="single" w:sz="4" w:space="0" w:color="auto"/>
            </w:tcBorders>
            <w:shd w:val="clear" w:color="auto" w:fill="auto"/>
            <w:vAlign w:val="center"/>
            <w:hideMark/>
          </w:tcPr>
          <w:p w14:paraId="2DDD2EF5" w14:textId="77777777" w:rsidR="0047535C" w:rsidRDefault="0047535C">
            <w:pPr>
              <w:jc w:val="center"/>
              <w:rPr>
                <w:color w:val="000000"/>
              </w:rPr>
            </w:pPr>
            <w:r>
              <w:rPr>
                <w:color w:val="000000"/>
              </w:rPr>
              <w:t>LPUM88 HAO2-5</w:t>
            </w:r>
          </w:p>
        </w:tc>
        <w:tc>
          <w:tcPr>
            <w:tcW w:w="1300" w:type="dxa"/>
            <w:tcBorders>
              <w:top w:val="nil"/>
              <w:left w:val="nil"/>
              <w:bottom w:val="single" w:sz="4" w:space="0" w:color="auto"/>
              <w:right w:val="single" w:sz="4" w:space="0" w:color="auto"/>
            </w:tcBorders>
            <w:shd w:val="clear" w:color="auto" w:fill="auto"/>
            <w:vAlign w:val="center"/>
            <w:hideMark/>
          </w:tcPr>
          <w:p w14:paraId="195F44E6" w14:textId="77777777" w:rsidR="0047535C" w:rsidRDefault="0047535C">
            <w:pPr>
              <w:jc w:val="center"/>
              <w:rPr>
                <w:color w:val="000000"/>
              </w:rPr>
            </w:pPr>
            <w:r>
              <w:rPr>
                <w:color w:val="000000"/>
              </w:rPr>
              <w:t>LPUM/02-5 HA02-3</w:t>
            </w:r>
          </w:p>
        </w:tc>
        <w:tc>
          <w:tcPr>
            <w:tcW w:w="1720" w:type="dxa"/>
            <w:tcBorders>
              <w:top w:val="nil"/>
              <w:left w:val="nil"/>
              <w:bottom w:val="single" w:sz="4" w:space="0" w:color="auto"/>
              <w:right w:val="single" w:sz="4" w:space="0" w:color="auto"/>
            </w:tcBorders>
            <w:shd w:val="clear" w:color="auto" w:fill="auto"/>
            <w:vAlign w:val="center"/>
            <w:hideMark/>
          </w:tcPr>
          <w:p w14:paraId="76E2E180" w14:textId="77777777" w:rsidR="0047535C" w:rsidRDefault="0047535C">
            <w:pPr>
              <w:jc w:val="center"/>
              <w:rPr>
                <w:color w:val="000000"/>
              </w:rPr>
            </w:pPr>
            <w:r>
              <w:rPr>
                <w:color w:val="000000"/>
              </w:rPr>
              <w:t>LPUM/02-3 gl HAO4-1.5</w:t>
            </w:r>
          </w:p>
        </w:tc>
        <w:tc>
          <w:tcPr>
            <w:tcW w:w="1720" w:type="dxa"/>
            <w:tcBorders>
              <w:top w:val="nil"/>
              <w:left w:val="nil"/>
              <w:bottom w:val="single" w:sz="4" w:space="0" w:color="auto"/>
              <w:right w:val="single" w:sz="4" w:space="0" w:color="auto"/>
            </w:tcBorders>
            <w:shd w:val="clear" w:color="auto" w:fill="auto"/>
            <w:vAlign w:val="center"/>
            <w:hideMark/>
          </w:tcPr>
          <w:p w14:paraId="78F1E34F" w14:textId="77777777" w:rsidR="0047535C" w:rsidRDefault="0047535C">
            <w:pPr>
              <w:jc w:val="center"/>
              <w:rPr>
                <w:color w:val="000000"/>
              </w:rPr>
            </w:pPr>
            <w:r>
              <w:rPr>
                <w:color w:val="000000"/>
              </w:rPr>
              <w:t>LPUM/0.4-1.5 gl HA02-0.8</w:t>
            </w:r>
          </w:p>
        </w:tc>
        <w:tc>
          <w:tcPr>
            <w:tcW w:w="880" w:type="dxa"/>
            <w:tcBorders>
              <w:top w:val="nil"/>
              <w:left w:val="nil"/>
              <w:bottom w:val="single" w:sz="4" w:space="0" w:color="auto"/>
              <w:right w:val="single" w:sz="4" w:space="0" w:color="auto"/>
            </w:tcBorders>
            <w:shd w:val="clear" w:color="auto" w:fill="auto"/>
            <w:vAlign w:val="center"/>
            <w:hideMark/>
          </w:tcPr>
          <w:p w14:paraId="72AA389E" w14:textId="77777777" w:rsidR="0047535C" w:rsidRDefault="0047535C">
            <w:pPr>
              <w:jc w:val="center"/>
              <w:rPr>
                <w:color w:val="000000"/>
              </w:rPr>
            </w:pPr>
            <w:r>
              <w:rPr>
                <w:color w:val="000000"/>
              </w:rPr>
              <w:t>l</w:t>
            </w:r>
          </w:p>
        </w:tc>
      </w:tr>
    </w:tbl>
    <w:p w14:paraId="57F74ECE" w14:textId="4140DE47" w:rsidR="00BF31DF" w:rsidRDefault="00BF31DF">
      <w:pPr>
        <w:rPr>
          <w:color w:val="000000" w:themeColor="text1"/>
        </w:rPr>
      </w:pPr>
      <w:r>
        <w:rPr>
          <w:color w:val="000000" w:themeColor="text1"/>
        </w:rPr>
        <w:br w:type="page"/>
      </w:r>
    </w:p>
    <w:p w14:paraId="754C0B06" w14:textId="3162CE75" w:rsidR="00957DC6" w:rsidRPr="00F40558" w:rsidRDefault="00957DC6" w:rsidP="006C437A">
      <w:pPr>
        <w:rPr>
          <w:i/>
          <w:iCs/>
          <w:color w:val="000000" w:themeColor="text1"/>
        </w:rPr>
      </w:pPr>
      <w:r w:rsidRPr="00557062">
        <w:rPr>
          <w:b/>
          <w:bCs/>
        </w:rPr>
        <w:lastRenderedPageBreak/>
        <w:t xml:space="preserve">Table </w:t>
      </w:r>
      <w:r w:rsidR="004C2419">
        <w:rPr>
          <w:b/>
          <w:bCs/>
        </w:rPr>
        <w:t>2.</w:t>
      </w:r>
      <w:r w:rsidRPr="00557062">
        <w:rPr>
          <w:b/>
          <w:bCs/>
        </w:rPr>
        <w:t>2.</w:t>
      </w:r>
      <w:r w:rsidRPr="00557062">
        <w:t xml:space="preserve"> Continued</w:t>
      </w:r>
      <w:r w:rsidR="00C47A39">
        <w:t>.</w:t>
      </w:r>
    </w:p>
    <w:tbl>
      <w:tblPr>
        <w:tblW w:w="7520" w:type="dxa"/>
        <w:tblLook w:val="04A0" w:firstRow="1" w:lastRow="0" w:firstColumn="1" w:lastColumn="0" w:noHBand="0" w:noVBand="1"/>
      </w:tblPr>
      <w:tblGrid>
        <w:gridCol w:w="1336"/>
        <w:gridCol w:w="1720"/>
        <w:gridCol w:w="880"/>
        <w:gridCol w:w="1300"/>
        <w:gridCol w:w="880"/>
        <w:gridCol w:w="1500"/>
      </w:tblGrid>
      <w:tr w:rsidR="00AE2A09" w14:paraId="32E00171" w14:textId="77777777" w:rsidTr="00AE2A09">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F55D2" w14:textId="77777777" w:rsidR="00AE2A09" w:rsidRDefault="00AE2A09">
            <w:pPr>
              <w:jc w:val="center"/>
              <w:rPr>
                <w:color w:val="000000"/>
              </w:rPr>
            </w:pPr>
            <w:r>
              <w:rPr>
                <w:color w:val="000000"/>
              </w:rPr>
              <w:t>Element</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738C1F32" w14:textId="6243923A" w:rsidR="00AE2A09" w:rsidRDefault="00AE2A09">
            <w:pPr>
              <w:jc w:val="center"/>
              <w:rPr>
                <w:color w:val="000000"/>
              </w:rPr>
            </w:pPr>
            <w:r>
              <w:rPr>
                <w:color w:val="000000"/>
              </w:rPr>
              <w:t>Ilm (</w:t>
            </w:r>
            <w:r w:rsidR="00747808">
              <w:rPr>
                <w:color w:val="000000"/>
              </w:rPr>
              <w:t>D</w:t>
            </w:r>
            <w:r>
              <w:rPr>
                <w:color w:val="000000"/>
              </w:rPr>
              <w:t>)</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6195AD0F" w14:textId="77777777" w:rsidR="00AE2A09" w:rsidRDefault="00AE2A09">
            <w:pPr>
              <w:jc w:val="center"/>
              <w:rPr>
                <w:color w:val="000000"/>
              </w:rPr>
            </w:pPr>
            <w:r>
              <w:rPr>
                <w:color w:val="000000"/>
              </w:rPr>
              <w:t>ref.</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461D07DE" w14:textId="4B13F37A" w:rsidR="00AE2A09" w:rsidRDefault="00AE2A09">
            <w:pPr>
              <w:jc w:val="center"/>
              <w:rPr>
                <w:color w:val="000000"/>
              </w:rPr>
            </w:pPr>
            <w:r>
              <w:rPr>
                <w:color w:val="000000"/>
              </w:rPr>
              <w:t>Qtz (</w:t>
            </w:r>
            <w:r w:rsidR="00747808">
              <w:rPr>
                <w:color w:val="000000"/>
              </w:rPr>
              <w:t>D</w:t>
            </w:r>
            <w:r>
              <w:rPr>
                <w:color w:val="000000"/>
              </w:rPr>
              <w:t>)</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62C3AD4F" w14:textId="77777777" w:rsidR="00AE2A09" w:rsidRDefault="00AE2A09">
            <w:pPr>
              <w:jc w:val="center"/>
              <w:rPr>
                <w:color w:val="000000"/>
              </w:rPr>
            </w:pPr>
            <w:r>
              <w:rPr>
                <w:color w:val="000000"/>
              </w:rPr>
              <w:t>ref.</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14:paraId="07DC8B7D" w14:textId="2FA3CF4C" w:rsidR="00AE2A09" w:rsidRDefault="00AE2A09">
            <w:pPr>
              <w:jc w:val="center"/>
              <w:rPr>
                <w:color w:val="000000"/>
              </w:rPr>
            </w:pPr>
            <w:r>
              <w:rPr>
                <w:color w:val="000000"/>
              </w:rPr>
              <w:t>Int-Mlt (</w:t>
            </w:r>
            <w:r w:rsidR="00747808">
              <w:rPr>
                <w:color w:val="000000"/>
              </w:rPr>
              <w:t>D</w:t>
            </w:r>
            <w:r>
              <w:rPr>
                <w:color w:val="000000"/>
              </w:rPr>
              <w:t>)</w:t>
            </w:r>
          </w:p>
        </w:tc>
      </w:tr>
      <w:tr w:rsidR="00AE2A09" w14:paraId="777F5B28"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6A42D62" w14:textId="77777777" w:rsidR="00AE2A09" w:rsidRDefault="00AE2A09">
            <w:pPr>
              <w:jc w:val="center"/>
              <w:rPr>
                <w:color w:val="000000"/>
              </w:rPr>
            </w:pPr>
            <w:r>
              <w:rPr>
                <w:color w:val="000000"/>
              </w:rPr>
              <w:t>La</w:t>
            </w:r>
          </w:p>
        </w:tc>
        <w:tc>
          <w:tcPr>
            <w:tcW w:w="1720" w:type="dxa"/>
            <w:tcBorders>
              <w:top w:val="nil"/>
              <w:left w:val="nil"/>
              <w:bottom w:val="single" w:sz="4" w:space="0" w:color="auto"/>
              <w:right w:val="single" w:sz="4" w:space="0" w:color="auto"/>
            </w:tcBorders>
            <w:shd w:val="clear" w:color="auto" w:fill="auto"/>
            <w:noWrap/>
            <w:vAlign w:val="center"/>
            <w:hideMark/>
          </w:tcPr>
          <w:p w14:paraId="736DE091" w14:textId="77777777" w:rsidR="00AE2A09" w:rsidRDefault="00AE2A09">
            <w:pPr>
              <w:jc w:val="center"/>
              <w:rPr>
                <w:color w:val="000000"/>
              </w:rPr>
            </w:pPr>
            <w:r>
              <w:rPr>
                <w:color w:val="000000"/>
              </w:rPr>
              <w:t>6.42E-06</w:t>
            </w:r>
          </w:p>
        </w:tc>
        <w:tc>
          <w:tcPr>
            <w:tcW w:w="880" w:type="dxa"/>
            <w:tcBorders>
              <w:top w:val="nil"/>
              <w:left w:val="nil"/>
              <w:bottom w:val="single" w:sz="4" w:space="0" w:color="auto"/>
              <w:right w:val="single" w:sz="4" w:space="0" w:color="auto"/>
            </w:tcBorders>
            <w:shd w:val="clear" w:color="auto" w:fill="auto"/>
            <w:noWrap/>
            <w:vAlign w:val="center"/>
            <w:hideMark/>
          </w:tcPr>
          <w:p w14:paraId="594CFDF4"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79B76D67" w14:textId="77777777" w:rsidR="00AE2A09" w:rsidRDefault="00AE2A09">
            <w:pPr>
              <w:jc w:val="center"/>
              <w:rPr>
                <w:color w:val="000000"/>
              </w:rPr>
            </w:pPr>
            <w:r>
              <w:rPr>
                <w:color w:val="000000"/>
              </w:rPr>
              <w:t>1.30E-02</w:t>
            </w:r>
          </w:p>
        </w:tc>
        <w:tc>
          <w:tcPr>
            <w:tcW w:w="880" w:type="dxa"/>
            <w:tcBorders>
              <w:top w:val="nil"/>
              <w:left w:val="nil"/>
              <w:bottom w:val="single" w:sz="4" w:space="0" w:color="auto"/>
              <w:right w:val="single" w:sz="4" w:space="0" w:color="auto"/>
            </w:tcBorders>
            <w:shd w:val="clear" w:color="auto" w:fill="auto"/>
            <w:noWrap/>
            <w:vAlign w:val="center"/>
            <w:hideMark/>
          </w:tcPr>
          <w:p w14:paraId="0CECFA9D"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7A57059D" w14:textId="77777777" w:rsidR="00AE2A09" w:rsidRDefault="00AE2A09">
            <w:pPr>
              <w:jc w:val="center"/>
              <w:rPr>
                <w:color w:val="000000"/>
              </w:rPr>
            </w:pPr>
            <w:r>
              <w:rPr>
                <w:color w:val="000000"/>
              </w:rPr>
              <w:t>1</w:t>
            </w:r>
          </w:p>
        </w:tc>
      </w:tr>
      <w:tr w:rsidR="00AE2A09" w14:paraId="40809B01"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BD908F0" w14:textId="77777777" w:rsidR="00AE2A09" w:rsidRDefault="00AE2A09">
            <w:pPr>
              <w:jc w:val="center"/>
              <w:rPr>
                <w:color w:val="000000"/>
              </w:rPr>
            </w:pPr>
            <w:r>
              <w:rPr>
                <w:color w:val="000000"/>
              </w:rPr>
              <w:t>Ce</w:t>
            </w:r>
          </w:p>
        </w:tc>
        <w:tc>
          <w:tcPr>
            <w:tcW w:w="1720" w:type="dxa"/>
            <w:tcBorders>
              <w:top w:val="nil"/>
              <w:left w:val="nil"/>
              <w:bottom w:val="single" w:sz="4" w:space="0" w:color="auto"/>
              <w:right w:val="single" w:sz="4" w:space="0" w:color="auto"/>
            </w:tcBorders>
            <w:shd w:val="clear" w:color="auto" w:fill="auto"/>
            <w:noWrap/>
            <w:vAlign w:val="center"/>
            <w:hideMark/>
          </w:tcPr>
          <w:p w14:paraId="0038BF53" w14:textId="77777777" w:rsidR="00AE2A09" w:rsidRDefault="00AE2A09">
            <w:pPr>
              <w:jc w:val="center"/>
              <w:rPr>
                <w:color w:val="000000"/>
              </w:rPr>
            </w:pPr>
            <w:r>
              <w:rPr>
                <w:color w:val="000000"/>
              </w:rPr>
              <w:t>3.12E-05</w:t>
            </w:r>
          </w:p>
        </w:tc>
        <w:tc>
          <w:tcPr>
            <w:tcW w:w="880" w:type="dxa"/>
            <w:tcBorders>
              <w:top w:val="nil"/>
              <w:left w:val="nil"/>
              <w:bottom w:val="single" w:sz="4" w:space="0" w:color="auto"/>
              <w:right w:val="single" w:sz="4" w:space="0" w:color="auto"/>
            </w:tcBorders>
            <w:shd w:val="clear" w:color="auto" w:fill="auto"/>
            <w:noWrap/>
            <w:vAlign w:val="center"/>
            <w:hideMark/>
          </w:tcPr>
          <w:p w14:paraId="1C10886E"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414E9D0F" w14:textId="77777777" w:rsidR="00AE2A09" w:rsidRDefault="00AE2A09">
            <w:pPr>
              <w:jc w:val="center"/>
              <w:rPr>
                <w:color w:val="000000"/>
              </w:rPr>
            </w:pPr>
            <w:r>
              <w:rPr>
                <w:color w:val="000000"/>
              </w:rPr>
              <w:t>9.90E-03</w:t>
            </w:r>
          </w:p>
        </w:tc>
        <w:tc>
          <w:tcPr>
            <w:tcW w:w="880" w:type="dxa"/>
            <w:tcBorders>
              <w:top w:val="nil"/>
              <w:left w:val="nil"/>
              <w:bottom w:val="single" w:sz="4" w:space="0" w:color="auto"/>
              <w:right w:val="single" w:sz="4" w:space="0" w:color="auto"/>
            </w:tcBorders>
            <w:shd w:val="clear" w:color="auto" w:fill="auto"/>
            <w:noWrap/>
            <w:vAlign w:val="center"/>
            <w:hideMark/>
          </w:tcPr>
          <w:p w14:paraId="7FEC1A0B"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1FB010C8" w14:textId="77777777" w:rsidR="00AE2A09" w:rsidRDefault="00AE2A09">
            <w:pPr>
              <w:jc w:val="center"/>
              <w:rPr>
                <w:color w:val="000000"/>
              </w:rPr>
            </w:pPr>
            <w:r>
              <w:rPr>
                <w:color w:val="000000"/>
              </w:rPr>
              <w:t>1</w:t>
            </w:r>
          </w:p>
        </w:tc>
      </w:tr>
      <w:tr w:rsidR="00AE2A09" w14:paraId="1B08E655"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0C740BE" w14:textId="77777777" w:rsidR="00AE2A09" w:rsidRDefault="00AE2A09">
            <w:pPr>
              <w:jc w:val="center"/>
              <w:rPr>
                <w:color w:val="000000"/>
              </w:rPr>
            </w:pPr>
            <w:r>
              <w:rPr>
                <w:color w:val="000000"/>
              </w:rPr>
              <w:t>Pr</w:t>
            </w:r>
          </w:p>
        </w:tc>
        <w:tc>
          <w:tcPr>
            <w:tcW w:w="1720" w:type="dxa"/>
            <w:tcBorders>
              <w:top w:val="nil"/>
              <w:left w:val="nil"/>
              <w:bottom w:val="single" w:sz="4" w:space="0" w:color="auto"/>
              <w:right w:val="single" w:sz="4" w:space="0" w:color="auto"/>
            </w:tcBorders>
            <w:shd w:val="clear" w:color="auto" w:fill="auto"/>
            <w:noWrap/>
            <w:vAlign w:val="center"/>
            <w:hideMark/>
          </w:tcPr>
          <w:p w14:paraId="170B8886" w14:textId="77777777" w:rsidR="00AE2A09" w:rsidRDefault="00AE2A09">
            <w:pPr>
              <w:jc w:val="center"/>
              <w:rPr>
                <w:color w:val="000000"/>
              </w:rPr>
            </w:pPr>
            <w:r>
              <w:rPr>
                <w:color w:val="000000"/>
              </w:rPr>
              <w:t>1.16E-04</w:t>
            </w:r>
          </w:p>
        </w:tc>
        <w:tc>
          <w:tcPr>
            <w:tcW w:w="880" w:type="dxa"/>
            <w:tcBorders>
              <w:top w:val="nil"/>
              <w:left w:val="nil"/>
              <w:bottom w:val="single" w:sz="4" w:space="0" w:color="auto"/>
              <w:right w:val="single" w:sz="4" w:space="0" w:color="auto"/>
            </w:tcBorders>
            <w:shd w:val="clear" w:color="auto" w:fill="auto"/>
            <w:noWrap/>
            <w:vAlign w:val="center"/>
            <w:hideMark/>
          </w:tcPr>
          <w:p w14:paraId="30814BCE"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6B45F07B" w14:textId="77777777" w:rsidR="00AE2A09" w:rsidRDefault="00AE2A09">
            <w:pPr>
              <w:jc w:val="center"/>
              <w:rPr>
                <w:color w:val="000000"/>
              </w:rPr>
            </w:pPr>
            <w:r>
              <w:rPr>
                <w:color w:val="000000"/>
              </w:rPr>
              <w:t>9.10E-03</w:t>
            </w:r>
          </w:p>
        </w:tc>
        <w:tc>
          <w:tcPr>
            <w:tcW w:w="880" w:type="dxa"/>
            <w:tcBorders>
              <w:top w:val="nil"/>
              <w:left w:val="nil"/>
              <w:bottom w:val="single" w:sz="4" w:space="0" w:color="auto"/>
              <w:right w:val="single" w:sz="4" w:space="0" w:color="auto"/>
            </w:tcBorders>
            <w:shd w:val="clear" w:color="auto" w:fill="auto"/>
            <w:noWrap/>
            <w:vAlign w:val="center"/>
            <w:hideMark/>
          </w:tcPr>
          <w:p w14:paraId="752785EF"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084A075B" w14:textId="77777777" w:rsidR="00AE2A09" w:rsidRDefault="00AE2A09">
            <w:pPr>
              <w:jc w:val="center"/>
              <w:rPr>
                <w:color w:val="000000"/>
              </w:rPr>
            </w:pPr>
            <w:r>
              <w:rPr>
                <w:color w:val="000000"/>
              </w:rPr>
              <w:t>1</w:t>
            </w:r>
          </w:p>
        </w:tc>
      </w:tr>
      <w:tr w:rsidR="00AE2A09" w14:paraId="36F5999D"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F790E2A" w14:textId="77777777" w:rsidR="00AE2A09" w:rsidRDefault="00AE2A09">
            <w:pPr>
              <w:jc w:val="center"/>
              <w:rPr>
                <w:color w:val="000000"/>
              </w:rPr>
            </w:pPr>
            <w:r>
              <w:rPr>
                <w:color w:val="000000"/>
              </w:rPr>
              <w:t>Nd</w:t>
            </w:r>
          </w:p>
        </w:tc>
        <w:tc>
          <w:tcPr>
            <w:tcW w:w="1720" w:type="dxa"/>
            <w:tcBorders>
              <w:top w:val="nil"/>
              <w:left w:val="nil"/>
              <w:bottom w:val="single" w:sz="4" w:space="0" w:color="auto"/>
              <w:right w:val="single" w:sz="4" w:space="0" w:color="auto"/>
            </w:tcBorders>
            <w:shd w:val="clear" w:color="auto" w:fill="auto"/>
            <w:noWrap/>
            <w:vAlign w:val="center"/>
            <w:hideMark/>
          </w:tcPr>
          <w:p w14:paraId="22213F72" w14:textId="77777777" w:rsidR="00AE2A09" w:rsidRDefault="00AE2A09">
            <w:pPr>
              <w:jc w:val="center"/>
              <w:rPr>
                <w:color w:val="000000"/>
              </w:rPr>
            </w:pPr>
            <w:r>
              <w:rPr>
                <w:color w:val="000000"/>
              </w:rPr>
              <w:t>1.80E-04</w:t>
            </w:r>
          </w:p>
        </w:tc>
        <w:tc>
          <w:tcPr>
            <w:tcW w:w="880" w:type="dxa"/>
            <w:tcBorders>
              <w:top w:val="nil"/>
              <w:left w:val="nil"/>
              <w:bottom w:val="single" w:sz="4" w:space="0" w:color="auto"/>
              <w:right w:val="single" w:sz="4" w:space="0" w:color="auto"/>
            </w:tcBorders>
            <w:shd w:val="clear" w:color="auto" w:fill="auto"/>
            <w:noWrap/>
            <w:vAlign w:val="center"/>
            <w:hideMark/>
          </w:tcPr>
          <w:p w14:paraId="708BB840"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3B286629" w14:textId="77777777" w:rsidR="00AE2A09" w:rsidRDefault="00AE2A09">
            <w:pPr>
              <w:jc w:val="center"/>
              <w:rPr>
                <w:color w:val="000000"/>
              </w:rPr>
            </w:pPr>
            <w:r>
              <w:rPr>
                <w:color w:val="000000"/>
              </w:rPr>
              <w:t>1.00E-02</w:t>
            </w:r>
          </w:p>
        </w:tc>
        <w:tc>
          <w:tcPr>
            <w:tcW w:w="880" w:type="dxa"/>
            <w:tcBorders>
              <w:top w:val="nil"/>
              <w:left w:val="nil"/>
              <w:bottom w:val="single" w:sz="4" w:space="0" w:color="auto"/>
              <w:right w:val="single" w:sz="4" w:space="0" w:color="auto"/>
            </w:tcBorders>
            <w:shd w:val="clear" w:color="auto" w:fill="auto"/>
            <w:noWrap/>
            <w:vAlign w:val="center"/>
            <w:hideMark/>
          </w:tcPr>
          <w:p w14:paraId="17E416ED"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24504862" w14:textId="77777777" w:rsidR="00AE2A09" w:rsidRDefault="00AE2A09">
            <w:pPr>
              <w:jc w:val="center"/>
              <w:rPr>
                <w:color w:val="000000"/>
              </w:rPr>
            </w:pPr>
            <w:r>
              <w:rPr>
                <w:color w:val="000000"/>
              </w:rPr>
              <w:t>1</w:t>
            </w:r>
          </w:p>
        </w:tc>
      </w:tr>
      <w:tr w:rsidR="00AE2A09" w14:paraId="48796D89"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712F6DA" w14:textId="77777777" w:rsidR="00AE2A09" w:rsidRDefault="00AE2A09">
            <w:pPr>
              <w:jc w:val="center"/>
              <w:rPr>
                <w:color w:val="000000"/>
              </w:rPr>
            </w:pPr>
            <w:r>
              <w:rPr>
                <w:color w:val="000000"/>
              </w:rPr>
              <w:t>Sm</w:t>
            </w:r>
          </w:p>
        </w:tc>
        <w:tc>
          <w:tcPr>
            <w:tcW w:w="1720" w:type="dxa"/>
            <w:tcBorders>
              <w:top w:val="nil"/>
              <w:left w:val="nil"/>
              <w:bottom w:val="single" w:sz="4" w:space="0" w:color="auto"/>
              <w:right w:val="single" w:sz="4" w:space="0" w:color="auto"/>
            </w:tcBorders>
            <w:shd w:val="clear" w:color="auto" w:fill="auto"/>
            <w:noWrap/>
            <w:vAlign w:val="center"/>
            <w:hideMark/>
          </w:tcPr>
          <w:p w14:paraId="7D94C25D" w14:textId="77777777" w:rsidR="00AE2A09" w:rsidRDefault="00AE2A09">
            <w:pPr>
              <w:jc w:val="center"/>
              <w:rPr>
                <w:color w:val="000000"/>
              </w:rPr>
            </w:pPr>
            <w:r>
              <w:rPr>
                <w:color w:val="000000"/>
              </w:rPr>
              <w:t>3.90E-04</w:t>
            </w:r>
          </w:p>
        </w:tc>
        <w:tc>
          <w:tcPr>
            <w:tcW w:w="880" w:type="dxa"/>
            <w:tcBorders>
              <w:top w:val="nil"/>
              <w:left w:val="nil"/>
              <w:bottom w:val="single" w:sz="4" w:space="0" w:color="auto"/>
              <w:right w:val="single" w:sz="4" w:space="0" w:color="auto"/>
            </w:tcBorders>
            <w:shd w:val="clear" w:color="auto" w:fill="auto"/>
            <w:noWrap/>
            <w:vAlign w:val="center"/>
            <w:hideMark/>
          </w:tcPr>
          <w:p w14:paraId="4EF15A54"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1C231BC3" w14:textId="77777777" w:rsidR="00AE2A09" w:rsidRDefault="00AE2A09">
            <w:pPr>
              <w:jc w:val="center"/>
              <w:rPr>
                <w:color w:val="000000"/>
              </w:rPr>
            </w:pPr>
            <w:r>
              <w:rPr>
                <w:color w:val="000000"/>
              </w:rPr>
              <w:t>2.50E-02</w:t>
            </w:r>
          </w:p>
        </w:tc>
        <w:tc>
          <w:tcPr>
            <w:tcW w:w="880" w:type="dxa"/>
            <w:tcBorders>
              <w:top w:val="nil"/>
              <w:left w:val="nil"/>
              <w:bottom w:val="single" w:sz="4" w:space="0" w:color="auto"/>
              <w:right w:val="single" w:sz="4" w:space="0" w:color="auto"/>
            </w:tcBorders>
            <w:shd w:val="clear" w:color="auto" w:fill="auto"/>
            <w:noWrap/>
            <w:vAlign w:val="center"/>
            <w:hideMark/>
          </w:tcPr>
          <w:p w14:paraId="09ECDA1D"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5E784EF1" w14:textId="77777777" w:rsidR="00AE2A09" w:rsidRDefault="00AE2A09">
            <w:pPr>
              <w:jc w:val="center"/>
              <w:rPr>
                <w:color w:val="000000"/>
              </w:rPr>
            </w:pPr>
            <w:r>
              <w:rPr>
                <w:color w:val="000000"/>
              </w:rPr>
              <w:t>1</w:t>
            </w:r>
          </w:p>
        </w:tc>
      </w:tr>
      <w:tr w:rsidR="00AE2A09" w14:paraId="474EB93B"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56BEF84" w14:textId="77777777" w:rsidR="00AE2A09" w:rsidRDefault="00AE2A09">
            <w:pPr>
              <w:jc w:val="center"/>
              <w:rPr>
                <w:color w:val="000000"/>
              </w:rPr>
            </w:pPr>
            <w:r>
              <w:rPr>
                <w:color w:val="000000"/>
              </w:rPr>
              <w:t>Eu</w:t>
            </w:r>
          </w:p>
        </w:tc>
        <w:tc>
          <w:tcPr>
            <w:tcW w:w="1720" w:type="dxa"/>
            <w:tcBorders>
              <w:top w:val="nil"/>
              <w:left w:val="nil"/>
              <w:bottom w:val="single" w:sz="4" w:space="0" w:color="auto"/>
              <w:right w:val="single" w:sz="4" w:space="0" w:color="auto"/>
            </w:tcBorders>
            <w:shd w:val="clear" w:color="auto" w:fill="auto"/>
            <w:noWrap/>
            <w:vAlign w:val="center"/>
            <w:hideMark/>
          </w:tcPr>
          <w:p w14:paraId="48D0977C" w14:textId="77777777" w:rsidR="00AE2A09" w:rsidRDefault="00AE2A09">
            <w:pPr>
              <w:jc w:val="center"/>
              <w:rPr>
                <w:color w:val="000000"/>
              </w:rPr>
            </w:pPr>
            <w:r>
              <w:rPr>
                <w:color w:val="000000"/>
              </w:rPr>
              <w:t>2.70E-04</w:t>
            </w:r>
          </w:p>
        </w:tc>
        <w:tc>
          <w:tcPr>
            <w:tcW w:w="880" w:type="dxa"/>
            <w:tcBorders>
              <w:top w:val="nil"/>
              <w:left w:val="nil"/>
              <w:bottom w:val="single" w:sz="4" w:space="0" w:color="auto"/>
              <w:right w:val="single" w:sz="4" w:space="0" w:color="auto"/>
            </w:tcBorders>
            <w:shd w:val="clear" w:color="auto" w:fill="auto"/>
            <w:noWrap/>
            <w:vAlign w:val="center"/>
            <w:hideMark/>
          </w:tcPr>
          <w:p w14:paraId="055045B2" w14:textId="77777777" w:rsidR="00AE2A09" w:rsidRDefault="00AE2A09">
            <w:pPr>
              <w:jc w:val="center"/>
              <w:rPr>
                <w:color w:val="000000"/>
              </w:rPr>
            </w:pPr>
            <w:r>
              <w:rPr>
                <w:color w:val="000000"/>
              </w:rPr>
              <w:t>Sup.</w:t>
            </w:r>
          </w:p>
        </w:tc>
        <w:tc>
          <w:tcPr>
            <w:tcW w:w="1300" w:type="dxa"/>
            <w:tcBorders>
              <w:top w:val="nil"/>
              <w:left w:val="nil"/>
              <w:bottom w:val="single" w:sz="4" w:space="0" w:color="auto"/>
              <w:right w:val="single" w:sz="4" w:space="0" w:color="auto"/>
            </w:tcBorders>
            <w:shd w:val="clear" w:color="auto" w:fill="auto"/>
            <w:noWrap/>
            <w:vAlign w:val="center"/>
            <w:hideMark/>
          </w:tcPr>
          <w:p w14:paraId="738E6260" w14:textId="77777777" w:rsidR="00AE2A09" w:rsidRDefault="00AE2A09">
            <w:pPr>
              <w:jc w:val="center"/>
              <w:rPr>
                <w:color w:val="000000"/>
              </w:rPr>
            </w:pPr>
            <w:r>
              <w:rPr>
                <w:color w:val="000000"/>
              </w:rPr>
              <w:t>8.00E-03</w:t>
            </w:r>
          </w:p>
        </w:tc>
        <w:tc>
          <w:tcPr>
            <w:tcW w:w="880" w:type="dxa"/>
            <w:tcBorders>
              <w:top w:val="nil"/>
              <w:left w:val="nil"/>
              <w:bottom w:val="single" w:sz="4" w:space="0" w:color="auto"/>
              <w:right w:val="single" w:sz="4" w:space="0" w:color="auto"/>
            </w:tcBorders>
            <w:shd w:val="clear" w:color="auto" w:fill="auto"/>
            <w:noWrap/>
            <w:vAlign w:val="center"/>
            <w:hideMark/>
          </w:tcPr>
          <w:p w14:paraId="3860FD3A"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7BDF79C0" w14:textId="77777777" w:rsidR="00AE2A09" w:rsidRDefault="00AE2A09">
            <w:pPr>
              <w:jc w:val="center"/>
              <w:rPr>
                <w:color w:val="000000"/>
              </w:rPr>
            </w:pPr>
            <w:r>
              <w:rPr>
                <w:color w:val="000000"/>
              </w:rPr>
              <w:t>1</w:t>
            </w:r>
          </w:p>
        </w:tc>
      </w:tr>
      <w:tr w:rsidR="00AE2A09" w14:paraId="4EAE4631"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224D74A" w14:textId="77777777" w:rsidR="00AE2A09" w:rsidRDefault="00AE2A09">
            <w:pPr>
              <w:jc w:val="center"/>
              <w:rPr>
                <w:color w:val="000000"/>
              </w:rPr>
            </w:pPr>
            <w:r>
              <w:rPr>
                <w:color w:val="000000"/>
              </w:rPr>
              <w:t>Gd</w:t>
            </w:r>
          </w:p>
        </w:tc>
        <w:tc>
          <w:tcPr>
            <w:tcW w:w="1720" w:type="dxa"/>
            <w:tcBorders>
              <w:top w:val="nil"/>
              <w:left w:val="nil"/>
              <w:bottom w:val="single" w:sz="4" w:space="0" w:color="auto"/>
              <w:right w:val="single" w:sz="4" w:space="0" w:color="auto"/>
            </w:tcBorders>
            <w:shd w:val="clear" w:color="auto" w:fill="auto"/>
            <w:noWrap/>
            <w:vAlign w:val="center"/>
            <w:hideMark/>
          </w:tcPr>
          <w:p w14:paraId="4A63F6F7" w14:textId="77777777" w:rsidR="00AE2A09" w:rsidRDefault="00AE2A09">
            <w:pPr>
              <w:jc w:val="center"/>
              <w:rPr>
                <w:color w:val="000000"/>
              </w:rPr>
            </w:pPr>
            <w:r>
              <w:rPr>
                <w:color w:val="000000"/>
              </w:rPr>
              <w:t>2.17E-03</w:t>
            </w:r>
          </w:p>
        </w:tc>
        <w:tc>
          <w:tcPr>
            <w:tcW w:w="880" w:type="dxa"/>
            <w:tcBorders>
              <w:top w:val="nil"/>
              <w:left w:val="nil"/>
              <w:bottom w:val="single" w:sz="4" w:space="0" w:color="auto"/>
              <w:right w:val="single" w:sz="4" w:space="0" w:color="auto"/>
            </w:tcBorders>
            <w:shd w:val="clear" w:color="auto" w:fill="auto"/>
            <w:noWrap/>
            <w:vAlign w:val="center"/>
            <w:hideMark/>
          </w:tcPr>
          <w:p w14:paraId="78064DB3"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24DFC26B" w14:textId="77777777" w:rsidR="00AE2A09" w:rsidRDefault="00AE2A09">
            <w:pPr>
              <w:jc w:val="center"/>
              <w:rPr>
                <w:color w:val="000000"/>
              </w:rPr>
            </w:pPr>
            <w:r>
              <w:rPr>
                <w:color w:val="000000"/>
              </w:rPr>
              <w:t>8.00E-03</w:t>
            </w:r>
          </w:p>
        </w:tc>
        <w:tc>
          <w:tcPr>
            <w:tcW w:w="880" w:type="dxa"/>
            <w:tcBorders>
              <w:top w:val="nil"/>
              <w:left w:val="nil"/>
              <w:bottom w:val="single" w:sz="4" w:space="0" w:color="auto"/>
              <w:right w:val="single" w:sz="4" w:space="0" w:color="auto"/>
            </w:tcBorders>
            <w:shd w:val="clear" w:color="auto" w:fill="auto"/>
            <w:noWrap/>
            <w:vAlign w:val="center"/>
            <w:hideMark/>
          </w:tcPr>
          <w:p w14:paraId="3732360C"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1C504686" w14:textId="77777777" w:rsidR="00AE2A09" w:rsidRDefault="00AE2A09">
            <w:pPr>
              <w:jc w:val="center"/>
              <w:rPr>
                <w:color w:val="000000"/>
              </w:rPr>
            </w:pPr>
            <w:r>
              <w:rPr>
                <w:color w:val="000000"/>
              </w:rPr>
              <w:t>1</w:t>
            </w:r>
          </w:p>
        </w:tc>
      </w:tr>
      <w:tr w:rsidR="00AE2A09" w14:paraId="4C0B843B"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EC79288" w14:textId="77777777" w:rsidR="00AE2A09" w:rsidRDefault="00AE2A09">
            <w:pPr>
              <w:jc w:val="center"/>
              <w:rPr>
                <w:color w:val="000000"/>
              </w:rPr>
            </w:pPr>
            <w:r>
              <w:rPr>
                <w:color w:val="000000"/>
              </w:rPr>
              <w:t>Tb</w:t>
            </w:r>
          </w:p>
        </w:tc>
        <w:tc>
          <w:tcPr>
            <w:tcW w:w="1720" w:type="dxa"/>
            <w:tcBorders>
              <w:top w:val="nil"/>
              <w:left w:val="nil"/>
              <w:bottom w:val="single" w:sz="4" w:space="0" w:color="auto"/>
              <w:right w:val="single" w:sz="4" w:space="0" w:color="auto"/>
            </w:tcBorders>
            <w:shd w:val="clear" w:color="auto" w:fill="auto"/>
            <w:noWrap/>
            <w:vAlign w:val="center"/>
            <w:hideMark/>
          </w:tcPr>
          <w:p w14:paraId="194D1EE2" w14:textId="77777777" w:rsidR="00AE2A09" w:rsidRDefault="00AE2A09">
            <w:pPr>
              <w:jc w:val="center"/>
              <w:rPr>
                <w:color w:val="000000"/>
              </w:rPr>
            </w:pPr>
            <w:r>
              <w:rPr>
                <w:color w:val="000000"/>
              </w:rPr>
              <w:t>4.43E-03</w:t>
            </w:r>
          </w:p>
        </w:tc>
        <w:tc>
          <w:tcPr>
            <w:tcW w:w="880" w:type="dxa"/>
            <w:tcBorders>
              <w:top w:val="nil"/>
              <w:left w:val="nil"/>
              <w:bottom w:val="single" w:sz="4" w:space="0" w:color="auto"/>
              <w:right w:val="single" w:sz="4" w:space="0" w:color="auto"/>
            </w:tcBorders>
            <w:shd w:val="clear" w:color="auto" w:fill="auto"/>
            <w:noWrap/>
            <w:vAlign w:val="center"/>
            <w:hideMark/>
          </w:tcPr>
          <w:p w14:paraId="3EA695C6"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17CCA652" w14:textId="77777777" w:rsidR="00AE2A09" w:rsidRDefault="00AE2A09">
            <w:pPr>
              <w:jc w:val="center"/>
              <w:rPr>
                <w:color w:val="000000"/>
              </w:rPr>
            </w:pPr>
            <w:r>
              <w:rPr>
                <w:color w:val="000000"/>
              </w:rPr>
              <w:t>8.00E-03</w:t>
            </w:r>
          </w:p>
        </w:tc>
        <w:tc>
          <w:tcPr>
            <w:tcW w:w="880" w:type="dxa"/>
            <w:tcBorders>
              <w:top w:val="nil"/>
              <w:left w:val="nil"/>
              <w:bottom w:val="single" w:sz="4" w:space="0" w:color="auto"/>
              <w:right w:val="single" w:sz="4" w:space="0" w:color="auto"/>
            </w:tcBorders>
            <w:shd w:val="clear" w:color="auto" w:fill="auto"/>
            <w:noWrap/>
            <w:vAlign w:val="center"/>
            <w:hideMark/>
          </w:tcPr>
          <w:p w14:paraId="21156604"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4CF77335" w14:textId="77777777" w:rsidR="00AE2A09" w:rsidRDefault="00AE2A09">
            <w:pPr>
              <w:jc w:val="center"/>
              <w:rPr>
                <w:color w:val="000000"/>
              </w:rPr>
            </w:pPr>
            <w:r>
              <w:rPr>
                <w:color w:val="000000"/>
              </w:rPr>
              <w:t>1</w:t>
            </w:r>
          </w:p>
        </w:tc>
      </w:tr>
      <w:tr w:rsidR="00AE2A09" w14:paraId="4EA49A9A"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0DCAC50" w14:textId="77777777" w:rsidR="00AE2A09" w:rsidRDefault="00AE2A09">
            <w:pPr>
              <w:jc w:val="center"/>
              <w:rPr>
                <w:color w:val="000000"/>
              </w:rPr>
            </w:pPr>
            <w:r>
              <w:rPr>
                <w:color w:val="000000"/>
              </w:rPr>
              <w:t>Dy</w:t>
            </w:r>
          </w:p>
        </w:tc>
        <w:tc>
          <w:tcPr>
            <w:tcW w:w="1720" w:type="dxa"/>
            <w:tcBorders>
              <w:top w:val="nil"/>
              <w:left w:val="nil"/>
              <w:bottom w:val="single" w:sz="4" w:space="0" w:color="auto"/>
              <w:right w:val="single" w:sz="4" w:space="0" w:color="auto"/>
            </w:tcBorders>
            <w:shd w:val="clear" w:color="auto" w:fill="auto"/>
            <w:noWrap/>
            <w:vAlign w:val="center"/>
            <w:hideMark/>
          </w:tcPr>
          <w:p w14:paraId="5CCB73F2" w14:textId="77777777" w:rsidR="00AE2A09" w:rsidRDefault="00AE2A09">
            <w:pPr>
              <w:jc w:val="center"/>
              <w:rPr>
                <w:color w:val="000000"/>
              </w:rPr>
            </w:pPr>
            <w:r>
              <w:rPr>
                <w:color w:val="000000"/>
              </w:rPr>
              <w:t>7.22E-03</w:t>
            </w:r>
          </w:p>
        </w:tc>
        <w:tc>
          <w:tcPr>
            <w:tcW w:w="880" w:type="dxa"/>
            <w:tcBorders>
              <w:top w:val="nil"/>
              <w:left w:val="nil"/>
              <w:bottom w:val="single" w:sz="4" w:space="0" w:color="auto"/>
              <w:right w:val="single" w:sz="4" w:space="0" w:color="auto"/>
            </w:tcBorders>
            <w:shd w:val="clear" w:color="auto" w:fill="auto"/>
            <w:noWrap/>
            <w:vAlign w:val="center"/>
            <w:hideMark/>
          </w:tcPr>
          <w:p w14:paraId="042BE090"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22529908" w14:textId="77777777" w:rsidR="00AE2A09" w:rsidRDefault="00AE2A09">
            <w:pPr>
              <w:jc w:val="center"/>
              <w:rPr>
                <w:color w:val="000000"/>
              </w:rPr>
            </w:pPr>
            <w:r>
              <w:rPr>
                <w:color w:val="000000"/>
              </w:rPr>
              <w:t>8.00E-03</w:t>
            </w:r>
          </w:p>
        </w:tc>
        <w:tc>
          <w:tcPr>
            <w:tcW w:w="880" w:type="dxa"/>
            <w:tcBorders>
              <w:top w:val="nil"/>
              <w:left w:val="nil"/>
              <w:bottom w:val="single" w:sz="4" w:space="0" w:color="auto"/>
              <w:right w:val="single" w:sz="4" w:space="0" w:color="auto"/>
            </w:tcBorders>
            <w:shd w:val="clear" w:color="auto" w:fill="auto"/>
            <w:noWrap/>
            <w:vAlign w:val="center"/>
            <w:hideMark/>
          </w:tcPr>
          <w:p w14:paraId="55C57B88"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1420F005" w14:textId="77777777" w:rsidR="00AE2A09" w:rsidRDefault="00AE2A09">
            <w:pPr>
              <w:jc w:val="center"/>
              <w:rPr>
                <w:color w:val="000000"/>
              </w:rPr>
            </w:pPr>
            <w:r>
              <w:rPr>
                <w:color w:val="000000"/>
              </w:rPr>
              <w:t>1</w:t>
            </w:r>
          </w:p>
        </w:tc>
      </w:tr>
      <w:tr w:rsidR="00AE2A09" w14:paraId="413B5C7A"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BCBD4EC" w14:textId="77777777" w:rsidR="00AE2A09" w:rsidRDefault="00AE2A09">
            <w:pPr>
              <w:jc w:val="center"/>
              <w:rPr>
                <w:color w:val="000000"/>
              </w:rPr>
            </w:pPr>
            <w:r>
              <w:rPr>
                <w:color w:val="000000"/>
              </w:rPr>
              <w:t>Y</w:t>
            </w:r>
          </w:p>
        </w:tc>
        <w:tc>
          <w:tcPr>
            <w:tcW w:w="1720" w:type="dxa"/>
            <w:tcBorders>
              <w:top w:val="nil"/>
              <w:left w:val="nil"/>
              <w:bottom w:val="single" w:sz="4" w:space="0" w:color="auto"/>
              <w:right w:val="single" w:sz="4" w:space="0" w:color="auto"/>
            </w:tcBorders>
            <w:shd w:val="clear" w:color="auto" w:fill="auto"/>
            <w:noWrap/>
            <w:vAlign w:val="center"/>
            <w:hideMark/>
          </w:tcPr>
          <w:p w14:paraId="75B42671" w14:textId="77777777" w:rsidR="00AE2A09" w:rsidRDefault="00AE2A09">
            <w:pPr>
              <w:jc w:val="center"/>
              <w:rPr>
                <w:color w:val="000000"/>
              </w:rPr>
            </w:pPr>
            <w:r>
              <w:rPr>
                <w:color w:val="000000"/>
              </w:rPr>
              <w:t>1.19E-02</w:t>
            </w:r>
          </w:p>
        </w:tc>
        <w:tc>
          <w:tcPr>
            <w:tcW w:w="880" w:type="dxa"/>
            <w:tcBorders>
              <w:top w:val="nil"/>
              <w:left w:val="nil"/>
              <w:bottom w:val="single" w:sz="4" w:space="0" w:color="auto"/>
              <w:right w:val="single" w:sz="4" w:space="0" w:color="auto"/>
            </w:tcBorders>
            <w:shd w:val="clear" w:color="auto" w:fill="auto"/>
            <w:noWrap/>
            <w:vAlign w:val="center"/>
            <w:hideMark/>
          </w:tcPr>
          <w:p w14:paraId="1B33AC8C"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286F3520" w14:textId="77777777" w:rsidR="00AE2A09" w:rsidRDefault="00AE2A09">
            <w:pPr>
              <w:jc w:val="center"/>
              <w:rPr>
                <w:color w:val="000000"/>
              </w:rPr>
            </w:pPr>
            <w:r>
              <w:rPr>
                <w:color w:val="000000"/>
              </w:rPr>
              <w:t>1.20E-02</w:t>
            </w:r>
          </w:p>
        </w:tc>
        <w:tc>
          <w:tcPr>
            <w:tcW w:w="880" w:type="dxa"/>
            <w:tcBorders>
              <w:top w:val="nil"/>
              <w:left w:val="nil"/>
              <w:bottom w:val="single" w:sz="4" w:space="0" w:color="auto"/>
              <w:right w:val="single" w:sz="4" w:space="0" w:color="auto"/>
            </w:tcBorders>
            <w:shd w:val="clear" w:color="auto" w:fill="auto"/>
            <w:noWrap/>
            <w:vAlign w:val="center"/>
            <w:hideMark/>
          </w:tcPr>
          <w:p w14:paraId="4D55E44A"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7323D8A6" w14:textId="77777777" w:rsidR="00AE2A09" w:rsidRDefault="00AE2A09">
            <w:pPr>
              <w:jc w:val="center"/>
              <w:rPr>
                <w:color w:val="000000"/>
              </w:rPr>
            </w:pPr>
            <w:r>
              <w:rPr>
                <w:color w:val="000000"/>
              </w:rPr>
              <w:t>1</w:t>
            </w:r>
          </w:p>
        </w:tc>
      </w:tr>
      <w:tr w:rsidR="00AE2A09" w14:paraId="215D5B25"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D579E0C" w14:textId="77777777" w:rsidR="00AE2A09" w:rsidRDefault="00AE2A09">
            <w:pPr>
              <w:jc w:val="center"/>
              <w:rPr>
                <w:color w:val="000000"/>
              </w:rPr>
            </w:pPr>
            <w:r>
              <w:rPr>
                <w:color w:val="000000"/>
              </w:rPr>
              <w:t>Ho</w:t>
            </w:r>
          </w:p>
        </w:tc>
        <w:tc>
          <w:tcPr>
            <w:tcW w:w="1720" w:type="dxa"/>
            <w:tcBorders>
              <w:top w:val="nil"/>
              <w:left w:val="nil"/>
              <w:bottom w:val="single" w:sz="4" w:space="0" w:color="auto"/>
              <w:right w:val="single" w:sz="4" w:space="0" w:color="auto"/>
            </w:tcBorders>
            <w:shd w:val="clear" w:color="auto" w:fill="auto"/>
            <w:noWrap/>
            <w:vAlign w:val="center"/>
            <w:hideMark/>
          </w:tcPr>
          <w:p w14:paraId="4556F126" w14:textId="77777777" w:rsidR="00AE2A09" w:rsidRDefault="00AE2A09">
            <w:pPr>
              <w:jc w:val="center"/>
              <w:rPr>
                <w:color w:val="000000"/>
              </w:rPr>
            </w:pPr>
            <w:r>
              <w:rPr>
                <w:color w:val="000000"/>
              </w:rPr>
              <w:t>1.14E-02</w:t>
            </w:r>
          </w:p>
        </w:tc>
        <w:tc>
          <w:tcPr>
            <w:tcW w:w="880" w:type="dxa"/>
            <w:tcBorders>
              <w:top w:val="nil"/>
              <w:left w:val="nil"/>
              <w:bottom w:val="single" w:sz="4" w:space="0" w:color="auto"/>
              <w:right w:val="single" w:sz="4" w:space="0" w:color="auto"/>
            </w:tcBorders>
            <w:shd w:val="clear" w:color="auto" w:fill="auto"/>
            <w:noWrap/>
            <w:vAlign w:val="center"/>
            <w:hideMark/>
          </w:tcPr>
          <w:p w14:paraId="336E20E3"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22F07564" w14:textId="77777777" w:rsidR="00AE2A09" w:rsidRDefault="00AE2A09">
            <w:pPr>
              <w:jc w:val="center"/>
              <w:rPr>
                <w:color w:val="000000"/>
              </w:rPr>
            </w:pPr>
            <w:r>
              <w:rPr>
                <w:color w:val="000000"/>
              </w:rPr>
              <w:t>9.00E-03</w:t>
            </w:r>
          </w:p>
        </w:tc>
        <w:tc>
          <w:tcPr>
            <w:tcW w:w="880" w:type="dxa"/>
            <w:tcBorders>
              <w:top w:val="nil"/>
              <w:left w:val="nil"/>
              <w:bottom w:val="single" w:sz="4" w:space="0" w:color="auto"/>
              <w:right w:val="single" w:sz="4" w:space="0" w:color="auto"/>
            </w:tcBorders>
            <w:shd w:val="clear" w:color="auto" w:fill="auto"/>
            <w:noWrap/>
            <w:vAlign w:val="center"/>
            <w:hideMark/>
          </w:tcPr>
          <w:p w14:paraId="7DD43765"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515E1520" w14:textId="77777777" w:rsidR="00AE2A09" w:rsidRDefault="00AE2A09">
            <w:pPr>
              <w:jc w:val="center"/>
              <w:rPr>
                <w:color w:val="000000"/>
              </w:rPr>
            </w:pPr>
            <w:r>
              <w:rPr>
                <w:color w:val="000000"/>
              </w:rPr>
              <w:t>1</w:t>
            </w:r>
          </w:p>
        </w:tc>
      </w:tr>
      <w:tr w:rsidR="00AE2A09" w14:paraId="16BC1CF2"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57E7136" w14:textId="77777777" w:rsidR="00AE2A09" w:rsidRDefault="00AE2A09">
            <w:pPr>
              <w:jc w:val="center"/>
              <w:rPr>
                <w:color w:val="000000"/>
              </w:rPr>
            </w:pPr>
            <w:r>
              <w:rPr>
                <w:color w:val="000000"/>
              </w:rPr>
              <w:t>Er</w:t>
            </w:r>
          </w:p>
        </w:tc>
        <w:tc>
          <w:tcPr>
            <w:tcW w:w="1720" w:type="dxa"/>
            <w:tcBorders>
              <w:top w:val="nil"/>
              <w:left w:val="nil"/>
              <w:bottom w:val="single" w:sz="4" w:space="0" w:color="auto"/>
              <w:right w:val="single" w:sz="4" w:space="0" w:color="auto"/>
            </w:tcBorders>
            <w:shd w:val="clear" w:color="auto" w:fill="auto"/>
            <w:noWrap/>
            <w:vAlign w:val="center"/>
            <w:hideMark/>
          </w:tcPr>
          <w:p w14:paraId="2EC9E522" w14:textId="77777777" w:rsidR="00AE2A09" w:rsidRDefault="00AE2A09">
            <w:pPr>
              <w:jc w:val="center"/>
              <w:rPr>
                <w:color w:val="000000"/>
              </w:rPr>
            </w:pPr>
            <w:r>
              <w:rPr>
                <w:color w:val="000000"/>
              </w:rPr>
              <w:t>1.76E-02</w:t>
            </w:r>
          </w:p>
        </w:tc>
        <w:tc>
          <w:tcPr>
            <w:tcW w:w="880" w:type="dxa"/>
            <w:tcBorders>
              <w:top w:val="nil"/>
              <w:left w:val="nil"/>
              <w:bottom w:val="single" w:sz="4" w:space="0" w:color="auto"/>
              <w:right w:val="single" w:sz="4" w:space="0" w:color="auto"/>
            </w:tcBorders>
            <w:shd w:val="clear" w:color="auto" w:fill="auto"/>
            <w:noWrap/>
            <w:vAlign w:val="center"/>
            <w:hideMark/>
          </w:tcPr>
          <w:p w14:paraId="12680BE4"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3C9CE8B2" w14:textId="77777777" w:rsidR="00AE2A09" w:rsidRDefault="00AE2A09">
            <w:pPr>
              <w:jc w:val="center"/>
              <w:rPr>
                <w:color w:val="000000"/>
              </w:rPr>
            </w:pPr>
            <w:r>
              <w:rPr>
                <w:color w:val="000000"/>
              </w:rPr>
              <w:t>7.00E-03</w:t>
            </w:r>
          </w:p>
        </w:tc>
        <w:tc>
          <w:tcPr>
            <w:tcW w:w="880" w:type="dxa"/>
            <w:tcBorders>
              <w:top w:val="nil"/>
              <w:left w:val="nil"/>
              <w:bottom w:val="single" w:sz="4" w:space="0" w:color="auto"/>
              <w:right w:val="single" w:sz="4" w:space="0" w:color="auto"/>
            </w:tcBorders>
            <w:shd w:val="clear" w:color="auto" w:fill="auto"/>
            <w:noWrap/>
            <w:vAlign w:val="center"/>
            <w:hideMark/>
          </w:tcPr>
          <w:p w14:paraId="6A97B759"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5961C47F" w14:textId="77777777" w:rsidR="00AE2A09" w:rsidRDefault="00AE2A09">
            <w:pPr>
              <w:jc w:val="center"/>
              <w:rPr>
                <w:color w:val="000000"/>
              </w:rPr>
            </w:pPr>
            <w:r>
              <w:rPr>
                <w:color w:val="000000"/>
              </w:rPr>
              <w:t>1</w:t>
            </w:r>
          </w:p>
        </w:tc>
      </w:tr>
      <w:tr w:rsidR="00AE2A09" w14:paraId="0DDAD2A3"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9AF3D77" w14:textId="77777777" w:rsidR="00AE2A09" w:rsidRDefault="00AE2A09">
            <w:pPr>
              <w:jc w:val="center"/>
              <w:rPr>
                <w:color w:val="000000"/>
              </w:rPr>
            </w:pPr>
            <w:r>
              <w:rPr>
                <w:color w:val="000000"/>
              </w:rPr>
              <w:t>Tm</w:t>
            </w:r>
          </w:p>
        </w:tc>
        <w:tc>
          <w:tcPr>
            <w:tcW w:w="1720" w:type="dxa"/>
            <w:tcBorders>
              <w:top w:val="nil"/>
              <w:left w:val="nil"/>
              <w:bottom w:val="single" w:sz="4" w:space="0" w:color="auto"/>
              <w:right w:val="single" w:sz="4" w:space="0" w:color="auto"/>
            </w:tcBorders>
            <w:shd w:val="clear" w:color="auto" w:fill="auto"/>
            <w:noWrap/>
            <w:vAlign w:val="center"/>
            <w:hideMark/>
          </w:tcPr>
          <w:p w14:paraId="62D5D7FE" w14:textId="77777777" w:rsidR="00AE2A09" w:rsidRDefault="00AE2A09">
            <w:pPr>
              <w:jc w:val="center"/>
              <w:rPr>
                <w:color w:val="000000"/>
              </w:rPr>
            </w:pPr>
            <w:r>
              <w:rPr>
                <w:color w:val="000000"/>
              </w:rPr>
              <w:t>2.55E-02</w:t>
            </w:r>
          </w:p>
        </w:tc>
        <w:tc>
          <w:tcPr>
            <w:tcW w:w="880" w:type="dxa"/>
            <w:tcBorders>
              <w:top w:val="nil"/>
              <w:left w:val="nil"/>
              <w:bottom w:val="single" w:sz="4" w:space="0" w:color="auto"/>
              <w:right w:val="single" w:sz="4" w:space="0" w:color="auto"/>
            </w:tcBorders>
            <w:shd w:val="clear" w:color="auto" w:fill="auto"/>
            <w:noWrap/>
            <w:vAlign w:val="center"/>
            <w:hideMark/>
          </w:tcPr>
          <w:p w14:paraId="40CC1C57"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7168131D" w14:textId="77777777" w:rsidR="00AE2A09" w:rsidRDefault="00AE2A09">
            <w:pPr>
              <w:jc w:val="center"/>
              <w:rPr>
                <w:color w:val="000000"/>
              </w:rPr>
            </w:pPr>
            <w:r>
              <w:rPr>
                <w:color w:val="000000"/>
              </w:rPr>
              <w:t>1.00E-02</w:t>
            </w:r>
          </w:p>
        </w:tc>
        <w:tc>
          <w:tcPr>
            <w:tcW w:w="880" w:type="dxa"/>
            <w:tcBorders>
              <w:top w:val="nil"/>
              <w:left w:val="nil"/>
              <w:bottom w:val="single" w:sz="4" w:space="0" w:color="auto"/>
              <w:right w:val="single" w:sz="4" w:space="0" w:color="auto"/>
            </w:tcBorders>
            <w:shd w:val="clear" w:color="auto" w:fill="auto"/>
            <w:noWrap/>
            <w:vAlign w:val="center"/>
            <w:hideMark/>
          </w:tcPr>
          <w:p w14:paraId="40B233C0"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0F781C1A" w14:textId="77777777" w:rsidR="00AE2A09" w:rsidRDefault="00AE2A09">
            <w:pPr>
              <w:jc w:val="center"/>
              <w:rPr>
                <w:color w:val="000000"/>
              </w:rPr>
            </w:pPr>
            <w:r>
              <w:rPr>
                <w:color w:val="000000"/>
              </w:rPr>
              <w:t>1</w:t>
            </w:r>
          </w:p>
        </w:tc>
      </w:tr>
      <w:tr w:rsidR="00AE2A09" w14:paraId="69DBC5B1"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ECF6BBE" w14:textId="77777777" w:rsidR="00AE2A09" w:rsidRDefault="00AE2A09">
            <w:pPr>
              <w:jc w:val="center"/>
              <w:rPr>
                <w:color w:val="000000"/>
              </w:rPr>
            </w:pPr>
            <w:r>
              <w:rPr>
                <w:color w:val="000000"/>
              </w:rPr>
              <w:t>Yb</w:t>
            </w:r>
          </w:p>
        </w:tc>
        <w:tc>
          <w:tcPr>
            <w:tcW w:w="1720" w:type="dxa"/>
            <w:tcBorders>
              <w:top w:val="nil"/>
              <w:left w:val="nil"/>
              <w:bottom w:val="single" w:sz="4" w:space="0" w:color="auto"/>
              <w:right w:val="single" w:sz="4" w:space="0" w:color="auto"/>
            </w:tcBorders>
            <w:shd w:val="clear" w:color="auto" w:fill="auto"/>
            <w:noWrap/>
            <w:vAlign w:val="center"/>
            <w:hideMark/>
          </w:tcPr>
          <w:p w14:paraId="1665182A" w14:textId="77777777" w:rsidR="00AE2A09" w:rsidRDefault="00AE2A09">
            <w:pPr>
              <w:jc w:val="center"/>
              <w:rPr>
                <w:color w:val="000000"/>
              </w:rPr>
            </w:pPr>
            <w:r>
              <w:rPr>
                <w:color w:val="000000"/>
              </w:rPr>
              <w:t>3.84E-02</w:t>
            </w:r>
          </w:p>
        </w:tc>
        <w:tc>
          <w:tcPr>
            <w:tcW w:w="880" w:type="dxa"/>
            <w:tcBorders>
              <w:top w:val="nil"/>
              <w:left w:val="nil"/>
              <w:bottom w:val="single" w:sz="4" w:space="0" w:color="auto"/>
              <w:right w:val="single" w:sz="4" w:space="0" w:color="auto"/>
            </w:tcBorders>
            <w:shd w:val="clear" w:color="auto" w:fill="auto"/>
            <w:noWrap/>
            <w:vAlign w:val="center"/>
            <w:hideMark/>
          </w:tcPr>
          <w:p w14:paraId="3F5CC951"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65A3FBE5" w14:textId="77777777" w:rsidR="00AE2A09" w:rsidRDefault="00AE2A09">
            <w:pPr>
              <w:jc w:val="center"/>
              <w:rPr>
                <w:color w:val="000000"/>
              </w:rPr>
            </w:pPr>
            <w:r>
              <w:rPr>
                <w:color w:val="000000"/>
              </w:rPr>
              <w:t>3.60E-02</w:t>
            </w:r>
          </w:p>
        </w:tc>
        <w:tc>
          <w:tcPr>
            <w:tcW w:w="880" w:type="dxa"/>
            <w:tcBorders>
              <w:top w:val="nil"/>
              <w:left w:val="nil"/>
              <w:bottom w:val="single" w:sz="4" w:space="0" w:color="auto"/>
              <w:right w:val="single" w:sz="4" w:space="0" w:color="auto"/>
            </w:tcBorders>
            <w:shd w:val="clear" w:color="auto" w:fill="auto"/>
            <w:noWrap/>
            <w:vAlign w:val="center"/>
            <w:hideMark/>
          </w:tcPr>
          <w:p w14:paraId="5F03675E"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20A15F8F" w14:textId="77777777" w:rsidR="00AE2A09" w:rsidRDefault="00AE2A09">
            <w:pPr>
              <w:jc w:val="center"/>
              <w:rPr>
                <w:color w:val="000000"/>
              </w:rPr>
            </w:pPr>
            <w:r>
              <w:rPr>
                <w:color w:val="000000"/>
              </w:rPr>
              <w:t>1</w:t>
            </w:r>
          </w:p>
        </w:tc>
      </w:tr>
      <w:tr w:rsidR="00AE2A09" w14:paraId="2B623735"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F3C01DA" w14:textId="77777777" w:rsidR="00AE2A09" w:rsidRDefault="00AE2A09">
            <w:pPr>
              <w:jc w:val="center"/>
              <w:rPr>
                <w:color w:val="000000"/>
              </w:rPr>
            </w:pPr>
            <w:r>
              <w:rPr>
                <w:color w:val="000000"/>
              </w:rPr>
              <w:t>Lu</w:t>
            </w:r>
          </w:p>
        </w:tc>
        <w:tc>
          <w:tcPr>
            <w:tcW w:w="1720" w:type="dxa"/>
            <w:tcBorders>
              <w:top w:val="nil"/>
              <w:left w:val="nil"/>
              <w:bottom w:val="single" w:sz="4" w:space="0" w:color="auto"/>
              <w:right w:val="single" w:sz="4" w:space="0" w:color="auto"/>
            </w:tcBorders>
            <w:shd w:val="clear" w:color="auto" w:fill="auto"/>
            <w:noWrap/>
            <w:vAlign w:val="center"/>
            <w:hideMark/>
          </w:tcPr>
          <w:p w14:paraId="2C1FC6E9" w14:textId="77777777" w:rsidR="00AE2A09" w:rsidRDefault="00AE2A09">
            <w:pPr>
              <w:jc w:val="center"/>
              <w:rPr>
                <w:color w:val="000000"/>
              </w:rPr>
            </w:pPr>
            <w:r>
              <w:rPr>
                <w:color w:val="000000"/>
              </w:rPr>
              <w:t>4.82E-02</w:t>
            </w:r>
          </w:p>
        </w:tc>
        <w:tc>
          <w:tcPr>
            <w:tcW w:w="880" w:type="dxa"/>
            <w:tcBorders>
              <w:top w:val="nil"/>
              <w:left w:val="nil"/>
              <w:bottom w:val="single" w:sz="4" w:space="0" w:color="auto"/>
              <w:right w:val="single" w:sz="4" w:space="0" w:color="auto"/>
            </w:tcBorders>
            <w:shd w:val="clear" w:color="auto" w:fill="auto"/>
            <w:noWrap/>
            <w:vAlign w:val="center"/>
            <w:hideMark/>
          </w:tcPr>
          <w:p w14:paraId="5A1EB3C2"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66E2EE85" w14:textId="77777777" w:rsidR="00AE2A09" w:rsidRDefault="00AE2A09">
            <w:pPr>
              <w:jc w:val="center"/>
              <w:rPr>
                <w:color w:val="000000"/>
              </w:rPr>
            </w:pPr>
            <w:r>
              <w:rPr>
                <w:color w:val="000000"/>
              </w:rPr>
              <w:t>7.00E-03</w:t>
            </w:r>
          </w:p>
        </w:tc>
        <w:tc>
          <w:tcPr>
            <w:tcW w:w="880" w:type="dxa"/>
            <w:tcBorders>
              <w:top w:val="nil"/>
              <w:left w:val="nil"/>
              <w:bottom w:val="single" w:sz="4" w:space="0" w:color="auto"/>
              <w:right w:val="single" w:sz="4" w:space="0" w:color="auto"/>
            </w:tcBorders>
            <w:shd w:val="clear" w:color="auto" w:fill="auto"/>
            <w:noWrap/>
            <w:vAlign w:val="center"/>
            <w:hideMark/>
          </w:tcPr>
          <w:p w14:paraId="2AE54460"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387CEB78" w14:textId="77777777" w:rsidR="00AE2A09" w:rsidRDefault="00AE2A09">
            <w:pPr>
              <w:jc w:val="center"/>
              <w:rPr>
                <w:color w:val="000000"/>
              </w:rPr>
            </w:pPr>
            <w:r>
              <w:rPr>
                <w:color w:val="000000"/>
              </w:rPr>
              <w:t>1</w:t>
            </w:r>
          </w:p>
        </w:tc>
      </w:tr>
      <w:tr w:rsidR="00AE2A09" w14:paraId="1C326868"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1ECB335" w14:textId="77777777" w:rsidR="00AE2A09" w:rsidRDefault="00AE2A09">
            <w:pPr>
              <w:jc w:val="center"/>
              <w:rPr>
                <w:color w:val="000000"/>
              </w:rPr>
            </w:pPr>
            <w:r>
              <w:rPr>
                <w:color w:val="000000"/>
              </w:rPr>
              <w:t>Hf</w:t>
            </w:r>
          </w:p>
        </w:tc>
        <w:tc>
          <w:tcPr>
            <w:tcW w:w="1720" w:type="dxa"/>
            <w:tcBorders>
              <w:top w:val="nil"/>
              <w:left w:val="nil"/>
              <w:bottom w:val="single" w:sz="4" w:space="0" w:color="auto"/>
              <w:right w:val="single" w:sz="4" w:space="0" w:color="auto"/>
            </w:tcBorders>
            <w:shd w:val="clear" w:color="auto" w:fill="auto"/>
            <w:noWrap/>
            <w:vAlign w:val="center"/>
            <w:hideMark/>
          </w:tcPr>
          <w:p w14:paraId="20A3F8FC" w14:textId="77777777" w:rsidR="00AE2A09" w:rsidRDefault="00AE2A09">
            <w:pPr>
              <w:jc w:val="center"/>
              <w:rPr>
                <w:color w:val="000000"/>
              </w:rPr>
            </w:pPr>
            <w:r>
              <w:rPr>
                <w:color w:val="000000"/>
              </w:rPr>
              <w:t>4.46E-01</w:t>
            </w:r>
          </w:p>
        </w:tc>
        <w:tc>
          <w:tcPr>
            <w:tcW w:w="880" w:type="dxa"/>
            <w:tcBorders>
              <w:top w:val="nil"/>
              <w:left w:val="nil"/>
              <w:bottom w:val="single" w:sz="4" w:space="0" w:color="auto"/>
              <w:right w:val="single" w:sz="4" w:space="0" w:color="auto"/>
            </w:tcBorders>
            <w:shd w:val="clear" w:color="auto" w:fill="auto"/>
            <w:noWrap/>
            <w:vAlign w:val="center"/>
            <w:hideMark/>
          </w:tcPr>
          <w:p w14:paraId="4D93916B" w14:textId="77777777" w:rsidR="00AE2A09" w:rsidRDefault="00AE2A09">
            <w:pPr>
              <w:jc w:val="center"/>
              <w:rPr>
                <w:color w:val="000000"/>
              </w:rPr>
            </w:pPr>
            <w:r>
              <w:rPr>
                <w:color w:val="000000"/>
              </w:rPr>
              <w:t>j, Cal.</w:t>
            </w:r>
          </w:p>
        </w:tc>
        <w:tc>
          <w:tcPr>
            <w:tcW w:w="1300" w:type="dxa"/>
            <w:tcBorders>
              <w:top w:val="nil"/>
              <w:left w:val="nil"/>
              <w:bottom w:val="single" w:sz="4" w:space="0" w:color="auto"/>
              <w:right w:val="single" w:sz="4" w:space="0" w:color="auto"/>
            </w:tcBorders>
            <w:shd w:val="clear" w:color="auto" w:fill="auto"/>
            <w:noWrap/>
            <w:vAlign w:val="center"/>
            <w:hideMark/>
          </w:tcPr>
          <w:p w14:paraId="313EA6B7" w14:textId="77777777" w:rsidR="00AE2A09" w:rsidRDefault="00AE2A09">
            <w:pPr>
              <w:jc w:val="center"/>
              <w:rPr>
                <w:color w:val="000000"/>
              </w:rPr>
            </w:pPr>
            <w:r>
              <w:rPr>
                <w:color w:val="000000"/>
              </w:rPr>
              <w:t>1.40E-02</w:t>
            </w:r>
          </w:p>
        </w:tc>
        <w:tc>
          <w:tcPr>
            <w:tcW w:w="880" w:type="dxa"/>
            <w:tcBorders>
              <w:top w:val="nil"/>
              <w:left w:val="nil"/>
              <w:bottom w:val="single" w:sz="4" w:space="0" w:color="auto"/>
              <w:right w:val="single" w:sz="4" w:space="0" w:color="auto"/>
            </w:tcBorders>
            <w:shd w:val="clear" w:color="auto" w:fill="auto"/>
            <w:noWrap/>
            <w:vAlign w:val="center"/>
            <w:hideMark/>
          </w:tcPr>
          <w:p w14:paraId="4B8E8316" w14:textId="77777777" w:rsidR="00AE2A09" w:rsidRDefault="00AE2A09">
            <w:pPr>
              <w:jc w:val="center"/>
              <w:rPr>
                <w:color w:val="000000"/>
              </w:rPr>
            </w:pPr>
            <w:r>
              <w:rPr>
                <w:color w:val="000000"/>
              </w:rPr>
              <w:t>k</w:t>
            </w:r>
          </w:p>
        </w:tc>
        <w:tc>
          <w:tcPr>
            <w:tcW w:w="1500" w:type="dxa"/>
            <w:tcBorders>
              <w:top w:val="nil"/>
              <w:left w:val="nil"/>
              <w:bottom w:val="single" w:sz="4" w:space="0" w:color="auto"/>
              <w:right w:val="single" w:sz="4" w:space="0" w:color="auto"/>
            </w:tcBorders>
            <w:shd w:val="clear" w:color="auto" w:fill="auto"/>
            <w:noWrap/>
            <w:vAlign w:val="center"/>
            <w:hideMark/>
          </w:tcPr>
          <w:p w14:paraId="3547BD35" w14:textId="77777777" w:rsidR="00AE2A09" w:rsidRDefault="00AE2A09">
            <w:pPr>
              <w:jc w:val="center"/>
              <w:rPr>
                <w:color w:val="000000"/>
              </w:rPr>
            </w:pPr>
            <w:r>
              <w:rPr>
                <w:color w:val="000000"/>
              </w:rPr>
              <w:t>1</w:t>
            </w:r>
          </w:p>
        </w:tc>
      </w:tr>
      <w:tr w:rsidR="00AE2A09" w14:paraId="6259BB5E"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4DC2291" w14:textId="77777777" w:rsidR="00AE2A09" w:rsidRDefault="00AE2A09">
            <w:pPr>
              <w:jc w:val="center"/>
              <w:rPr>
                <w:color w:val="000000"/>
              </w:rPr>
            </w:pPr>
            <w:r>
              <w:rPr>
                <w:color w:val="000000"/>
              </w:rPr>
              <w:t>Stage</w:t>
            </w:r>
          </w:p>
        </w:tc>
        <w:tc>
          <w:tcPr>
            <w:tcW w:w="1720" w:type="dxa"/>
            <w:tcBorders>
              <w:top w:val="nil"/>
              <w:left w:val="nil"/>
              <w:bottom w:val="single" w:sz="4" w:space="0" w:color="auto"/>
              <w:right w:val="single" w:sz="4" w:space="0" w:color="auto"/>
            </w:tcBorders>
            <w:shd w:val="clear" w:color="auto" w:fill="auto"/>
            <w:noWrap/>
            <w:vAlign w:val="center"/>
            <w:hideMark/>
          </w:tcPr>
          <w:p w14:paraId="1C26E4C7" w14:textId="77777777" w:rsidR="00AE2A09" w:rsidRDefault="00AE2A09">
            <w:pPr>
              <w:jc w:val="center"/>
              <w:rPr>
                <w:color w:val="000000"/>
              </w:rPr>
            </w:pPr>
            <w:r>
              <w:rPr>
                <w:color w:val="000000"/>
              </w:rPr>
              <w:t>6</w:t>
            </w:r>
          </w:p>
        </w:tc>
        <w:tc>
          <w:tcPr>
            <w:tcW w:w="880" w:type="dxa"/>
            <w:tcBorders>
              <w:top w:val="nil"/>
              <w:left w:val="nil"/>
              <w:bottom w:val="single" w:sz="4" w:space="0" w:color="auto"/>
              <w:right w:val="single" w:sz="4" w:space="0" w:color="auto"/>
            </w:tcBorders>
            <w:shd w:val="clear" w:color="auto" w:fill="auto"/>
            <w:noWrap/>
            <w:vAlign w:val="center"/>
            <w:hideMark/>
          </w:tcPr>
          <w:p w14:paraId="1B236071"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373780BB" w14:textId="77777777" w:rsidR="00AE2A09" w:rsidRDefault="00AE2A09">
            <w:pPr>
              <w:jc w:val="center"/>
              <w:rPr>
                <w:color w:val="000000"/>
              </w:rPr>
            </w:pPr>
            <w:r>
              <w:rPr>
                <w:color w:val="000000"/>
              </w:rPr>
              <w:t>5, 6</w:t>
            </w:r>
          </w:p>
        </w:tc>
        <w:tc>
          <w:tcPr>
            <w:tcW w:w="880" w:type="dxa"/>
            <w:tcBorders>
              <w:top w:val="nil"/>
              <w:left w:val="nil"/>
              <w:bottom w:val="single" w:sz="4" w:space="0" w:color="auto"/>
              <w:right w:val="single" w:sz="4" w:space="0" w:color="auto"/>
            </w:tcBorders>
            <w:shd w:val="clear" w:color="auto" w:fill="auto"/>
            <w:noWrap/>
            <w:vAlign w:val="center"/>
            <w:hideMark/>
          </w:tcPr>
          <w:p w14:paraId="675249D1"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5AE6C67E" w14:textId="77777777" w:rsidR="00AE2A09" w:rsidRDefault="00AE2A09">
            <w:pPr>
              <w:jc w:val="center"/>
              <w:rPr>
                <w:color w:val="000000"/>
              </w:rPr>
            </w:pPr>
            <w:r>
              <w:rPr>
                <w:color w:val="000000"/>
              </w:rPr>
              <w:t> </w:t>
            </w:r>
          </w:p>
        </w:tc>
      </w:tr>
      <w:tr w:rsidR="00AE2A09" w14:paraId="0AF1F157"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775FF0F" w14:textId="77777777" w:rsidR="00AE2A09" w:rsidRDefault="00AE2A09">
            <w:pPr>
              <w:jc w:val="center"/>
              <w:rPr>
                <w:color w:val="000000"/>
              </w:rPr>
            </w:pPr>
            <w:r>
              <w:rPr>
                <w:color w:val="000000"/>
              </w:rPr>
              <w:t>T (ºC)</w:t>
            </w:r>
          </w:p>
        </w:tc>
        <w:tc>
          <w:tcPr>
            <w:tcW w:w="1720" w:type="dxa"/>
            <w:tcBorders>
              <w:top w:val="nil"/>
              <w:left w:val="nil"/>
              <w:bottom w:val="single" w:sz="4" w:space="0" w:color="auto"/>
              <w:right w:val="single" w:sz="4" w:space="0" w:color="auto"/>
            </w:tcBorders>
            <w:shd w:val="clear" w:color="auto" w:fill="auto"/>
            <w:noWrap/>
            <w:vAlign w:val="center"/>
            <w:hideMark/>
          </w:tcPr>
          <w:p w14:paraId="74C6AA3A" w14:textId="77777777" w:rsidR="00AE2A09" w:rsidRDefault="00AE2A09">
            <w:pPr>
              <w:jc w:val="center"/>
              <w:rPr>
                <w:color w:val="000000"/>
              </w:rPr>
            </w:pPr>
            <w:r>
              <w:rPr>
                <w:color w:val="000000"/>
              </w:rPr>
              <w:t>1020</w:t>
            </w:r>
          </w:p>
        </w:tc>
        <w:tc>
          <w:tcPr>
            <w:tcW w:w="880" w:type="dxa"/>
            <w:tcBorders>
              <w:top w:val="nil"/>
              <w:left w:val="nil"/>
              <w:bottom w:val="single" w:sz="4" w:space="0" w:color="auto"/>
              <w:right w:val="single" w:sz="4" w:space="0" w:color="auto"/>
            </w:tcBorders>
            <w:shd w:val="clear" w:color="auto" w:fill="auto"/>
            <w:noWrap/>
            <w:vAlign w:val="center"/>
            <w:hideMark/>
          </w:tcPr>
          <w:p w14:paraId="047D73BA" w14:textId="77777777" w:rsidR="00AE2A09" w:rsidRDefault="00AE2A09">
            <w:pPr>
              <w:jc w:val="center"/>
              <w:rPr>
                <w:color w:val="000000"/>
              </w:rPr>
            </w:pPr>
            <w:r>
              <w:rPr>
                <w:color w:val="000000"/>
              </w:rPr>
              <w:t>l</w:t>
            </w:r>
          </w:p>
        </w:tc>
        <w:tc>
          <w:tcPr>
            <w:tcW w:w="1300" w:type="dxa"/>
            <w:tcBorders>
              <w:top w:val="nil"/>
              <w:left w:val="nil"/>
              <w:bottom w:val="single" w:sz="4" w:space="0" w:color="auto"/>
              <w:right w:val="single" w:sz="4" w:space="0" w:color="auto"/>
            </w:tcBorders>
            <w:shd w:val="clear" w:color="auto" w:fill="auto"/>
            <w:noWrap/>
            <w:vAlign w:val="center"/>
            <w:hideMark/>
          </w:tcPr>
          <w:p w14:paraId="5BCD5566"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6F52180C"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3B717713" w14:textId="77777777" w:rsidR="00AE2A09" w:rsidRDefault="00AE2A09">
            <w:pPr>
              <w:jc w:val="center"/>
              <w:rPr>
                <w:color w:val="000000"/>
              </w:rPr>
            </w:pPr>
            <w:r>
              <w:rPr>
                <w:color w:val="000000"/>
              </w:rPr>
              <w:t>-</w:t>
            </w:r>
          </w:p>
        </w:tc>
      </w:tr>
      <w:tr w:rsidR="00AE2A09" w14:paraId="4EB793AC"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EC45D7C" w14:textId="77777777" w:rsidR="00AE2A09" w:rsidRDefault="00AE2A09">
            <w:pPr>
              <w:jc w:val="center"/>
              <w:rPr>
                <w:color w:val="000000"/>
              </w:rPr>
            </w:pPr>
            <w:r>
              <w:rPr>
                <w:color w:val="000000"/>
              </w:rPr>
              <w:t>P (GPa)</w:t>
            </w:r>
          </w:p>
        </w:tc>
        <w:tc>
          <w:tcPr>
            <w:tcW w:w="1720" w:type="dxa"/>
            <w:tcBorders>
              <w:top w:val="nil"/>
              <w:left w:val="nil"/>
              <w:bottom w:val="single" w:sz="4" w:space="0" w:color="auto"/>
              <w:right w:val="single" w:sz="4" w:space="0" w:color="auto"/>
            </w:tcBorders>
            <w:shd w:val="clear" w:color="auto" w:fill="auto"/>
            <w:noWrap/>
            <w:vAlign w:val="center"/>
            <w:hideMark/>
          </w:tcPr>
          <w:p w14:paraId="4E4357CE" w14:textId="77777777" w:rsidR="00AE2A09" w:rsidRDefault="00AE2A09">
            <w:pPr>
              <w:jc w:val="center"/>
              <w:rPr>
                <w:color w:val="000000"/>
              </w:rPr>
            </w:pPr>
            <w:r>
              <w:rPr>
                <w:color w:val="000000"/>
              </w:rPr>
              <w:t>0.08</w:t>
            </w:r>
          </w:p>
        </w:tc>
        <w:tc>
          <w:tcPr>
            <w:tcW w:w="880" w:type="dxa"/>
            <w:tcBorders>
              <w:top w:val="nil"/>
              <w:left w:val="nil"/>
              <w:bottom w:val="single" w:sz="4" w:space="0" w:color="auto"/>
              <w:right w:val="single" w:sz="4" w:space="0" w:color="auto"/>
            </w:tcBorders>
            <w:shd w:val="clear" w:color="auto" w:fill="auto"/>
            <w:noWrap/>
            <w:vAlign w:val="center"/>
            <w:hideMark/>
          </w:tcPr>
          <w:p w14:paraId="088C5A1F" w14:textId="77777777" w:rsidR="00AE2A09" w:rsidRDefault="00AE2A09">
            <w:pPr>
              <w:jc w:val="center"/>
              <w:rPr>
                <w:color w:val="000000"/>
              </w:rPr>
            </w:pPr>
            <w:r>
              <w:rPr>
                <w:color w:val="000000"/>
              </w:rPr>
              <w:t>l</w:t>
            </w:r>
          </w:p>
        </w:tc>
        <w:tc>
          <w:tcPr>
            <w:tcW w:w="1300" w:type="dxa"/>
            <w:tcBorders>
              <w:top w:val="nil"/>
              <w:left w:val="nil"/>
              <w:bottom w:val="single" w:sz="4" w:space="0" w:color="auto"/>
              <w:right w:val="single" w:sz="4" w:space="0" w:color="auto"/>
            </w:tcBorders>
            <w:shd w:val="clear" w:color="auto" w:fill="auto"/>
            <w:noWrap/>
            <w:vAlign w:val="center"/>
            <w:hideMark/>
          </w:tcPr>
          <w:p w14:paraId="0B6A1A67"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0838B4F"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5183F76B" w14:textId="77777777" w:rsidR="00AE2A09" w:rsidRDefault="00AE2A09">
            <w:pPr>
              <w:jc w:val="center"/>
              <w:rPr>
                <w:color w:val="000000"/>
              </w:rPr>
            </w:pPr>
            <w:r>
              <w:rPr>
                <w:color w:val="000000"/>
              </w:rPr>
              <w:t>-</w:t>
            </w:r>
          </w:p>
        </w:tc>
      </w:tr>
      <w:tr w:rsidR="00AE2A09" w14:paraId="3EDD9B46"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3A8FD94" w14:textId="77777777" w:rsidR="00AE2A09" w:rsidRDefault="00AE2A09">
            <w:pPr>
              <w:jc w:val="center"/>
              <w:rPr>
                <w:color w:val="000000"/>
              </w:rPr>
            </w:pPr>
            <w:r>
              <w:rPr>
                <w:color w:val="000000"/>
              </w:rPr>
              <w:t>Fo</w:t>
            </w:r>
          </w:p>
        </w:tc>
        <w:tc>
          <w:tcPr>
            <w:tcW w:w="1720" w:type="dxa"/>
            <w:tcBorders>
              <w:top w:val="nil"/>
              <w:left w:val="nil"/>
              <w:bottom w:val="single" w:sz="4" w:space="0" w:color="auto"/>
              <w:right w:val="single" w:sz="4" w:space="0" w:color="auto"/>
            </w:tcBorders>
            <w:shd w:val="clear" w:color="auto" w:fill="auto"/>
            <w:noWrap/>
            <w:vAlign w:val="center"/>
            <w:hideMark/>
          </w:tcPr>
          <w:p w14:paraId="35151DA3"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61ECE42"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66DB7DDC"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D78507E"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5BB4B701" w14:textId="77777777" w:rsidR="00AE2A09" w:rsidRDefault="00AE2A09">
            <w:pPr>
              <w:jc w:val="center"/>
              <w:rPr>
                <w:color w:val="000000"/>
              </w:rPr>
            </w:pPr>
            <w:r>
              <w:rPr>
                <w:color w:val="000000"/>
              </w:rPr>
              <w:t>-</w:t>
            </w:r>
          </w:p>
        </w:tc>
      </w:tr>
      <w:tr w:rsidR="00AE2A09" w14:paraId="05C66C32"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69A9436" w14:textId="77777777" w:rsidR="00AE2A09" w:rsidRDefault="00AE2A09">
            <w:pPr>
              <w:jc w:val="center"/>
              <w:rPr>
                <w:color w:val="000000"/>
              </w:rPr>
            </w:pPr>
            <w:r>
              <w:rPr>
                <w:color w:val="000000"/>
              </w:rPr>
              <w:t>Al</w:t>
            </w:r>
            <w:r>
              <w:rPr>
                <w:color w:val="000000"/>
                <w:vertAlign w:val="superscript"/>
              </w:rPr>
              <w:t>ol</w:t>
            </w:r>
          </w:p>
        </w:tc>
        <w:tc>
          <w:tcPr>
            <w:tcW w:w="1720" w:type="dxa"/>
            <w:tcBorders>
              <w:top w:val="nil"/>
              <w:left w:val="nil"/>
              <w:bottom w:val="single" w:sz="4" w:space="0" w:color="auto"/>
              <w:right w:val="single" w:sz="4" w:space="0" w:color="auto"/>
            </w:tcBorders>
            <w:shd w:val="clear" w:color="auto" w:fill="auto"/>
            <w:noWrap/>
            <w:vAlign w:val="center"/>
            <w:hideMark/>
          </w:tcPr>
          <w:p w14:paraId="0334B5E9"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18335A67"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051FE216"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3331271B"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7FB60ABA" w14:textId="77777777" w:rsidR="00AE2A09" w:rsidRDefault="00AE2A09">
            <w:pPr>
              <w:jc w:val="center"/>
              <w:rPr>
                <w:color w:val="000000"/>
              </w:rPr>
            </w:pPr>
            <w:r>
              <w:rPr>
                <w:color w:val="000000"/>
              </w:rPr>
              <w:t>-</w:t>
            </w:r>
          </w:p>
        </w:tc>
      </w:tr>
      <w:tr w:rsidR="00AE2A09" w14:paraId="37BA02D2"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8317FED" w14:textId="77777777" w:rsidR="00AE2A09" w:rsidRDefault="00AE2A09">
            <w:pPr>
              <w:jc w:val="center"/>
              <w:rPr>
                <w:color w:val="000000"/>
              </w:rPr>
            </w:pPr>
            <w:r>
              <w:rPr>
                <w:i/>
                <w:iCs/>
                <w:color w:val="000000"/>
              </w:rPr>
              <w:t>X</w:t>
            </w:r>
            <w:r>
              <w:rPr>
                <w:color w:val="000000"/>
              </w:rPr>
              <w:t>Ti</w:t>
            </w:r>
            <w:r>
              <w:rPr>
                <w:color w:val="000000"/>
                <w:vertAlign w:val="superscript"/>
              </w:rPr>
              <w:t>melt</w:t>
            </w:r>
          </w:p>
        </w:tc>
        <w:tc>
          <w:tcPr>
            <w:tcW w:w="1720" w:type="dxa"/>
            <w:tcBorders>
              <w:top w:val="nil"/>
              <w:left w:val="nil"/>
              <w:bottom w:val="single" w:sz="4" w:space="0" w:color="auto"/>
              <w:right w:val="single" w:sz="4" w:space="0" w:color="auto"/>
            </w:tcBorders>
            <w:shd w:val="clear" w:color="auto" w:fill="auto"/>
            <w:noWrap/>
            <w:vAlign w:val="center"/>
            <w:hideMark/>
          </w:tcPr>
          <w:p w14:paraId="0E055EB3"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7F0EA3F5"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6FB4F147"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B9913A0"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0A92AB15" w14:textId="77777777" w:rsidR="00AE2A09" w:rsidRDefault="00AE2A09">
            <w:pPr>
              <w:jc w:val="center"/>
              <w:rPr>
                <w:color w:val="000000"/>
              </w:rPr>
            </w:pPr>
            <w:r>
              <w:rPr>
                <w:color w:val="000000"/>
              </w:rPr>
              <w:t>-</w:t>
            </w:r>
          </w:p>
        </w:tc>
      </w:tr>
      <w:tr w:rsidR="00AE2A09" w14:paraId="1E0374A0"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60B02FC" w14:textId="77777777" w:rsidR="00AE2A09" w:rsidRDefault="00AE2A09">
            <w:pPr>
              <w:jc w:val="center"/>
              <w:rPr>
                <w:color w:val="000000"/>
              </w:rPr>
            </w:pPr>
            <w:r>
              <w:rPr>
                <w:color w:val="000000"/>
              </w:rPr>
              <w:t>Al</w:t>
            </w:r>
            <w:r>
              <w:rPr>
                <w:color w:val="000000"/>
                <w:vertAlign w:val="superscript"/>
              </w:rPr>
              <w:t>T</w:t>
            </w:r>
          </w:p>
        </w:tc>
        <w:tc>
          <w:tcPr>
            <w:tcW w:w="1720" w:type="dxa"/>
            <w:tcBorders>
              <w:top w:val="nil"/>
              <w:left w:val="nil"/>
              <w:bottom w:val="single" w:sz="4" w:space="0" w:color="auto"/>
              <w:right w:val="single" w:sz="4" w:space="0" w:color="auto"/>
            </w:tcBorders>
            <w:shd w:val="clear" w:color="auto" w:fill="auto"/>
            <w:noWrap/>
            <w:vAlign w:val="center"/>
            <w:hideMark/>
          </w:tcPr>
          <w:p w14:paraId="1F7E6F71"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085F91F"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3EB30782"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7533D99E"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613088F8" w14:textId="77777777" w:rsidR="00AE2A09" w:rsidRDefault="00AE2A09">
            <w:pPr>
              <w:jc w:val="center"/>
              <w:rPr>
                <w:color w:val="000000"/>
              </w:rPr>
            </w:pPr>
            <w:r>
              <w:rPr>
                <w:color w:val="000000"/>
              </w:rPr>
              <w:t>-</w:t>
            </w:r>
          </w:p>
        </w:tc>
      </w:tr>
      <w:tr w:rsidR="00AE2A09" w14:paraId="20212418"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59DF280" w14:textId="77777777" w:rsidR="00AE2A09" w:rsidRDefault="00AE2A09">
            <w:pPr>
              <w:jc w:val="center"/>
              <w:rPr>
                <w:color w:val="000000"/>
              </w:rPr>
            </w:pPr>
            <w:r>
              <w:rPr>
                <w:color w:val="000000"/>
              </w:rPr>
              <w:t>Al</w:t>
            </w:r>
            <w:r>
              <w:rPr>
                <w:color w:val="000000"/>
                <w:vertAlign w:val="superscript"/>
              </w:rPr>
              <w:t>M1</w:t>
            </w:r>
          </w:p>
        </w:tc>
        <w:tc>
          <w:tcPr>
            <w:tcW w:w="1720" w:type="dxa"/>
            <w:tcBorders>
              <w:top w:val="nil"/>
              <w:left w:val="nil"/>
              <w:bottom w:val="single" w:sz="4" w:space="0" w:color="auto"/>
              <w:right w:val="single" w:sz="4" w:space="0" w:color="auto"/>
            </w:tcBorders>
            <w:shd w:val="clear" w:color="auto" w:fill="auto"/>
            <w:noWrap/>
            <w:vAlign w:val="center"/>
            <w:hideMark/>
          </w:tcPr>
          <w:p w14:paraId="176CB9D9"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412266CA"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5FCE2C9F"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392B66B"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2E6CD481" w14:textId="77777777" w:rsidR="00AE2A09" w:rsidRDefault="00AE2A09">
            <w:pPr>
              <w:jc w:val="center"/>
              <w:rPr>
                <w:color w:val="000000"/>
              </w:rPr>
            </w:pPr>
            <w:r>
              <w:rPr>
                <w:color w:val="000000"/>
              </w:rPr>
              <w:t>-</w:t>
            </w:r>
          </w:p>
        </w:tc>
      </w:tr>
      <w:tr w:rsidR="00AE2A09" w14:paraId="3FAA7A5F"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2726E48" w14:textId="77777777" w:rsidR="00AE2A09" w:rsidRDefault="00AE2A09">
            <w:pPr>
              <w:jc w:val="center"/>
              <w:rPr>
                <w:color w:val="000000"/>
              </w:rPr>
            </w:pPr>
            <w:r>
              <w:rPr>
                <w:color w:val="000000"/>
              </w:rPr>
              <w:t>Ca</w:t>
            </w:r>
            <w:r>
              <w:rPr>
                <w:color w:val="000000"/>
                <w:vertAlign w:val="superscript"/>
              </w:rPr>
              <w:t>M2</w:t>
            </w:r>
          </w:p>
        </w:tc>
        <w:tc>
          <w:tcPr>
            <w:tcW w:w="1720" w:type="dxa"/>
            <w:tcBorders>
              <w:top w:val="nil"/>
              <w:left w:val="nil"/>
              <w:bottom w:val="single" w:sz="4" w:space="0" w:color="auto"/>
              <w:right w:val="single" w:sz="4" w:space="0" w:color="auto"/>
            </w:tcBorders>
            <w:shd w:val="clear" w:color="auto" w:fill="auto"/>
            <w:noWrap/>
            <w:vAlign w:val="center"/>
            <w:hideMark/>
          </w:tcPr>
          <w:p w14:paraId="6AFD9785"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1DAAC194"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3AD112C6"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1C9FEC4"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3D3F4799" w14:textId="77777777" w:rsidR="00AE2A09" w:rsidRDefault="00AE2A09">
            <w:pPr>
              <w:jc w:val="center"/>
              <w:rPr>
                <w:color w:val="000000"/>
              </w:rPr>
            </w:pPr>
            <w:r>
              <w:rPr>
                <w:color w:val="000000"/>
              </w:rPr>
              <w:t>-</w:t>
            </w:r>
          </w:p>
        </w:tc>
      </w:tr>
      <w:tr w:rsidR="00AE2A09" w14:paraId="33581F5E"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A256B6D" w14:textId="77777777" w:rsidR="00AE2A09" w:rsidRDefault="00AE2A09">
            <w:pPr>
              <w:jc w:val="center"/>
              <w:rPr>
                <w:color w:val="000000"/>
              </w:rPr>
            </w:pPr>
            <w:r>
              <w:rPr>
                <w:color w:val="000000"/>
              </w:rPr>
              <w:t>Mg</w:t>
            </w:r>
            <w:r>
              <w:rPr>
                <w:color w:val="000000"/>
                <w:vertAlign w:val="superscript"/>
              </w:rPr>
              <w:t>M2</w:t>
            </w:r>
          </w:p>
        </w:tc>
        <w:tc>
          <w:tcPr>
            <w:tcW w:w="1720" w:type="dxa"/>
            <w:tcBorders>
              <w:top w:val="nil"/>
              <w:left w:val="nil"/>
              <w:bottom w:val="single" w:sz="4" w:space="0" w:color="auto"/>
              <w:right w:val="single" w:sz="4" w:space="0" w:color="auto"/>
            </w:tcBorders>
            <w:shd w:val="clear" w:color="auto" w:fill="auto"/>
            <w:noWrap/>
            <w:vAlign w:val="center"/>
            <w:hideMark/>
          </w:tcPr>
          <w:p w14:paraId="5896F110"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31AAE30E"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03D56DAD"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2DDD344E"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1A2C5F7E" w14:textId="77777777" w:rsidR="00AE2A09" w:rsidRDefault="00AE2A09">
            <w:pPr>
              <w:jc w:val="center"/>
              <w:rPr>
                <w:color w:val="000000"/>
              </w:rPr>
            </w:pPr>
            <w:r>
              <w:rPr>
                <w:color w:val="000000"/>
              </w:rPr>
              <w:t>-</w:t>
            </w:r>
          </w:p>
        </w:tc>
      </w:tr>
      <w:tr w:rsidR="00AE2A09" w14:paraId="7DC3668D"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6B834A3" w14:textId="77777777" w:rsidR="00AE2A09" w:rsidRDefault="00AE2A09">
            <w:pPr>
              <w:jc w:val="center"/>
              <w:rPr>
                <w:color w:val="000000"/>
              </w:rPr>
            </w:pPr>
            <w:r>
              <w:rPr>
                <w:color w:val="000000"/>
              </w:rPr>
              <w:t>Mg</w:t>
            </w:r>
            <w:r>
              <w:rPr>
                <w:color w:val="000000"/>
                <w:vertAlign w:val="superscript"/>
              </w:rPr>
              <w:t>M1</w:t>
            </w:r>
          </w:p>
        </w:tc>
        <w:tc>
          <w:tcPr>
            <w:tcW w:w="1720" w:type="dxa"/>
            <w:tcBorders>
              <w:top w:val="nil"/>
              <w:left w:val="nil"/>
              <w:bottom w:val="single" w:sz="4" w:space="0" w:color="auto"/>
              <w:right w:val="single" w:sz="4" w:space="0" w:color="auto"/>
            </w:tcBorders>
            <w:shd w:val="clear" w:color="auto" w:fill="auto"/>
            <w:noWrap/>
            <w:vAlign w:val="center"/>
            <w:hideMark/>
          </w:tcPr>
          <w:p w14:paraId="73C822BC"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FE9781D"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1AB1C714"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312F1C3D"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775B1F0E" w14:textId="77777777" w:rsidR="00AE2A09" w:rsidRDefault="00AE2A09">
            <w:pPr>
              <w:jc w:val="center"/>
              <w:rPr>
                <w:color w:val="000000"/>
              </w:rPr>
            </w:pPr>
            <w:r>
              <w:rPr>
                <w:color w:val="000000"/>
              </w:rPr>
              <w:t>-</w:t>
            </w:r>
          </w:p>
        </w:tc>
      </w:tr>
      <w:tr w:rsidR="00AE2A09" w14:paraId="673B62D8"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C4222D6" w14:textId="77777777" w:rsidR="00AE2A09" w:rsidRDefault="00AE2A09">
            <w:pPr>
              <w:jc w:val="center"/>
              <w:rPr>
                <w:color w:val="000000"/>
              </w:rPr>
            </w:pPr>
            <w:r>
              <w:rPr>
                <w:color w:val="000000"/>
              </w:rPr>
              <w:t>Fe</w:t>
            </w:r>
            <w:r>
              <w:rPr>
                <w:color w:val="000000"/>
                <w:vertAlign w:val="superscript"/>
              </w:rPr>
              <w:t>M1</w:t>
            </w:r>
          </w:p>
        </w:tc>
        <w:tc>
          <w:tcPr>
            <w:tcW w:w="1720" w:type="dxa"/>
            <w:tcBorders>
              <w:top w:val="nil"/>
              <w:left w:val="nil"/>
              <w:bottom w:val="single" w:sz="4" w:space="0" w:color="auto"/>
              <w:right w:val="single" w:sz="4" w:space="0" w:color="auto"/>
            </w:tcBorders>
            <w:shd w:val="clear" w:color="auto" w:fill="auto"/>
            <w:noWrap/>
            <w:vAlign w:val="center"/>
            <w:hideMark/>
          </w:tcPr>
          <w:p w14:paraId="203F5013"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37EFA4B2"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7F8E188D"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950DBE7"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7E10D800" w14:textId="77777777" w:rsidR="00AE2A09" w:rsidRDefault="00AE2A09">
            <w:pPr>
              <w:jc w:val="center"/>
              <w:rPr>
                <w:color w:val="000000"/>
              </w:rPr>
            </w:pPr>
            <w:r>
              <w:rPr>
                <w:color w:val="000000"/>
              </w:rPr>
              <w:t>-</w:t>
            </w:r>
          </w:p>
        </w:tc>
      </w:tr>
      <w:tr w:rsidR="00AE2A09" w14:paraId="0CE3A182"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C4BF991" w14:textId="77777777" w:rsidR="00AE2A09" w:rsidRDefault="00AE2A09">
            <w:pPr>
              <w:jc w:val="center"/>
              <w:rPr>
                <w:color w:val="000000"/>
              </w:rPr>
            </w:pPr>
            <w:r>
              <w:rPr>
                <w:i/>
                <w:iCs/>
                <w:color w:val="000000"/>
              </w:rPr>
              <w:t>XC</w:t>
            </w:r>
            <w:r>
              <w:rPr>
                <w:color w:val="000000"/>
              </w:rPr>
              <w:t>a</w:t>
            </w:r>
          </w:p>
        </w:tc>
        <w:tc>
          <w:tcPr>
            <w:tcW w:w="1720" w:type="dxa"/>
            <w:tcBorders>
              <w:top w:val="nil"/>
              <w:left w:val="nil"/>
              <w:bottom w:val="single" w:sz="4" w:space="0" w:color="auto"/>
              <w:right w:val="single" w:sz="4" w:space="0" w:color="auto"/>
            </w:tcBorders>
            <w:shd w:val="clear" w:color="auto" w:fill="auto"/>
            <w:noWrap/>
            <w:vAlign w:val="center"/>
            <w:hideMark/>
          </w:tcPr>
          <w:p w14:paraId="39B22E9B"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3B2BEC3"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7B4CF921"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2FE7354"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069B3F9A" w14:textId="77777777" w:rsidR="00AE2A09" w:rsidRDefault="00AE2A09">
            <w:pPr>
              <w:jc w:val="center"/>
              <w:rPr>
                <w:color w:val="000000"/>
              </w:rPr>
            </w:pPr>
            <w:r>
              <w:rPr>
                <w:color w:val="000000"/>
              </w:rPr>
              <w:t>-</w:t>
            </w:r>
          </w:p>
        </w:tc>
      </w:tr>
      <w:tr w:rsidR="00AE2A09" w14:paraId="47EB1A6A"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3B7B24D" w14:textId="77777777" w:rsidR="00AE2A09" w:rsidRDefault="00AE2A09">
            <w:pPr>
              <w:jc w:val="center"/>
              <w:rPr>
                <w:color w:val="000000"/>
              </w:rPr>
            </w:pPr>
            <w:r>
              <w:rPr>
                <w:i/>
                <w:iCs/>
                <w:color w:val="000000"/>
              </w:rPr>
              <w:t>X</w:t>
            </w:r>
            <w:r>
              <w:rPr>
                <w:color w:val="000000"/>
              </w:rPr>
              <w:t>Na</w:t>
            </w:r>
          </w:p>
        </w:tc>
        <w:tc>
          <w:tcPr>
            <w:tcW w:w="1720" w:type="dxa"/>
            <w:tcBorders>
              <w:top w:val="nil"/>
              <w:left w:val="nil"/>
              <w:bottom w:val="single" w:sz="4" w:space="0" w:color="auto"/>
              <w:right w:val="single" w:sz="4" w:space="0" w:color="auto"/>
            </w:tcBorders>
            <w:shd w:val="clear" w:color="auto" w:fill="auto"/>
            <w:noWrap/>
            <w:vAlign w:val="center"/>
            <w:hideMark/>
          </w:tcPr>
          <w:p w14:paraId="093FDEAF"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724EA794"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4E7FC7F5"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1726F120"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4BFD1A69" w14:textId="77777777" w:rsidR="00AE2A09" w:rsidRDefault="00AE2A09">
            <w:pPr>
              <w:jc w:val="center"/>
              <w:rPr>
                <w:color w:val="000000"/>
              </w:rPr>
            </w:pPr>
            <w:r>
              <w:rPr>
                <w:color w:val="000000"/>
              </w:rPr>
              <w:t>-</w:t>
            </w:r>
          </w:p>
        </w:tc>
      </w:tr>
      <w:tr w:rsidR="00AE2A09" w14:paraId="31052E0E"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1614068" w14:textId="77777777" w:rsidR="00AE2A09" w:rsidRDefault="00AE2A09">
            <w:pPr>
              <w:jc w:val="center"/>
              <w:rPr>
                <w:color w:val="000000"/>
              </w:rPr>
            </w:pPr>
            <w:r>
              <w:rPr>
                <w:color w:val="000000"/>
              </w:rPr>
              <w:t>D</w:t>
            </w:r>
            <w:r>
              <w:rPr>
                <w:color w:val="000000"/>
                <w:vertAlign w:val="subscript"/>
              </w:rPr>
              <w:t>0</w:t>
            </w:r>
          </w:p>
        </w:tc>
        <w:tc>
          <w:tcPr>
            <w:tcW w:w="1720" w:type="dxa"/>
            <w:tcBorders>
              <w:top w:val="nil"/>
              <w:left w:val="nil"/>
              <w:bottom w:val="single" w:sz="4" w:space="0" w:color="auto"/>
              <w:right w:val="single" w:sz="4" w:space="0" w:color="auto"/>
            </w:tcBorders>
            <w:shd w:val="clear" w:color="auto" w:fill="auto"/>
            <w:noWrap/>
            <w:vAlign w:val="center"/>
            <w:hideMark/>
          </w:tcPr>
          <w:p w14:paraId="2AF09ED7" w14:textId="77777777" w:rsidR="00AE2A09" w:rsidRDefault="00AE2A09">
            <w:pPr>
              <w:jc w:val="center"/>
              <w:rPr>
                <w:color w:val="000000"/>
              </w:rPr>
            </w:pPr>
            <w:r>
              <w:rPr>
                <w:color w:val="000000"/>
              </w:rPr>
              <w:t>0.61</w:t>
            </w:r>
          </w:p>
        </w:tc>
        <w:tc>
          <w:tcPr>
            <w:tcW w:w="880" w:type="dxa"/>
            <w:tcBorders>
              <w:top w:val="nil"/>
              <w:left w:val="nil"/>
              <w:bottom w:val="single" w:sz="4" w:space="0" w:color="auto"/>
              <w:right w:val="single" w:sz="4" w:space="0" w:color="auto"/>
            </w:tcBorders>
            <w:shd w:val="clear" w:color="auto" w:fill="auto"/>
            <w:noWrap/>
            <w:vAlign w:val="center"/>
            <w:hideMark/>
          </w:tcPr>
          <w:p w14:paraId="6C0A5566" w14:textId="77777777" w:rsidR="00AE2A09" w:rsidRDefault="00AE2A09">
            <w:pPr>
              <w:jc w:val="center"/>
              <w:rPr>
                <w:color w:val="000000"/>
              </w:rPr>
            </w:pPr>
            <w:r>
              <w:rPr>
                <w:color w:val="000000"/>
              </w:rPr>
              <w:t>j</w:t>
            </w:r>
          </w:p>
        </w:tc>
        <w:tc>
          <w:tcPr>
            <w:tcW w:w="1300" w:type="dxa"/>
            <w:tcBorders>
              <w:top w:val="nil"/>
              <w:left w:val="nil"/>
              <w:bottom w:val="single" w:sz="4" w:space="0" w:color="auto"/>
              <w:right w:val="single" w:sz="4" w:space="0" w:color="auto"/>
            </w:tcBorders>
            <w:shd w:val="clear" w:color="auto" w:fill="auto"/>
            <w:noWrap/>
            <w:vAlign w:val="center"/>
            <w:hideMark/>
          </w:tcPr>
          <w:p w14:paraId="637B2C34"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075BB45D"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642315B8" w14:textId="77777777" w:rsidR="00AE2A09" w:rsidRDefault="00AE2A09">
            <w:pPr>
              <w:jc w:val="center"/>
              <w:rPr>
                <w:color w:val="000000"/>
              </w:rPr>
            </w:pPr>
            <w:r>
              <w:rPr>
                <w:color w:val="000000"/>
              </w:rPr>
              <w:t>-</w:t>
            </w:r>
          </w:p>
        </w:tc>
      </w:tr>
      <w:tr w:rsidR="00AE2A09" w14:paraId="77871C8A"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EC48C61" w14:textId="77777777" w:rsidR="00AE2A09" w:rsidRDefault="00AE2A09">
            <w:pPr>
              <w:jc w:val="center"/>
              <w:rPr>
                <w:color w:val="000000"/>
              </w:rPr>
            </w:pPr>
            <w:r>
              <w:rPr>
                <w:color w:val="000000"/>
              </w:rPr>
              <w:t>r</w:t>
            </w:r>
            <w:r>
              <w:rPr>
                <w:color w:val="000000"/>
                <w:vertAlign w:val="subscript"/>
              </w:rPr>
              <w:t>0</w:t>
            </w:r>
          </w:p>
        </w:tc>
        <w:tc>
          <w:tcPr>
            <w:tcW w:w="1720" w:type="dxa"/>
            <w:tcBorders>
              <w:top w:val="nil"/>
              <w:left w:val="nil"/>
              <w:bottom w:val="single" w:sz="4" w:space="0" w:color="auto"/>
              <w:right w:val="single" w:sz="4" w:space="0" w:color="auto"/>
            </w:tcBorders>
            <w:shd w:val="clear" w:color="auto" w:fill="auto"/>
            <w:noWrap/>
            <w:vAlign w:val="center"/>
            <w:hideMark/>
          </w:tcPr>
          <w:p w14:paraId="454A2F0B" w14:textId="77777777" w:rsidR="00AE2A09" w:rsidRDefault="00AE2A09">
            <w:pPr>
              <w:jc w:val="center"/>
              <w:rPr>
                <w:color w:val="000000"/>
              </w:rPr>
            </w:pPr>
            <w:r>
              <w:rPr>
                <w:color w:val="000000"/>
              </w:rPr>
              <w:t>0.688</w:t>
            </w:r>
          </w:p>
        </w:tc>
        <w:tc>
          <w:tcPr>
            <w:tcW w:w="880" w:type="dxa"/>
            <w:tcBorders>
              <w:top w:val="nil"/>
              <w:left w:val="nil"/>
              <w:bottom w:val="single" w:sz="4" w:space="0" w:color="auto"/>
              <w:right w:val="single" w:sz="4" w:space="0" w:color="auto"/>
            </w:tcBorders>
            <w:shd w:val="clear" w:color="auto" w:fill="auto"/>
            <w:noWrap/>
            <w:vAlign w:val="center"/>
            <w:hideMark/>
          </w:tcPr>
          <w:p w14:paraId="49FB8F9D" w14:textId="77777777" w:rsidR="00AE2A09" w:rsidRDefault="00AE2A09">
            <w:pPr>
              <w:jc w:val="center"/>
              <w:rPr>
                <w:color w:val="000000"/>
              </w:rPr>
            </w:pPr>
            <w:r>
              <w:rPr>
                <w:color w:val="000000"/>
              </w:rPr>
              <w:t>j</w:t>
            </w:r>
          </w:p>
        </w:tc>
        <w:tc>
          <w:tcPr>
            <w:tcW w:w="1300" w:type="dxa"/>
            <w:tcBorders>
              <w:top w:val="nil"/>
              <w:left w:val="nil"/>
              <w:bottom w:val="single" w:sz="4" w:space="0" w:color="auto"/>
              <w:right w:val="single" w:sz="4" w:space="0" w:color="auto"/>
            </w:tcBorders>
            <w:shd w:val="clear" w:color="auto" w:fill="auto"/>
            <w:noWrap/>
            <w:vAlign w:val="center"/>
            <w:hideMark/>
          </w:tcPr>
          <w:p w14:paraId="52C152F9"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D990B99"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535ED10F" w14:textId="77777777" w:rsidR="00AE2A09" w:rsidRDefault="00AE2A09">
            <w:pPr>
              <w:jc w:val="center"/>
              <w:rPr>
                <w:color w:val="000000"/>
              </w:rPr>
            </w:pPr>
            <w:r>
              <w:rPr>
                <w:color w:val="000000"/>
              </w:rPr>
              <w:t>-</w:t>
            </w:r>
          </w:p>
        </w:tc>
      </w:tr>
      <w:tr w:rsidR="00AE2A09" w14:paraId="362308F3"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55ED026" w14:textId="77777777" w:rsidR="00AE2A09" w:rsidRDefault="00AE2A09">
            <w:pPr>
              <w:jc w:val="center"/>
              <w:rPr>
                <w:color w:val="000000"/>
              </w:rPr>
            </w:pPr>
            <w:r>
              <w:rPr>
                <w:color w:val="000000"/>
              </w:rPr>
              <w:t>E</w:t>
            </w:r>
          </w:p>
        </w:tc>
        <w:tc>
          <w:tcPr>
            <w:tcW w:w="1720" w:type="dxa"/>
            <w:tcBorders>
              <w:top w:val="nil"/>
              <w:left w:val="nil"/>
              <w:bottom w:val="single" w:sz="4" w:space="0" w:color="auto"/>
              <w:right w:val="single" w:sz="4" w:space="0" w:color="auto"/>
            </w:tcBorders>
            <w:shd w:val="clear" w:color="auto" w:fill="auto"/>
            <w:noWrap/>
            <w:vAlign w:val="center"/>
            <w:hideMark/>
          </w:tcPr>
          <w:p w14:paraId="7163F893" w14:textId="77777777" w:rsidR="00AE2A09" w:rsidRDefault="00AE2A09">
            <w:pPr>
              <w:jc w:val="center"/>
              <w:rPr>
                <w:color w:val="000000"/>
              </w:rPr>
            </w:pPr>
            <w:r>
              <w:rPr>
                <w:color w:val="000000"/>
              </w:rPr>
              <w:t>300</w:t>
            </w:r>
          </w:p>
        </w:tc>
        <w:tc>
          <w:tcPr>
            <w:tcW w:w="880" w:type="dxa"/>
            <w:tcBorders>
              <w:top w:val="nil"/>
              <w:left w:val="nil"/>
              <w:bottom w:val="single" w:sz="4" w:space="0" w:color="auto"/>
              <w:right w:val="single" w:sz="4" w:space="0" w:color="auto"/>
            </w:tcBorders>
            <w:shd w:val="clear" w:color="auto" w:fill="auto"/>
            <w:noWrap/>
            <w:vAlign w:val="center"/>
            <w:hideMark/>
          </w:tcPr>
          <w:p w14:paraId="23441724" w14:textId="77777777" w:rsidR="00AE2A09" w:rsidRDefault="00AE2A09">
            <w:pPr>
              <w:jc w:val="center"/>
              <w:rPr>
                <w:color w:val="000000"/>
              </w:rPr>
            </w:pPr>
            <w:r>
              <w:rPr>
                <w:color w:val="000000"/>
              </w:rPr>
              <w:t>j</w:t>
            </w:r>
          </w:p>
        </w:tc>
        <w:tc>
          <w:tcPr>
            <w:tcW w:w="1300" w:type="dxa"/>
            <w:tcBorders>
              <w:top w:val="nil"/>
              <w:left w:val="nil"/>
              <w:bottom w:val="single" w:sz="4" w:space="0" w:color="auto"/>
              <w:right w:val="single" w:sz="4" w:space="0" w:color="auto"/>
            </w:tcBorders>
            <w:shd w:val="clear" w:color="auto" w:fill="auto"/>
            <w:noWrap/>
            <w:vAlign w:val="center"/>
            <w:hideMark/>
          </w:tcPr>
          <w:p w14:paraId="06387DBF"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403CCEAB"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77D15E7E" w14:textId="77777777" w:rsidR="00AE2A09" w:rsidRDefault="00AE2A09">
            <w:pPr>
              <w:jc w:val="center"/>
              <w:rPr>
                <w:color w:val="000000"/>
              </w:rPr>
            </w:pPr>
            <w:r>
              <w:rPr>
                <w:color w:val="000000"/>
              </w:rPr>
              <w:t>-</w:t>
            </w:r>
          </w:p>
        </w:tc>
      </w:tr>
      <w:tr w:rsidR="00AE2A09" w14:paraId="7E5371A6"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91B31CF" w14:textId="77777777" w:rsidR="00AE2A09" w:rsidRDefault="00AE2A09">
            <w:pPr>
              <w:jc w:val="center"/>
              <w:rPr>
                <w:color w:val="000000"/>
              </w:rPr>
            </w:pPr>
            <w:r>
              <w:rPr>
                <w:color w:val="000000"/>
              </w:rPr>
              <w:t>D(Ti)</w:t>
            </w:r>
          </w:p>
        </w:tc>
        <w:tc>
          <w:tcPr>
            <w:tcW w:w="1720" w:type="dxa"/>
            <w:tcBorders>
              <w:top w:val="nil"/>
              <w:left w:val="nil"/>
              <w:bottom w:val="single" w:sz="4" w:space="0" w:color="auto"/>
              <w:right w:val="single" w:sz="4" w:space="0" w:color="auto"/>
            </w:tcBorders>
            <w:shd w:val="clear" w:color="auto" w:fill="auto"/>
            <w:noWrap/>
            <w:vAlign w:val="center"/>
            <w:hideMark/>
          </w:tcPr>
          <w:p w14:paraId="2352C2BE" w14:textId="77777777" w:rsidR="00AE2A09" w:rsidRDefault="00AE2A09">
            <w:pPr>
              <w:jc w:val="center"/>
              <w:rPr>
                <w:color w:val="000000"/>
              </w:rPr>
            </w:pPr>
            <w:r>
              <w:rPr>
                <w:color w:val="000000"/>
              </w:rPr>
              <w:t>14.274</w:t>
            </w:r>
          </w:p>
        </w:tc>
        <w:tc>
          <w:tcPr>
            <w:tcW w:w="880" w:type="dxa"/>
            <w:tcBorders>
              <w:top w:val="nil"/>
              <w:left w:val="nil"/>
              <w:bottom w:val="single" w:sz="4" w:space="0" w:color="auto"/>
              <w:right w:val="single" w:sz="4" w:space="0" w:color="auto"/>
            </w:tcBorders>
            <w:shd w:val="clear" w:color="auto" w:fill="auto"/>
            <w:noWrap/>
            <w:vAlign w:val="center"/>
            <w:hideMark/>
          </w:tcPr>
          <w:p w14:paraId="3905C645" w14:textId="77777777" w:rsidR="00AE2A09" w:rsidRDefault="00AE2A09">
            <w:pPr>
              <w:jc w:val="center"/>
              <w:rPr>
                <w:color w:val="000000"/>
              </w:rPr>
            </w:pPr>
            <w:r>
              <w:rPr>
                <w:color w:val="000000"/>
              </w:rPr>
              <w:t>l</w:t>
            </w:r>
          </w:p>
        </w:tc>
        <w:tc>
          <w:tcPr>
            <w:tcW w:w="1300" w:type="dxa"/>
            <w:tcBorders>
              <w:top w:val="nil"/>
              <w:left w:val="nil"/>
              <w:bottom w:val="single" w:sz="4" w:space="0" w:color="auto"/>
              <w:right w:val="single" w:sz="4" w:space="0" w:color="auto"/>
            </w:tcBorders>
            <w:shd w:val="clear" w:color="auto" w:fill="auto"/>
            <w:noWrap/>
            <w:vAlign w:val="center"/>
            <w:hideMark/>
          </w:tcPr>
          <w:p w14:paraId="2D941757"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25502904"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0F425214" w14:textId="77777777" w:rsidR="00AE2A09" w:rsidRDefault="00AE2A09">
            <w:pPr>
              <w:jc w:val="center"/>
              <w:rPr>
                <w:color w:val="000000"/>
              </w:rPr>
            </w:pPr>
            <w:r>
              <w:rPr>
                <w:color w:val="000000"/>
              </w:rPr>
              <w:t>-</w:t>
            </w:r>
          </w:p>
        </w:tc>
      </w:tr>
      <w:tr w:rsidR="00AE2A09" w14:paraId="7304982F" w14:textId="77777777" w:rsidTr="00AE2A0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23BE9D5" w14:textId="77777777" w:rsidR="00AE2A09" w:rsidRDefault="00AE2A09">
            <w:pPr>
              <w:jc w:val="center"/>
              <w:rPr>
                <w:color w:val="000000"/>
              </w:rPr>
            </w:pPr>
            <w:r>
              <w:rPr>
                <w:color w:val="000000"/>
              </w:rPr>
              <w:t>Log(ƒO</w:t>
            </w:r>
            <w:r>
              <w:rPr>
                <w:color w:val="000000"/>
                <w:vertAlign w:val="subscript"/>
              </w:rPr>
              <w:t>2</w:t>
            </w:r>
            <w:r>
              <w:rPr>
                <w:color w:val="000000"/>
              </w:rPr>
              <w:t>)</w:t>
            </w:r>
          </w:p>
        </w:tc>
        <w:tc>
          <w:tcPr>
            <w:tcW w:w="1720" w:type="dxa"/>
            <w:tcBorders>
              <w:top w:val="nil"/>
              <w:left w:val="nil"/>
              <w:bottom w:val="single" w:sz="4" w:space="0" w:color="auto"/>
              <w:right w:val="single" w:sz="4" w:space="0" w:color="auto"/>
            </w:tcBorders>
            <w:shd w:val="clear" w:color="auto" w:fill="auto"/>
            <w:noWrap/>
            <w:vAlign w:val="center"/>
            <w:hideMark/>
          </w:tcPr>
          <w:p w14:paraId="2F868C63" w14:textId="77777777" w:rsidR="00AE2A09" w:rsidRDefault="00AE2A09">
            <w:pPr>
              <w:jc w:val="center"/>
              <w:rPr>
                <w:color w:val="000000"/>
              </w:rPr>
            </w:pPr>
            <w:r>
              <w:rPr>
                <w:color w:val="000000"/>
              </w:rPr>
              <w:t>-14.54</w:t>
            </w:r>
          </w:p>
        </w:tc>
        <w:tc>
          <w:tcPr>
            <w:tcW w:w="880" w:type="dxa"/>
            <w:tcBorders>
              <w:top w:val="nil"/>
              <w:left w:val="nil"/>
              <w:bottom w:val="single" w:sz="4" w:space="0" w:color="auto"/>
              <w:right w:val="single" w:sz="4" w:space="0" w:color="auto"/>
            </w:tcBorders>
            <w:shd w:val="clear" w:color="auto" w:fill="auto"/>
            <w:noWrap/>
            <w:vAlign w:val="center"/>
            <w:hideMark/>
          </w:tcPr>
          <w:p w14:paraId="57C47D0B"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27FDE8FD"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center"/>
            <w:hideMark/>
          </w:tcPr>
          <w:p w14:paraId="52DFEB28"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734D2EAD" w14:textId="77777777" w:rsidR="00AE2A09" w:rsidRDefault="00AE2A09">
            <w:pPr>
              <w:jc w:val="center"/>
              <w:rPr>
                <w:color w:val="000000"/>
              </w:rPr>
            </w:pPr>
            <w:r>
              <w:rPr>
                <w:color w:val="000000"/>
              </w:rPr>
              <w:t>-</w:t>
            </w:r>
          </w:p>
        </w:tc>
      </w:tr>
      <w:tr w:rsidR="00AE2A09" w14:paraId="4C425E6C" w14:textId="77777777" w:rsidTr="00AE2A09">
        <w:trPr>
          <w:trHeight w:val="62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24F2E4D" w14:textId="77777777" w:rsidR="00AE2A09" w:rsidRDefault="00AE2A09">
            <w:pPr>
              <w:jc w:val="center"/>
              <w:rPr>
                <w:color w:val="000000"/>
              </w:rPr>
            </w:pPr>
            <w:r>
              <w:rPr>
                <w:color w:val="000000"/>
              </w:rPr>
              <w:t>Sample/ Experiment</w:t>
            </w:r>
          </w:p>
        </w:tc>
        <w:tc>
          <w:tcPr>
            <w:tcW w:w="1720" w:type="dxa"/>
            <w:tcBorders>
              <w:top w:val="nil"/>
              <w:left w:val="nil"/>
              <w:bottom w:val="single" w:sz="4" w:space="0" w:color="auto"/>
              <w:right w:val="single" w:sz="4" w:space="0" w:color="auto"/>
            </w:tcBorders>
            <w:shd w:val="clear" w:color="auto" w:fill="auto"/>
            <w:vAlign w:val="center"/>
            <w:hideMark/>
          </w:tcPr>
          <w:p w14:paraId="02AFF0C1" w14:textId="77777777" w:rsidR="00AE2A09" w:rsidRDefault="00AE2A09">
            <w:pPr>
              <w:jc w:val="center"/>
              <w:rPr>
                <w:color w:val="000000"/>
              </w:rPr>
            </w:pPr>
            <w:r>
              <w:rPr>
                <w:color w:val="000000"/>
              </w:rPr>
              <w:t>LPUM/0.4-1.5 gl HA02-0.8</w:t>
            </w:r>
          </w:p>
        </w:tc>
        <w:tc>
          <w:tcPr>
            <w:tcW w:w="880" w:type="dxa"/>
            <w:tcBorders>
              <w:top w:val="nil"/>
              <w:left w:val="nil"/>
              <w:bottom w:val="single" w:sz="4" w:space="0" w:color="auto"/>
              <w:right w:val="single" w:sz="4" w:space="0" w:color="auto"/>
            </w:tcBorders>
            <w:shd w:val="clear" w:color="auto" w:fill="auto"/>
            <w:vAlign w:val="center"/>
            <w:hideMark/>
          </w:tcPr>
          <w:p w14:paraId="32B3D91B" w14:textId="77777777" w:rsidR="00AE2A09" w:rsidRDefault="00AE2A09">
            <w:pPr>
              <w:jc w:val="center"/>
              <w:rPr>
                <w:color w:val="000000"/>
              </w:rPr>
            </w:pPr>
            <w:r>
              <w:rPr>
                <w:color w:val="000000"/>
              </w:rPr>
              <w:t> </w:t>
            </w:r>
          </w:p>
        </w:tc>
        <w:tc>
          <w:tcPr>
            <w:tcW w:w="1300" w:type="dxa"/>
            <w:tcBorders>
              <w:top w:val="nil"/>
              <w:left w:val="nil"/>
              <w:bottom w:val="single" w:sz="4" w:space="0" w:color="auto"/>
              <w:right w:val="single" w:sz="4" w:space="0" w:color="auto"/>
            </w:tcBorders>
            <w:shd w:val="clear" w:color="auto" w:fill="auto"/>
            <w:noWrap/>
            <w:vAlign w:val="center"/>
            <w:hideMark/>
          </w:tcPr>
          <w:p w14:paraId="389CB51B" w14:textId="77777777" w:rsidR="00AE2A09" w:rsidRDefault="00AE2A0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vAlign w:val="center"/>
            <w:hideMark/>
          </w:tcPr>
          <w:p w14:paraId="6EDCA48C" w14:textId="77777777" w:rsidR="00AE2A09" w:rsidRDefault="00AE2A09">
            <w:pPr>
              <w:jc w:val="center"/>
              <w:rPr>
                <w:color w:val="000000"/>
              </w:rPr>
            </w:pPr>
            <w:r>
              <w:rPr>
                <w:color w:val="000000"/>
              </w:rPr>
              <w:t> </w:t>
            </w:r>
          </w:p>
        </w:tc>
        <w:tc>
          <w:tcPr>
            <w:tcW w:w="1500" w:type="dxa"/>
            <w:tcBorders>
              <w:top w:val="nil"/>
              <w:left w:val="nil"/>
              <w:bottom w:val="single" w:sz="4" w:space="0" w:color="auto"/>
              <w:right w:val="single" w:sz="4" w:space="0" w:color="auto"/>
            </w:tcBorders>
            <w:shd w:val="clear" w:color="auto" w:fill="auto"/>
            <w:noWrap/>
            <w:vAlign w:val="center"/>
            <w:hideMark/>
          </w:tcPr>
          <w:p w14:paraId="21A1839A" w14:textId="77777777" w:rsidR="00AE2A09" w:rsidRDefault="00AE2A09">
            <w:pPr>
              <w:jc w:val="center"/>
              <w:rPr>
                <w:color w:val="000000"/>
              </w:rPr>
            </w:pPr>
            <w:r>
              <w:rPr>
                <w:color w:val="000000"/>
              </w:rPr>
              <w:t>-</w:t>
            </w:r>
          </w:p>
        </w:tc>
      </w:tr>
    </w:tbl>
    <w:p w14:paraId="07748C5C" w14:textId="77777777" w:rsidR="001B1EB0" w:rsidRDefault="001B1EB0" w:rsidP="00957DC6">
      <w:pPr>
        <w:rPr>
          <w:color w:val="000000" w:themeColor="text1"/>
        </w:rPr>
      </w:pPr>
    </w:p>
    <w:p w14:paraId="4CC1D1FD" w14:textId="333797A6" w:rsidR="00957DC6" w:rsidRPr="001B1EB0" w:rsidRDefault="00957DC6" w:rsidP="00957DC6">
      <w:pPr>
        <w:rPr>
          <w:color w:val="000000" w:themeColor="text1"/>
        </w:rPr>
      </w:pPr>
      <w:r w:rsidRPr="00023312">
        <w:rPr>
          <w:color w:val="000000" w:themeColor="text1"/>
        </w:rPr>
        <w:lastRenderedPageBreak/>
        <w:t>Calculated partition coefficients are indicated in the source column (Cal.). (Sup.) in the source column indicates the partition coefficients were calculated using the lattice strain models in the electronic supplement of this study. Partition coefficients that are not calculated, are taken from partitioning experiments.</w:t>
      </w:r>
    </w:p>
    <w:p w14:paraId="42A1BBEA" w14:textId="77777777" w:rsidR="00957DC6" w:rsidRPr="001B1EB0" w:rsidRDefault="00957DC6" w:rsidP="00957DC6">
      <w:pPr>
        <w:rPr>
          <w:color w:val="000000" w:themeColor="text1"/>
        </w:rPr>
      </w:pPr>
      <w:r w:rsidRPr="00023312">
        <w:rPr>
          <w:color w:val="000000" w:themeColor="text1"/>
        </w:rPr>
        <w:t>Calculation parameters were calculated for mineral compositions from lunar relevant experiments. Studies and experiments that compositions data was sourced from are indicated at the bottom of the table.</w:t>
      </w:r>
    </w:p>
    <w:p w14:paraId="51B2D427" w14:textId="77777777" w:rsidR="00957DC6" w:rsidRPr="001B1EB0" w:rsidRDefault="00957DC6" w:rsidP="00957DC6">
      <w:pPr>
        <w:rPr>
          <w:color w:val="000000" w:themeColor="text1"/>
        </w:rPr>
      </w:pPr>
      <w:r w:rsidRPr="00023312">
        <w:rPr>
          <w:color w:val="000000" w:themeColor="text1"/>
        </w:rPr>
        <w:t>Eu partition coefficients for Ol, Opx, Cpx, Plag, and Ilm presented in this table assume an ƒO</w:t>
      </w:r>
      <w:r w:rsidRPr="00023312">
        <w:rPr>
          <w:color w:val="000000" w:themeColor="text1"/>
          <w:vertAlign w:val="subscript"/>
        </w:rPr>
        <w:t>2</w:t>
      </w:r>
      <w:r w:rsidRPr="00023312">
        <w:rPr>
          <w:color w:val="000000" w:themeColor="text1"/>
        </w:rPr>
        <w:t xml:space="preserve"> equal to the IW redox buffer. The Log(ƒO2) of the IW redox buffer for a given temperature was determined using the buffer model from O'Neill and Pownceby (1993).</w:t>
      </w:r>
    </w:p>
    <w:p w14:paraId="5481B555" w14:textId="77777777" w:rsidR="00957DC6" w:rsidRPr="001B1EB0" w:rsidRDefault="00957DC6" w:rsidP="00957DC6">
      <w:pPr>
        <w:rPr>
          <w:color w:val="000000" w:themeColor="text1"/>
        </w:rPr>
      </w:pPr>
      <w:r w:rsidRPr="00023312">
        <w:rPr>
          <w:color w:val="000000" w:themeColor="text1"/>
        </w:rPr>
        <w:t>The LMO solidification stage in which each set of partition coefficients is used is indicated in the Stage row above the calculation parameters</w:t>
      </w:r>
    </w:p>
    <w:p w14:paraId="0F165D91" w14:textId="77777777" w:rsidR="00957DC6" w:rsidRPr="001B1EB0" w:rsidRDefault="00957DC6" w:rsidP="00957DC6">
      <w:pPr>
        <w:rPr>
          <w:color w:val="000000" w:themeColor="text1"/>
        </w:rPr>
      </w:pPr>
      <w:r w:rsidRPr="00023312">
        <w:rPr>
          <w:color w:val="000000" w:themeColor="text1"/>
        </w:rPr>
        <w:t>Olivine (Ol), Orthopyroxene (Opx), Clinopyroxene (Cpx), Pigeonite (Pig), Plagioclase (Plag), Ilmenite (Ilm), Quartz (Qtz), Interstitial Melt (Int-Mlt)</w:t>
      </w:r>
    </w:p>
    <w:p w14:paraId="4F06187D" w14:textId="5B9C2E81" w:rsidR="00211601" w:rsidRDefault="00957DC6" w:rsidP="00707EA1">
      <w:pPr>
        <w:rPr>
          <w:noProof/>
          <w:color w:val="000000" w:themeColor="text1"/>
        </w:rPr>
      </w:pPr>
      <w:r w:rsidRPr="00023312">
        <w:rPr>
          <w:color w:val="000000" w:themeColor="text1"/>
          <w:vertAlign w:val="superscript"/>
        </w:rPr>
        <w:t>a</w:t>
      </w:r>
      <w:r w:rsidRPr="00023312">
        <w:rPr>
          <w:color w:val="000000" w:themeColor="text1"/>
        </w:rPr>
        <w:t xml:space="preserve">McDonough and Sun (1995), </w:t>
      </w:r>
      <w:r w:rsidRPr="00023312">
        <w:rPr>
          <w:color w:val="000000" w:themeColor="text1"/>
          <w:vertAlign w:val="superscript"/>
        </w:rPr>
        <w:t>b</w:t>
      </w:r>
      <w:r w:rsidRPr="00023312">
        <w:rPr>
          <w:color w:val="000000" w:themeColor="text1"/>
        </w:rPr>
        <w:t xml:space="preserve">Sun and Liang (2013a), </w:t>
      </w:r>
      <w:r w:rsidRPr="00023312">
        <w:rPr>
          <w:color w:val="000000" w:themeColor="text1"/>
          <w:vertAlign w:val="superscript"/>
        </w:rPr>
        <w:t>c</w:t>
      </w:r>
      <w:r w:rsidRPr="00023312">
        <w:rPr>
          <w:color w:val="000000" w:themeColor="text1"/>
        </w:rPr>
        <w:t xml:space="preserve">Dalou et al. (2012), </w:t>
      </w:r>
      <w:r w:rsidRPr="00023312">
        <w:rPr>
          <w:color w:val="000000" w:themeColor="text1"/>
          <w:vertAlign w:val="superscript"/>
        </w:rPr>
        <w:t>d</w:t>
      </w:r>
      <w:r w:rsidRPr="00023312">
        <w:rPr>
          <w:color w:val="000000" w:themeColor="text1"/>
        </w:rPr>
        <w:t xml:space="preserve">Sun and Liang (2013b), </w:t>
      </w:r>
      <w:r w:rsidRPr="00023312">
        <w:rPr>
          <w:color w:val="000000" w:themeColor="text1"/>
          <w:vertAlign w:val="superscript"/>
        </w:rPr>
        <w:t>e</w:t>
      </w:r>
      <w:r w:rsidRPr="00023312">
        <w:rPr>
          <w:color w:val="000000" w:themeColor="text1"/>
        </w:rPr>
        <w:t xml:space="preserve">Fibbrizio et al. (2021), </w:t>
      </w:r>
      <w:r w:rsidRPr="00023312">
        <w:rPr>
          <w:color w:val="000000" w:themeColor="text1"/>
          <w:vertAlign w:val="superscript"/>
        </w:rPr>
        <w:t>f</w:t>
      </w:r>
      <w:r w:rsidRPr="00023312">
        <w:rPr>
          <w:color w:val="000000" w:themeColor="text1"/>
        </w:rPr>
        <w:t xml:space="preserve">Dygert et al. (2014), </w:t>
      </w:r>
      <w:r w:rsidRPr="00023312">
        <w:rPr>
          <w:color w:val="000000" w:themeColor="text1"/>
          <w:vertAlign w:val="superscript"/>
        </w:rPr>
        <w:t>g</w:t>
      </w:r>
      <w:r w:rsidRPr="00023312">
        <w:rPr>
          <w:color w:val="000000" w:themeColor="text1"/>
        </w:rPr>
        <w:t xml:space="preserve">Dygert et al. (2020), </w:t>
      </w:r>
      <w:r w:rsidRPr="00023312">
        <w:rPr>
          <w:color w:val="000000" w:themeColor="text1"/>
          <w:vertAlign w:val="superscript"/>
        </w:rPr>
        <w:t>h</w:t>
      </w:r>
      <w:r w:rsidRPr="00023312">
        <w:rPr>
          <w:color w:val="000000" w:themeColor="text1"/>
        </w:rPr>
        <w:t xml:space="preserve">Snape et al. (2022), </w:t>
      </w:r>
      <w:r w:rsidRPr="00023312">
        <w:rPr>
          <w:color w:val="000000" w:themeColor="text1"/>
          <w:vertAlign w:val="superscript"/>
        </w:rPr>
        <w:t>i</w:t>
      </w:r>
      <w:r w:rsidRPr="00023312">
        <w:rPr>
          <w:color w:val="000000" w:themeColor="text1"/>
        </w:rPr>
        <w:t xml:space="preserve">Sun et al. (2017), </w:t>
      </w:r>
      <w:r w:rsidRPr="00023312">
        <w:rPr>
          <w:color w:val="000000" w:themeColor="text1"/>
          <w:vertAlign w:val="superscript"/>
        </w:rPr>
        <w:t>j</w:t>
      </w:r>
      <w:r w:rsidRPr="00023312">
        <w:rPr>
          <w:color w:val="000000" w:themeColor="text1"/>
        </w:rPr>
        <w:t xml:space="preserve">Dygert et al. (2013), </w:t>
      </w:r>
      <w:r w:rsidRPr="00023312">
        <w:rPr>
          <w:color w:val="000000" w:themeColor="text1"/>
          <w:vertAlign w:val="superscript"/>
        </w:rPr>
        <w:t>k</w:t>
      </w:r>
      <w:r w:rsidRPr="00023312">
        <w:rPr>
          <w:color w:val="000000" w:themeColor="text1"/>
        </w:rPr>
        <w:t xml:space="preserve">Brey et al. (2015), </w:t>
      </w:r>
      <w:r w:rsidRPr="00023312">
        <w:rPr>
          <w:color w:val="000000" w:themeColor="text1"/>
          <w:vertAlign w:val="superscript"/>
        </w:rPr>
        <w:t>l</w:t>
      </w:r>
      <w:r w:rsidRPr="00023312">
        <w:rPr>
          <w:color w:val="000000" w:themeColor="text1"/>
        </w:rPr>
        <w:t xml:space="preserve">Charlier et al. (2018), </w:t>
      </w:r>
      <w:r w:rsidRPr="00023312">
        <w:rPr>
          <w:color w:val="000000" w:themeColor="text1"/>
          <w:vertAlign w:val="superscript"/>
        </w:rPr>
        <w:t>m</w:t>
      </w:r>
      <w:r w:rsidRPr="00023312">
        <w:rPr>
          <w:color w:val="000000" w:themeColor="text1"/>
        </w:rPr>
        <w:t>Elardo et al. (2011)</w:t>
      </w:r>
      <w:r>
        <w:rPr>
          <w:noProof/>
          <w:color w:val="000000" w:themeColor="text1"/>
        </w:rPr>
        <w:br w:type="page"/>
      </w:r>
    </w:p>
    <w:p w14:paraId="1F663CA7" w14:textId="1127C516" w:rsidR="00F45EF5" w:rsidRDefault="00F45EF5" w:rsidP="00ED6B3E">
      <w:pPr>
        <w:spacing w:line="480" w:lineRule="auto"/>
        <w:rPr>
          <w:color w:val="000000" w:themeColor="text1"/>
        </w:rPr>
      </w:pPr>
      <w:r w:rsidRPr="00557062">
        <w:rPr>
          <w:color w:val="000000" w:themeColor="text1"/>
        </w:rPr>
        <w:lastRenderedPageBreak/>
        <w:t>The fractionation of Eu in the LMO cumulates is primarily controlled by crystallization and floatation of plagioclase since Eu</w:t>
      </w:r>
      <w:r w:rsidRPr="00557062">
        <w:rPr>
          <w:color w:val="000000" w:themeColor="text1"/>
          <w:vertAlign w:val="superscript"/>
        </w:rPr>
        <w:t>2+</w:t>
      </w:r>
      <w:r w:rsidRPr="00557062">
        <w:rPr>
          <w:color w:val="000000" w:themeColor="text1"/>
        </w:rPr>
        <w:t xml:space="preserve"> can substitute into the ring site of the feldspar structure normally occupied by Ca</w:t>
      </w:r>
      <w:r w:rsidRPr="00557062">
        <w:rPr>
          <w:color w:val="000000" w:themeColor="text1"/>
          <w:vertAlign w:val="superscript"/>
        </w:rPr>
        <w:t>2+</w:t>
      </w:r>
      <w:r w:rsidRPr="00557062">
        <w:rPr>
          <w:color w:val="000000" w:themeColor="text1"/>
        </w:rPr>
        <w:t>. Other minerals such as Cpx, Opx, and apatite can also fractionate Eu due to similar substitution effects (Getani and Grove, 1995; Fabbrizio et al., 2021</w:t>
      </w:r>
      <w:r w:rsidRPr="00557062">
        <w:rPr>
          <w:b/>
          <w:bCs/>
          <w:color w:val="000000" w:themeColor="text1"/>
        </w:rPr>
        <w:t xml:space="preserve">; </w:t>
      </w:r>
      <w:r w:rsidRPr="00557062">
        <w:rPr>
          <w:color w:val="000000" w:themeColor="text1"/>
        </w:rPr>
        <w:t>Ji and Dygert, 2024). To assess the effect of ƒO</w:t>
      </w:r>
      <w:r w:rsidRPr="00557062">
        <w:rPr>
          <w:color w:val="000000" w:themeColor="text1"/>
          <w:vertAlign w:val="subscript"/>
        </w:rPr>
        <w:t>2</w:t>
      </w:r>
      <w:r w:rsidRPr="00557062">
        <w:rPr>
          <w:color w:val="000000" w:themeColor="text1"/>
        </w:rPr>
        <w:t xml:space="preserve"> on Eu fractionation during LMO solidification, we calculated the Eu partition coefficients of Plag, Cpx, and Opx using ƒO</w:t>
      </w:r>
      <w:r w:rsidRPr="00557062">
        <w:rPr>
          <w:color w:val="000000" w:themeColor="text1"/>
          <w:vertAlign w:val="subscript"/>
        </w:rPr>
        <w:t>2</w:t>
      </w:r>
      <w:r w:rsidRPr="00557062">
        <w:rPr>
          <w:color w:val="000000" w:themeColor="text1"/>
        </w:rPr>
        <w:t xml:space="preserve"> dependent partition coefficient calculators (Dygert et al., 2020, Fabbrizio et al., 2021). For Ol and Ilm, we estimate the effect of ƒO</w:t>
      </w:r>
      <w:r w:rsidRPr="00557062">
        <w:rPr>
          <w:color w:val="000000" w:themeColor="text1"/>
          <w:vertAlign w:val="subscript"/>
        </w:rPr>
        <w:t>2</w:t>
      </w:r>
      <w:r w:rsidRPr="00557062">
        <w:rPr>
          <w:color w:val="000000" w:themeColor="text1"/>
        </w:rPr>
        <w:t xml:space="preserve"> on Eu partitioning using divalent element (i.e., Mg, Mn, Fe, and Ca) lattice strain models using literature data, REE lattice strain models from previous studies and the ƒO</w:t>
      </w:r>
      <w:r w:rsidRPr="00557062">
        <w:rPr>
          <w:color w:val="000000" w:themeColor="text1"/>
          <w:vertAlign w:val="subscript"/>
        </w:rPr>
        <w:t>2</w:t>
      </w:r>
      <w:r w:rsidRPr="00557062">
        <w:rPr>
          <w:color w:val="000000" w:themeColor="text1"/>
        </w:rPr>
        <w:t xml:space="preserve"> dependent Eu</w:t>
      </w:r>
      <w:r w:rsidRPr="00557062">
        <w:rPr>
          <w:color w:val="000000" w:themeColor="text1"/>
          <w:vertAlign w:val="superscript"/>
        </w:rPr>
        <w:t>3+</w:t>
      </w:r>
      <w:r w:rsidRPr="00557062">
        <w:rPr>
          <w:color w:val="000000" w:themeColor="text1"/>
        </w:rPr>
        <w:t xml:space="preserve"> to Eu</w:t>
      </w:r>
      <w:r w:rsidRPr="00557062">
        <w:rPr>
          <w:color w:val="000000" w:themeColor="text1"/>
          <w:vertAlign w:val="superscript"/>
        </w:rPr>
        <w:t>2+</w:t>
      </w:r>
      <w:r w:rsidRPr="00557062">
        <w:rPr>
          <w:color w:val="000000" w:themeColor="text1"/>
        </w:rPr>
        <w:t xml:space="preserve"> melt distribution calculator from Dygert et al. (2020) (see </w:t>
      </w:r>
      <w:r>
        <w:rPr>
          <w:color w:val="000000" w:themeColor="text1"/>
        </w:rPr>
        <w:t xml:space="preserve">the </w:t>
      </w:r>
      <w:r w:rsidRPr="00557062">
        <w:rPr>
          <w:color w:val="000000" w:themeColor="text1"/>
        </w:rPr>
        <w:t xml:space="preserve">supporting </w:t>
      </w:r>
      <w:r>
        <w:rPr>
          <w:color w:val="000000" w:themeColor="text1"/>
        </w:rPr>
        <w:t>t</w:t>
      </w:r>
      <w:r w:rsidRPr="00557062">
        <w:rPr>
          <w:color w:val="000000" w:themeColor="text1"/>
        </w:rPr>
        <w:t xml:space="preserve">ext </w:t>
      </w:r>
      <w:r>
        <w:rPr>
          <w:color w:val="000000" w:themeColor="text1"/>
        </w:rPr>
        <w:t>in Appendix B</w:t>
      </w:r>
      <w:r w:rsidRPr="00557062">
        <w:rPr>
          <w:color w:val="000000" w:themeColor="text1"/>
        </w:rPr>
        <w:t xml:space="preserve"> </w:t>
      </w:r>
      <w:r>
        <w:rPr>
          <w:color w:val="000000" w:themeColor="text1"/>
        </w:rPr>
        <w:t xml:space="preserve">and </w:t>
      </w:r>
      <w:r w:rsidRPr="00F45EF5">
        <w:rPr>
          <w:b/>
          <w:bCs/>
          <w:color w:val="000000" w:themeColor="text1"/>
        </w:rPr>
        <w:t>Figures B1, B2, and B3</w:t>
      </w:r>
      <w:r w:rsidRPr="00557062">
        <w:rPr>
          <w:color w:val="000000" w:themeColor="text1"/>
        </w:rPr>
        <w:t xml:space="preserve"> for lattice strain model parameters and results). For Pig and Qtz, the current experimental data sets are insufficient to estimate the Eu</w:t>
      </w:r>
      <w:r w:rsidRPr="00557062">
        <w:rPr>
          <w:color w:val="000000" w:themeColor="text1"/>
          <w:vertAlign w:val="superscript"/>
        </w:rPr>
        <w:t>2+</w:t>
      </w:r>
      <w:r w:rsidRPr="00557062">
        <w:rPr>
          <w:color w:val="000000" w:themeColor="text1"/>
        </w:rPr>
        <w:t xml:space="preserve"> partitioning behavior using methods similar to this study's Ol and Ilm estimates. Thus, the Eu partition coefficient is calculated using a trivalent element partitioning calculator for Pig and the Eu partition coefficient for Qtz is taken directly from literature (</w:t>
      </w:r>
      <w:r w:rsidRPr="002A57B8">
        <w:rPr>
          <w:b/>
          <w:bCs/>
          <w:color w:val="000000" w:themeColor="text1"/>
        </w:rPr>
        <w:t xml:space="preserve">Table </w:t>
      </w:r>
      <w:r w:rsidR="002A57B8">
        <w:rPr>
          <w:b/>
          <w:bCs/>
          <w:color w:val="000000" w:themeColor="text1"/>
        </w:rPr>
        <w:t>2.</w:t>
      </w:r>
      <w:r w:rsidRPr="002A57B8">
        <w:rPr>
          <w:b/>
          <w:bCs/>
          <w:color w:val="000000" w:themeColor="text1"/>
        </w:rPr>
        <w:t>2</w:t>
      </w:r>
      <w:r w:rsidRPr="00557062">
        <w:rPr>
          <w:color w:val="000000" w:themeColor="text1"/>
        </w:rPr>
        <w:t>).</w:t>
      </w:r>
    </w:p>
    <w:p w14:paraId="477A9862" w14:textId="77777777" w:rsidR="004D17F4" w:rsidRPr="00557062" w:rsidRDefault="004D17F4" w:rsidP="006E67B1">
      <w:pPr>
        <w:pStyle w:val="Heading3"/>
      </w:pPr>
      <w:bookmarkStart w:id="258" w:name="_Toc182995475"/>
      <w:bookmarkStart w:id="259" w:name="_Toc183536592"/>
      <w:bookmarkStart w:id="260" w:name="_Toc184727396"/>
      <w:bookmarkStart w:id="261" w:name="_Toc185325643"/>
      <w:r w:rsidRPr="00557062">
        <w:t>LMO Solidification Products</w:t>
      </w:r>
      <w:bookmarkEnd w:id="258"/>
      <w:bookmarkEnd w:id="259"/>
      <w:bookmarkEnd w:id="260"/>
      <w:bookmarkEnd w:id="261"/>
    </w:p>
    <w:p w14:paraId="4534C81C" w14:textId="77777777" w:rsidR="004D17F4" w:rsidRDefault="004D17F4" w:rsidP="004D17F4">
      <w:pPr>
        <w:spacing w:line="480" w:lineRule="auto"/>
        <w:ind w:firstLine="720"/>
        <w:rPr>
          <w:color w:val="000000" w:themeColor="text1"/>
        </w:rPr>
      </w:pPr>
      <w:r w:rsidRPr="00557062">
        <w:rPr>
          <w:color w:val="000000" w:themeColor="text1"/>
        </w:rPr>
        <w:t>As shown in previous studies, progressive solidification of the LMO would result in a heterogeneous major and trace element distribution in the lunar mantle (Snyder et al., 1992; Elkins-Tanton et al., 2011; Lin et al., 2017; Charlier et al., 2018; Rapp and Draper, 2018). Models from this study and previous work (Snyder et al., 1992; Rapp and Draper, 2018) demonstrate that the majority of magma ocean cumulates (~85%) would have sub-</w:t>
      </w:r>
      <w:r w:rsidRPr="00557062">
        <w:rPr>
          <w:color w:val="000000" w:themeColor="text1"/>
        </w:rPr>
        <w:lastRenderedPageBreak/>
        <w:t>chondritic REE and Hf concentrations (</w:t>
      </w:r>
      <w:r w:rsidRPr="00290286">
        <w:rPr>
          <w:b/>
          <w:bCs/>
          <w:color w:val="000000" w:themeColor="text1"/>
        </w:rPr>
        <w:t>Figure 2.2a</w:t>
      </w:r>
      <w:r w:rsidRPr="00557062">
        <w:rPr>
          <w:color w:val="000000" w:themeColor="text1"/>
        </w:rPr>
        <w:t>). Magma ocean cumulates, which form during the last 15% of LMO solidification (including the IBC layer), contain significantly more REE and Hf than early crystallizing LMO cumulates (</w:t>
      </w:r>
      <w:r w:rsidRPr="00CB7ADA">
        <w:rPr>
          <w:b/>
          <w:bCs/>
          <w:color w:val="000000" w:themeColor="text1"/>
        </w:rPr>
        <w:t xml:space="preserve">Table </w:t>
      </w:r>
      <w:r>
        <w:rPr>
          <w:b/>
          <w:bCs/>
          <w:color w:val="000000" w:themeColor="text1"/>
        </w:rPr>
        <w:t>2.</w:t>
      </w:r>
      <w:r w:rsidRPr="00CB7ADA">
        <w:rPr>
          <w:b/>
          <w:bCs/>
          <w:color w:val="000000" w:themeColor="text1"/>
        </w:rPr>
        <w:t>3</w:t>
      </w:r>
      <w:r w:rsidRPr="00557062">
        <w:rPr>
          <w:color w:val="000000" w:themeColor="text1"/>
        </w:rPr>
        <w:t xml:space="preserve">). </w:t>
      </w:r>
    </w:p>
    <w:p w14:paraId="2622C630" w14:textId="77777777" w:rsidR="0043680A" w:rsidRDefault="004D17F4" w:rsidP="004D17F4">
      <w:pPr>
        <w:spacing w:line="480" w:lineRule="auto"/>
        <w:ind w:firstLine="720"/>
        <w:rPr>
          <w:color w:val="000000" w:themeColor="text1"/>
        </w:rPr>
      </w:pPr>
      <w:r w:rsidRPr="00557062">
        <w:rPr>
          <w:color w:val="000000" w:themeColor="text1"/>
        </w:rPr>
        <w:t>Relative to the lunar picritic glasses and KREEP-basalts (</w:t>
      </w:r>
      <w:r w:rsidRPr="00CB7ADA">
        <w:rPr>
          <w:b/>
          <w:bCs/>
          <w:color w:val="000000" w:themeColor="text1"/>
        </w:rPr>
        <w:t>Figure 2.2b</w:t>
      </w:r>
      <w:r w:rsidRPr="00557062">
        <w:rPr>
          <w:color w:val="000000" w:themeColor="text1"/>
        </w:rPr>
        <w:t>), the early LMO cumulates are HREE-enriched and have elevated (Yb/Sm)</w:t>
      </w:r>
      <w:r w:rsidRPr="00557062">
        <w:rPr>
          <w:color w:val="000000" w:themeColor="text1"/>
          <w:vertAlign w:val="subscript"/>
        </w:rPr>
        <w:t>N</w:t>
      </w:r>
      <w:r w:rsidRPr="00557062">
        <w:rPr>
          <w:color w:val="000000" w:themeColor="text1"/>
        </w:rPr>
        <w:t xml:space="preserve"> (</w:t>
      </w:r>
      <w:r w:rsidRPr="00CB7ADA">
        <w:rPr>
          <w:b/>
          <w:bCs/>
          <w:color w:val="000000" w:themeColor="text1"/>
        </w:rPr>
        <w:t>Figure 2.3a</w:t>
      </w:r>
      <w:r w:rsidRPr="00557062">
        <w:rPr>
          <w:color w:val="000000" w:themeColor="text1"/>
        </w:rPr>
        <w:t>) and (Lu/Hf)</w:t>
      </w:r>
      <w:r w:rsidRPr="00557062">
        <w:rPr>
          <w:color w:val="000000" w:themeColor="text1"/>
          <w:vertAlign w:val="subscript"/>
        </w:rPr>
        <w:t>N</w:t>
      </w:r>
      <w:r w:rsidRPr="00557062">
        <w:rPr>
          <w:color w:val="000000" w:themeColor="text1"/>
        </w:rPr>
        <w:t xml:space="preserve"> ratios (</w:t>
      </w:r>
      <w:r w:rsidRPr="00CB7ADA">
        <w:rPr>
          <w:b/>
          <w:bCs/>
          <w:color w:val="000000" w:themeColor="text1"/>
        </w:rPr>
        <w:t>Figure 2.3b</w:t>
      </w:r>
      <w:r w:rsidRPr="00557062">
        <w:rPr>
          <w:color w:val="000000" w:themeColor="text1"/>
        </w:rPr>
        <w:t>). The REE concentrations and trajectory with respect to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of LMO cumulates dramatically shift in the last ~15% of magma ocean solidification, becoming progressively less HREE-enriched as plagioclase and high-Ca pyroxenes begin to dominate the cumulate mineral assemblage. This progressive decrease in the degree of HREE enrichment throughout late magma ocean cumulate crystallization drives the elemental ratios toward that of the intermediate-Ti (i.e., yellow picritic glasses) and high-Ti lunar picritic glasses (i.e., orange, red, and black picritic glasses) and produces an IBC layer with similar (albeit slightly higher)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to most of these picritic glasses (</w:t>
      </w:r>
      <w:r w:rsidRPr="00CB7ADA">
        <w:rPr>
          <w:b/>
          <w:bCs/>
          <w:color w:val="000000" w:themeColor="text1"/>
        </w:rPr>
        <w:t xml:space="preserve">Figure </w:t>
      </w:r>
      <w:r>
        <w:rPr>
          <w:b/>
          <w:bCs/>
          <w:color w:val="000000" w:themeColor="text1"/>
        </w:rPr>
        <w:t>2.</w:t>
      </w:r>
      <w:r w:rsidRPr="00CB7ADA">
        <w:rPr>
          <w:b/>
          <w:bCs/>
          <w:color w:val="000000" w:themeColor="text1"/>
        </w:rPr>
        <w:t>3</w:t>
      </w:r>
      <w:r w:rsidRPr="00557062">
        <w:rPr>
          <w:color w:val="000000" w:themeColor="text1"/>
        </w:rPr>
        <w:t>). A MATLAB script, which may be used to model trace element fractionation during LMO solidification</w:t>
      </w:r>
      <w:r>
        <w:rPr>
          <w:color w:val="000000" w:themeColor="text1"/>
        </w:rPr>
        <w:t xml:space="preserve"> can be found in Scholpp and Dygert (2024b)</w:t>
      </w:r>
      <w:r w:rsidRPr="00557062">
        <w:rPr>
          <w:color w:val="000000" w:themeColor="text1"/>
        </w:rPr>
        <w:t>.</w:t>
      </w:r>
    </w:p>
    <w:p w14:paraId="43551538" w14:textId="2578CB7A" w:rsidR="00015213" w:rsidRDefault="00015213" w:rsidP="004D17F4">
      <w:pPr>
        <w:spacing w:line="480" w:lineRule="auto"/>
        <w:ind w:firstLine="720"/>
        <w:rPr>
          <w:color w:val="000000" w:themeColor="text1"/>
        </w:rPr>
      </w:pPr>
      <w:r>
        <w:rPr>
          <w:color w:val="000000" w:themeColor="text1"/>
        </w:rPr>
        <w:br w:type="page"/>
      </w:r>
    </w:p>
    <w:p w14:paraId="3772287E" w14:textId="4645B478" w:rsidR="00015213" w:rsidRPr="00557062" w:rsidRDefault="00015213" w:rsidP="00015213">
      <w:pPr>
        <w:pStyle w:val="Tables"/>
      </w:pPr>
      <w:bookmarkStart w:id="262" w:name="_Toc185263593"/>
      <w:r w:rsidRPr="00557062">
        <w:rPr>
          <w:b/>
          <w:bCs/>
        </w:rPr>
        <w:lastRenderedPageBreak/>
        <w:t xml:space="preserve">Table </w:t>
      </w:r>
      <w:r w:rsidR="004C2419">
        <w:rPr>
          <w:b/>
          <w:bCs/>
        </w:rPr>
        <w:t>2.</w:t>
      </w:r>
      <w:r w:rsidRPr="00557062">
        <w:rPr>
          <w:b/>
          <w:bCs/>
        </w:rPr>
        <w:t>3.</w:t>
      </w:r>
      <w:r w:rsidRPr="00557062">
        <w:t xml:space="preserve"> Average REE+Hf abundances and ratios for modeled LMO cumulate layers and IBC material assuming 90% plagioclase floatation efficiency</w:t>
      </w:r>
      <w:r w:rsidR="00C40415">
        <w:t>.</w:t>
      </w:r>
      <w:bookmarkEnd w:id="262"/>
    </w:p>
    <w:tbl>
      <w:tblPr>
        <w:tblW w:w="7560" w:type="dxa"/>
        <w:tblLook w:val="04A0" w:firstRow="1" w:lastRow="0" w:firstColumn="1" w:lastColumn="0" w:noHBand="0" w:noVBand="1"/>
      </w:tblPr>
      <w:tblGrid>
        <w:gridCol w:w="1080"/>
        <w:gridCol w:w="1080"/>
        <w:gridCol w:w="1080"/>
        <w:gridCol w:w="1080"/>
        <w:gridCol w:w="1080"/>
        <w:gridCol w:w="1080"/>
        <w:gridCol w:w="1080"/>
      </w:tblGrid>
      <w:tr w:rsidR="00E40E76" w14:paraId="6D24B9B5" w14:textId="77777777" w:rsidTr="00E40E76">
        <w:trPr>
          <w:trHeight w:val="680"/>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2E37D2" w14:textId="77777777" w:rsidR="00E40E76" w:rsidRDefault="00E40E76">
            <w:pPr>
              <w:jc w:val="center"/>
              <w:rPr>
                <w:color w:val="000000"/>
              </w:rPr>
            </w:pPr>
            <w:r>
              <w:rPr>
                <w:color w:val="000000"/>
              </w:rPr>
              <w:t>Element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B201E12" w14:textId="77777777" w:rsidR="00E40E76" w:rsidRDefault="00E40E76">
            <w:pPr>
              <w:jc w:val="center"/>
              <w:rPr>
                <w:color w:val="000000"/>
              </w:rPr>
            </w:pPr>
            <w:r>
              <w:rPr>
                <w:color w:val="000000"/>
              </w:rPr>
              <w:t>Layer #1 (ppm)</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A2E8DE1" w14:textId="77777777" w:rsidR="00E40E76" w:rsidRDefault="00E40E76">
            <w:pPr>
              <w:jc w:val="center"/>
              <w:rPr>
                <w:color w:val="000000"/>
              </w:rPr>
            </w:pPr>
            <w:r>
              <w:rPr>
                <w:color w:val="000000"/>
              </w:rPr>
              <w:t>Layer #1 (CN)</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705B59A" w14:textId="77777777" w:rsidR="00E40E76" w:rsidRDefault="00E40E76">
            <w:pPr>
              <w:jc w:val="center"/>
              <w:rPr>
                <w:color w:val="000000"/>
              </w:rPr>
            </w:pPr>
            <w:r>
              <w:rPr>
                <w:color w:val="000000"/>
              </w:rPr>
              <w:t>Layer #2 (ppm)</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11485A7" w14:textId="77777777" w:rsidR="00E40E76" w:rsidRDefault="00E40E76">
            <w:pPr>
              <w:jc w:val="center"/>
              <w:rPr>
                <w:color w:val="000000"/>
              </w:rPr>
            </w:pPr>
            <w:r>
              <w:rPr>
                <w:color w:val="000000"/>
              </w:rPr>
              <w:t>Layer #2 (CN)</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B580DB2" w14:textId="77777777" w:rsidR="00E40E76" w:rsidRDefault="00E40E76">
            <w:pPr>
              <w:jc w:val="center"/>
              <w:rPr>
                <w:color w:val="000000"/>
              </w:rPr>
            </w:pPr>
            <w:r>
              <w:rPr>
                <w:color w:val="000000"/>
              </w:rPr>
              <w:t>Layer #3 (ppm)</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C1217B8" w14:textId="77777777" w:rsidR="00E40E76" w:rsidRDefault="00E40E76">
            <w:pPr>
              <w:jc w:val="center"/>
              <w:rPr>
                <w:color w:val="000000"/>
              </w:rPr>
            </w:pPr>
            <w:r>
              <w:rPr>
                <w:color w:val="000000"/>
              </w:rPr>
              <w:t>Layer #3 (CN)</w:t>
            </w:r>
          </w:p>
        </w:tc>
      </w:tr>
      <w:tr w:rsidR="00E40E76" w14:paraId="5382EF1B"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4F53E67" w14:textId="77777777" w:rsidR="00E40E76" w:rsidRDefault="00E40E76">
            <w:pPr>
              <w:jc w:val="center"/>
              <w:rPr>
                <w:color w:val="000000"/>
              </w:rPr>
            </w:pPr>
            <w:r>
              <w:rPr>
                <w:color w:val="000000"/>
              </w:rPr>
              <w:t>La</w:t>
            </w:r>
          </w:p>
        </w:tc>
        <w:tc>
          <w:tcPr>
            <w:tcW w:w="1080" w:type="dxa"/>
            <w:tcBorders>
              <w:top w:val="nil"/>
              <w:left w:val="nil"/>
              <w:bottom w:val="single" w:sz="4" w:space="0" w:color="auto"/>
              <w:right w:val="single" w:sz="4" w:space="0" w:color="auto"/>
            </w:tcBorders>
            <w:shd w:val="clear" w:color="auto" w:fill="auto"/>
            <w:noWrap/>
            <w:vAlign w:val="center"/>
            <w:hideMark/>
          </w:tcPr>
          <w:p w14:paraId="3F67D3C1" w14:textId="77777777" w:rsidR="00E40E76" w:rsidRDefault="00E40E76">
            <w:pPr>
              <w:jc w:val="center"/>
              <w:rPr>
                <w:color w:val="000000"/>
              </w:rPr>
            </w:pPr>
            <w:r>
              <w:rPr>
                <w:color w:val="000000"/>
              </w:rPr>
              <w:t>0.0091</w:t>
            </w:r>
          </w:p>
        </w:tc>
        <w:tc>
          <w:tcPr>
            <w:tcW w:w="1080" w:type="dxa"/>
            <w:tcBorders>
              <w:top w:val="nil"/>
              <w:left w:val="nil"/>
              <w:bottom w:val="single" w:sz="4" w:space="0" w:color="auto"/>
              <w:right w:val="single" w:sz="4" w:space="0" w:color="auto"/>
            </w:tcBorders>
            <w:shd w:val="clear" w:color="auto" w:fill="auto"/>
            <w:noWrap/>
            <w:vAlign w:val="center"/>
            <w:hideMark/>
          </w:tcPr>
          <w:p w14:paraId="0D3360E4" w14:textId="77777777" w:rsidR="00E40E76" w:rsidRDefault="00E40E76">
            <w:pPr>
              <w:jc w:val="center"/>
              <w:rPr>
                <w:color w:val="000000"/>
              </w:rPr>
            </w:pPr>
            <w:r>
              <w:rPr>
                <w:color w:val="000000"/>
              </w:rPr>
              <w:t>0.0387</w:t>
            </w:r>
          </w:p>
        </w:tc>
        <w:tc>
          <w:tcPr>
            <w:tcW w:w="1080" w:type="dxa"/>
            <w:tcBorders>
              <w:top w:val="nil"/>
              <w:left w:val="nil"/>
              <w:bottom w:val="single" w:sz="4" w:space="0" w:color="auto"/>
              <w:right w:val="single" w:sz="4" w:space="0" w:color="auto"/>
            </w:tcBorders>
            <w:shd w:val="clear" w:color="auto" w:fill="auto"/>
            <w:noWrap/>
            <w:vAlign w:val="center"/>
            <w:hideMark/>
          </w:tcPr>
          <w:p w14:paraId="0718D323" w14:textId="77777777" w:rsidR="00E40E76" w:rsidRDefault="00E40E76">
            <w:pPr>
              <w:jc w:val="center"/>
              <w:rPr>
                <w:color w:val="000000"/>
              </w:rPr>
            </w:pPr>
            <w:r>
              <w:rPr>
                <w:color w:val="000000"/>
              </w:rPr>
              <w:t>0.0203</w:t>
            </w:r>
          </w:p>
        </w:tc>
        <w:tc>
          <w:tcPr>
            <w:tcW w:w="1080" w:type="dxa"/>
            <w:tcBorders>
              <w:top w:val="nil"/>
              <w:left w:val="nil"/>
              <w:bottom w:val="single" w:sz="4" w:space="0" w:color="auto"/>
              <w:right w:val="single" w:sz="4" w:space="0" w:color="auto"/>
            </w:tcBorders>
            <w:shd w:val="clear" w:color="auto" w:fill="auto"/>
            <w:noWrap/>
            <w:vAlign w:val="center"/>
            <w:hideMark/>
          </w:tcPr>
          <w:p w14:paraId="5E68A40E" w14:textId="77777777" w:rsidR="00E40E76" w:rsidRDefault="00E40E76">
            <w:pPr>
              <w:jc w:val="center"/>
              <w:rPr>
                <w:color w:val="000000"/>
              </w:rPr>
            </w:pPr>
            <w:r>
              <w:rPr>
                <w:color w:val="000000"/>
              </w:rPr>
              <w:t>0.0867</w:t>
            </w:r>
          </w:p>
        </w:tc>
        <w:tc>
          <w:tcPr>
            <w:tcW w:w="1080" w:type="dxa"/>
            <w:tcBorders>
              <w:top w:val="nil"/>
              <w:left w:val="nil"/>
              <w:bottom w:val="single" w:sz="4" w:space="0" w:color="auto"/>
              <w:right w:val="single" w:sz="4" w:space="0" w:color="auto"/>
            </w:tcBorders>
            <w:shd w:val="clear" w:color="auto" w:fill="auto"/>
            <w:noWrap/>
            <w:vAlign w:val="center"/>
            <w:hideMark/>
          </w:tcPr>
          <w:p w14:paraId="6F6A8BB8" w14:textId="77777777" w:rsidR="00E40E76" w:rsidRDefault="00E40E76">
            <w:pPr>
              <w:jc w:val="center"/>
              <w:rPr>
                <w:color w:val="000000"/>
              </w:rPr>
            </w:pPr>
            <w:r>
              <w:rPr>
                <w:color w:val="000000"/>
              </w:rPr>
              <w:t>0.0434</w:t>
            </w:r>
          </w:p>
        </w:tc>
        <w:tc>
          <w:tcPr>
            <w:tcW w:w="1080" w:type="dxa"/>
            <w:tcBorders>
              <w:top w:val="nil"/>
              <w:left w:val="nil"/>
              <w:bottom w:val="single" w:sz="4" w:space="0" w:color="auto"/>
              <w:right w:val="single" w:sz="4" w:space="0" w:color="auto"/>
            </w:tcBorders>
            <w:shd w:val="clear" w:color="auto" w:fill="auto"/>
            <w:noWrap/>
            <w:vAlign w:val="center"/>
            <w:hideMark/>
          </w:tcPr>
          <w:p w14:paraId="657EFB7E" w14:textId="77777777" w:rsidR="00E40E76" w:rsidRDefault="00E40E76">
            <w:pPr>
              <w:jc w:val="center"/>
              <w:rPr>
                <w:color w:val="000000"/>
              </w:rPr>
            </w:pPr>
            <w:r>
              <w:rPr>
                <w:color w:val="000000"/>
              </w:rPr>
              <w:t>0.1848</w:t>
            </w:r>
          </w:p>
        </w:tc>
      </w:tr>
      <w:tr w:rsidR="00E40E76" w14:paraId="32AFA509"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11BD2F2" w14:textId="77777777" w:rsidR="00E40E76" w:rsidRDefault="00E40E76">
            <w:pPr>
              <w:jc w:val="center"/>
              <w:rPr>
                <w:color w:val="000000"/>
              </w:rPr>
            </w:pPr>
            <w:r>
              <w:rPr>
                <w:color w:val="000000"/>
              </w:rPr>
              <w:t>Ce</w:t>
            </w:r>
          </w:p>
        </w:tc>
        <w:tc>
          <w:tcPr>
            <w:tcW w:w="1080" w:type="dxa"/>
            <w:tcBorders>
              <w:top w:val="nil"/>
              <w:left w:val="nil"/>
              <w:bottom w:val="single" w:sz="4" w:space="0" w:color="auto"/>
              <w:right w:val="single" w:sz="4" w:space="0" w:color="auto"/>
            </w:tcBorders>
            <w:shd w:val="clear" w:color="auto" w:fill="auto"/>
            <w:noWrap/>
            <w:vAlign w:val="center"/>
            <w:hideMark/>
          </w:tcPr>
          <w:p w14:paraId="03787C96" w14:textId="77777777" w:rsidR="00E40E76" w:rsidRDefault="00E40E76">
            <w:pPr>
              <w:jc w:val="center"/>
              <w:rPr>
                <w:color w:val="000000"/>
              </w:rPr>
            </w:pPr>
            <w:r>
              <w:rPr>
                <w:color w:val="000000"/>
              </w:rPr>
              <w:t>0.0235</w:t>
            </w:r>
          </w:p>
        </w:tc>
        <w:tc>
          <w:tcPr>
            <w:tcW w:w="1080" w:type="dxa"/>
            <w:tcBorders>
              <w:top w:val="nil"/>
              <w:left w:val="nil"/>
              <w:bottom w:val="single" w:sz="4" w:space="0" w:color="auto"/>
              <w:right w:val="single" w:sz="4" w:space="0" w:color="auto"/>
            </w:tcBorders>
            <w:shd w:val="clear" w:color="auto" w:fill="auto"/>
            <w:noWrap/>
            <w:vAlign w:val="center"/>
            <w:hideMark/>
          </w:tcPr>
          <w:p w14:paraId="405044D5" w14:textId="77777777" w:rsidR="00E40E76" w:rsidRDefault="00E40E76">
            <w:pPr>
              <w:jc w:val="center"/>
              <w:rPr>
                <w:color w:val="000000"/>
              </w:rPr>
            </w:pPr>
            <w:r>
              <w:rPr>
                <w:color w:val="000000"/>
              </w:rPr>
              <w:t>0.0390</w:t>
            </w:r>
          </w:p>
        </w:tc>
        <w:tc>
          <w:tcPr>
            <w:tcW w:w="1080" w:type="dxa"/>
            <w:tcBorders>
              <w:top w:val="nil"/>
              <w:left w:val="nil"/>
              <w:bottom w:val="single" w:sz="4" w:space="0" w:color="auto"/>
              <w:right w:val="single" w:sz="4" w:space="0" w:color="auto"/>
            </w:tcBorders>
            <w:shd w:val="clear" w:color="auto" w:fill="auto"/>
            <w:noWrap/>
            <w:vAlign w:val="center"/>
            <w:hideMark/>
          </w:tcPr>
          <w:p w14:paraId="626D7E03" w14:textId="77777777" w:rsidR="00E40E76" w:rsidRDefault="00E40E76">
            <w:pPr>
              <w:jc w:val="center"/>
              <w:rPr>
                <w:color w:val="000000"/>
              </w:rPr>
            </w:pPr>
            <w:r>
              <w:rPr>
                <w:color w:val="000000"/>
              </w:rPr>
              <w:t>0.0565</w:t>
            </w:r>
          </w:p>
        </w:tc>
        <w:tc>
          <w:tcPr>
            <w:tcW w:w="1080" w:type="dxa"/>
            <w:tcBorders>
              <w:top w:val="nil"/>
              <w:left w:val="nil"/>
              <w:bottom w:val="single" w:sz="4" w:space="0" w:color="auto"/>
              <w:right w:val="single" w:sz="4" w:space="0" w:color="auto"/>
            </w:tcBorders>
            <w:shd w:val="clear" w:color="auto" w:fill="auto"/>
            <w:noWrap/>
            <w:vAlign w:val="center"/>
            <w:hideMark/>
          </w:tcPr>
          <w:p w14:paraId="1D8822BE" w14:textId="77777777" w:rsidR="00E40E76" w:rsidRDefault="00E40E76">
            <w:pPr>
              <w:jc w:val="center"/>
              <w:rPr>
                <w:color w:val="000000"/>
              </w:rPr>
            </w:pPr>
            <w:r>
              <w:rPr>
                <w:color w:val="000000"/>
              </w:rPr>
              <w:t>0.0937</w:t>
            </w:r>
          </w:p>
        </w:tc>
        <w:tc>
          <w:tcPr>
            <w:tcW w:w="1080" w:type="dxa"/>
            <w:tcBorders>
              <w:top w:val="nil"/>
              <w:left w:val="nil"/>
              <w:bottom w:val="single" w:sz="4" w:space="0" w:color="auto"/>
              <w:right w:val="single" w:sz="4" w:space="0" w:color="auto"/>
            </w:tcBorders>
            <w:shd w:val="clear" w:color="auto" w:fill="auto"/>
            <w:noWrap/>
            <w:vAlign w:val="center"/>
            <w:hideMark/>
          </w:tcPr>
          <w:p w14:paraId="0AA98AD9" w14:textId="77777777" w:rsidR="00E40E76" w:rsidRDefault="00E40E76">
            <w:pPr>
              <w:jc w:val="center"/>
              <w:rPr>
                <w:color w:val="000000"/>
              </w:rPr>
            </w:pPr>
            <w:r>
              <w:rPr>
                <w:color w:val="000000"/>
              </w:rPr>
              <w:t>0.1361</w:t>
            </w:r>
          </w:p>
        </w:tc>
        <w:tc>
          <w:tcPr>
            <w:tcW w:w="1080" w:type="dxa"/>
            <w:tcBorders>
              <w:top w:val="nil"/>
              <w:left w:val="nil"/>
              <w:bottom w:val="single" w:sz="4" w:space="0" w:color="auto"/>
              <w:right w:val="single" w:sz="4" w:space="0" w:color="auto"/>
            </w:tcBorders>
            <w:shd w:val="clear" w:color="auto" w:fill="auto"/>
            <w:noWrap/>
            <w:vAlign w:val="center"/>
            <w:hideMark/>
          </w:tcPr>
          <w:p w14:paraId="254066AC" w14:textId="77777777" w:rsidR="00E40E76" w:rsidRDefault="00E40E76">
            <w:pPr>
              <w:jc w:val="center"/>
              <w:rPr>
                <w:color w:val="000000"/>
              </w:rPr>
            </w:pPr>
            <w:r>
              <w:rPr>
                <w:color w:val="000000"/>
              </w:rPr>
              <w:t>0.2256</w:t>
            </w:r>
          </w:p>
        </w:tc>
      </w:tr>
      <w:tr w:rsidR="00E40E76" w14:paraId="64791FB1"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75B07DD" w14:textId="77777777" w:rsidR="00E40E76" w:rsidRDefault="00E40E76">
            <w:pPr>
              <w:jc w:val="center"/>
              <w:rPr>
                <w:color w:val="000000"/>
              </w:rPr>
            </w:pPr>
            <w:r>
              <w:rPr>
                <w:color w:val="000000"/>
              </w:rPr>
              <w:t>Pr</w:t>
            </w:r>
          </w:p>
        </w:tc>
        <w:tc>
          <w:tcPr>
            <w:tcW w:w="1080" w:type="dxa"/>
            <w:tcBorders>
              <w:top w:val="nil"/>
              <w:left w:val="nil"/>
              <w:bottom w:val="single" w:sz="4" w:space="0" w:color="auto"/>
              <w:right w:val="single" w:sz="4" w:space="0" w:color="auto"/>
            </w:tcBorders>
            <w:shd w:val="clear" w:color="auto" w:fill="auto"/>
            <w:noWrap/>
            <w:vAlign w:val="center"/>
            <w:hideMark/>
          </w:tcPr>
          <w:p w14:paraId="1A49689A" w14:textId="77777777" w:rsidR="00E40E76" w:rsidRDefault="00E40E76">
            <w:pPr>
              <w:jc w:val="center"/>
              <w:rPr>
                <w:color w:val="000000"/>
              </w:rPr>
            </w:pPr>
            <w:r>
              <w:rPr>
                <w:color w:val="000000"/>
              </w:rPr>
              <w:t>0.0036</w:t>
            </w:r>
          </w:p>
        </w:tc>
        <w:tc>
          <w:tcPr>
            <w:tcW w:w="1080" w:type="dxa"/>
            <w:tcBorders>
              <w:top w:val="nil"/>
              <w:left w:val="nil"/>
              <w:bottom w:val="single" w:sz="4" w:space="0" w:color="auto"/>
              <w:right w:val="single" w:sz="4" w:space="0" w:color="auto"/>
            </w:tcBorders>
            <w:shd w:val="clear" w:color="auto" w:fill="auto"/>
            <w:noWrap/>
            <w:vAlign w:val="center"/>
            <w:hideMark/>
          </w:tcPr>
          <w:p w14:paraId="0D3EA215" w14:textId="77777777" w:rsidR="00E40E76" w:rsidRDefault="00E40E76">
            <w:pPr>
              <w:jc w:val="center"/>
              <w:rPr>
                <w:color w:val="000000"/>
              </w:rPr>
            </w:pPr>
            <w:r>
              <w:rPr>
                <w:color w:val="000000"/>
              </w:rPr>
              <w:t>0.0403</w:t>
            </w:r>
          </w:p>
        </w:tc>
        <w:tc>
          <w:tcPr>
            <w:tcW w:w="1080" w:type="dxa"/>
            <w:tcBorders>
              <w:top w:val="nil"/>
              <w:left w:val="nil"/>
              <w:bottom w:val="single" w:sz="4" w:space="0" w:color="auto"/>
              <w:right w:val="single" w:sz="4" w:space="0" w:color="auto"/>
            </w:tcBorders>
            <w:shd w:val="clear" w:color="auto" w:fill="auto"/>
            <w:noWrap/>
            <w:vAlign w:val="center"/>
            <w:hideMark/>
          </w:tcPr>
          <w:p w14:paraId="36DCB3B4" w14:textId="77777777" w:rsidR="00E40E76" w:rsidRDefault="00E40E76">
            <w:pPr>
              <w:jc w:val="center"/>
              <w:rPr>
                <w:color w:val="000000"/>
              </w:rPr>
            </w:pPr>
            <w:r>
              <w:rPr>
                <w:color w:val="000000"/>
              </w:rPr>
              <w:t>0.0096</w:t>
            </w:r>
          </w:p>
        </w:tc>
        <w:tc>
          <w:tcPr>
            <w:tcW w:w="1080" w:type="dxa"/>
            <w:tcBorders>
              <w:top w:val="nil"/>
              <w:left w:val="nil"/>
              <w:bottom w:val="single" w:sz="4" w:space="0" w:color="auto"/>
              <w:right w:val="single" w:sz="4" w:space="0" w:color="auto"/>
            </w:tcBorders>
            <w:shd w:val="clear" w:color="auto" w:fill="auto"/>
            <w:noWrap/>
            <w:vAlign w:val="center"/>
            <w:hideMark/>
          </w:tcPr>
          <w:p w14:paraId="4BE6E372" w14:textId="77777777" w:rsidR="00E40E76" w:rsidRDefault="00E40E76">
            <w:pPr>
              <w:jc w:val="center"/>
              <w:rPr>
                <w:color w:val="000000"/>
              </w:rPr>
            </w:pPr>
            <w:r>
              <w:rPr>
                <w:color w:val="000000"/>
              </w:rPr>
              <w:t>0.1081</w:t>
            </w:r>
          </w:p>
        </w:tc>
        <w:tc>
          <w:tcPr>
            <w:tcW w:w="1080" w:type="dxa"/>
            <w:tcBorders>
              <w:top w:val="nil"/>
              <w:left w:val="nil"/>
              <w:bottom w:val="single" w:sz="4" w:space="0" w:color="auto"/>
              <w:right w:val="single" w:sz="4" w:space="0" w:color="auto"/>
            </w:tcBorders>
            <w:shd w:val="clear" w:color="auto" w:fill="auto"/>
            <w:noWrap/>
            <w:vAlign w:val="center"/>
            <w:hideMark/>
          </w:tcPr>
          <w:p w14:paraId="73B06B32" w14:textId="77777777" w:rsidR="00E40E76" w:rsidRDefault="00E40E76">
            <w:pPr>
              <w:jc w:val="center"/>
              <w:rPr>
                <w:color w:val="000000"/>
              </w:rPr>
            </w:pPr>
            <w:r>
              <w:rPr>
                <w:color w:val="000000"/>
              </w:rPr>
              <w:t>0.0264</w:t>
            </w:r>
          </w:p>
        </w:tc>
        <w:tc>
          <w:tcPr>
            <w:tcW w:w="1080" w:type="dxa"/>
            <w:tcBorders>
              <w:top w:val="nil"/>
              <w:left w:val="nil"/>
              <w:bottom w:val="single" w:sz="4" w:space="0" w:color="auto"/>
              <w:right w:val="single" w:sz="4" w:space="0" w:color="auto"/>
            </w:tcBorders>
            <w:shd w:val="clear" w:color="auto" w:fill="auto"/>
            <w:noWrap/>
            <w:vAlign w:val="center"/>
            <w:hideMark/>
          </w:tcPr>
          <w:p w14:paraId="520D54C0" w14:textId="77777777" w:rsidR="00E40E76" w:rsidRDefault="00E40E76">
            <w:pPr>
              <w:jc w:val="center"/>
              <w:rPr>
                <w:color w:val="000000"/>
              </w:rPr>
            </w:pPr>
            <w:r>
              <w:rPr>
                <w:color w:val="000000"/>
              </w:rPr>
              <w:t>0.2967</w:t>
            </w:r>
          </w:p>
        </w:tc>
      </w:tr>
      <w:tr w:rsidR="00E40E76" w14:paraId="666EB4AE"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5C1B041" w14:textId="77777777" w:rsidR="00E40E76" w:rsidRDefault="00E40E76">
            <w:pPr>
              <w:jc w:val="center"/>
              <w:rPr>
                <w:color w:val="000000"/>
              </w:rPr>
            </w:pPr>
            <w:r>
              <w:rPr>
                <w:color w:val="000000"/>
              </w:rPr>
              <w:t>Nd</w:t>
            </w:r>
          </w:p>
        </w:tc>
        <w:tc>
          <w:tcPr>
            <w:tcW w:w="1080" w:type="dxa"/>
            <w:tcBorders>
              <w:top w:val="nil"/>
              <w:left w:val="nil"/>
              <w:bottom w:val="single" w:sz="4" w:space="0" w:color="auto"/>
              <w:right w:val="single" w:sz="4" w:space="0" w:color="auto"/>
            </w:tcBorders>
            <w:shd w:val="clear" w:color="auto" w:fill="auto"/>
            <w:noWrap/>
            <w:vAlign w:val="center"/>
            <w:hideMark/>
          </w:tcPr>
          <w:p w14:paraId="4293771E" w14:textId="77777777" w:rsidR="00E40E76" w:rsidRDefault="00E40E76">
            <w:pPr>
              <w:jc w:val="center"/>
              <w:rPr>
                <w:color w:val="000000"/>
              </w:rPr>
            </w:pPr>
            <w:r>
              <w:rPr>
                <w:color w:val="000000"/>
              </w:rPr>
              <w:t>0.0178</w:t>
            </w:r>
          </w:p>
        </w:tc>
        <w:tc>
          <w:tcPr>
            <w:tcW w:w="1080" w:type="dxa"/>
            <w:tcBorders>
              <w:top w:val="nil"/>
              <w:left w:val="nil"/>
              <w:bottom w:val="single" w:sz="4" w:space="0" w:color="auto"/>
              <w:right w:val="single" w:sz="4" w:space="0" w:color="auto"/>
            </w:tcBorders>
            <w:shd w:val="clear" w:color="auto" w:fill="auto"/>
            <w:noWrap/>
            <w:vAlign w:val="center"/>
            <w:hideMark/>
          </w:tcPr>
          <w:p w14:paraId="2E4D9B02" w14:textId="77777777" w:rsidR="00E40E76" w:rsidRDefault="00E40E76">
            <w:pPr>
              <w:jc w:val="center"/>
              <w:rPr>
                <w:color w:val="000000"/>
              </w:rPr>
            </w:pPr>
            <w:r>
              <w:rPr>
                <w:color w:val="000000"/>
              </w:rPr>
              <w:t>0.0393</w:t>
            </w:r>
          </w:p>
        </w:tc>
        <w:tc>
          <w:tcPr>
            <w:tcW w:w="1080" w:type="dxa"/>
            <w:tcBorders>
              <w:top w:val="nil"/>
              <w:left w:val="nil"/>
              <w:bottom w:val="single" w:sz="4" w:space="0" w:color="auto"/>
              <w:right w:val="single" w:sz="4" w:space="0" w:color="auto"/>
            </w:tcBorders>
            <w:shd w:val="clear" w:color="auto" w:fill="auto"/>
            <w:noWrap/>
            <w:vAlign w:val="center"/>
            <w:hideMark/>
          </w:tcPr>
          <w:p w14:paraId="72405EC9" w14:textId="77777777" w:rsidR="00E40E76" w:rsidRDefault="00E40E76">
            <w:pPr>
              <w:jc w:val="center"/>
              <w:rPr>
                <w:color w:val="000000"/>
              </w:rPr>
            </w:pPr>
            <w:r>
              <w:rPr>
                <w:color w:val="000000"/>
              </w:rPr>
              <w:t>0.0563</w:t>
            </w:r>
          </w:p>
        </w:tc>
        <w:tc>
          <w:tcPr>
            <w:tcW w:w="1080" w:type="dxa"/>
            <w:tcBorders>
              <w:top w:val="nil"/>
              <w:left w:val="nil"/>
              <w:bottom w:val="single" w:sz="4" w:space="0" w:color="auto"/>
              <w:right w:val="single" w:sz="4" w:space="0" w:color="auto"/>
            </w:tcBorders>
            <w:shd w:val="clear" w:color="auto" w:fill="auto"/>
            <w:noWrap/>
            <w:vAlign w:val="center"/>
            <w:hideMark/>
          </w:tcPr>
          <w:p w14:paraId="2A8134AA" w14:textId="77777777" w:rsidR="00E40E76" w:rsidRDefault="00E40E76">
            <w:pPr>
              <w:jc w:val="center"/>
              <w:rPr>
                <w:color w:val="000000"/>
              </w:rPr>
            </w:pPr>
            <w:r>
              <w:rPr>
                <w:color w:val="000000"/>
              </w:rPr>
              <w:t>0.1245</w:t>
            </w:r>
          </w:p>
        </w:tc>
        <w:tc>
          <w:tcPr>
            <w:tcW w:w="1080" w:type="dxa"/>
            <w:tcBorders>
              <w:top w:val="nil"/>
              <w:left w:val="nil"/>
              <w:bottom w:val="single" w:sz="4" w:space="0" w:color="auto"/>
              <w:right w:val="single" w:sz="4" w:space="0" w:color="auto"/>
            </w:tcBorders>
            <w:shd w:val="clear" w:color="auto" w:fill="auto"/>
            <w:noWrap/>
            <w:vAlign w:val="center"/>
            <w:hideMark/>
          </w:tcPr>
          <w:p w14:paraId="39CE2A1C" w14:textId="77777777" w:rsidR="00E40E76" w:rsidRDefault="00E40E76">
            <w:pPr>
              <w:jc w:val="center"/>
              <w:rPr>
                <w:color w:val="000000"/>
              </w:rPr>
            </w:pPr>
            <w:r>
              <w:rPr>
                <w:color w:val="000000"/>
              </w:rPr>
              <w:t>0.1491</w:t>
            </w:r>
          </w:p>
        </w:tc>
        <w:tc>
          <w:tcPr>
            <w:tcW w:w="1080" w:type="dxa"/>
            <w:tcBorders>
              <w:top w:val="nil"/>
              <w:left w:val="nil"/>
              <w:bottom w:val="single" w:sz="4" w:space="0" w:color="auto"/>
              <w:right w:val="single" w:sz="4" w:space="0" w:color="auto"/>
            </w:tcBorders>
            <w:shd w:val="clear" w:color="auto" w:fill="auto"/>
            <w:noWrap/>
            <w:vAlign w:val="center"/>
            <w:hideMark/>
          </w:tcPr>
          <w:p w14:paraId="35325189" w14:textId="77777777" w:rsidR="00E40E76" w:rsidRDefault="00E40E76">
            <w:pPr>
              <w:jc w:val="center"/>
              <w:rPr>
                <w:color w:val="000000"/>
              </w:rPr>
            </w:pPr>
            <w:r>
              <w:rPr>
                <w:color w:val="000000"/>
              </w:rPr>
              <w:t>0.3295</w:t>
            </w:r>
          </w:p>
        </w:tc>
      </w:tr>
      <w:tr w:rsidR="00E40E76" w14:paraId="22BBBE7D"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0167517" w14:textId="77777777" w:rsidR="00E40E76" w:rsidRDefault="00E40E76">
            <w:pPr>
              <w:jc w:val="center"/>
              <w:rPr>
                <w:color w:val="000000"/>
              </w:rPr>
            </w:pPr>
            <w:r>
              <w:rPr>
                <w:color w:val="000000"/>
              </w:rPr>
              <w:t>Sm</w:t>
            </w:r>
          </w:p>
        </w:tc>
        <w:tc>
          <w:tcPr>
            <w:tcW w:w="1080" w:type="dxa"/>
            <w:tcBorders>
              <w:top w:val="nil"/>
              <w:left w:val="nil"/>
              <w:bottom w:val="single" w:sz="4" w:space="0" w:color="auto"/>
              <w:right w:val="single" w:sz="4" w:space="0" w:color="auto"/>
            </w:tcBorders>
            <w:shd w:val="clear" w:color="auto" w:fill="auto"/>
            <w:noWrap/>
            <w:vAlign w:val="center"/>
            <w:hideMark/>
          </w:tcPr>
          <w:p w14:paraId="3896D331" w14:textId="77777777" w:rsidR="00E40E76" w:rsidRDefault="00E40E76">
            <w:pPr>
              <w:jc w:val="center"/>
              <w:rPr>
                <w:color w:val="000000"/>
              </w:rPr>
            </w:pPr>
            <w:r>
              <w:rPr>
                <w:color w:val="000000"/>
              </w:rPr>
              <w:t>0.0059</w:t>
            </w:r>
          </w:p>
        </w:tc>
        <w:tc>
          <w:tcPr>
            <w:tcW w:w="1080" w:type="dxa"/>
            <w:tcBorders>
              <w:top w:val="nil"/>
              <w:left w:val="nil"/>
              <w:bottom w:val="single" w:sz="4" w:space="0" w:color="auto"/>
              <w:right w:val="single" w:sz="4" w:space="0" w:color="auto"/>
            </w:tcBorders>
            <w:shd w:val="clear" w:color="auto" w:fill="auto"/>
            <w:noWrap/>
            <w:vAlign w:val="center"/>
            <w:hideMark/>
          </w:tcPr>
          <w:p w14:paraId="0D30BE7E" w14:textId="77777777" w:rsidR="00E40E76" w:rsidRDefault="00E40E76">
            <w:pPr>
              <w:jc w:val="center"/>
              <w:rPr>
                <w:color w:val="000000"/>
              </w:rPr>
            </w:pPr>
            <w:r>
              <w:rPr>
                <w:color w:val="000000"/>
              </w:rPr>
              <w:t>0.0399</w:t>
            </w:r>
          </w:p>
        </w:tc>
        <w:tc>
          <w:tcPr>
            <w:tcW w:w="1080" w:type="dxa"/>
            <w:tcBorders>
              <w:top w:val="nil"/>
              <w:left w:val="nil"/>
              <w:bottom w:val="single" w:sz="4" w:space="0" w:color="auto"/>
              <w:right w:val="single" w:sz="4" w:space="0" w:color="auto"/>
            </w:tcBorders>
            <w:shd w:val="clear" w:color="auto" w:fill="auto"/>
            <w:noWrap/>
            <w:vAlign w:val="center"/>
            <w:hideMark/>
          </w:tcPr>
          <w:p w14:paraId="2208AA63" w14:textId="77777777" w:rsidR="00E40E76" w:rsidRDefault="00E40E76">
            <w:pPr>
              <w:jc w:val="center"/>
              <w:rPr>
                <w:color w:val="000000"/>
              </w:rPr>
            </w:pPr>
            <w:r>
              <w:rPr>
                <w:color w:val="000000"/>
              </w:rPr>
              <w:t>0.0278</w:t>
            </w:r>
          </w:p>
        </w:tc>
        <w:tc>
          <w:tcPr>
            <w:tcW w:w="1080" w:type="dxa"/>
            <w:tcBorders>
              <w:top w:val="nil"/>
              <w:left w:val="nil"/>
              <w:bottom w:val="single" w:sz="4" w:space="0" w:color="auto"/>
              <w:right w:val="single" w:sz="4" w:space="0" w:color="auto"/>
            </w:tcBorders>
            <w:shd w:val="clear" w:color="auto" w:fill="auto"/>
            <w:noWrap/>
            <w:vAlign w:val="center"/>
            <w:hideMark/>
          </w:tcPr>
          <w:p w14:paraId="417D5DCC" w14:textId="77777777" w:rsidR="00E40E76" w:rsidRDefault="00E40E76">
            <w:pPr>
              <w:jc w:val="center"/>
              <w:rPr>
                <w:color w:val="000000"/>
              </w:rPr>
            </w:pPr>
            <w:r>
              <w:rPr>
                <w:color w:val="000000"/>
              </w:rPr>
              <w:t>0.1893</w:t>
            </w:r>
          </w:p>
        </w:tc>
        <w:tc>
          <w:tcPr>
            <w:tcW w:w="1080" w:type="dxa"/>
            <w:tcBorders>
              <w:top w:val="nil"/>
              <w:left w:val="nil"/>
              <w:bottom w:val="single" w:sz="4" w:space="0" w:color="auto"/>
              <w:right w:val="single" w:sz="4" w:space="0" w:color="auto"/>
            </w:tcBorders>
            <w:shd w:val="clear" w:color="auto" w:fill="auto"/>
            <w:noWrap/>
            <w:vAlign w:val="center"/>
            <w:hideMark/>
          </w:tcPr>
          <w:p w14:paraId="0184400B" w14:textId="77777777" w:rsidR="00E40E76" w:rsidRDefault="00E40E76">
            <w:pPr>
              <w:jc w:val="center"/>
              <w:rPr>
                <w:color w:val="000000"/>
              </w:rPr>
            </w:pPr>
            <w:r>
              <w:rPr>
                <w:color w:val="000000"/>
              </w:rPr>
              <w:t>0.0657</w:t>
            </w:r>
          </w:p>
        </w:tc>
        <w:tc>
          <w:tcPr>
            <w:tcW w:w="1080" w:type="dxa"/>
            <w:tcBorders>
              <w:top w:val="nil"/>
              <w:left w:val="nil"/>
              <w:bottom w:val="single" w:sz="4" w:space="0" w:color="auto"/>
              <w:right w:val="single" w:sz="4" w:space="0" w:color="auto"/>
            </w:tcBorders>
            <w:shd w:val="clear" w:color="auto" w:fill="auto"/>
            <w:noWrap/>
            <w:vAlign w:val="center"/>
            <w:hideMark/>
          </w:tcPr>
          <w:p w14:paraId="49998CCF" w14:textId="77777777" w:rsidR="00E40E76" w:rsidRDefault="00E40E76">
            <w:pPr>
              <w:jc w:val="center"/>
              <w:rPr>
                <w:color w:val="000000"/>
              </w:rPr>
            </w:pPr>
            <w:r>
              <w:rPr>
                <w:color w:val="000000"/>
              </w:rPr>
              <w:t>0.4468</w:t>
            </w:r>
          </w:p>
        </w:tc>
      </w:tr>
      <w:tr w:rsidR="00E40E76" w14:paraId="257579A6"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78785D3" w14:textId="77777777" w:rsidR="00E40E76" w:rsidRDefault="00E40E76">
            <w:pPr>
              <w:jc w:val="center"/>
              <w:rPr>
                <w:color w:val="000000"/>
              </w:rPr>
            </w:pPr>
            <w:r>
              <w:rPr>
                <w:color w:val="000000"/>
              </w:rPr>
              <w:t>Eu</w:t>
            </w:r>
          </w:p>
        </w:tc>
        <w:tc>
          <w:tcPr>
            <w:tcW w:w="1080" w:type="dxa"/>
            <w:tcBorders>
              <w:top w:val="nil"/>
              <w:left w:val="nil"/>
              <w:bottom w:val="single" w:sz="4" w:space="0" w:color="auto"/>
              <w:right w:val="single" w:sz="4" w:space="0" w:color="auto"/>
            </w:tcBorders>
            <w:shd w:val="clear" w:color="auto" w:fill="auto"/>
            <w:noWrap/>
            <w:vAlign w:val="center"/>
            <w:hideMark/>
          </w:tcPr>
          <w:p w14:paraId="45259CE9" w14:textId="77777777" w:rsidR="00E40E76" w:rsidRDefault="00E40E76">
            <w:pPr>
              <w:jc w:val="center"/>
              <w:rPr>
                <w:color w:val="000000"/>
              </w:rPr>
            </w:pPr>
            <w:r>
              <w:rPr>
                <w:color w:val="000000"/>
              </w:rPr>
              <w:t>0.0024</w:t>
            </w:r>
          </w:p>
        </w:tc>
        <w:tc>
          <w:tcPr>
            <w:tcW w:w="1080" w:type="dxa"/>
            <w:tcBorders>
              <w:top w:val="nil"/>
              <w:left w:val="nil"/>
              <w:bottom w:val="single" w:sz="4" w:space="0" w:color="auto"/>
              <w:right w:val="single" w:sz="4" w:space="0" w:color="auto"/>
            </w:tcBorders>
            <w:shd w:val="clear" w:color="auto" w:fill="auto"/>
            <w:noWrap/>
            <w:vAlign w:val="center"/>
            <w:hideMark/>
          </w:tcPr>
          <w:p w14:paraId="4F016565" w14:textId="77777777" w:rsidR="00E40E76" w:rsidRDefault="00E40E76">
            <w:pPr>
              <w:jc w:val="center"/>
              <w:rPr>
                <w:color w:val="000000"/>
              </w:rPr>
            </w:pPr>
            <w:r>
              <w:rPr>
                <w:color w:val="000000"/>
              </w:rPr>
              <w:t>0.0422</w:t>
            </w:r>
          </w:p>
        </w:tc>
        <w:tc>
          <w:tcPr>
            <w:tcW w:w="1080" w:type="dxa"/>
            <w:tcBorders>
              <w:top w:val="nil"/>
              <w:left w:val="nil"/>
              <w:bottom w:val="single" w:sz="4" w:space="0" w:color="auto"/>
              <w:right w:val="single" w:sz="4" w:space="0" w:color="auto"/>
            </w:tcBorders>
            <w:shd w:val="clear" w:color="auto" w:fill="auto"/>
            <w:noWrap/>
            <w:vAlign w:val="center"/>
            <w:hideMark/>
          </w:tcPr>
          <w:p w14:paraId="039BA9DD" w14:textId="77777777" w:rsidR="00E40E76" w:rsidRDefault="00E40E76">
            <w:pPr>
              <w:jc w:val="center"/>
              <w:rPr>
                <w:color w:val="000000"/>
              </w:rPr>
            </w:pPr>
            <w:r>
              <w:rPr>
                <w:color w:val="000000"/>
              </w:rPr>
              <w:t>0.0085</w:t>
            </w:r>
          </w:p>
        </w:tc>
        <w:tc>
          <w:tcPr>
            <w:tcW w:w="1080" w:type="dxa"/>
            <w:tcBorders>
              <w:top w:val="nil"/>
              <w:left w:val="nil"/>
              <w:bottom w:val="single" w:sz="4" w:space="0" w:color="auto"/>
              <w:right w:val="single" w:sz="4" w:space="0" w:color="auto"/>
            </w:tcBorders>
            <w:shd w:val="clear" w:color="auto" w:fill="auto"/>
            <w:noWrap/>
            <w:vAlign w:val="center"/>
            <w:hideMark/>
          </w:tcPr>
          <w:p w14:paraId="05D0326B" w14:textId="77777777" w:rsidR="00E40E76" w:rsidRDefault="00E40E76">
            <w:pPr>
              <w:jc w:val="center"/>
              <w:rPr>
                <w:color w:val="000000"/>
              </w:rPr>
            </w:pPr>
            <w:r>
              <w:rPr>
                <w:color w:val="000000"/>
              </w:rPr>
              <w:t>0.1513</w:t>
            </w:r>
          </w:p>
        </w:tc>
        <w:tc>
          <w:tcPr>
            <w:tcW w:w="1080" w:type="dxa"/>
            <w:tcBorders>
              <w:top w:val="nil"/>
              <w:left w:val="nil"/>
              <w:bottom w:val="single" w:sz="4" w:space="0" w:color="auto"/>
              <w:right w:val="single" w:sz="4" w:space="0" w:color="auto"/>
            </w:tcBorders>
            <w:shd w:val="clear" w:color="auto" w:fill="auto"/>
            <w:noWrap/>
            <w:vAlign w:val="center"/>
            <w:hideMark/>
          </w:tcPr>
          <w:p w14:paraId="1F2AF004" w14:textId="77777777" w:rsidR="00E40E76" w:rsidRDefault="00E40E76">
            <w:pPr>
              <w:jc w:val="center"/>
              <w:rPr>
                <w:color w:val="000000"/>
              </w:rPr>
            </w:pPr>
            <w:r>
              <w:rPr>
                <w:color w:val="000000"/>
              </w:rPr>
              <w:t>0.0700</w:t>
            </w:r>
          </w:p>
        </w:tc>
        <w:tc>
          <w:tcPr>
            <w:tcW w:w="1080" w:type="dxa"/>
            <w:tcBorders>
              <w:top w:val="nil"/>
              <w:left w:val="nil"/>
              <w:bottom w:val="single" w:sz="4" w:space="0" w:color="auto"/>
              <w:right w:val="single" w:sz="4" w:space="0" w:color="auto"/>
            </w:tcBorders>
            <w:shd w:val="clear" w:color="auto" w:fill="auto"/>
            <w:noWrap/>
            <w:vAlign w:val="center"/>
            <w:hideMark/>
          </w:tcPr>
          <w:p w14:paraId="4D468552" w14:textId="77777777" w:rsidR="00E40E76" w:rsidRDefault="00E40E76">
            <w:pPr>
              <w:jc w:val="center"/>
              <w:rPr>
                <w:color w:val="000000"/>
              </w:rPr>
            </w:pPr>
            <w:r>
              <w:rPr>
                <w:color w:val="000000"/>
              </w:rPr>
              <w:t>1.2496</w:t>
            </w:r>
          </w:p>
        </w:tc>
      </w:tr>
      <w:tr w:rsidR="00E40E76" w14:paraId="093AF181"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6C8AD7F" w14:textId="77777777" w:rsidR="00E40E76" w:rsidRDefault="00E40E76">
            <w:pPr>
              <w:jc w:val="center"/>
              <w:rPr>
                <w:color w:val="000000"/>
              </w:rPr>
            </w:pPr>
            <w:r>
              <w:rPr>
                <w:color w:val="000000"/>
              </w:rPr>
              <w:t>Gd</w:t>
            </w:r>
          </w:p>
        </w:tc>
        <w:tc>
          <w:tcPr>
            <w:tcW w:w="1080" w:type="dxa"/>
            <w:tcBorders>
              <w:top w:val="nil"/>
              <w:left w:val="nil"/>
              <w:bottom w:val="single" w:sz="4" w:space="0" w:color="auto"/>
              <w:right w:val="single" w:sz="4" w:space="0" w:color="auto"/>
            </w:tcBorders>
            <w:shd w:val="clear" w:color="auto" w:fill="auto"/>
            <w:noWrap/>
            <w:vAlign w:val="center"/>
            <w:hideMark/>
          </w:tcPr>
          <w:p w14:paraId="7BB4B2F5" w14:textId="77777777" w:rsidR="00E40E76" w:rsidRDefault="00E40E76">
            <w:pPr>
              <w:jc w:val="center"/>
              <w:rPr>
                <w:color w:val="000000"/>
              </w:rPr>
            </w:pPr>
            <w:r>
              <w:rPr>
                <w:color w:val="000000"/>
              </w:rPr>
              <w:t>0.0088</w:t>
            </w:r>
          </w:p>
        </w:tc>
        <w:tc>
          <w:tcPr>
            <w:tcW w:w="1080" w:type="dxa"/>
            <w:tcBorders>
              <w:top w:val="nil"/>
              <w:left w:val="nil"/>
              <w:bottom w:val="single" w:sz="4" w:space="0" w:color="auto"/>
              <w:right w:val="single" w:sz="4" w:space="0" w:color="auto"/>
            </w:tcBorders>
            <w:shd w:val="clear" w:color="auto" w:fill="auto"/>
            <w:hideMark/>
          </w:tcPr>
          <w:p w14:paraId="5E424854" w14:textId="77777777" w:rsidR="00E40E76" w:rsidRDefault="00E40E76">
            <w:pPr>
              <w:jc w:val="center"/>
              <w:rPr>
                <w:color w:val="000000"/>
              </w:rPr>
            </w:pPr>
            <w:r>
              <w:rPr>
                <w:color w:val="000000"/>
              </w:rPr>
              <w:t>0.0450</w:t>
            </w:r>
          </w:p>
        </w:tc>
        <w:tc>
          <w:tcPr>
            <w:tcW w:w="1080" w:type="dxa"/>
            <w:tcBorders>
              <w:top w:val="nil"/>
              <w:left w:val="nil"/>
              <w:bottom w:val="single" w:sz="4" w:space="0" w:color="auto"/>
              <w:right w:val="single" w:sz="4" w:space="0" w:color="auto"/>
            </w:tcBorders>
            <w:shd w:val="clear" w:color="auto" w:fill="auto"/>
            <w:hideMark/>
          </w:tcPr>
          <w:p w14:paraId="2FDDAAF0" w14:textId="77777777" w:rsidR="00E40E76" w:rsidRDefault="00E40E76">
            <w:pPr>
              <w:jc w:val="center"/>
              <w:rPr>
                <w:color w:val="000000"/>
              </w:rPr>
            </w:pPr>
            <w:r>
              <w:rPr>
                <w:color w:val="000000"/>
              </w:rPr>
              <w:t>0.0568</w:t>
            </w:r>
          </w:p>
        </w:tc>
        <w:tc>
          <w:tcPr>
            <w:tcW w:w="1080" w:type="dxa"/>
            <w:tcBorders>
              <w:top w:val="nil"/>
              <w:left w:val="nil"/>
              <w:bottom w:val="single" w:sz="4" w:space="0" w:color="auto"/>
              <w:right w:val="single" w:sz="4" w:space="0" w:color="auto"/>
            </w:tcBorders>
            <w:shd w:val="clear" w:color="auto" w:fill="auto"/>
            <w:hideMark/>
          </w:tcPr>
          <w:p w14:paraId="65F38CA8" w14:textId="77777777" w:rsidR="00E40E76" w:rsidRDefault="00E40E76">
            <w:pPr>
              <w:jc w:val="center"/>
              <w:rPr>
                <w:color w:val="000000"/>
              </w:rPr>
            </w:pPr>
            <w:r>
              <w:rPr>
                <w:color w:val="000000"/>
              </w:rPr>
              <w:t>0.2887</w:t>
            </w:r>
          </w:p>
        </w:tc>
        <w:tc>
          <w:tcPr>
            <w:tcW w:w="1080" w:type="dxa"/>
            <w:tcBorders>
              <w:top w:val="nil"/>
              <w:left w:val="nil"/>
              <w:bottom w:val="single" w:sz="4" w:space="0" w:color="auto"/>
              <w:right w:val="single" w:sz="4" w:space="0" w:color="auto"/>
            </w:tcBorders>
            <w:shd w:val="clear" w:color="auto" w:fill="auto"/>
            <w:hideMark/>
          </w:tcPr>
          <w:p w14:paraId="4B67F035" w14:textId="77777777" w:rsidR="00E40E76" w:rsidRDefault="00E40E76">
            <w:pPr>
              <w:jc w:val="center"/>
              <w:rPr>
                <w:color w:val="000000"/>
              </w:rPr>
            </w:pPr>
            <w:r>
              <w:rPr>
                <w:color w:val="000000"/>
              </w:rPr>
              <w:t>0.1488</w:t>
            </w:r>
          </w:p>
        </w:tc>
        <w:tc>
          <w:tcPr>
            <w:tcW w:w="1080" w:type="dxa"/>
            <w:tcBorders>
              <w:top w:val="nil"/>
              <w:left w:val="nil"/>
              <w:bottom w:val="single" w:sz="4" w:space="0" w:color="auto"/>
              <w:right w:val="single" w:sz="4" w:space="0" w:color="auto"/>
            </w:tcBorders>
            <w:shd w:val="clear" w:color="auto" w:fill="auto"/>
            <w:hideMark/>
          </w:tcPr>
          <w:p w14:paraId="6D76FFA9" w14:textId="77777777" w:rsidR="00E40E76" w:rsidRDefault="00E40E76">
            <w:pPr>
              <w:jc w:val="center"/>
              <w:rPr>
                <w:color w:val="000000"/>
              </w:rPr>
            </w:pPr>
            <w:r>
              <w:rPr>
                <w:color w:val="000000"/>
              </w:rPr>
              <w:t>0.7567</w:t>
            </w:r>
          </w:p>
        </w:tc>
      </w:tr>
      <w:tr w:rsidR="00E40E76" w14:paraId="10CA5510"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54FA620" w14:textId="77777777" w:rsidR="00E40E76" w:rsidRDefault="00E40E76">
            <w:pPr>
              <w:jc w:val="center"/>
              <w:rPr>
                <w:color w:val="000000"/>
              </w:rPr>
            </w:pPr>
            <w:r>
              <w:rPr>
                <w:color w:val="000000"/>
              </w:rPr>
              <w:t>Tb</w:t>
            </w:r>
          </w:p>
        </w:tc>
        <w:tc>
          <w:tcPr>
            <w:tcW w:w="1080" w:type="dxa"/>
            <w:tcBorders>
              <w:top w:val="nil"/>
              <w:left w:val="nil"/>
              <w:bottom w:val="single" w:sz="4" w:space="0" w:color="auto"/>
              <w:right w:val="single" w:sz="4" w:space="0" w:color="auto"/>
            </w:tcBorders>
            <w:shd w:val="clear" w:color="auto" w:fill="auto"/>
            <w:noWrap/>
            <w:vAlign w:val="center"/>
            <w:hideMark/>
          </w:tcPr>
          <w:p w14:paraId="4BA4DF4F" w14:textId="77777777" w:rsidR="00E40E76" w:rsidRDefault="00E40E76">
            <w:pPr>
              <w:jc w:val="center"/>
              <w:rPr>
                <w:color w:val="000000"/>
              </w:rPr>
            </w:pPr>
            <w:r>
              <w:rPr>
                <w:color w:val="000000"/>
              </w:rPr>
              <w:t>0.0018</w:t>
            </w:r>
          </w:p>
        </w:tc>
        <w:tc>
          <w:tcPr>
            <w:tcW w:w="1080" w:type="dxa"/>
            <w:tcBorders>
              <w:top w:val="nil"/>
              <w:left w:val="nil"/>
              <w:bottom w:val="single" w:sz="4" w:space="0" w:color="auto"/>
              <w:right w:val="single" w:sz="4" w:space="0" w:color="auto"/>
            </w:tcBorders>
            <w:shd w:val="clear" w:color="auto" w:fill="auto"/>
            <w:noWrap/>
            <w:vAlign w:val="bottom"/>
            <w:hideMark/>
          </w:tcPr>
          <w:p w14:paraId="0F17B0B2" w14:textId="77777777" w:rsidR="00E40E76" w:rsidRDefault="00E40E76">
            <w:pPr>
              <w:jc w:val="center"/>
              <w:rPr>
                <w:color w:val="000000"/>
              </w:rPr>
            </w:pPr>
            <w:r>
              <w:rPr>
                <w:color w:val="000000"/>
              </w:rPr>
              <w:t>0.0498</w:t>
            </w:r>
          </w:p>
        </w:tc>
        <w:tc>
          <w:tcPr>
            <w:tcW w:w="1080" w:type="dxa"/>
            <w:tcBorders>
              <w:top w:val="nil"/>
              <w:left w:val="nil"/>
              <w:bottom w:val="single" w:sz="4" w:space="0" w:color="auto"/>
              <w:right w:val="single" w:sz="4" w:space="0" w:color="auto"/>
            </w:tcBorders>
            <w:shd w:val="clear" w:color="auto" w:fill="auto"/>
            <w:noWrap/>
            <w:vAlign w:val="bottom"/>
            <w:hideMark/>
          </w:tcPr>
          <w:p w14:paraId="1AE24BB9" w14:textId="77777777" w:rsidR="00E40E76" w:rsidRDefault="00E40E76">
            <w:pPr>
              <w:jc w:val="center"/>
              <w:rPr>
                <w:color w:val="000000"/>
              </w:rPr>
            </w:pPr>
            <w:r>
              <w:rPr>
                <w:color w:val="000000"/>
              </w:rPr>
              <w:t>0.0127</w:t>
            </w:r>
          </w:p>
        </w:tc>
        <w:tc>
          <w:tcPr>
            <w:tcW w:w="1080" w:type="dxa"/>
            <w:tcBorders>
              <w:top w:val="nil"/>
              <w:left w:val="nil"/>
              <w:bottom w:val="single" w:sz="4" w:space="0" w:color="auto"/>
              <w:right w:val="single" w:sz="4" w:space="0" w:color="auto"/>
            </w:tcBorders>
            <w:shd w:val="clear" w:color="auto" w:fill="auto"/>
            <w:noWrap/>
            <w:vAlign w:val="bottom"/>
            <w:hideMark/>
          </w:tcPr>
          <w:p w14:paraId="767FAE61" w14:textId="77777777" w:rsidR="00E40E76" w:rsidRDefault="00E40E76">
            <w:pPr>
              <w:jc w:val="center"/>
              <w:rPr>
                <w:color w:val="000000"/>
              </w:rPr>
            </w:pPr>
            <w:r>
              <w:rPr>
                <w:color w:val="000000"/>
              </w:rPr>
              <w:t>0.3501</w:t>
            </w:r>
          </w:p>
        </w:tc>
        <w:tc>
          <w:tcPr>
            <w:tcW w:w="1080" w:type="dxa"/>
            <w:tcBorders>
              <w:top w:val="nil"/>
              <w:left w:val="nil"/>
              <w:bottom w:val="single" w:sz="4" w:space="0" w:color="auto"/>
              <w:right w:val="single" w:sz="4" w:space="0" w:color="auto"/>
            </w:tcBorders>
            <w:shd w:val="clear" w:color="auto" w:fill="auto"/>
            <w:noWrap/>
            <w:vAlign w:val="bottom"/>
            <w:hideMark/>
          </w:tcPr>
          <w:p w14:paraId="1B51A598" w14:textId="77777777" w:rsidR="00E40E76" w:rsidRDefault="00E40E76">
            <w:pPr>
              <w:jc w:val="center"/>
              <w:rPr>
                <w:color w:val="000000"/>
              </w:rPr>
            </w:pPr>
            <w:r>
              <w:rPr>
                <w:color w:val="000000"/>
              </w:rPr>
              <w:t>0.0343</w:t>
            </w:r>
          </w:p>
        </w:tc>
        <w:tc>
          <w:tcPr>
            <w:tcW w:w="1080" w:type="dxa"/>
            <w:tcBorders>
              <w:top w:val="nil"/>
              <w:left w:val="nil"/>
              <w:bottom w:val="single" w:sz="4" w:space="0" w:color="auto"/>
              <w:right w:val="single" w:sz="4" w:space="0" w:color="auto"/>
            </w:tcBorders>
            <w:shd w:val="clear" w:color="auto" w:fill="auto"/>
            <w:noWrap/>
            <w:vAlign w:val="bottom"/>
            <w:hideMark/>
          </w:tcPr>
          <w:p w14:paraId="264A707E" w14:textId="77777777" w:rsidR="00E40E76" w:rsidRDefault="00E40E76">
            <w:pPr>
              <w:jc w:val="center"/>
              <w:rPr>
                <w:color w:val="000000"/>
              </w:rPr>
            </w:pPr>
            <w:r>
              <w:rPr>
                <w:color w:val="000000"/>
              </w:rPr>
              <w:t>0.9458</w:t>
            </w:r>
          </w:p>
        </w:tc>
      </w:tr>
      <w:tr w:rsidR="00E40E76" w14:paraId="0461A330"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D2DFEA2" w14:textId="77777777" w:rsidR="00E40E76" w:rsidRDefault="00E40E76">
            <w:pPr>
              <w:jc w:val="center"/>
              <w:rPr>
                <w:color w:val="000000"/>
              </w:rPr>
            </w:pPr>
            <w:r>
              <w:rPr>
                <w:color w:val="000000"/>
              </w:rPr>
              <w:t>Dy</w:t>
            </w:r>
          </w:p>
        </w:tc>
        <w:tc>
          <w:tcPr>
            <w:tcW w:w="1080" w:type="dxa"/>
            <w:tcBorders>
              <w:top w:val="nil"/>
              <w:left w:val="nil"/>
              <w:bottom w:val="single" w:sz="4" w:space="0" w:color="auto"/>
              <w:right w:val="single" w:sz="4" w:space="0" w:color="auto"/>
            </w:tcBorders>
            <w:shd w:val="clear" w:color="auto" w:fill="auto"/>
            <w:noWrap/>
            <w:vAlign w:val="center"/>
            <w:hideMark/>
          </w:tcPr>
          <w:p w14:paraId="288E730E" w14:textId="77777777" w:rsidR="00E40E76" w:rsidRDefault="00E40E76">
            <w:pPr>
              <w:jc w:val="center"/>
              <w:rPr>
                <w:color w:val="000000"/>
              </w:rPr>
            </w:pPr>
            <w:r>
              <w:rPr>
                <w:color w:val="000000"/>
              </w:rPr>
              <w:t>0.0138</w:t>
            </w:r>
          </w:p>
        </w:tc>
        <w:tc>
          <w:tcPr>
            <w:tcW w:w="1080" w:type="dxa"/>
            <w:tcBorders>
              <w:top w:val="nil"/>
              <w:left w:val="nil"/>
              <w:bottom w:val="single" w:sz="4" w:space="0" w:color="auto"/>
              <w:right w:val="single" w:sz="4" w:space="0" w:color="auto"/>
            </w:tcBorders>
            <w:shd w:val="clear" w:color="auto" w:fill="auto"/>
            <w:noWrap/>
            <w:vAlign w:val="bottom"/>
            <w:hideMark/>
          </w:tcPr>
          <w:p w14:paraId="7BE0B0A1" w14:textId="77777777" w:rsidR="00E40E76" w:rsidRDefault="00E40E76">
            <w:pPr>
              <w:jc w:val="center"/>
              <w:rPr>
                <w:color w:val="000000"/>
              </w:rPr>
            </w:pPr>
            <w:r>
              <w:rPr>
                <w:color w:val="000000"/>
              </w:rPr>
              <w:t>0.0570</w:t>
            </w:r>
          </w:p>
        </w:tc>
        <w:tc>
          <w:tcPr>
            <w:tcW w:w="1080" w:type="dxa"/>
            <w:tcBorders>
              <w:top w:val="nil"/>
              <w:left w:val="nil"/>
              <w:bottom w:val="single" w:sz="4" w:space="0" w:color="auto"/>
              <w:right w:val="single" w:sz="4" w:space="0" w:color="auto"/>
            </w:tcBorders>
            <w:shd w:val="clear" w:color="auto" w:fill="auto"/>
            <w:noWrap/>
            <w:vAlign w:val="bottom"/>
            <w:hideMark/>
          </w:tcPr>
          <w:p w14:paraId="75E51ACE" w14:textId="77777777" w:rsidR="00E40E76" w:rsidRDefault="00E40E76">
            <w:pPr>
              <w:jc w:val="center"/>
              <w:rPr>
                <w:color w:val="000000"/>
              </w:rPr>
            </w:pPr>
            <w:r>
              <w:rPr>
                <w:color w:val="000000"/>
              </w:rPr>
              <w:t>0.1049</w:t>
            </w:r>
          </w:p>
        </w:tc>
        <w:tc>
          <w:tcPr>
            <w:tcW w:w="1080" w:type="dxa"/>
            <w:tcBorders>
              <w:top w:val="nil"/>
              <w:left w:val="nil"/>
              <w:bottom w:val="single" w:sz="4" w:space="0" w:color="auto"/>
              <w:right w:val="single" w:sz="4" w:space="0" w:color="auto"/>
            </w:tcBorders>
            <w:shd w:val="clear" w:color="auto" w:fill="auto"/>
            <w:noWrap/>
            <w:vAlign w:val="bottom"/>
            <w:hideMark/>
          </w:tcPr>
          <w:p w14:paraId="714236A9" w14:textId="77777777" w:rsidR="00E40E76" w:rsidRDefault="00E40E76">
            <w:pPr>
              <w:jc w:val="center"/>
              <w:rPr>
                <w:color w:val="000000"/>
              </w:rPr>
            </w:pPr>
            <w:r>
              <w:rPr>
                <w:color w:val="000000"/>
              </w:rPr>
              <w:t>0.4322</w:t>
            </w:r>
          </w:p>
        </w:tc>
        <w:tc>
          <w:tcPr>
            <w:tcW w:w="1080" w:type="dxa"/>
            <w:tcBorders>
              <w:top w:val="nil"/>
              <w:left w:val="nil"/>
              <w:bottom w:val="single" w:sz="4" w:space="0" w:color="auto"/>
              <w:right w:val="single" w:sz="4" w:space="0" w:color="auto"/>
            </w:tcBorders>
            <w:shd w:val="clear" w:color="auto" w:fill="auto"/>
            <w:noWrap/>
            <w:vAlign w:val="bottom"/>
            <w:hideMark/>
          </w:tcPr>
          <w:p w14:paraId="1437EBE8" w14:textId="77777777" w:rsidR="00E40E76" w:rsidRDefault="00E40E76">
            <w:pPr>
              <w:jc w:val="center"/>
              <w:rPr>
                <w:color w:val="000000"/>
              </w:rPr>
            </w:pPr>
            <w:r>
              <w:rPr>
                <w:color w:val="000000"/>
              </w:rPr>
              <w:t>0.2810</w:t>
            </w:r>
          </w:p>
        </w:tc>
        <w:tc>
          <w:tcPr>
            <w:tcW w:w="1080" w:type="dxa"/>
            <w:tcBorders>
              <w:top w:val="nil"/>
              <w:left w:val="nil"/>
              <w:bottom w:val="single" w:sz="4" w:space="0" w:color="auto"/>
              <w:right w:val="single" w:sz="4" w:space="0" w:color="auto"/>
            </w:tcBorders>
            <w:shd w:val="clear" w:color="auto" w:fill="auto"/>
            <w:noWrap/>
            <w:vAlign w:val="bottom"/>
            <w:hideMark/>
          </w:tcPr>
          <w:p w14:paraId="4061D628" w14:textId="77777777" w:rsidR="00E40E76" w:rsidRDefault="00E40E76">
            <w:pPr>
              <w:jc w:val="center"/>
              <w:rPr>
                <w:color w:val="000000"/>
              </w:rPr>
            </w:pPr>
            <w:r>
              <w:rPr>
                <w:color w:val="000000"/>
              </w:rPr>
              <w:t>1.1578</w:t>
            </w:r>
          </w:p>
        </w:tc>
      </w:tr>
      <w:tr w:rsidR="00E40E76" w14:paraId="145EFDAD"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0BE1612" w14:textId="77777777" w:rsidR="00E40E76" w:rsidRDefault="00E40E76">
            <w:pPr>
              <w:jc w:val="center"/>
              <w:rPr>
                <w:color w:val="000000"/>
              </w:rPr>
            </w:pPr>
            <w:r>
              <w:rPr>
                <w:color w:val="000000"/>
              </w:rPr>
              <w:t>Y</w:t>
            </w:r>
          </w:p>
        </w:tc>
        <w:tc>
          <w:tcPr>
            <w:tcW w:w="1080" w:type="dxa"/>
            <w:tcBorders>
              <w:top w:val="nil"/>
              <w:left w:val="nil"/>
              <w:bottom w:val="single" w:sz="4" w:space="0" w:color="auto"/>
              <w:right w:val="single" w:sz="4" w:space="0" w:color="auto"/>
            </w:tcBorders>
            <w:shd w:val="clear" w:color="auto" w:fill="auto"/>
            <w:noWrap/>
            <w:vAlign w:val="center"/>
            <w:hideMark/>
          </w:tcPr>
          <w:p w14:paraId="07617BC5" w14:textId="77777777" w:rsidR="00E40E76" w:rsidRDefault="00E40E76">
            <w:pPr>
              <w:jc w:val="center"/>
              <w:rPr>
                <w:color w:val="000000"/>
              </w:rPr>
            </w:pPr>
            <w:r>
              <w:rPr>
                <w:color w:val="000000"/>
              </w:rPr>
              <w:t>0.1035</w:t>
            </w:r>
          </w:p>
        </w:tc>
        <w:tc>
          <w:tcPr>
            <w:tcW w:w="1080" w:type="dxa"/>
            <w:tcBorders>
              <w:top w:val="nil"/>
              <w:left w:val="nil"/>
              <w:bottom w:val="single" w:sz="4" w:space="0" w:color="auto"/>
              <w:right w:val="single" w:sz="4" w:space="0" w:color="auto"/>
            </w:tcBorders>
            <w:shd w:val="clear" w:color="auto" w:fill="auto"/>
            <w:noWrap/>
            <w:vAlign w:val="bottom"/>
            <w:hideMark/>
          </w:tcPr>
          <w:p w14:paraId="41D5F621" w14:textId="77777777" w:rsidR="00E40E76" w:rsidRDefault="00E40E76">
            <w:pPr>
              <w:jc w:val="center"/>
              <w:rPr>
                <w:color w:val="000000"/>
              </w:rPr>
            </w:pPr>
            <w:r>
              <w:rPr>
                <w:color w:val="000000"/>
              </w:rPr>
              <w:t>0.0663</w:t>
            </w:r>
          </w:p>
        </w:tc>
        <w:tc>
          <w:tcPr>
            <w:tcW w:w="1080" w:type="dxa"/>
            <w:tcBorders>
              <w:top w:val="nil"/>
              <w:left w:val="nil"/>
              <w:bottom w:val="single" w:sz="4" w:space="0" w:color="auto"/>
              <w:right w:val="single" w:sz="4" w:space="0" w:color="auto"/>
            </w:tcBorders>
            <w:shd w:val="clear" w:color="auto" w:fill="auto"/>
            <w:noWrap/>
            <w:vAlign w:val="bottom"/>
            <w:hideMark/>
          </w:tcPr>
          <w:p w14:paraId="4850275B" w14:textId="77777777" w:rsidR="00E40E76" w:rsidRDefault="00E40E76">
            <w:pPr>
              <w:jc w:val="center"/>
              <w:rPr>
                <w:color w:val="000000"/>
              </w:rPr>
            </w:pPr>
            <w:r>
              <w:rPr>
                <w:color w:val="000000"/>
              </w:rPr>
              <w:t>0.7498</w:t>
            </w:r>
          </w:p>
        </w:tc>
        <w:tc>
          <w:tcPr>
            <w:tcW w:w="1080" w:type="dxa"/>
            <w:tcBorders>
              <w:top w:val="nil"/>
              <w:left w:val="nil"/>
              <w:bottom w:val="single" w:sz="4" w:space="0" w:color="auto"/>
              <w:right w:val="single" w:sz="4" w:space="0" w:color="auto"/>
            </w:tcBorders>
            <w:shd w:val="clear" w:color="auto" w:fill="auto"/>
            <w:noWrap/>
            <w:vAlign w:val="bottom"/>
            <w:hideMark/>
          </w:tcPr>
          <w:p w14:paraId="46029FF5" w14:textId="77777777" w:rsidR="00E40E76" w:rsidRDefault="00E40E76">
            <w:pPr>
              <w:jc w:val="center"/>
              <w:rPr>
                <w:color w:val="000000"/>
              </w:rPr>
            </w:pPr>
            <w:r>
              <w:rPr>
                <w:color w:val="000000"/>
              </w:rPr>
              <w:t>0.4806</w:t>
            </w:r>
          </w:p>
        </w:tc>
        <w:tc>
          <w:tcPr>
            <w:tcW w:w="1080" w:type="dxa"/>
            <w:tcBorders>
              <w:top w:val="nil"/>
              <w:left w:val="nil"/>
              <w:bottom w:val="single" w:sz="4" w:space="0" w:color="auto"/>
              <w:right w:val="single" w:sz="4" w:space="0" w:color="auto"/>
            </w:tcBorders>
            <w:shd w:val="clear" w:color="auto" w:fill="auto"/>
            <w:noWrap/>
            <w:vAlign w:val="bottom"/>
            <w:hideMark/>
          </w:tcPr>
          <w:p w14:paraId="6DBF41EF" w14:textId="77777777" w:rsidR="00E40E76" w:rsidRDefault="00E40E76">
            <w:pPr>
              <w:jc w:val="center"/>
              <w:rPr>
                <w:color w:val="000000"/>
              </w:rPr>
            </w:pPr>
            <w:r>
              <w:rPr>
                <w:color w:val="000000"/>
              </w:rPr>
              <w:t>2.0782</w:t>
            </w:r>
          </w:p>
        </w:tc>
        <w:tc>
          <w:tcPr>
            <w:tcW w:w="1080" w:type="dxa"/>
            <w:tcBorders>
              <w:top w:val="nil"/>
              <w:left w:val="nil"/>
              <w:bottom w:val="single" w:sz="4" w:space="0" w:color="auto"/>
              <w:right w:val="single" w:sz="4" w:space="0" w:color="auto"/>
            </w:tcBorders>
            <w:shd w:val="clear" w:color="auto" w:fill="auto"/>
            <w:noWrap/>
            <w:vAlign w:val="bottom"/>
            <w:hideMark/>
          </w:tcPr>
          <w:p w14:paraId="5D51560C" w14:textId="77777777" w:rsidR="00E40E76" w:rsidRDefault="00E40E76">
            <w:pPr>
              <w:jc w:val="center"/>
              <w:rPr>
                <w:color w:val="000000"/>
              </w:rPr>
            </w:pPr>
            <w:r>
              <w:rPr>
                <w:color w:val="000000"/>
              </w:rPr>
              <w:t>1.3322</w:t>
            </w:r>
          </w:p>
        </w:tc>
      </w:tr>
      <w:tr w:rsidR="00E40E76" w14:paraId="2C5F83C3"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B369E3B" w14:textId="77777777" w:rsidR="00E40E76" w:rsidRDefault="00E40E76">
            <w:pPr>
              <w:jc w:val="center"/>
              <w:rPr>
                <w:color w:val="000000"/>
              </w:rPr>
            </w:pPr>
            <w:r>
              <w:rPr>
                <w:color w:val="000000"/>
              </w:rPr>
              <w:t>Ho</w:t>
            </w:r>
          </w:p>
        </w:tc>
        <w:tc>
          <w:tcPr>
            <w:tcW w:w="1080" w:type="dxa"/>
            <w:tcBorders>
              <w:top w:val="nil"/>
              <w:left w:val="nil"/>
              <w:bottom w:val="single" w:sz="4" w:space="0" w:color="auto"/>
              <w:right w:val="single" w:sz="4" w:space="0" w:color="auto"/>
            </w:tcBorders>
            <w:shd w:val="clear" w:color="auto" w:fill="auto"/>
            <w:noWrap/>
            <w:vAlign w:val="center"/>
            <w:hideMark/>
          </w:tcPr>
          <w:p w14:paraId="196102BF" w14:textId="77777777" w:rsidR="00E40E76" w:rsidRDefault="00E40E76">
            <w:pPr>
              <w:jc w:val="center"/>
              <w:rPr>
                <w:color w:val="000000"/>
              </w:rPr>
            </w:pPr>
            <w:r>
              <w:rPr>
                <w:color w:val="000000"/>
              </w:rPr>
              <w:t>0.0035</w:t>
            </w:r>
          </w:p>
        </w:tc>
        <w:tc>
          <w:tcPr>
            <w:tcW w:w="1080" w:type="dxa"/>
            <w:tcBorders>
              <w:top w:val="nil"/>
              <w:left w:val="nil"/>
              <w:bottom w:val="single" w:sz="4" w:space="0" w:color="auto"/>
              <w:right w:val="single" w:sz="4" w:space="0" w:color="auto"/>
            </w:tcBorders>
            <w:shd w:val="clear" w:color="auto" w:fill="auto"/>
            <w:noWrap/>
            <w:vAlign w:val="bottom"/>
            <w:hideMark/>
          </w:tcPr>
          <w:p w14:paraId="39B30D8A" w14:textId="77777777" w:rsidR="00E40E76" w:rsidRDefault="00E40E76">
            <w:pPr>
              <w:jc w:val="center"/>
              <w:rPr>
                <w:color w:val="000000"/>
              </w:rPr>
            </w:pPr>
            <w:r>
              <w:rPr>
                <w:color w:val="000000"/>
              </w:rPr>
              <w:t>0.0636</w:t>
            </w:r>
          </w:p>
        </w:tc>
        <w:tc>
          <w:tcPr>
            <w:tcW w:w="1080" w:type="dxa"/>
            <w:tcBorders>
              <w:top w:val="nil"/>
              <w:left w:val="nil"/>
              <w:bottom w:val="single" w:sz="4" w:space="0" w:color="auto"/>
              <w:right w:val="single" w:sz="4" w:space="0" w:color="auto"/>
            </w:tcBorders>
            <w:shd w:val="clear" w:color="auto" w:fill="auto"/>
            <w:noWrap/>
            <w:vAlign w:val="bottom"/>
            <w:hideMark/>
          </w:tcPr>
          <w:p w14:paraId="251B2ACC" w14:textId="77777777" w:rsidR="00E40E76" w:rsidRDefault="00E40E76">
            <w:pPr>
              <w:jc w:val="center"/>
              <w:rPr>
                <w:color w:val="000000"/>
              </w:rPr>
            </w:pPr>
            <w:r>
              <w:rPr>
                <w:color w:val="000000"/>
              </w:rPr>
              <w:t>0.0273</w:t>
            </w:r>
          </w:p>
        </w:tc>
        <w:tc>
          <w:tcPr>
            <w:tcW w:w="1080" w:type="dxa"/>
            <w:tcBorders>
              <w:top w:val="nil"/>
              <w:left w:val="nil"/>
              <w:bottom w:val="single" w:sz="4" w:space="0" w:color="auto"/>
              <w:right w:val="single" w:sz="4" w:space="0" w:color="auto"/>
            </w:tcBorders>
            <w:shd w:val="clear" w:color="auto" w:fill="auto"/>
            <w:noWrap/>
            <w:vAlign w:val="bottom"/>
            <w:hideMark/>
          </w:tcPr>
          <w:p w14:paraId="1E458869" w14:textId="77777777" w:rsidR="00E40E76" w:rsidRDefault="00E40E76">
            <w:pPr>
              <w:jc w:val="center"/>
              <w:rPr>
                <w:color w:val="000000"/>
              </w:rPr>
            </w:pPr>
            <w:r>
              <w:rPr>
                <w:color w:val="000000"/>
              </w:rPr>
              <w:t>0.4913</w:t>
            </w:r>
          </w:p>
        </w:tc>
        <w:tc>
          <w:tcPr>
            <w:tcW w:w="1080" w:type="dxa"/>
            <w:tcBorders>
              <w:top w:val="nil"/>
              <w:left w:val="nil"/>
              <w:bottom w:val="single" w:sz="4" w:space="0" w:color="auto"/>
              <w:right w:val="single" w:sz="4" w:space="0" w:color="auto"/>
            </w:tcBorders>
            <w:shd w:val="clear" w:color="auto" w:fill="auto"/>
            <w:noWrap/>
            <w:vAlign w:val="bottom"/>
            <w:hideMark/>
          </w:tcPr>
          <w:p w14:paraId="6C8EF5BD" w14:textId="77777777" w:rsidR="00E40E76" w:rsidRDefault="00E40E76">
            <w:pPr>
              <w:jc w:val="center"/>
              <w:rPr>
                <w:color w:val="000000"/>
              </w:rPr>
            </w:pPr>
            <w:r>
              <w:rPr>
                <w:color w:val="000000"/>
              </w:rPr>
              <w:t>0.0728</w:t>
            </w:r>
          </w:p>
        </w:tc>
        <w:tc>
          <w:tcPr>
            <w:tcW w:w="1080" w:type="dxa"/>
            <w:tcBorders>
              <w:top w:val="nil"/>
              <w:left w:val="nil"/>
              <w:bottom w:val="single" w:sz="4" w:space="0" w:color="auto"/>
              <w:right w:val="single" w:sz="4" w:space="0" w:color="auto"/>
            </w:tcBorders>
            <w:shd w:val="clear" w:color="auto" w:fill="auto"/>
            <w:noWrap/>
            <w:vAlign w:val="bottom"/>
            <w:hideMark/>
          </w:tcPr>
          <w:p w14:paraId="43764C72" w14:textId="77777777" w:rsidR="00E40E76" w:rsidRDefault="00E40E76">
            <w:pPr>
              <w:jc w:val="center"/>
              <w:rPr>
                <w:color w:val="000000"/>
              </w:rPr>
            </w:pPr>
            <w:r>
              <w:rPr>
                <w:color w:val="000000"/>
              </w:rPr>
              <w:t>1.3092</w:t>
            </w:r>
          </w:p>
        </w:tc>
      </w:tr>
      <w:tr w:rsidR="00E40E76" w14:paraId="37F24C64"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74E9B37" w14:textId="77777777" w:rsidR="00E40E76" w:rsidRDefault="00E40E76">
            <w:pPr>
              <w:jc w:val="center"/>
              <w:rPr>
                <w:color w:val="000000"/>
              </w:rPr>
            </w:pPr>
            <w:r>
              <w:rPr>
                <w:color w:val="000000"/>
              </w:rPr>
              <w:t>Er</w:t>
            </w:r>
          </w:p>
        </w:tc>
        <w:tc>
          <w:tcPr>
            <w:tcW w:w="1080" w:type="dxa"/>
            <w:tcBorders>
              <w:top w:val="nil"/>
              <w:left w:val="nil"/>
              <w:bottom w:val="single" w:sz="4" w:space="0" w:color="auto"/>
              <w:right w:val="single" w:sz="4" w:space="0" w:color="auto"/>
            </w:tcBorders>
            <w:shd w:val="clear" w:color="auto" w:fill="auto"/>
            <w:noWrap/>
            <w:vAlign w:val="center"/>
            <w:hideMark/>
          </w:tcPr>
          <w:p w14:paraId="4DA582D8" w14:textId="77777777" w:rsidR="00E40E76" w:rsidRDefault="00E40E76">
            <w:pPr>
              <w:jc w:val="center"/>
              <w:rPr>
                <w:color w:val="000000"/>
              </w:rPr>
            </w:pPr>
            <w:r>
              <w:rPr>
                <w:color w:val="000000"/>
              </w:rPr>
              <w:t>0.0123</w:t>
            </w:r>
          </w:p>
        </w:tc>
        <w:tc>
          <w:tcPr>
            <w:tcW w:w="1080" w:type="dxa"/>
            <w:tcBorders>
              <w:top w:val="nil"/>
              <w:left w:val="nil"/>
              <w:bottom w:val="single" w:sz="4" w:space="0" w:color="auto"/>
              <w:right w:val="single" w:sz="4" w:space="0" w:color="auto"/>
            </w:tcBorders>
            <w:shd w:val="clear" w:color="auto" w:fill="auto"/>
            <w:noWrap/>
            <w:vAlign w:val="bottom"/>
            <w:hideMark/>
          </w:tcPr>
          <w:p w14:paraId="61996797" w14:textId="77777777" w:rsidR="00E40E76" w:rsidRDefault="00E40E76">
            <w:pPr>
              <w:jc w:val="center"/>
              <w:rPr>
                <w:color w:val="000000"/>
              </w:rPr>
            </w:pPr>
            <w:r>
              <w:rPr>
                <w:color w:val="000000"/>
              </w:rPr>
              <w:t>0.0772</w:t>
            </w:r>
          </w:p>
        </w:tc>
        <w:tc>
          <w:tcPr>
            <w:tcW w:w="1080" w:type="dxa"/>
            <w:tcBorders>
              <w:top w:val="nil"/>
              <w:left w:val="nil"/>
              <w:bottom w:val="single" w:sz="4" w:space="0" w:color="auto"/>
              <w:right w:val="single" w:sz="4" w:space="0" w:color="auto"/>
            </w:tcBorders>
            <w:shd w:val="clear" w:color="auto" w:fill="auto"/>
            <w:noWrap/>
            <w:vAlign w:val="bottom"/>
            <w:hideMark/>
          </w:tcPr>
          <w:p w14:paraId="552804DD" w14:textId="77777777" w:rsidR="00E40E76" w:rsidRDefault="00E40E76">
            <w:pPr>
              <w:jc w:val="center"/>
              <w:rPr>
                <w:color w:val="000000"/>
              </w:rPr>
            </w:pPr>
            <w:r>
              <w:rPr>
                <w:color w:val="000000"/>
              </w:rPr>
              <w:t>0.0921</w:t>
            </w:r>
          </w:p>
        </w:tc>
        <w:tc>
          <w:tcPr>
            <w:tcW w:w="1080" w:type="dxa"/>
            <w:tcBorders>
              <w:top w:val="nil"/>
              <w:left w:val="nil"/>
              <w:bottom w:val="single" w:sz="4" w:space="0" w:color="auto"/>
              <w:right w:val="single" w:sz="4" w:space="0" w:color="auto"/>
            </w:tcBorders>
            <w:shd w:val="clear" w:color="auto" w:fill="auto"/>
            <w:noWrap/>
            <w:vAlign w:val="bottom"/>
            <w:hideMark/>
          </w:tcPr>
          <w:p w14:paraId="7B4F7988" w14:textId="77777777" w:rsidR="00E40E76" w:rsidRDefault="00E40E76">
            <w:pPr>
              <w:jc w:val="center"/>
              <w:rPr>
                <w:color w:val="000000"/>
              </w:rPr>
            </w:pPr>
            <w:r>
              <w:rPr>
                <w:color w:val="000000"/>
              </w:rPr>
              <w:t>0.5796</w:t>
            </w:r>
          </w:p>
        </w:tc>
        <w:tc>
          <w:tcPr>
            <w:tcW w:w="1080" w:type="dxa"/>
            <w:tcBorders>
              <w:top w:val="nil"/>
              <w:left w:val="nil"/>
              <w:bottom w:val="single" w:sz="4" w:space="0" w:color="auto"/>
              <w:right w:val="single" w:sz="4" w:space="0" w:color="auto"/>
            </w:tcBorders>
            <w:shd w:val="clear" w:color="auto" w:fill="auto"/>
            <w:noWrap/>
            <w:vAlign w:val="bottom"/>
            <w:hideMark/>
          </w:tcPr>
          <w:p w14:paraId="32F66226" w14:textId="77777777" w:rsidR="00E40E76" w:rsidRDefault="00E40E76">
            <w:pPr>
              <w:jc w:val="center"/>
              <w:rPr>
                <w:color w:val="000000"/>
              </w:rPr>
            </w:pPr>
            <w:r>
              <w:rPr>
                <w:color w:val="000000"/>
              </w:rPr>
              <w:t>0.2475</w:t>
            </w:r>
          </w:p>
        </w:tc>
        <w:tc>
          <w:tcPr>
            <w:tcW w:w="1080" w:type="dxa"/>
            <w:tcBorders>
              <w:top w:val="nil"/>
              <w:left w:val="nil"/>
              <w:bottom w:val="single" w:sz="4" w:space="0" w:color="auto"/>
              <w:right w:val="single" w:sz="4" w:space="0" w:color="auto"/>
            </w:tcBorders>
            <w:shd w:val="clear" w:color="auto" w:fill="auto"/>
            <w:noWrap/>
            <w:vAlign w:val="bottom"/>
            <w:hideMark/>
          </w:tcPr>
          <w:p w14:paraId="31201C81" w14:textId="77777777" w:rsidR="00E40E76" w:rsidRDefault="00E40E76">
            <w:pPr>
              <w:jc w:val="center"/>
              <w:rPr>
                <w:color w:val="000000"/>
              </w:rPr>
            </w:pPr>
            <w:r>
              <w:rPr>
                <w:color w:val="000000"/>
              </w:rPr>
              <w:t>1.5577</w:t>
            </w:r>
          </w:p>
        </w:tc>
      </w:tr>
      <w:tr w:rsidR="00E40E76" w14:paraId="05E7392B"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56975C3" w14:textId="77777777" w:rsidR="00E40E76" w:rsidRDefault="00E40E76">
            <w:pPr>
              <w:jc w:val="center"/>
              <w:rPr>
                <w:color w:val="000000"/>
              </w:rPr>
            </w:pPr>
            <w:r>
              <w:rPr>
                <w:color w:val="000000"/>
              </w:rPr>
              <w:t>Tm</w:t>
            </w:r>
          </w:p>
        </w:tc>
        <w:tc>
          <w:tcPr>
            <w:tcW w:w="1080" w:type="dxa"/>
            <w:tcBorders>
              <w:top w:val="nil"/>
              <w:left w:val="nil"/>
              <w:bottom w:val="single" w:sz="4" w:space="0" w:color="auto"/>
              <w:right w:val="single" w:sz="4" w:space="0" w:color="auto"/>
            </w:tcBorders>
            <w:shd w:val="clear" w:color="auto" w:fill="auto"/>
            <w:noWrap/>
            <w:vAlign w:val="center"/>
            <w:hideMark/>
          </w:tcPr>
          <w:p w14:paraId="19D7A717" w14:textId="77777777" w:rsidR="00E40E76" w:rsidRDefault="00E40E76">
            <w:pPr>
              <w:jc w:val="center"/>
              <w:rPr>
                <w:color w:val="000000"/>
              </w:rPr>
            </w:pPr>
            <w:r>
              <w:rPr>
                <w:color w:val="000000"/>
              </w:rPr>
              <w:t>0.0023</w:t>
            </w:r>
          </w:p>
        </w:tc>
        <w:tc>
          <w:tcPr>
            <w:tcW w:w="1080" w:type="dxa"/>
            <w:tcBorders>
              <w:top w:val="nil"/>
              <w:left w:val="nil"/>
              <w:bottom w:val="single" w:sz="4" w:space="0" w:color="auto"/>
              <w:right w:val="single" w:sz="4" w:space="0" w:color="auto"/>
            </w:tcBorders>
            <w:shd w:val="clear" w:color="auto" w:fill="auto"/>
            <w:noWrap/>
            <w:vAlign w:val="bottom"/>
            <w:hideMark/>
          </w:tcPr>
          <w:p w14:paraId="0131CA64" w14:textId="77777777" w:rsidR="00E40E76" w:rsidRDefault="00E40E76">
            <w:pPr>
              <w:jc w:val="center"/>
              <w:rPr>
                <w:color w:val="000000"/>
              </w:rPr>
            </w:pPr>
            <w:r>
              <w:rPr>
                <w:color w:val="000000"/>
              </w:rPr>
              <w:t>0.0597</w:t>
            </w:r>
          </w:p>
        </w:tc>
        <w:tc>
          <w:tcPr>
            <w:tcW w:w="1080" w:type="dxa"/>
            <w:tcBorders>
              <w:top w:val="nil"/>
              <w:left w:val="nil"/>
              <w:bottom w:val="single" w:sz="4" w:space="0" w:color="auto"/>
              <w:right w:val="single" w:sz="4" w:space="0" w:color="auto"/>
            </w:tcBorders>
            <w:shd w:val="clear" w:color="auto" w:fill="auto"/>
            <w:noWrap/>
            <w:vAlign w:val="bottom"/>
            <w:hideMark/>
          </w:tcPr>
          <w:p w14:paraId="6E2E182C" w14:textId="77777777" w:rsidR="00E40E76" w:rsidRDefault="00E40E76">
            <w:pPr>
              <w:jc w:val="center"/>
              <w:rPr>
                <w:color w:val="000000"/>
              </w:rPr>
            </w:pPr>
            <w:r>
              <w:rPr>
                <w:color w:val="000000"/>
              </w:rPr>
              <w:t>0.0160</w:t>
            </w:r>
          </w:p>
        </w:tc>
        <w:tc>
          <w:tcPr>
            <w:tcW w:w="1080" w:type="dxa"/>
            <w:tcBorders>
              <w:top w:val="nil"/>
              <w:left w:val="nil"/>
              <w:bottom w:val="single" w:sz="4" w:space="0" w:color="auto"/>
              <w:right w:val="single" w:sz="4" w:space="0" w:color="auto"/>
            </w:tcBorders>
            <w:shd w:val="clear" w:color="auto" w:fill="auto"/>
            <w:noWrap/>
            <w:vAlign w:val="bottom"/>
            <w:hideMark/>
          </w:tcPr>
          <w:p w14:paraId="79623283" w14:textId="77777777" w:rsidR="00E40E76" w:rsidRDefault="00E40E76">
            <w:pPr>
              <w:jc w:val="center"/>
              <w:rPr>
                <w:color w:val="000000"/>
              </w:rPr>
            </w:pPr>
            <w:r>
              <w:rPr>
                <w:color w:val="000000"/>
              </w:rPr>
              <w:t>0.4224</w:t>
            </w:r>
          </w:p>
        </w:tc>
        <w:tc>
          <w:tcPr>
            <w:tcW w:w="1080" w:type="dxa"/>
            <w:tcBorders>
              <w:top w:val="nil"/>
              <w:left w:val="nil"/>
              <w:bottom w:val="single" w:sz="4" w:space="0" w:color="auto"/>
              <w:right w:val="single" w:sz="4" w:space="0" w:color="auto"/>
            </w:tcBorders>
            <w:shd w:val="clear" w:color="auto" w:fill="auto"/>
            <w:noWrap/>
            <w:vAlign w:val="bottom"/>
            <w:hideMark/>
          </w:tcPr>
          <w:p w14:paraId="4738D1F0" w14:textId="77777777" w:rsidR="00E40E76" w:rsidRDefault="00E40E76">
            <w:pPr>
              <w:jc w:val="center"/>
              <w:rPr>
                <w:color w:val="000000"/>
              </w:rPr>
            </w:pPr>
            <w:r>
              <w:rPr>
                <w:color w:val="000000"/>
              </w:rPr>
              <w:t>0.0433</w:t>
            </w:r>
          </w:p>
        </w:tc>
        <w:tc>
          <w:tcPr>
            <w:tcW w:w="1080" w:type="dxa"/>
            <w:tcBorders>
              <w:top w:val="nil"/>
              <w:left w:val="nil"/>
              <w:bottom w:val="single" w:sz="4" w:space="0" w:color="auto"/>
              <w:right w:val="single" w:sz="4" w:space="0" w:color="auto"/>
            </w:tcBorders>
            <w:shd w:val="clear" w:color="auto" w:fill="auto"/>
            <w:noWrap/>
            <w:vAlign w:val="bottom"/>
            <w:hideMark/>
          </w:tcPr>
          <w:p w14:paraId="69DAB1E3" w14:textId="77777777" w:rsidR="00E40E76" w:rsidRDefault="00E40E76">
            <w:pPr>
              <w:jc w:val="center"/>
              <w:rPr>
                <w:color w:val="000000"/>
              </w:rPr>
            </w:pPr>
            <w:r>
              <w:rPr>
                <w:color w:val="000000"/>
              </w:rPr>
              <w:t>1.1461</w:t>
            </w:r>
          </w:p>
        </w:tc>
      </w:tr>
      <w:tr w:rsidR="00E40E76" w14:paraId="4C36E114"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288E916" w14:textId="77777777" w:rsidR="00E40E76" w:rsidRDefault="00E40E76">
            <w:pPr>
              <w:jc w:val="center"/>
              <w:rPr>
                <w:color w:val="000000"/>
              </w:rPr>
            </w:pPr>
            <w:r>
              <w:rPr>
                <w:color w:val="000000"/>
              </w:rPr>
              <w:t>Yb</w:t>
            </w:r>
          </w:p>
        </w:tc>
        <w:tc>
          <w:tcPr>
            <w:tcW w:w="1080" w:type="dxa"/>
            <w:tcBorders>
              <w:top w:val="nil"/>
              <w:left w:val="nil"/>
              <w:bottom w:val="single" w:sz="4" w:space="0" w:color="auto"/>
              <w:right w:val="single" w:sz="4" w:space="0" w:color="auto"/>
            </w:tcBorders>
            <w:shd w:val="clear" w:color="auto" w:fill="auto"/>
            <w:noWrap/>
            <w:vAlign w:val="center"/>
            <w:hideMark/>
          </w:tcPr>
          <w:p w14:paraId="2962A8E4" w14:textId="77777777" w:rsidR="00E40E76" w:rsidRDefault="00E40E76">
            <w:pPr>
              <w:jc w:val="center"/>
              <w:rPr>
                <w:color w:val="000000"/>
              </w:rPr>
            </w:pPr>
            <w:r>
              <w:rPr>
                <w:color w:val="000000"/>
              </w:rPr>
              <w:t>0.0181</w:t>
            </w:r>
          </w:p>
        </w:tc>
        <w:tc>
          <w:tcPr>
            <w:tcW w:w="1080" w:type="dxa"/>
            <w:tcBorders>
              <w:top w:val="nil"/>
              <w:left w:val="nil"/>
              <w:bottom w:val="single" w:sz="4" w:space="0" w:color="auto"/>
              <w:right w:val="single" w:sz="4" w:space="0" w:color="auto"/>
            </w:tcBorders>
            <w:shd w:val="clear" w:color="auto" w:fill="auto"/>
            <w:noWrap/>
            <w:vAlign w:val="bottom"/>
            <w:hideMark/>
          </w:tcPr>
          <w:p w14:paraId="48F5F9A3" w14:textId="77777777" w:rsidR="00E40E76" w:rsidRDefault="00E40E76">
            <w:pPr>
              <w:jc w:val="center"/>
              <w:rPr>
                <w:color w:val="000000"/>
              </w:rPr>
            </w:pPr>
            <w:r>
              <w:rPr>
                <w:color w:val="000000"/>
              </w:rPr>
              <w:t>0.1116</w:t>
            </w:r>
          </w:p>
        </w:tc>
        <w:tc>
          <w:tcPr>
            <w:tcW w:w="1080" w:type="dxa"/>
            <w:tcBorders>
              <w:top w:val="nil"/>
              <w:left w:val="nil"/>
              <w:bottom w:val="single" w:sz="4" w:space="0" w:color="auto"/>
              <w:right w:val="single" w:sz="4" w:space="0" w:color="auto"/>
            </w:tcBorders>
            <w:shd w:val="clear" w:color="auto" w:fill="auto"/>
            <w:noWrap/>
            <w:vAlign w:val="bottom"/>
            <w:hideMark/>
          </w:tcPr>
          <w:p w14:paraId="1F76AEA5" w14:textId="77777777" w:rsidR="00E40E76" w:rsidRDefault="00E40E76">
            <w:pPr>
              <w:jc w:val="center"/>
              <w:rPr>
                <w:color w:val="000000"/>
              </w:rPr>
            </w:pPr>
            <w:r>
              <w:rPr>
                <w:color w:val="000000"/>
              </w:rPr>
              <w:t>0.1132</w:t>
            </w:r>
          </w:p>
        </w:tc>
        <w:tc>
          <w:tcPr>
            <w:tcW w:w="1080" w:type="dxa"/>
            <w:tcBorders>
              <w:top w:val="nil"/>
              <w:left w:val="nil"/>
              <w:bottom w:val="single" w:sz="4" w:space="0" w:color="auto"/>
              <w:right w:val="single" w:sz="4" w:space="0" w:color="auto"/>
            </w:tcBorders>
            <w:shd w:val="clear" w:color="auto" w:fill="auto"/>
            <w:noWrap/>
            <w:vAlign w:val="bottom"/>
            <w:hideMark/>
          </w:tcPr>
          <w:p w14:paraId="2716ADE9" w14:textId="77777777" w:rsidR="00E40E76" w:rsidRDefault="00E40E76">
            <w:pPr>
              <w:jc w:val="center"/>
              <w:rPr>
                <w:color w:val="000000"/>
              </w:rPr>
            </w:pPr>
            <w:r>
              <w:rPr>
                <w:color w:val="000000"/>
              </w:rPr>
              <w:t>0.6968</w:t>
            </w:r>
          </w:p>
        </w:tc>
        <w:tc>
          <w:tcPr>
            <w:tcW w:w="1080" w:type="dxa"/>
            <w:tcBorders>
              <w:top w:val="nil"/>
              <w:left w:val="nil"/>
              <w:bottom w:val="single" w:sz="4" w:space="0" w:color="auto"/>
              <w:right w:val="single" w:sz="4" w:space="0" w:color="auto"/>
            </w:tcBorders>
            <w:shd w:val="clear" w:color="auto" w:fill="auto"/>
            <w:noWrap/>
            <w:vAlign w:val="bottom"/>
            <w:hideMark/>
          </w:tcPr>
          <w:p w14:paraId="2C1A7F70" w14:textId="77777777" w:rsidR="00E40E76" w:rsidRDefault="00E40E76">
            <w:pPr>
              <w:jc w:val="center"/>
              <w:rPr>
                <w:color w:val="000000"/>
              </w:rPr>
            </w:pPr>
            <w:r>
              <w:rPr>
                <w:color w:val="000000"/>
              </w:rPr>
              <w:t>0.3153</w:t>
            </w:r>
          </w:p>
        </w:tc>
        <w:tc>
          <w:tcPr>
            <w:tcW w:w="1080" w:type="dxa"/>
            <w:tcBorders>
              <w:top w:val="nil"/>
              <w:left w:val="nil"/>
              <w:bottom w:val="single" w:sz="4" w:space="0" w:color="auto"/>
              <w:right w:val="single" w:sz="4" w:space="0" w:color="auto"/>
            </w:tcBorders>
            <w:shd w:val="clear" w:color="auto" w:fill="auto"/>
            <w:noWrap/>
            <w:vAlign w:val="bottom"/>
            <w:hideMark/>
          </w:tcPr>
          <w:p w14:paraId="0F97C395" w14:textId="77777777" w:rsidR="00E40E76" w:rsidRDefault="00E40E76">
            <w:pPr>
              <w:jc w:val="center"/>
              <w:rPr>
                <w:color w:val="000000"/>
              </w:rPr>
            </w:pPr>
            <w:r>
              <w:rPr>
                <w:color w:val="000000"/>
              </w:rPr>
              <w:t>1.9402</w:t>
            </w:r>
          </w:p>
        </w:tc>
      </w:tr>
      <w:tr w:rsidR="00E40E76" w14:paraId="7A8CDF4B"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0658DB6" w14:textId="77777777" w:rsidR="00E40E76" w:rsidRDefault="00E40E76">
            <w:pPr>
              <w:jc w:val="center"/>
              <w:rPr>
                <w:color w:val="000000"/>
              </w:rPr>
            </w:pPr>
            <w:r>
              <w:rPr>
                <w:color w:val="000000"/>
              </w:rPr>
              <w:t>Lu</w:t>
            </w:r>
          </w:p>
        </w:tc>
        <w:tc>
          <w:tcPr>
            <w:tcW w:w="1080" w:type="dxa"/>
            <w:tcBorders>
              <w:top w:val="nil"/>
              <w:left w:val="nil"/>
              <w:bottom w:val="single" w:sz="4" w:space="0" w:color="auto"/>
              <w:right w:val="single" w:sz="4" w:space="0" w:color="auto"/>
            </w:tcBorders>
            <w:shd w:val="clear" w:color="auto" w:fill="auto"/>
            <w:noWrap/>
            <w:vAlign w:val="center"/>
            <w:hideMark/>
          </w:tcPr>
          <w:p w14:paraId="02FA69F8" w14:textId="77777777" w:rsidR="00E40E76" w:rsidRDefault="00E40E76">
            <w:pPr>
              <w:jc w:val="center"/>
              <w:rPr>
                <w:color w:val="000000"/>
              </w:rPr>
            </w:pPr>
            <w:r>
              <w:rPr>
                <w:color w:val="000000"/>
              </w:rPr>
              <w:t>0.0031</w:t>
            </w:r>
          </w:p>
        </w:tc>
        <w:tc>
          <w:tcPr>
            <w:tcW w:w="1080" w:type="dxa"/>
            <w:tcBorders>
              <w:top w:val="nil"/>
              <w:left w:val="nil"/>
              <w:bottom w:val="single" w:sz="4" w:space="0" w:color="auto"/>
              <w:right w:val="single" w:sz="4" w:space="0" w:color="auto"/>
            </w:tcBorders>
            <w:shd w:val="clear" w:color="auto" w:fill="auto"/>
            <w:noWrap/>
            <w:vAlign w:val="bottom"/>
            <w:hideMark/>
          </w:tcPr>
          <w:p w14:paraId="5BC00378" w14:textId="77777777" w:rsidR="00E40E76" w:rsidRDefault="00E40E76">
            <w:pPr>
              <w:jc w:val="center"/>
              <w:rPr>
                <w:color w:val="000000"/>
              </w:rPr>
            </w:pPr>
            <w:r>
              <w:rPr>
                <w:color w:val="000000"/>
              </w:rPr>
              <w:t>0.1293</w:t>
            </w:r>
          </w:p>
        </w:tc>
        <w:tc>
          <w:tcPr>
            <w:tcW w:w="1080" w:type="dxa"/>
            <w:tcBorders>
              <w:top w:val="nil"/>
              <w:left w:val="nil"/>
              <w:bottom w:val="single" w:sz="4" w:space="0" w:color="auto"/>
              <w:right w:val="single" w:sz="4" w:space="0" w:color="auto"/>
            </w:tcBorders>
            <w:shd w:val="clear" w:color="auto" w:fill="auto"/>
            <w:noWrap/>
            <w:vAlign w:val="bottom"/>
            <w:hideMark/>
          </w:tcPr>
          <w:p w14:paraId="7051EB29" w14:textId="77777777" w:rsidR="00E40E76" w:rsidRDefault="00E40E76">
            <w:pPr>
              <w:jc w:val="center"/>
              <w:rPr>
                <w:color w:val="000000"/>
              </w:rPr>
            </w:pPr>
            <w:r>
              <w:rPr>
                <w:color w:val="000000"/>
              </w:rPr>
              <w:t>0.0186</w:t>
            </w:r>
          </w:p>
        </w:tc>
        <w:tc>
          <w:tcPr>
            <w:tcW w:w="1080" w:type="dxa"/>
            <w:tcBorders>
              <w:top w:val="nil"/>
              <w:left w:val="nil"/>
              <w:bottom w:val="single" w:sz="4" w:space="0" w:color="auto"/>
              <w:right w:val="single" w:sz="4" w:space="0" w:color="auto"/>
            </w:tcBorders>
            <w:shd w:val="clear" w:color="auto" w:fill="auto"/>
            <w:noWrap/>
            <w:vAlign w:val="bottom"/>
            <w:hideMark/>
          </w:tcPr>
          <w:p w14:paraId="11B76933" w14:textId="77777777" w:rsidR="00E40E76" w:rsidRDefault="00E40E76">
            <w:pPr>
              <w:jc w:val="center"/>
              <w:rPr>
                <w:color w:val="000000"/>
              </w:rPr>
            </w:pPr>
            <w:r>
              <w:rPr>
                <w:color w:val="000000"/>
              </w:rPr>
              <w:t>0.7647</w:t>
            </w:r>
          </w:p>
        </w:tc>
        <w:tc>
          <w:tcPr>
            <w:tcW w:w="1080" w:type="dxa"/>
            <w:tcBorders>
              <w:top w:val="nil"/>
              <w:left w:val="nil"/>
              <w:bottom w:val="single" w:sz="4" w:space="0" w:color="auto"/>
              <w:right w:val="single" w:sz="4" w:space="0" w:color="auto"/>
            </w:tcBorders>
            <w:shd w:val="clear" w:color="auto" w:fill="auto"/>
            <w:noWrap/>
            <w:vAlign w:val="bottom"/>
            <w:hideMark/>
          </w:tcPr>
          <w:p w14:paraId="444B932F" w14:textId="77777777" w:rsidR="00E40E76" w:rsidRDefault="00E40E76">
            <w:pPr>
              <w:jc w:val="center"/>
              <w:rPr>
                <w:color w:val="000000"/>
              </w:rPr>
            </w:pPr>
            <w:r>
              <w:rPr>
                <w:color w:val="000000"/>
              </w:rPr>
              <w:t>0.0518</w:t>
            </w:r>
          </w:p>
        </w:tc>
        <w:tc>
          <w:tcPr>
            <w:tcW w:w="1080" w:type="dxa"/>
            <w:tcBorders>
              <w:top w:val="nil"/>
              <w:left w:val="nil"/>
              <w:bottom w:val="single" w:sz="4" w:space="0" w:color="auto"/>
              <w:right w:val="single" w:sz="4" w:space="0" w:color="auto"/>
            </w:tcBorders>
            <w:shd w:val="clear" w:color="auto" w:fill="auto"/>
            <w:noWrap/>
            <w:vAlign w:val="bottom"/>
            <w:hideMark/>
          </w:tcPr>
          <w:p w14:paraId="225A3AC2" w14:textId="77777777" w:rsidR="00E40E76" w:rsidRDefault="00E40E76">
            <w:pPr>
              <w:jc w:val="center"/>
              <w:rPr>
                <w:color w:val="000000"/>
              </w:rPr>
            </w:pPr>
            <w:r>
              <w:rPr>
                <w:color w:val="000000"/>
              </w:rPr>
              <w:t>2.1301</w:t>
            </w:r>
          </w:p>
        </w:tc>
      </w:tr>
      <w:tr w:rsidR="00E40E76" w14:paraId="4D84BD44"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95F30A4" w14:textId="77777777" w:rsidR="00E40E76" w:rsidRDefault="00E40E76">
            <w:pPr>
              <w:jc w:val="center"/>
              <w:rPr>
                <w:color w:val="000000"/>
              </w:rPr>
            </w:pPr>
            <w:r>
              <w:rPr>
                <w:color w:val="000000"/>
              </w:rPr>
              <w:t>Hf</w:t>
            </w:r>
          </w:p>
        </w:tc>
        <w:tc>
          <w:tcPr>
            <w:tcW w:w="1080" w:type="dxa"/>
            <w:tcBorders>
              <w:top w:val="nil"/>
              <w:left w:val="nil"/>
              <w:bottom w:val="single" w:sz="4" w:space="0" w:color="auto"/>
              <w:right w:val="single" w:sz="4" w:space="0" w:color="auto"/>
            </w:tcBorders>
            <w:shd w:val="clear" w:color="auto" w:fill="auto"/>
            <w:noWrap/>
            <w:vAlign w:val="center"/>
            <w:hideMark/>
          </w:tcPr>
          <w:p w14:paraId="23D9C8BD" w14:textId="77777777" w:rsidR="00E40E76" w:rsidRDefault="00E40E76">
            <w:pPr>
              <w:jc w:val="center"/>
              <w:rPr>
                <w:color w:val="000000"/>
              </w:rPr>
            </w:pPr>
            <w:r>
              <w:rPr>
                <w:color w:val="000000"/>
              </w:rPr>
              <w:t>0.0046</w:t>
            </w:r>
          </w:p>
        </w:tc>
        <w:tc>
          <w:tcPr>
            <w:tcW w:w="1080" w:type="dxa"/>
            <w:tcBorders>
              <w:top w:val="nil"/>
              <w:left w:val="nil"/>
              <w:bottom w:val="single" w:sz="4" w:space="0" w:color="auto"/>
              <w:right w:val="single" w:sz="4" w:space="0" w:color="auto"/>
            </w:tcBorders>
            <w:shd w:val="clear" w:color="auto" w:fill="auto"/>
            <w:noWrap/>
            <w:vAlign w:val="bottom"/>
            <w:hideMark/>
          </w:tcPr>
          <w:p w14:paraId="74F6C73C" w14:textId="77777777" w:rsidR="00E40E76" w:rsidRDefault="00E40E76">
            <w:pPr>
              <w:jc w:val="center"/>
              <w:rPr>
                <w:color w:val="000000"/>
              </w:rPr>
            </w:pPr>
            <w:r>
              <w:rPr>
                <w:color w:val="000000"/>
              </w:rPr>
              <w:t>0.0446</w:t>
            </w:r>
          </w:p>
        </w:tc>
        <w:tc>
          <w:tcPr>
            <w:tcW w:w="1080" w:type="dxa"/>
            <w:tcBorders>
              <w:top w:val="nil"/>
              <w:left w:val="nil"/>
              <w:bottom w:val="single" w:sz="4" w:space="0" w:color="auto"/>
              <w:right w:val="single" w:sz="4" w:space="0" w:color="auto"/>
            </w:tcBorders>
            <w:shd w:val="clear" w:color="auto" w:fill="auto"/>
            <w:noWrap/>
            <w:vAlign w:val="bottom"/>
            <w:hideMark/>
          </w:tcPr>
          <w:p w14:paraId="3A463B10" w14:textId="77777777" w:rsidR="00E40E76" w:rsidRDefault="00E40E76">
            <w:pPr>
              <w:jc w:val="center"/>
              <w:rPr>
                <w:color w:val="000000"/>
              </w:rPr>
            </w:pPr>
            <w:r>
              <w:rPr>
                <w:color w:val="000000"/>
              </w:rPr>
              <w:t>0.0264</w:t>
            </w:r>
          </w:p>
        </w:tc>
        <w:tc>
          <w:tcPr>
            <w:tcW w:w="1080" w:type="dxa"/>
            <w:tcBorders>
              <w:top w:val="nil"/>
              <w:left w:val="nil"/>
              <w:bottom w:val="single" w:sz="4" w:space="0" w:color="auto"/>
              <w:right w:val="single" w:sz="4" w:space="0" w:color="auto"/>
            </w:tcBorders>
            <w:shd w:val="clear" w:color="auto" w:fill="auto"/>
            <w:noWrap/>
            <w:vAlign w:val="bottom"/>
            <w:hideMark/>
          </w:tcPr>
          <w:p w14:paraId="3354AECD" w14:textId="77777777" w:rsidR="00E40E76" w:rsidRDefault="00E40E76">
            <w:pPr>
              <w:jc w:val="center"/>
              <w:rPr>
                <w:color w:val="000000"/>
              </w:rPr>
            </w:pPr>
            <w:r>
              <w:rPr>
                <w:color w:val="000000"/>
              </w:rPr>
              <w:t>0.2537</w:t>
            </w:r>
          </w:p>
        </w:tc>
        <w:tc>
          <w:tcPr>
            <w:tcW w:w="1080" w:type="dxa"/>
            <w:tcBorders>
              <w:top w:val="nil"/>
              <w:left w:val="nil"/>
              <w:bottom w:val="single" w:sz="4" w:space="0" w:color="auto"/>
              <w:right w:val="single" w:sz="4" w:space="0" w:color="auto"/>
            </w:tcBorders>
            <w:shd w:val="clear" w:color="auto" w:fill="auto"/>
            <w:noWrap/>
            <w:vAlign w:val="bottom"/>
            <w:hideMark/>
          </w:tcPr>
          <w:p w14:paraId="52C2CE15" w14:textId="77777777" w:rsidR="00E40E76" w:rsidRDefault="00E40E76">
            <w:pPr>
              <w:jc w:val="center"/>
              <w:rPr>
                <w:color w:val="000000"/>
              </w:rPr>
            </w:pPr>
            <w:r>
              <w:rPr>
                <w:color w:val="000000"/>
              </w:rPr>
              <w:t>0.0658</w:t>
            </w:r>
          </w:p>
        </w:tc>
        <w:tc>
          <w:tcPr>
            <w:tcW w:w="1080" w:type="dxa"/>
            <w:tcBorders>
              <w:top w:val="nil"/>
              <w:left w:val="nil"/>
              <w:bottom w:val="single" w:sz="4" w:space="0" w:color="auto"/>
              <w:right w:val="single" w:sz="4" w:space="0" w:color="auto"/>
            </w:tcBorders>
            <w:shd w:val="clear" w:color="auto" w:fill="auto"/>
            <w:noWrap/>
            <w:vAlign w:val="bottom"/>
            <w:hideMark/>
          </w:tcPr>
          <w:p w14:paraId="1668CCC7" w14:textId="77777777" w:rsidR="00E40E76" w:rsidRDefault="00E40E76">
            <w:pPr>
              <w:jc w:val="center"/>
              <w:rPr>
                <w:color w:val="000000"/>
              </w:rPr>
            </w:pPr>
            <w:r>
              <w:rPr>
                <w:color w:val="000000"/>
              </w:rPr>
              <w:t>0.6329</w:t>
            </w:r>
          </w:p>
        </w:tc>
      </w:tr>
      <w:tr w:rsidR="00E40E76" w14:paraId="1C9D2933"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85DC4C6" w14:textId="77777777" w:rsidR="00E40E76" w:rsidRDefault="00E40E76">
            <w:pPr>
              <w:jc w:val="center"/>
              <w:rPr>
                <w:color w:val="000000"/>
              </w:rPr>
            </w:pPr>
            <w:r>
              <w:rPr>
                <w:color w:val="000000"/>
              </w:rPr>
              <w:t>Lu/Hf</w:t>
            </w:r>
          </w:p>
        </w:tc>
        <w:tc>
          <w:tcPr>
            <w:tcW w:w="1080" w:type="dxa"/>
            <w:tcBorders>
              <w:top w:val="nil"/>
              <w:left w:val="nil"/>
              <w:bottom w:val="single" w:sz="4" w:space="0" w:color="auto"/>
              <w:right w:val="single" w:sz="4" w:space="0" w:color="auto"/>
            </w:tcBorders>
            <w:shd w:val="clear" w:color="auto" w:fill="auto"/>
            <w:noWrap/>
            <w:vAlign w:val="center"/>
            <w:hideMark/>
          </w:tcPr>
          <w:p w14:paraId="4052CF6C" w14:textId="77777777" w:rsidR="00E40E76" w:rsidRDefault="00E40E76">
            <w:pPr>
              <w:jc w:val="center"/>
              <w:rPr>
                <w:color w:val="000000"/>
              </w:rPr>
            </w:pPr>
            <w:r>
              <w:rPr>
                <w:color w:val="000000"/>
              </w:rPr>
              <w:t>0.6771</w:t>
            </w:r>
          </w:p>
        </w:tc>
        <w:tc>
          <w:tcPr>
            <w:tcW w:w="1080" w:type="dxa"/>
            <w:tcBorders>
              <w:top w:val="nil"/>
              <w:left w:val="nil"/>
              <w:bottom w:val="single" w:sz="4" w:space="0" w:color="auto"/>
              <w:right w:val="single" w:sz="4" w:space="0" w:color="auto"/>
            </w:tcBorders>
            <w:shd w:val="clear" w:color="auto" w:fill="auto"/>
            <w:noWrap/>
            <w:vAlign w:val="bottom"/>
            <w:hideMark/>
          </w:tcPr>
          <w:p w14:paraId="43EC46DD" w14:textId="77777777" w:rsidR="00E40E76" w:rsidRDefault="00E40E76">
            <w:pPr>
              <w:jc w:val="center"/>
              <w:rPr>
                <w:color w:val="000000"/>
              </w:rPr>
            </w:pPr>
            <w:r>
              <w:rPr>
                <w:color w:val="000000"/>
              </w:rPr>
              <w:t>2.8977</w:t>
            </w:r>
          </w:p>
        </w:tc>
        <w:tc>
          <w:tcPr>
            <w:tcW w:w="1080" w:type="dxa"/>
            <w:tcBorders>
              <w:top w:val="nil"/>
              <w:left w:val="nil"/>
              <w:bottom w:val="single" w:sz="4" w:space="0" w:color="auto"/>
              <w:right w:val="single" w:sz="4" w:space="0" w:color="auto"/>
            </w:tcBorders>
            <w:shd w:val="clear" w:color="auto" w:fill="auto"/>
            <w:noWrap/>
            <w:vAlign w:val="bottom"/>
            <w:hideMark/>
          </w:tcPr>
          <w:p w14:paraId="5A6763F3" w14:textId="77777777" w:rsidR="00E40E76" w:rsidRDefault="00E40E76">
            <w:pPr>
              <w:jc w:val="center"/>
              <w:rPr>
                <w:color w:val="000000"/>
              </w:rPr>
            </w:pPr>
            <w:r>
              <w:rPr>
                <w:color w:val="000000"/>
              </w:rPr>
              <w:t>0.7042</w:t>
            </w:r>
          </w:p>
        </w:tc>
        <w:tc>
          <w:tcPr>
            <w:tcW w:w="1080" w:type="dxa"/>
            <w:tcBorders>
              <w:top w:val="nil"/>
              <w:left w:val="nil"/>
              <w:bottom w:val="single" w:sz="4" w:space="0" w:color="auto"/>
              <w:right w:val="single" w:sz="4" w:space="0" w:color="auto"/>
            </w:tcBorders>
            <w:shd w:val="clear" w:color="auto" w:fill="auto"/>
            <w:noWrap/>
            <w:vAlign w:val="bottom"/>
            <w:hideMark/>
          </w:tcPr>
          <w:p w14:paraId="4B724F0C" w14:textId="77777777" w:rsidR="00E40E76" w:rsidRDefault="00E40E76">
            <w:pPr>
              <w:jc w:val="center"/>
              <w:rPr>
                <w:color w:val="000000"/>
              </w:rPr>
            </w:pPr>
            <w:r>
              <w:rPr>
                <w:color w:val="000000"/>
              </w:rPr>
              <w:t>3.0137</w:t>
            </w:r>
          </w:p>
        </w:tc>
        <w:tc>
          <w:tcPr>
            <w:tcW w:w="1080" w:type="dxa"/>
            <w:tcBorders>
              <w:top w:val="nil"/>
              <w:left w:val="nil"/>
              <w:bottom w:val="single" w:sz="4" w:space="0" w:color="auto"/>
              <w:right w:val="single" w:sz="4" w:space="0" w:color="auto"/>
            </w:tcBorders>
            <w:shd w:val="clear" w:color="auto" w:fill="auto"/>
            <w:noWrap/>
            <w:vAlign w:val="bottom"/>
            <w:hideMark/>
          </w:tcPr>
          <w:p w14:paraId="7B4F5D2B" w14:textId="77777777" w:rsidR="00E40E76" w:rsidRDefault="00E40E76">
            <w:pPr>
              <w:jc w:val="center"/>
              <w:rPr>
                <w:color w:val="000000"/>
              </w:rPr>
            </w:pPr>
            <w:r>
              <w:rPr>
                <w:color w:val="000000"/>
              </w:rPr>
              <w:t>0.7864</w:t>
            </w:r>
          </w:p>
        </w:tc>
        <w:tc>
          <w:tcPr>
            <w:tcW w:w="1080" w:type="dxa"/>
            <w:tcBorders>
              <w:top w:val="nil"/>
              <w:left w:val="nil"/>
              <w:bottom w:val="single" w:sz="4" w:space="0" w:color="auto"/>
              <w:right w:val="single" w:sz="4" w:space="0" w:color="auto"/>
            </w:tcBorders>
            <w:shd w:val="clear" w:color="auto" w:fill="auto"/>
            <w:noWrap/>
            <w:vAlign w:val="bottom"/>
            <w:hideMark/>
          </w:tcPr>
          <w:p w14:paraId="2EB62459" w14:textId="77777777" w:rsidR="00E40E76" w:rsidRDefault="00E40E76">
            <w:pPr>
              <w:jc w:val="center"/>
              <w:rPr>
                <w:color w:val="000000"/>
              </w:rPr>
            </w:pPr>
            <w:r>
              <w:rPr>
                <w:color w:val="000000"/>
              </w:rPr>
              <w:t>3.3658</w:t>
            </w:r>
          </w:p>
        </w:tc>
      </w:tr>
      <w:tr w:rsidR="00E40E76" w14:paraId="63209CE0"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4424C36" w14:textId="77777777" w:rsidR="00E40E76" w:rsidRDefault="00E40E76">
            <w:pPr>
              <w:jc w:val="center"/>
              <w:rPr>
                <w:color w:val="000000"/>
              </w:rPr>
            </w:pPr>
            <w:r>
              <w:rPr>
                <w:color w:val="000000"/>
              </w:rPr>
              <w:t>Sm/Nd</w:t>
            </w:r>
          </w:p>
        </w:tc>
        <w:tc>
          <w:tcPr>
            <w:tcW w:w="1080" w:type="dxa"/>
            <w:tcBorders>
              <w:top w:val="nil"/>
              <w:left w:val="nil"/>
              <w:bottom w:val="single" w:sz="4" w:space="0" w:color="auto"/>
              <w:right w:val="single" w:sz="4" w:space="0" w:color="auto"/>
            </w:tcBorders>
            <w:shd w:val="clear" w:color="auto" w:fill="auto"/>
            <w:noWrap/>
            <w:vAlign w:val="center"/>
            <w:hideMark/>
          </w:tcPr>
          <w:p w14:paraId="0E72A6C9" w14:textId="77777777" w:rsidR="00E40E76" w:rsidRDefault="00E40E76">
            <w:pPr>
              <w:jc w:val="center"/>
              <w:rPr>
                <w:color w:val="000000"/>
              </w:rPr>
            </w:pPr>
            <w:r>
              <w:rPr>
                <w:color w:val="000000"/>
              </w:rPr>
              <w:t>0.3304</w:t>
            </w:r>
          </w:p>
        </w:tc>
        <w:tc>
          <w:tcPr>
            <w:tcW w:w="1080" w:type="dxa"/>
            <w:tcBorders>
              <w:top w:val="nil"/>
              <w:left w:val="nil"/>
              <w:bottom w:val="single" w:sz="4" w:space="0" w:color="auto"/>
              <w:right w:val="single" w:sz="4" w:space="0" w:color="auto"/>
            </w:tcBorders>
            <w:shd w:val="clear" w:color="auto" w:fill="auto"/>
            <w:noWrap/>
            <w:vAlign w:val="bottom"/>
            <w:hideMark/>
          </w:tcPr>
          <w:p w14:paraId="5F752776" w14:textId="77777777" w:rsidR="00E40E76" w:rsidRDefault="00E40E76">
            <w:pPr>
              <w:jc w:val="center"/>
              <w:rPr>
                <w:color w:val="000000"/>
              </w:rPr>
            </w:pPr>
            <w:r>
              <w:rPr>
                <w:color w:val="000000"/>
              </w:rPr>
              <w:t>1.0161</w:t>
            </w:r>
          </w:p>
        </w:tc>
        <w:tc>
          <w:tcPr>
            <w:tcW w:w="1080" w:type="dxa"/>
            <w:tcBorders>
              <w:top w:val="nil"/>
              <w:left w:val="nil"/>
              <w:bottom w:val="single" w:sz="4" w:space="0" w:color="auto"/>
              <w:right w:val="single" w:sz="4" w:space="0" w:color="auto"/>
            </w:tcBorders>
            <w:shd w:val="clear" w:color="auto" w:fill="auto"/>
            <w:noWrap/>
            <w:vAlign w:val="bottom"/>
            <w:hideMark/>
          </w:tcPr>
          <w:p w14:paraId="2C77CDC8" w14:textId="77777777" w:rsidR="00E40E76" w:rsidRDefault="00E40E76">
            <w:pPr>
              <w:jc w:val="center"/>
              <w:rPr>
                <w:color w:val="000000"/>
              </w:rPr>
            </w:pPr>
            <w:r>
              <w:rPr>
                <w:color w:val="000000"/>
              </w:rPr>
              <w:t>0.4945</w:t>
            </w:r>
          </w:p>
        </w:tc>
        <w:tc>
          <w:tcPr>
            <w:tcW w:w="1080" w:type="dxa"/>
            <w:tcBorders>
              <w:top w:val="nil"/>
              <w:left w:val="nil"/>
              <w:bottom w:val="single" w:sz="4" w:space="0" w:color="auto"/>
              <w:right w:val="single" w:sz="4" w:space="0" w:color="auto"/>
            </w:tcBorders>
            <w:shd w:val="clear" w:color="auto" w:fill="auto"/>
            <w:noWrap/>
            <w:vAlign w:val="bottom"/>
            <w:hideMark/>
          </w:tcPr>
          <w:p w14:paraId="0B1E4B6D" w14:textId="77777777" w:rsidR="00E40E76" w:rsidRDefault="00E40E76">
            <w:pPr>
              <w:jc w:val="center"/>
              <w:rPr>
                <w:color w:val="000000"/>
              </w:rPr>
            </w:pPr>
            <w:r>
              <w:rPr>
                <w:color w:val="000000"/>
              </w:rPr>
              <w:t>1.5208</w:t>
            </w:r>
          </w:p>
        </w:tc>
        <w:tc>
          <w:tcPr>
            <w:tcW w:w="1080" w:type="dxa"/>
            <w:tcBorders>
              <w:top w:val="nil"/>
              <w:left w:val="nil"/>
              <w:bottom w:val="single" w:sz="4" w:space="0" w:color="auto"/>
              <w:right w:val="single" w:sz="4" w:space="0" w:color="auto"/>
            </w:tcBorders>
            <w:shd w:val="clear" w:color="auto" w:fill="auto"/>
            <w:noWrap/>
            <w:vAlign w:val="bottom"/>
            <w:hideMark/>
          </w:tcPr>
          <w:p w14:paraId="244038F1" w14:textId="77777777" w:rsidR="00E40E76" w:rsidRDefault="00E40E76">
            <w:pPr>
              <w:jc w:val="center"/>
              <w:rPr>
                <w:color w:val="000000"/>
              </w:rPr>
            </w:pPr>
            <w:r>
              <w:rPr>
                <w:color w:val="000000"/>
              </w:rPr>
              <w:t>0.4409</w:t>
            </w:r>
          </w:p>
        </w:tc>
        <w:tc>
          <w:tcPr>
            <w:tcW w:w="1080" w:type="dxa"/>
            <w:tcBorders>
              <w:top w:val="nil"/>
              <w:left w:val="nil"/>
              <w:bottom w:val="single" w:sz="4" w:space="0" w:color="auto"/>
              <w:right w:val="single" w:sz="4" w:space="0" w:color="auto"/>
            </w:tcBorders>
            <w:shd w:val="clear" w:color="auto" w:fill="auto"/>
            <w:noWrap/>
            <w:vAlign w:val="bottom"/>
            <w:hideMark/>
          </w:tcPr>
          <w:p w14:paraId="4ED52CB3" w14:textId="77777777" w:rsidR="00E40E76" w:rsidRDefault="00E40E76">
            <w:pPr>
              <w:jc w:val="center"/>
              <w:rPr>
                <w:color w:val="000000"/>
              </w:rPr>
            </w:pPr>
            <w:r>
              <w:rPr>
                <w:color w:val="000000"/>
              </w:rPr>
              <w:t>1.3560</w:t>
            </w:r>
          </w:p>
        </w:tc>
      </w:tr>
      <w:tr w:rsidR="00E40E76" w14:paraId="799AAB09"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52F3302" w14:textId="77777777" w:rsidR="00E40E76" w:rsidRDefault="00E40E76">
            <w:pPr>
              <w:jc w:val="center"/>
              <w:rPr>
                <w:color w:val="000000"/>
              </w:rPr>
            </w:pPr>
            <w:r>
              <w:rPr>
                <w:color w:val="000000"/>
              </w:rPr>
              <w:t>Yb/Sm</w:t>
            </w:r>
          </w:p>
        </w:tc>
        <w:tc>
          <w:tcPr>
            <w:tcW w:w="1080" w:type="dxa"/>
            <w:tcBorders>
              <w:top w:val="nil"/>
              <w:left w:val="nil"/>
              <w:bottom w:val="single" w:sz="4" w:space="0" w:color="auto"/>
              <w:right w:val="single" w:sz="4" w:space="0" w:color="auto"/>
            </w:tcBorders>
            <w:shd w:val="clear" w:color="auto" w:fill="auto"/>
            <w:noWrap/>
            <w:vAlign w:val="center"/>
            <w:hideMark/>
          </w:tcPr>
          <w:p w14:paraId="2EC4DAAC" w14:textId="77777777" w:rsidR="00E40E76" w:rsidRDefault="00E40E76">
            <w:pPr>
              <w:jc w:val="center"/>
              <w:rPr>
                <w:color w:val="000000"/>
              </w:rPr>
            </w:pPr>
            <w:r>
              <w:rPr>
                <w:color w:val="000000"/>
              </w:rPr>
              <w:t>3.0863</w:t>
            </w:r>
          </w:p>
        </w:tc>
        <w:tc>
          <w:tcPr>
            <w:tcW w:w="1080" w:type="dxa"/>
            <w:tcBorders>
              <w:top w:val="nil"/>
              <w:left w:val="nil"/>
              <w:bottom w:val="single" w:sz="4" w:space="0" w:color="auto"/>
              <w:right w:val="single" w:sz="4" w:space="0" w:color="auto"/>
            </w:tcBorders>
            <w:shd w:val="clear" w:color="auto" w:fill="auto"/>
            <w:noWrap/>
            <w:vAlign w:val="bottom"/>
            <w:hideMark/>
          </w:tcPr>
          <w:p w14:paraId="5105D791" w14:textId="77777777" w:rsidR="00E40E76" w:rsidRDefault="00E40E76">
            <w:pPr>
              <w:jc w:val="center"/>
              <w:rPr>
                <w:color w:val="000000"/>
              </w:rPr>
            </w:pPr>
            <w:r>
              <w:rPr>
                <w:color w:val="000000"/>
              </w:rPr>
              <w:t>2.7938</w:t>
            </w:r>
          </w:p>
        </w:tc>
        <w:tc>
          <w:tcPr>
            <w:tcW w:w="1080" w:type="dxa"/>
            <w:tcBorders>
              <w:top w:val="nil"/>
              <w:left w:val="nil"/>
              <w:bottom w:val="single" w:sz="4" w:space="0" w:color="auto"/>
              <w:right w:val="single" w:sz="4" w:space="0" w:color="auto"/>
            </w:tcBorders>
            <w:shd w:val="clear" w:color="auto" w:fill="auto"/>
            <w:noWrap/>
            <w:vAlign w:val="bottom"/>
            <w:hideMark/>
          </w:tcPr>
          <w:p w14:paraId="682BC2C5" w14:textId="77777777" w:rsidR="00E40E76" w:rsidRDefault="00E40E76">
            <w:pPr>
              <w:jc w:val="center"/>
              <w:rPr>
                <w:color w:val="000000"/>
              </w:rPr>
            </w:pPr>
            <w:r>
              <w:rPr>
                <w:color w:val="000000"/>
              </w:rPr>
              <w:t>4.0658</w:t>
            </w:r>
          </w:p>
        </w:tc>
        <w:tc>
          <w:tcPr>
            <w:tcW w:w="1080" w:type="dxa"/>
            <w:tcBorders>
              <w:top w:val="nil"/>
              <w:left w:val="nil"/>
              <w:bottom w:val="single" w:sz="4" w:space="0" w:color="auto"/>
              <w:right w:val="single" w:sz="4" w:space="0" w:color="auto"/>
            </w:tcBorders>
            <w:shd w:val="clear" w:color="auto" w:fill="auto"/>
            <w:noWrap/>
            <w:vAlign w:val="bottom"/>
            <w:hideMark/>
          </w:tcPr>
          <w:p w14:paraId="71DBEB63" w14:textId="77777777" w:rsidR="00E40E76" w:rsidRDefault="00E40E76">
            <w:pPr>
              <w:jc w:val="center"/>
              <w:rPr>
                <w:color w:val="000000"/>
              </w:rPr>
            </w:pPr>
            <w:r>
              <w:rPr>
                <w:color w:val="000000"/>
              </w:rPr>
              <w:t>3.6805</w:t>
            </w:r>
          </w:p>
        </w:tc>
        <w:tc>
          <w:tcPr>
            <w:tcW w:w="1080" w:type="dxa"/>
            <w:tcBorders>
              <w:top w:val="nil"/>
              <w:left w:val="nil"/>
              <w:bottom w:val="single" w:sz="4" w:space="0" w:color="auto"/>
              <w:right w:val="single" w:sz="4" w:space="0" w:color="auto"/>
            </w:tcBorders>
            <w:shd w:val="clear" w:color="auto" w:fill="auto"/>
            <w:noWrap/>
            <w:vAlign w:val="bottom"/>
            <w:hideMark/>
          </w:tcPr>
          <w:p w14:paraId="1CE21D6B" w14:textId="77777777" w:rsidR="00E40E76" w:rsidRDefault="00E40E76">
            <w:pPr>
              <w:jc w:val="center"/>
              <w:rPr>
                <w:color w:val="000000"/>
              </w:rPr>
            </w:pPr>
            <w:r>
              <w:rPr>
                <w:color w:val="000000"/>
              </w:rPr>
              <w:t>4.7971</w:t>
            </w:r>
          </w:p>
        </w:tc>
        <w:tc>
          <w:tcPr>
            <w:tcW w:w="1080" w:type="dxa"/>
            <w:tcBorders>
              <w:top w:val="nil"/>
              <w:left w:val="nil"/>
              <w:bottom w:val="single" w:sz="4" w:space="0" w:color="auto"/>
              <w:right w:val="single" w:sz="4" w:space="0" w:color="auto"/>
            </w:tcBorders>
            <w:shd w:val="clear" w:color="auto" w:fill="auto"/>
            <w:noWrap/>
            <w:vAlign w:val="bottom"/>
            <w:hideMark/>
          </w:tcPr>
          <w:p w14:paraId="298F4D71" w14:textId="77777777" w:rsidR="00E40E76" w:rsidRDefault="00E40E76">
            <w:pPr>
              <w:jc w:val="center"/>
              <w:rPr>
                <w:color w:val="000000"/>
              </w:rPr>
            </w:pPr>
            <w:r>
              <w:rPr>
                <w:color w:val="000000"/>
              </w:rPr>
              <w:t>4.3425</w:t>
            </w:r>
          </w:p>
        </w:tc>
      </w:tr>
      <w:tr w:rsidR="00E40E76" w14:paraId="74A20CA1"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DA060F2" w14:textId="77777777" w:rsidR="00E40E76" w:rsidRDefault="00E40E76">
            <w:pPr>
              <w:jc w:val="center"/>
              <w:rPr>
                <w:color w:val="000000"/>
              </w:rPr>
            </w:pPr>
            <w:r>
              <w:rPr>
                <w:color w:val="000000"/>
              </w:rPr>
              <w:t>Ce/Sm</w:t>
            </w:r>
          </w:p>
        </w:tc>
        <w:tc>
          <w:tcPr>
            <w:tcW w:w="1080" w:type="dxa"/>
            <w:tcBorders>
              <w:top w:val="nil"/>
              <w:left w:val="nil"/>
              <w:bottom w:val="single" w:sz="4" w:space="0" w:color="auto"/>
              <w:right w:val="single" w:sz="4" w:space="0" w:color="auto"/>
            </w:tcBorders>
            <w:shd w:val="clear" w:color="auto" w:fill="auto"/>
            <w:noWrap/>
            <w:vAlign w:val="center"/>
            <w:hideMark/>
          </w:tcPr>
          <w:p w14:paraId="4CB3F450" w14:textId="77777777" w:rsidR="00E40E76" w:rsidRDefault="00E40E76">
            <w:pPr>
              <w:jc w:val="center"/>
              <w:rPr>
                <w:color w:val="000000"/>
              </w:rPr>
            </w:pPr>
            <w:r>
              <w:rPr>
                <w:color w:val="000000"/>
              </w:rPr>
              <w:t>4.0015</w:t>
            </w:r>
          </w:p>
        </w:tc>
        <w:tc>
          <w:tcPr>
            <w:tcW w:w="1080" w:type="dxa"/>
            <w:tcBorders>
              <w:top w:val="nil"/>
              <w:left w:val="nil"/>
              <w:bottom w:val="single" w:sz="4" w:space="0" w:color="auto"/>
              <w:right w:val="single" w:sz="4" w:space="0" w:color="auto"/>
            </w:tcBorders>
            <w:shd w:val="clear" w:color="auto" w:fill="auto"/>
            <w:noWrap/>
            <w:vAlign w:val="bottom"/>
            <w:hideMark/>
          </w:tcPr>
          <w:p w14:paraId="2EB07715" w14:textId="77777777" w:rsidR="00E40E76" w:rsidRDefault="00E40E76">
            <w:pPr>
              <w:jc w:val="center"/>
              <w:rPr>
                <w:color w:val="000000"/>
              </w:rPr>
            </w:pPr>
            <w:r>
              <w:rPr>
                <w:color w:val="000000"/>
              </w:rPr>
              <w:t>0.9758</w:t>
            </w:r>
          </w:p>
        </w:tc>
        <w:tc>
          <w:tcPr>
            <w:tcW w:w="1080" w:type="dxa"/>
            <w:tcBorders>
              <w:top w:val="nil"/>
              <w:left w:val="nil"/>
              <w:bottom w:val="single" w:sz="4" w:space="0" w:color="auto"/>
              <w:right w:val="single" w:sz="4" w:space="0" w:color="auto"/>
            </w:tcBorders>
            <w:shd w:val="clear" w:color="auto" w:fill="auto"/>
            <w:noWrap/>
            <w:vAlign w:val="bottom"/>
            <w:hideMark/>
          </w:tcPr>
          <w:p w14:paraId="42D52830" w14:textId="77777777" w:rsidR="00E40E76" w:rsidRDefault="00E40E76">
            <w:pPr>
              <w:jc w:val="center"/>
              <w:rPr>
                <w:color w:val="000000"/>
              </w:rPr>
            </w:pPr>
            <w:r>
              <w:rPr>
                <w:color w:val="000000"/>
              </w:rPr>
              <w:t>2.0286</w:t>
            </w:r>
          </w:p>
        </w:tc>
        <w:tc>
          <w:tcPr>
            <w:tcW w:w="1080" w:type="dxa"/>
            <w:tcBorders>
              <w:top w:val="nil"/>
              <w:left w:val="nil"/>
              <w:bottom w:val="single" w:sz="4" w:space="0" w:color="auto"/>
              <w:right w:val="single" w:sz="4" w:space="0" w:color="auto"/>
            </w:tcBorders>
            <w:shd w:val="clear" w:color="auto" w:fill="auto"/>
            <w:noWrap/>
            <w:vAlign w:val="bottom"/>
            <w:hideMark/>
          </w:tcPr>
          <w:p w14:paraId="06737ED3" w14:textId="77777777" w:rsidR="00E40E76" w:rsidRDefault="00E40E76">
            <w:pPr>
              <w:jc w:val="center"/>
              <w:rPr>
                <w:color w:val="000000"/>
              </w:rPr>
            </w:pPr>
            <w:r>
              <w:rPr>
                <w:color w:val="000000"/>
              </w:rPr>
              <w:t>0.4947</w:t>
            </w:r>
          </w:p>
        </w:tc>
        <w:tc>
          <w:tcPr>
            <w:tcW w:w="1080" w:type="dxa"/>
            <w:tcBorders>
              <w:top w:val="nil"/>
              <w:left w:val="nil"/>
              <w:bottom w:val="single" w:sz="4" w:space="0" w:color="auto"/>
              <w:right w:val="single" w:sz="4" w:space="0" w:color="auto"/>
            </w:tcBorders>
            <w:shd w:val="clear" w:color="auto" w:fill="auto"/>
            <w:noWrap/>
            <w:vAlign w:val="bottom"/>
            <w:hideMark/>
          </w:tcPr>
          <w:p w14:paraId="17D51FC6" w14:textId="77777777" w:rsidR="00E40E76" w:rsidRDefault="00E40E76">
            <w:pPr>
              <w:jc w:val="center"/>
              <w:rPr>
                <w:color w:val="000000"/>
              </w:rPr>
            </w:pPr>
            <w:r>
              <w:rPr>
                <w:color w:val="000000"/>
              </w:rPr>
              <w:t>2.0709</w:t>
            </w:r>
          </w:p>
        </w:tc>
        <w:tc>
          <w:tcPr>
            <w:tcW w:w="1080" w:type="dxa"/>
            <w:tcBorders>
              <w:top w:val="nil"/>
              <w:left w:val="nil"/>
              <w:bottom w:val="single" w:sz="4" w:space="0" w:color="auto"/>
              <w:right w:val="single" w:sz="4" w:space="0" w:color="auto"/>
            </w:tcBorders>
            <w:shd w:val="clear" w:color="auto" w:fill="auto"/>
            <w:noWrap/>
            <w:vAlign w:val="bottom"/>
            <w:hideMark/>
          </w:tcPr>
          <w:p w14:paraId="6630AE78" w14:textId="77777777" w:rsidR="00E40E76" w:rsidRDefault="00E40E76">
            <w:pPr>
              <w:jc w:val="center"/>
              <w:rPr>
                <w:color w:val="000000"/>
              </w:rPr>
            </w:pPr>
            <w:r>
              <w:rPr>
                <w:color w:val="000000"/>
              </w:rPr>
              <w:t>0.5050</w:t>
            </w:r>
          </w:p>
        </w:tc>
      </w:tr>
    </w:tbl>
    <w:p w14:paraId="37AB5139" w14:textId="77777777" w:rsidR="00015213" w:rsidRPr="00557062" w:rsidRDefault="00015213" w:rsidP="00015213">
      <w:pPr>
        <w:rPr>
          <w:color w:val="000000" w:themeColor="text1"/>
        </w:rPr>
      </w:pPr>
    </w:p>
    <w:p w14:paraId="4257D00C" w14:textId="77777777" w:rsidR="00015213" w:rsidRPr="00557062" w:rsidRDefault="00015213" w:rsidP="00015213">
      <w:pPr>
        <w:rPr>
          <w:color w:val="000000" w:themeColor="text1"/>
        </w:rPr>
      </w:pPr>
      <w:r w:rsidRPr="00557062">
        <w:rPr>
          <w:color w:val="000000" w:themeColor="text1"/>
        </w:rPr>
        <w:br w:type="page"/>
      </w:r>
    </w:p>
    <w:p w14:paraId="3DD53C1E" w14:textId="01A2675F" w:rsidR="00015213" w:rsidRDefault="00015213" w:rsidP="00015213">
      <w:r w:rsidRPr="00557062">
        <w:rPr>
          <w:b/>
          <w:bCs/>
        </w:rPr>
        <w:lastRenderedPageBreak/>
        <w:t xml:space="preserve">Table </w:t>
      </w:r>
      <w:r w:rsidR="000F6802">
        <w:rPr>
          <w:b/>
          <w:bCs/>
        </w:rPr>
        <w:t>2.</w:t>
      </w:r>
      <w:r w:rsidRPr="00557062">
        <w:rPr>
          <w:b/>
          <w:bCs/>
        </w:rPr>
        <w:t>3.</w:t>
      </w:r>
      <w:r w:rsidRPr="00557062">
        <w:t xml:space="preserve"> Continued</w:t>
      </w:r>
      <w:r w:rsidR="00C40415">
        <w:t>.</w:t>
      </w:r>
    </w:p>
    <w:tbl>
      <w:tblPr>
        <w:tblW w:w="7560" w:type="dxa"/>
        <w:tblLook w:val="04A0" w:firstRow="1" w:lastRow="0" w:firstColumn="1" w:lastColumn="0" w:noHBand="0" w:noVBand="1"/>
      </w:tblPr>
      <w:tblGrid>
        <w:gridCol w:w="1080"/>
        <w:gridCol w:w="1080"/>
        <w:gridCol w:w="1080"/>
        <w:gridCol w:w="1080"/>
        <w:gridCol w:w="1080"/>
        <w:gridCol w:w="1080"/>
        <w:gridCol w:w="1080"/>
      </w:tblGrid>
      <w:tr w:rsidR="00E40E76" w14:paraId="1E000EE9" w14:textId="77777777" w:rsidTr="00E40E76">
        <w:trPr>
          <w:trHeight w:val="680"/>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680994" w14:textId="77777777" w:rsidR="00E40E76" w:rsidRDefault="00E40E76">
            <w:pPr>
              <w:jc w:val="center"/>
              <w:rPr>
                <w:color w:val="000000"/>
              </w:rPr>
            </w:pPr>
            <w:r>
              <w:rPr>
                <w:color w:val="000000"/>
              </w:rPr>
              <w:t>Element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D4445A3" w14:textId="77777777" w:rsidR="00E40E76" w:rsidRDefault="00E40E76">
            <w:pPr>
              <w:jc w:val="center"/>
              <w:rPr>
                <w:color w:val="000000"/>
              </w:rPr>
            </w:pPr>
            <w:r>
              <w:rPr>
                <w:color w:val="000000"/>
              </w:rPr>
              <w:t>Layer #4 (ppm)</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F305402" w14:textId="77777777" w:rsidR="00E40E76" w:rsidRDefault="00E40E76">
            <w:pPr>
              <w:jc w:val="center"/>
              <w:rPr>
                <w:color w:val="000000"/>
              </w:rPr>
            </w:pPr>
            <w:r>
              <w:rPr>
                <w:color w:val="000000"/>
              </w:rPr>
              <w:t>Layer #4 (CN)</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6C13A9BD" w14:textId="77777777" w:rsidR="00E40E76" w:rsidRDefault="00E40E76">
            <w:pPr>
              <w:jc w:val="center"/>
              <w:rPr>
                <w:color w:val="000000"/>
              </w:rPr>
            </w:pPr>
            <w:r>
              <w:rPr>
                <w:color w:val="000000"/>
              </w:rPr>
              <w:t>Layer #5 (ppm)</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963AFC5" w14:textId="77777777" w:rsidR="00E40E76" w:rsidRDefault="00E40E76">
            <w:pPr>
              <w:jc w:val="center"/>
              <w:rPr>
                <w:color w:val="000000"/>
              </w:rPr>
            </w:pPr>
            <w:r>
              <w:rPr>
                <w:color w:val="000000"/>
              </w:rPr>
              <w:t>Layer #5 (CN)</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05AF901" w14:textId="77777777" w:rsidR="00E40E76" w:rsidRDefault="00E40E76">
            <w:pPr>
              <w:jc w:val="center"/>
              <w:rPr>
                <w:color w:val="000000"/>
              </w:rPr>
            </w:pPr>
            <w:r>
              <w:rPr>
                <w:color w:val="000000"/>
              </w:rPr>
              <w:t>Layer #6 (ppm)</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D0F4613" w14:textId="77777777" w:rsidR="00E40E76" w:rsidRDefault="00E40E76">
            <w:pPr>
              <w:jc w:val="center"/>
              <w:rPr>
                <w:color w:val="000000"/>
              </w:rPr>
            </w:pPr>
            <w:r>
              <w:rPr>
                <w:color w:val="000000"/>
              </w:rPr>
              <w:t>Layer #6 (CN)</w:t>
            </w:r>
          </w:p>
        </w:tc>
      </w:tr>
      <w:tr w:rsidR="00E40E76" w14:paraId="18580E22"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348C97B" w14:textId="77777777" w:rsidR="00E40E76" w:rsidRDefault="00E40E76">
            <w:pPr>
              <w:jc w:val="center"/>
              <w:rPr>
                <w:color w:val="000000"/>
              </w:rPr>
            </w:pPr>
            <w:r>
              <w:rPr>
                <w:color w:val="000000"/>
              </w:rPr>
              <w:t>La</w:t>
            </w:r>
          </w:p>
        </w:tc>
        <w:tc>
          <w:tcPr>
            <w:tcW w:w="1080" w:type="dxa"/>
            <w:tcBorders>
              <w:top w:val="nil"/>
              <w:left w:val="nil"/>
              <w:bottom w:val="single" w:sz="4" w:space="0" w:color="auto"/>
              <w:right w:val="single" w:sz="4" w:space="0" w:color="auto"/>
            </w:tcBorders>
            <w:shd w:val="clear" w:color="auto" w:fill="auto"/>
            <w:noWrap/>
            <w:vAlign w:val="center"/>
            <w:hideMark/>
          </w:tcPr>
          <w:p w14:paraId="1A661614" w14:textId="77777777" w:rsidR="00E40E76" w:rsidRDefault="00E40E76">
            <w:pPr>
              <w:jc w:val="center"/>
              <w:rPr>
                <w:color w:val="000000"/>
              </w:rPr>
            </w:pPr>
            <w:r>
              <w:rPr>
                <w:color w:val="000000"/>
              </w:rPr>
              <w:t>0.1239</w:t>
            </w:r>
          </w:p>
        </w:tc>
        <w:tc>
          <w:tcPr>
            <w:tcW w:w="1080" w:type="dxa"/>
            <w:tcBorders>
              <w:top w:val="nil"/>
              <w:left w:val="nil"/>
              <w:bottom w:val="single" w:sz="4" w:space="0" w:color="auto"/>
              <w:right w:val="single" w:sz="4" w:space="0" w:color="auto"/>
            </w:tcBorders>
            <w:shd w:val="clear" w:color="auto" w:fill="auto"/>
            <w:noWrap/>
            <w:vAlign w:val="center"/>
            <w:hideMark/>
          </w:tcPr>
          <w:p w14:paraId="5969BF0E" w14:textId="77777777" w:rsidR="00E40E76" w:rsidRDefault="00E40E76">
            <w:pPr>
              <w:jc w:val="center"/>
              <w:rPr>
                <w:color w:val="000000"/>
              </w:rPr>
            </w:pPr>
            <w:r>
              <w:rPr>
                <w:color w:val="000000"/>
              </w:rPr>
              <w:t>0.5278</w:t>
            </w:r>
          </w:p>
        </w:tc>
        <w:tc>
          <w:tcPr>
            <w:tcW w:w="1080" w:type="dxa"/>
            <w:tcBorders>
              <w:top w:val="nil"/>
              <w:left w:val="nil"/>
              <w:bottom w:val="single" w:sz="4" w:space="0" w:color="auto"/>
              <w:right w:val="single" w:sz="4" w:space="0" w:color="auto"/>
            </w:tcBorders>
            <w:shd w:val="clear" w:color="auto" w:fill="auto"/>
            <w:noWrap/>
            <w:vAlign w:val="center"/>
            <w:hideMark/>
          </w:tcPr>
          <w:p w14:paraId="48D358FF" w14:textId="77777777" w:rsidR="00E40E76" w:rsidRDefault="00E40E76">
            <w:pPr>
              <w:jc w:val="center"/>
              <w:rPr>
                <w:color w:val="000000"/>
              </w:rPr>
            </w:pPr>
            <w:r>
              <w:rPr>
                <w:color w:val="000000"/>
              </w:rPr>
              <w:t>0.4317</w:t>
            </w:r>
          </w:p>
        </w:tc>
        <w:tc>
          <w:tcPr>
            <w:tcW w:w="1080" w:type="dxa"/>
            <w:tcBorders>
              <w:top w:val="nil"/>
              <w:left w:val="nil"/>
              <w:bottom w:val="single" w:sz="4" w:space="0" w:color="auto"/>
              <w:right w:val="single" w:sz="4" w:space="0" w:color="auto"/>
            </w:tcBorders>
            <w:shd w:val="clear" w:color="auto" w:fill="auto"/>
            <w:noWrap/>
            <w:vAlign w:val="center"/>
            <w:hideMark/>
          </w:tcPr>
          <w:p w14:paraId="6F0A1177" w14:textId="77777777" w:rsidR="00E40E76" w:rsidRDefault="00E40E76">
            <w:pPr>
              <w:jc w:val="center"/>
              <w:rPr>
                <w:color w:val="000000"/>
              </w:rPr>
            </w:pPr>
            <w:r>
              <w:rPr>
                <w:color w:val="000000"/>
              </w:rPr>
              <w:t>1.8395</w:t>
            </w:r>
          </w:p>
        </w:tc>
        <w:tc>
          <w:tcPr>
            <w:tcW w:w="1080" w:type="dxa"/>
            <w:tcBorders>
              <w:top w:val="nil"/>
              <w:left w:val="nil"/>
              <w:bottom w:val="single" w:sz="4" w:space="0" w:color="auto"/>
              <w:right w:val="single" w:sz="4" w:space="0" w:color="auto"/>
            </w:tcBorders>
            <w:shd w:val="clear" w:color="auto" w:fill="auto"/>
            <w:noWrap/>
            <w:vAlign w:val="bottom"/>
            <w:hideMark/>
          </w:tcPr>
          <w:p w14:paraId="704CF278" w14:textId="77777777" w:rsidR="00E40E76" w:rsidRDefault="00E40E76">
            <w:pPr>
              <w:jc w:val="center"/>
              <w:rPr>
                <w:color w:val="000000"/>
              </w:rPr>
            </w:pPr>
            <w:r>
              <w:rPr>
                <w:color w:val="000000"/>
              </w:rPr>
              <w:t>1.1906</w:t>
            </w:r>
          </w:p>
        </w:tc>
        <w:tc>
          <w:tcPr>
            <w:tcW w:w="1080" w:type="dxa"/>
            <w:tcBorders>
              <w:top w:val="nil"/>
              <w:left w:val="nil"/>
              <w:bottom w:val="single" w:sz="4" w:space="0" w:color="auto"/>
              <w:right w:val="single" w:sz="4" w:space="0" w:color="auto"/>
            </w:tcBorders>
            <w:shd w:val="clear" w:color="auto" w:fill="auto"/>
            <w:noWrap/>
            <w:vAlign w:val="bottom"/>
            <w:hideMark/>
          </w:tcPr>
          <w:p w14:paraId="52FEE9B1" w14:textId="77777777" w:rsidR="00E40E76" w:rsidRDefault="00E40E76">
            <w:pPr>
              <w:jc w:val="center"/>
              <w:rPr>
                <w:color w:val="000000"/>
              </w:rPr>
            </w:pPr>
            <w:r>
              <w:rPr>
                <w:color w:val="000000"/>
              </w:rPr>
              <w:t>5.0728</w:t>
            </w:r>
          </w:p>
        </w:tc>
      </w:tr>
      <w:tr w:rsidR="00E40E76" w14:paraId="12CC17CF"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522F83C" w14:textId="77777777" w:rsidR="00E40E76" w:rsidRDefault="00E40E76">
            <w:pPr>
              <w:jc w:val="center"/>
              <w:rPr>
                <w:color w:val="000000"/>
              </w:rPr>
            </w:pPr>
            <w:r>
              <w:rPr>
                <w:color w:val="000000"/>
              </w:rPr>
              <w:t>Ce</w:t>
            </w:r>
          </w:p>
        </w:tc>
        <w:tc>
          <w:tcPr>
            <w:tcW w:w="1080" w:type="dxa"/>
            <w:tcBorders>
              <w:top w:val="nil"/>
              <w:left w:val="nil"/>
              <w:bottom w:val="single" w:sz="4" w:space="0" w:color="auto"/>
              <w:right w:val="single" w:sz="4" w:space="0" w:color="auto"/>
            </w:tcBorders>
            <w:shd w:val="clear" w:color="auto" w:fill="auto"/>
            <w:noWrap/>
            <w:vAlign w:val="center"/>
            <w:hideMark/>
          </w:tcPr>
          <w:p w14:paraId="2999CD05" w14:textId="77777777" w:rsidR="00E40E76" w:rsidRDefault="00E40E76">
            <w:pPr>
              <w:jc w:val="center"/>
              <w:rPr>
                <w:color w:val="000000"/>
              </w:rPr>
            </w:pPr>
            <w:r>
              <w:rPr>
                <w:color w:val="000000"/>
              </w:rPr>
              <w:t>0.4175</w:t>
            </w:r>
          </w:p>
        </w:tc>
        <w:tc>
          <w:tcPr>
            <w:tcW w:w="1080" w:type="dxa"/>
            <w:tcBorders>
              <w:top w:val="nil"/>
              <w:left w:val="nil"/>
              <w:bottom w:val="single" w:sz="4" w:space="0" w:color="auto"/>
              <w:right w:val="single" w:sz="4" w:space="0" w:color="auto"/>
            </w:tcBorders>
            <w:shd w:val="clear" w:color="auto" w:fill="auto"/>
            <w:noWrap/>
            <w:vAlign w:val="center"/>
            <w:hideMark/>
          </w:tcPr>
          <w:p w14:paraId="0C5B0DA4" w14:textId="77777777" w:rsidR="00E40E76" w:rsidRDefault="00E40E76">
            <w:pPr>
              <w:jc w:val="center"/>
              <w:rPr>
                <w:color w:val="000000"/>
              </w:rPr>
            </w:pPr>
            <w:r>
              <w:rPr>
                <w:color w:val="000000"/>
              </w:rPr>
              <w:t>0.6921</w:t>
            </w:r>
          </w:p>
        </w:tc>
        <w:tc>
          <w:tcPr>
            <w:tcW w:w="1080" w:type="dxa"/>
            <w:tcBorders>
              <w:top w:val="nil"/>
              <w:left w:val="nil"/>
              <w:bottom w:val="single" w:sz="4" w:space="0" w:color="auto"/>
              <w:right w:val="single" w:sz="4" w:space="0" w:color="auto"/>
            </w:tcBorders>
            <w:shd w:val="clear" w:color="auto" w:fill="auto"/>
            <w:noWrap/>
            <w:vAlign w:val="center"/>
            <w:hideMark/>
          </w:tcPr>
          <w:p w14:paraId="1C26F15F" w14:textId="77777777" w:rsidR="00E40E76" w:rsidRDefault="00E40E76">
            <w:pPr>
              <w:jc w:val="center"/>
              <w:rPr>
                <w:color w:val="000000"/>
              </w:rPr>
            </w:pPr>
            <w:r>
              <w:rPr>
                <w:color w:val="000000"/>
              </w:rPr>
              <w:t>1.4771</w:t>
            </w:r>
          </w:p>
        </w:tc>
        <w:tc>
          <w:tcPr>
            <w:tcW w:w="1080" w:type="dxa"/>
            <w:tcBorders>
              <w:top w:val="nil"/>
              <w:left w:val="nil"/>
              <w:bottom w:val="single" w:sz="4" w:space="0" w:color="auto"/>
              <w:right w:val="single" w:sz="4" w:space="0" w:color="auto"/>
            </w:tcBorders>
            <w:shd w:val="clear" w:color="auto" w:fill="auto"/>
            <w:noWrap/>
            <w:vAlign w:val="center"/>
            <w:hideMark/>
          </w:tcPr>
          <w:p w14:paraId="1D06841C" w14:textId="77777777" w:rsidR="00E40E76" w:rsidRDefault="00E40E76">
            <w:pPr>
              <w:jc w:val="center"/>
              <w:rPr>
                <w:color w:val="000000"/>
              </w:rPr>
            </w:pPr>
            <w:r>
              <w:rPr>
                <w:color w:val="000000"/>
              </w:rPr>
              <w:t>2.4488</w:t>
            </w:r>
          </w:p>
        </w:tc>
        <w:tc>
          <w:tcPr>
            <w:tcW w:w="1080" w:type="dxa"/>
            <w:tcBorders>
              <w:top w:val="nil"/>
              <w:left w:val="nil"/>
              <w:bottom w:val="single" w:sz="4" w:space="0" w:color="auto"/>
              <w:right w:val="single" w:sz="4" w:space="0" w:color="auto"/>
            </w:tcBorders>
            <w:shd w:val="clear" w:color="auto" w:fill="auto"/>
            <w:noWrap/>
            <w:vAlign w:val="bottom"/>
            <w:hideMark/>
          </w:tcPr>
          <w:p w14:paraId="1E06DB4C" w14:textId="77777777" w:rsidR="00E40E76" w:rsidRDefault="00E40E76">
            <w:pPr>
              <w:jc w:val="center"/>
              <w:rPr>
                <w:color w:val="000000"/>
              </w:rPr>
            </w:pPr>
            <w:r>
              <w:rPr>
                <w:color w:val="000000"/>
              </w:rPr>
              <w:t>3.8800</w:t>
            </w:r>
          </w:p>
        </w:tc>
        <w:tc>
          <w:tcPr>
            <w:tcW w:w="1080" w:type="dxa"/>
            <w:tcBorders>
              <w:top w:val="nil"/>
              <w:left w:val="nil"/>
              <w:bottom w:val="single" w:sz="4" w:space="0" w:color="auto"/>
              <w:right w:val="single" w:sz="4" w:space="0" w:color="auto"/>
            </w:tcBorders>
            <w:shd w:val="clear" w:color="auto" w:fill="auto"/>
            <w:noWrap/>
            <w:vAlign w:val="bottom"/>
            <w:hideMark/>
          </w:tcPr>
          <w:p w14:paraId="0817C423" w14:textId="77777777" w:rsidR="00E40E76" w:rsidRDefault="00E40E76">
            <w:pPr>
              <w:jc w:val="center"/>
              <w:rPr>
                <w:color w:val="000000"/>
              </w:rPr>
            </w:pPr>
            <w:r>
              <w:rPr>
                <w:color w:val="000000"/>
              </w:rPr>
              <w:t>6.4324</w:t>
            </w:r>
          </w:p>
        </w:tc>
      </w:tr>
      <w:tr w:rsidR="00E40E76" w14:paraId="74511855"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ABA104E" w14:textId="77777777" w:rsidR="00E40E76" w:rsidRDefault="00E40E76">
            <w:pPr>
              <w:jc w:val="center"/>
              <w:rPr>
                <w:color w:val="000000"/>
              </w:rPr>
            </w:pPr>
            <w:r>
              <w:rPr>
                <w:color w:val="000000"/>
              </w:rPr>
              <w:t>Pr</w:t>
            </w:r>
          </w:p>
        </w:tc>
        <w:tc>
          <w:tcPr>
            <w:tcW w:w="1080" w:type="dxa"/>
            <w:tcBorders>
              <w:top w:val="nil"/>
              <w:left w:val="nil"/>
              <w:bottom w:val="single" w:sz="4" w:space="0" w:color="auto"/>
              <w:right w:val="single" w:sz="4" w:space="0" w:color="auto"/>
            </w:tcBorders>
            <w:shd w:val="clear" w:color="auto" w:fill="auto"/>
            <w:noWrap/>
            <w:vAlign w:val="center"/>
            <w:hideMark/>
          </w:tcPr>
          <w:p w14:paraId="0F104B58" w14:textId="77777777" w:rsidR="00E40E76" w:rsidRDefault="00E40E76">
            <w:pPr>
              <w:jc w:val="center"/>
              <w:rPr>
                <w:color w:val="000000"/>
              </w:rPr>
            </w:pPr>
            <w:r>
              <w:rPr>
                <w:color w:val="000000"/>
              </w:rPr>
              <w:t>0.0837</w:t>
            </w:r>
          </w:p>
        </w:tc>
        <w:tc>
          <w:tcPr>
            <w:tcW w:w="1080" w:type="dxa"/>
            <w:tcBorders>
              <w:top w:val="nil"/>
              <w:left w:val="nil"/>
              <w:bottom w:val="single" w:sz="4" w:space="0" w:color="auto"/>
              <w:right w:val="single" w:sz="4" w:space="0" w:color="auto"/>
            </w:tcBorders>
            <w:shd w:val="clear" w:color="auto" w:fill="auto"/>
            <w:noWrap/>
            <w:vAlign w:val="center"/>
            <w:hideMark/>
          </w:tcPr>
          <w:p w14:paraId="7F271B9F" w14:textId="77777777" w:rsidR="00E40E76" w:rsidRDefault="00E40E76">
            <w:pPr>
              <w:jc w:val="center"/>
              <w:rPr>
                <w:color w:val="000000"/>
              </w:rPr>
            </w:pPr>
            <w:r>
              <w:rPr>
                <w:color w:val="000000"/>
              </w:rPr>
              <w:t>0.9398</w:t>
            </w:r>
          </w:p>
        </w:tc>
        <w:tc>
          <w:tcPr>
            <w:tcW w:w="1080" w:type="dxa"/>
            <w:tcBorders>
              <w:top w:val="nil"/>
              <w:left w:val="nil"/>
              <w:bottom w:val="single" w:sz="4" w:space="0" w:color="auto"/>
              <w:right w:val="single" w:sz="4" w:space="0" w:color="auto"/>
            </w:tcBorders>
            <w:shd w:val="clear" w:color="auto" w:fill="auto"/>
            <w:noWrap/>
            <w:vAlign w:val="center"/>
            <w:hideMark/>
          </w:tcPr>
          <w:p w14:paraId="1A5BACDB" w14:textId="77777777" w:rsidR="00E40E76" w:rsidRDefault="00E40E76">
            <w:pPr>
              <w:jc w:val="center"/>
              <w:rPr>
                <w:color w:val="000000"/>
              </w:rPr>
            </w:pPr>
            <w:r>
              <w:rPr>
                <w:color w:val="000000"/>
              </w:rPr>
              <w:t>0.2984</w:t>
            </w:r>
          </w:p>
        </w:tc>
        <w:tc>
          <w:tcPr>
            <w:tcW w:w="1080" w:type="dxa"/>
            <w:tcBorders>
              <w:top w:val="nil"/>
              <w:left w:val="nil"/>
              <w:bottom w:val="single" w:sz="4" w:space="0" w:color="auto"/>
              <w:right w:val="single" w:sz="4" w:space="0" w:color="auto"/>
            </w:tcBorders>
            <w:shd w:val="clear" w:color="auto" w:fill="auto"/>
            <w:noWrap/>
            <w:vAlign w:val="center"/>
            <w:hideMark/>
          </w:tcPr>
          <w:p w14:paraId="4A031E68" w14:textId="77777777" w:rsidR="00E40E76" w:rsidRDefault="00E40E76">
            <w:pPr>
              <w:jc w:val="center"/>
              <w:rPr>
                <w:color w:val="000000"/>
              </w:rPr>
            </w:pPr>
            <w:r>
              <w:rPr>
                <w:color w:val="000000"/>
              </w:rPr>
              <w:t>3.3495</w:t>
            </w:r>
          </w:p>
        </w:tc>
        <w:tc>
          <w:tcPr>
            <w:tcW w:w="1080" w:type="dxa"/>
            <w:tcBorders>
              <w:top w:val="nil"/>
              <w:left w:val="nil"/>
              <w:bottom w:val="single" w:sz="4" w:space="0" w:color="auto"/>
              <w:right w:val="single" w:sz="4" w:space="0" w:color="auto"/>
            </w:tcBorders>
            <w:shd w:val="clear" w:color="auto" w:fill="auto"/>
            <w:noWrap/>
            <w:vAlign w:val="bottom"/>
            <w:hideMark/>
          </w:tcPr>
          <w:p w14:paraId="74B2553E" w14:textId="77777777" w:rsidR="00E40E76" w:rsidRDefault="00E40E76">
            <w:pPr>
              <w:jc w:val="center"/>
              <w:rPr>
                <w:color w:val="000000"/>
              </w:rPr>
            </w:pPr>
            <w:r>
              <w:rPr>
                <w:color w:val="000000"/>
              </w:rPr>
              <w:t>0.7450</w:t>
            </w:r>
          </w:p>
        </w:tc>
        <w:tc>
          <w:tcPr>
            <w:tcW w:w="1080" w:type="dxa"/>
            <w:tcBorders>
              <w:top w:val="nil"/>
              <w:left w:val="nil"/>
              <w:bottom w:val="single" w:sz="4" w:space="0" w:color="auto"/>
              <w:right w:val="single" w:sz="4" w:space="0" w:color="auto"/>
            </w:tcBorders>
            <w:shd w:val="clear" w:color="auto" w:fill="auto"/>
            <w:noWrap/>
            <w:vAlign w:val="bottom"/>
            <w:hideMark/>
          </w:tcPr>
          <w:p w14:paraId="787D2714" w14:textId="77777777" w:rsidR="00E40E76" w:rsidRDefault="00E40E76">
            <w:pPr>
              <w:jc w:val="center"/>
              <w:rPr>
                <w:color w:val="000000"/>
              </w:rPr>
            </w:pPr>
            <w:r>
              <w:rPr>
                <w:color w:val="000000"/>
              </w:rPr>
              <w:t>8.3612</w:t>
            </w:r>
          </w:p>
        </w:tc>
      </w:tr>
      <w:tr w:rsidR="00E40E76" w14:paraId="1E433C1A"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61F6EA3" w14:textId="77777777" w:rsidR="00E40E76" w:rsidRDefault="00E40E76">
            <w:pPr>
              <w:jc w:val="center"/>
              <w:rPr>
                <w:color w:val="000000"/>
              </w:rPr>
            </w:pPr>
            <w:r>
              <w:rPr>
                <w:color w:val="000000"/>
              </w:rPr>
              <w:t>Nd</w:t>
            </w:r>
          </w:p>
        </w:tc>
        <w:tc>
          <w:tcPr>
            <w:tcW w:w="1080" w:type="dxa"/>
            <w:tcBorders>
              <w:top w:val="nil"/>
              <w:left w:val="nil"/>
              <w:bottom w:val="single" w:sz="4" w:space="0" w:color="auto"/>
              <w:right w:val="single" w:sz="4" w:space="0" w:color="auto"/>
            </w:tcBorders>
            <w:shd w:val="clear" w:color="auto" w:fill="auto"/>
            <w:noWrap/>
            <w:vAlign w:val="center"/>
            <w:hideMark/>
          </w:tcPr>
          <w:p w14:paraId="5EE4437F" w14:textId="77777777" w:rsidR="00E40E76" w:rsidRDefault="00E40E76">
            <w:pPr>
              <w:jc w:val="center"/>
              <w:rPr>
                <w:color w:val="000000"/>
              </w:rPr>
            </w:pPr>
            <w:r>
              <w:rPr>
                <w:color w:val="000000"/>
              </w:rPr>
              <w:t>0.4888</w:t>
            </w:r>
          </w:p>
        </w:tc>
        <w:tc>
          <w:tcPr>
            <w:tcW w:w="1080" w:type="dxa"/>
            <w:tcBorders>
              <w:top w:val="nil"/>
              <w:left w:val="nil"/>
              <w:bottom w:val="single" w:sz="4" w:space="0" w:color="auto"/>
              <w:right w:val="single" w:sz="4" w:space="0" w:color="auto"/>
            </w:tcBorders>
            <w:shd w:val="clear" w:color="auto" w:fill="auto"/>
            <w:noWrap/>
            <w:vAlign w:val="center"/>
            <w:hideMark/>
          </w:tcPr>
          <w:p w14:paraId="75FE48A2" w14:textId="77777777" w:rsidR="00E40E76" w:rsidRDefault="00E40E76">
            <w:pPr>
              <w:jc w:val="center"/>
              <w:rPr>
                <w:color w:val="000000"/>
              </w:rPr>
            </w:pPr>
            <w:r>
              <w:rPr>
                <w:color w:val="000000"/>
              </w:rPr>
              <w:t>1.0805</w:t>
            </w:r>
          </w:p>
        </w:tc>
        <w:tc>
          <w:tcPr>
            <w:tcW w:w="1080" w:type="dxa"/>
            <w:tcBorders>
              <w:top w:val="nil"/>
              <w:left w:val="nil"/>
              <w:bottom w:val="single" w:sz="4" w:space="0" w:color="auto"/>
              <w:right w:val="single" w:sz="4" w:space="0" w:color="auto"/>
            </w:tcBorders>
            <w:shd w:val="clear" w:color="auto" w:fill="auto"/>
            <w:noWrap/>
            <w:vAlign w:val="center"/>
            <w:hideMark/>
          </w:tcPr>
          <w:p w14:paraId="37356577" w14:textId="77777777" w:rsidR="00E40E76" w:rsidRDefault="00E40E76">
            <w:pPr>
              <w:jc w:val="center"/>
              <w:rPr>
                <w:color w:val="000000"/>
              </w:rPr>
            </w:pPr>
            <w:r>
              <w:rPr>
                <w:color w:val="000000"/>
              </w:rPr>
              <w:t>1.7849</w:t>
            </w:r>
          </w:p>
        </w:tc>
        <w:tc>
          <w:tcPr>
            <w:tcW w:w="1080" w:type="dxa"/>
            <w:tcBorders>
              <w:top w:val="nil"/>
              <w:left w:val="nil"/>
              <w:bottom w:val="single" w:sz="4" w:space="0" w:color="auto"/>
              <w:right w:val="single" w:sz="4" w:space="0" w:color="auto"/>
            </w:tcBorders>
            <w:shd w:val="clear" w:color="auto" w:fill="auto"/>
            <w:noWrap/>
            <w:vAlign w:val="center"/>
            <w:hideMark/>
          </w:tcPr>
          <w:p w14:paraId="16824E64" w14:textId="77777777" w:rsidR="00E40E76" w:rsidRDefault="00E40E76">
            <w:pPr>
              <w:jc w:val="center"/>
              <w:rPr>
                <w:color w:val="000000"/>
              </w:rPr>
            </w:pPr>
            <w:r>
              <w:rPr>
                <w:color w:val="000000"/>
              </w:rPr>
              <w:t>3.9454</w:t>
            </w:r>
          </w:p>
        </w:tc>
        <w:tc>
          <w:tcPr>
            <w:tcW w:w="1080" w:type="dxa"/>
            <w:tcBorders>
              <w:top w:val="nil"/>
              <w:left w:val="nil"/>
              <w:bottom w:val="single" w:sz="4" w:space="0" w:color="auto"/>
              <w:right w:val="single" w:sz="4" w:space="0" w:color="auto"/>
            </w:tcBorders>
            <w:shd w:val="clear" w:color="auto" w:fill="auto"/>
            <w:noWrap/>
            <w:vAlign w:val="bottom"/>
            <w:hideMark/>
          </w:tcPr>
          <w:p w14:paraId="200602BC" w14:textId="77777777" w:rsidR="00E40E76" w:rsidRDefault="00E40E76">
            <w:pPr>
              <w:jc w:val="center"/>
              <w:rPr>
                <w:color w:val="000000"/>
              </w:rPr>
            </w:pPr>
            <w:r>
              <w:rPr>
                <w:color w:val="000000"/>
              </w:rPr>
              <w:t>4.5846</w:t>
            </w:r>
          </w:p>
        </w:tc>
        <w:tc>
          <w:tcPr>
            <w:tcW w:w="1080" w:type="dxa"/>
            <w:tcBorders>
              <w:top w:val="nil"/>
              <w:left w:val="nil"/>
              <w:bottom w:val="single" w:sz="4" w:space="0" w:color="auto"/>
              <w:right w:val="single" w:sz="4" w:space="0" w:color="auto"/>
            </w:tcBorders>
            <w:shd w:val="clear" w:color="auto" w:fill="auto"/>
            <w:noWrap/>
            <w:vAlign w:val="bottom"/>
            <w:hideMark/>
          </w:tcPr>
          <w:p w14:paraId="21A3A6D0" w14:textId="77777777" w:rsidR="00E40E76" w:rsidRDefault="00E40E76">
            <w:pPr>
              <w:jc w:val="center"/>
              <w:rPr>
                <w:color w:val="000000"/>
              </w:rPr>
            </w:pPr>
            <w:r>
              <w:rPr>
                <w:color w:val="000000"/>
              </w:rPr>
              <w:t>10.1339</w:t>
            </w:r>
          </w:p>
        </w:tc>
      </w:tr>
      <w:tr w:rsidR="00E40E76" w14:paraId="23B4F514"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4657050" w14:textId="77777777" w:rsidR="00E40E76" w:rsidRDefault="00E40E76">
            <w:pPr>
              <w:jc w:val="center"/>
              <w:rPr>
                <w:color w:val="000000"/>
              </w:rPr>
            </w:pPr>
            <w:r>
              <w:rPr>
                <w:color w:val="000000"/>
              </w:rPr>
              <w:t>Sm</w:t>
            </w:r>
          </w:p>
        </w:tc>
        <w:tc>
          <w:tcPr>
            <w:tcW w:w="1080" w:type="dxa"/>
            <w:tcBorders>
              <w:top w:val="nil"/>
              <w:left w:val="nil"/>
              <w:bottom w:val="single" w:sz="4" w:space="0" w:color="auto"/>
              <w:right w:val="single" w:sz="4" w:space="0" w:color="auto"/>
            </w:tcBorders>
            <w:shd w:val="clear" w:color="auto" w:fill="auto"/>
            <w:noWrap/>
            <w:vAlign w:val="center"/>
            <w:hideMark/>
          </w:tcPr>
          <w:p w14:paraId="12926FC0" w14:textId="77777777" w:rsidR="00E40E76" w:rsidRDefault="00E40E76">
            <w:pPr>
              <w:jc w:val="center"/>
              <w:rPr>
                <w:color w:val="000000"/>
              </w:rPr>
            </w:pPr>
            <w:r>
              <w:rPr>
                <w:color w:val="000000"/>
              </w:rPr>
              <w:t>0.2094</w:t>
            </w:r>
          </w:p>
        </w:tc>
        <w:tc>
          <w:tcPr>
            <w:tcW w:w="1080" w:type="dxa"/>
            <w:tcBorders>
              <w:top w:val="nil"/>
              <w:left w:val="nil"/>
              <w:bottom w:val="single" w:sz="4" w:space="0" w:color="auto"/>
              <w:right w:val="single" w:sz="4" w:space="0" w:color="auto"/>
            </w:tcBorders>
            <w:shd w:val="clear" w:color="auto" w:fill="auto"/>
            <w:noWrap/>
            <w:vAlign w:val="center"/>
            <w:hideMark/>
          </w:tcPr>
          <w:p w14:paraId="16D5E58E" w14:textId="77777777" w:rsidR="00E40E76" w:rsidRDefault="00E40E76">
            <w:pPr>
              <w:jc w:val="center"/>
              <w:rPr>
                <w:color w:val="000000"/>
              </w:rPr>
            </w:pPr>
            <w:r>
              <w:rPr>
                <w:color w:val="000000"/>
              </w:rPr>
              <w:t>1.4233</w:t>
            </w:r>
          </w:p>
        </w:tc>
        <w:tc>
          <w:tcPr>
            <w:tcW w:w="1080" w:type="dxa"/>
            <w:tcBorders>
              <w:top w:val="nil"/>
              <w:left w:val="nil"/>
              <w:bottom w:val="single" w:sz="4" w:space="0" w:color="auto"/>
              <w:right w:val="single" w:sz="4" w:space="0" w:color="auto"/>
            </w:tcBorders>
            <w:shd w:val="clear" w:color="auto" w:fill="auto"/>
            <w:noWrap/>
            <w:vAlign w:val="center"/>
            <w:hideMark/>
          </w:tcPr>
          <w:p w14:paraId="26D43308" w14:textId="77777777" w:rsidR="00E40E76" w:rsidRDefault="00E40E76">
            <w:pPr>
              <w:jc w:val="center"/>
              <w:rPr>
                <w:color w:val="000000"/>
              </w:rPr>
            </w:pPr>
            <w:r>
              <w:rPr>
                <w:color w:val="000000"/>
              </w:rPr>
              <w:t>0.7844</w:t>
            </w:r>
          </w:p>
        </w:tc>
        <w:tc>
          <w:tcPr>
            <w:tcW w:w="1080" w:type="dxa"/>
            <w:tcBorders>
              <w:top w:val="nil"/>
              <w:left w:val="nil"/>
              <w:bottom w:val="single" w:sz="4" w:space="0" w:color="auto"/>
              <w:right w:val="single" w:sz="4" w:space="0" w:color="auto"/>
            </w:tcBorders>
            <w:shd w:val="clear" w:color="auto" w:fill="auto"/>
            <w:noWrap/>
            <w:vAlign w:val="center"/>
            <w:hideMark/>
          </w:tcPr>
          <w:p w14:paraId="35B68775" w14:textId="77777777" w:rsidR="00E40E76" w:rsidRDefault="00E40E76">
            <w:pPr>
              <w:jc w:val="center"/>
              <w:rPr>
                <w:color w:val="000000"/>
              </w:rPr>
            </w:pPr>
            <w:r>
              <w:rPr>
                <w:color w:val="000000"/>
              </w:rPr>
              <w:t>5.3323</w:t>
            </w:r>
          </w:p>
        </w:tc>
        <w:tc>
          <w:tcPr>
            <w:tcW w:w="1080" w:type="dxa"/>
            <w:tcBorders>
              <w:top w:val="nil"/>
              <w:left w:val="nil"/>
              <w:bottom w:val="single" w:sz="4" w:space="0" w:color="auto"/>
              <w:right w:val="single" w:sz="4" w:space="0" w:color="auto"/>
            </w:tcBorders>
            <w:shd w:val="clear" w:color="auto" w:fill="auto"/>
            <w:noWrap/>
            <w:vAlign w:val="bottom"/>
            <w:hideMark/>
          </w:tcPr>
          <w:p w14:paraId="36776D45" w14:textId="77777777" w:rsidR="00E40E76" w:rsidRDefault="00E40E76">
            <w:pPr>
              <w:jc w:val="center"/>
              <w:rPr>
                <w:color w:val="000000"/>
              </w:rPr>
            </w:pPr>
            <w:r>
              <w:rPr>
                <w:color w:val="000000"/>
              </w:rPr>
              <w:t>2.0966</w:t>
            </w:r>
          </w:p>
        </w:tc>
        <w:tc>
          <w:tcPr>
            <w:tcW w:w="1080" w:type="dxa"/>
            <w:tcBorders>
              <w:top w:val="nil"/>
              <w:left w:val="nil"/>
              <w:bottom w:val="single" w:sz="4" w:space="0" w:color="auto"/>
              <w:right w:val="single" w:sz="4" w:space="0" w:color="auto"/>
            </w:tcBorders>
            <w:shd w:val="clear" w:color="auto" w:fill="auto"/>
            <w:noWrap/>
            <w:vAlign w:val="bottom"/>
            <w:hideMark/>
          </w:tcPr>
          <w:p w14:paraId="1EA7BAC6" w14:textId="77777777" w:rsidR="00E40E76" w:rsidRDefault="00E40E76">
            <w:pPr>
              <w:jc w:val="center"/>
              <w:rPr>
                <w:color w:val="000000"/>
              </w:rPr>
            </w:pPr>
            <w:r>
              <w:rPr>
                <w:color w:val="000000"/>
              </w:rPr>
              <w:t>14.2532</w:t>
            </w:r>
          </w:p>
        </w:tc>
      </w:tr>
      <w:tr w:rsidR="00E40E76" w14:paraId="3C89599F"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02ACE1D" w14:textId="77777777" w:rsidR="00E40E76" w:rsidRDefault="00E40E76">
            <w:pPr>
              <w:jc w:val="center"/>
              <w:rPr>
                <w:color w:val="000000"/>
              </w:rPr>
            </w:pPr>
            <w:r>
              <w:rPr>
                <w:color w:val="000000"/>
              </w:rPr>
              <w:t>Eu</w:t>
            </w:r>
          </w:p>
        </w:tc>
        <w:tc>
          <w:tcPr>
            <w:tcW w:w="1080" w:type="dxa"/>
            <w:tcBorders>
              <w:top w:val="nil"/>
              <w:left w:val="nil"/>
              <w:bottom w:val="single" w:sz="4" w:space="0" w:color="auto"/>
              <w:right w:val="single" w:sz="4" w:space="0" w:color="auto"/>
            </w:tcBorders>
            <w:shd w:val="clear" w:color="auto" w:fill="auto"/>
            <w:noWrap/>
            <w:vAlign w:val="center"/>
            <w:hideMark/>
          </w:tcPr>
          <w:p w14:paraId="3532242C" w14:textId="77777777" w:rsidR="00E40E76" w:rsidRDefault="00E40E76">
            <w:pPr>
              <w:jc w:val="center"/>
              <w:rPr>
                <w:color w:val="000000"/>
              </w:rPr>
            </w:pPr>
            <w:r>
              <w:rPr>
                <w:color w:val="000000"/>
              </w:rPr>
              <w:t>0.2222</w:t>
            </w:r>
          </w:p>
        </w:tc>
        <w:tc>
          <w:tcPr>
            <w:tcW w:w="1080" w:type="dxa"/>
            <w:tcBorders>
              <w:top w:val="nil"/>
              <w:left w:val="nil"/>
              <w:bottom w:val="single" w:sz="4" w:space="0" w:color="auto"/>
              <w:right w:val="single" w:sz="4" w:space="0" w:color="auto"/>
            </w:tcBorders>
            <w:shd w:val="clear" w:color="auto" w:fill="auto"/>
            <w:noWrap/>
            <w:vAlign w:val="center"/>
            <w:hideMark/>
          </w:tcPr>
          <w:p w14:paraId="5FA28CB7" w14:textId="77777777" w:rsidR="00E40E76" w:rsidRDefault="00E40E76">
            <w:pPr>
              <w:jc w:val="center"/>
              <w:rPr>
                <w:color w:val="000000"/>
              </w:rPr>
            </w:pPr>
            <w:r>
              <w:rPr>
                <w:color w:val="000000"/>
              </w:rPr>
              <w:t>3.9679</w:t>
            </w:r>
          </w:p>
        </w:tc>
        <w:tc>
          <w:tcPr>
            <w:tcW w:w="1080" w:type="dxa"/>
            <w:tcBorders>
              <w:top w:val="nil"/>
              <w:left w:val="nil"/>
              <w:bottom w:val="single" w:sz="4" w:space="0" w:color="auto"/>
              <w:right w:val="single" w:sz="4" w:space="0" w:color="auto"/>
            </w:tcBorders>
            <w:shd w:val="clear" w:color="auto" w:fill="auto"/>
            <w:noWrap/>
            <w:vAlign w:val="center"/>
            <w:hideMark/>
          </w:tcPr>
          <w:p w14:paraId="79FD356C" w14:textId="77777777" w:rsidR="00E40E76" w:rsidRDefault="00E40E76">
            <w:pPr>
              <w:jc w:val="center"/>
              <w:rPr>
                <w:color w:val="000000"/>
              </w:rPr>
            </w:pPr>
            <w:r>
              <w:rPr>
                <w:color w:val="000000"/>
              </w:rPr>
              <w:t>0.7504</w:t>
            </w:r>
          </w:p>
        </w:tc>
        <w:tc>
          <w:tcPr>
            <w:tcW w:w="1080" w:type="dxa"/>
            <w:tcBorders>
              <w:top w:val="nil"/>
              <w:left w:val="nil"/>
              <w:bottom w:val="single" w:sz="4" w:space="0" w:color="auto"/>
              <w:right w:val="single" w:sz="4" w:space="0" w:color="auto"/>
            </w:tcBorders>
            <w:shd w:val="clear" w:color="auto" w:fill="auto"/>
            <w:noWrap/>
            <w:vAlign w:val="center"/>
            <w:hideMark/>
          </w:tcPr>
          <w:p w14:paraId="01F7747D" w14:textId="77777777" w:rsidR="00E40E76" w:rsidRDefault="00E40E76">
            <w:pPr>
              <w:jc w:val="center"/>
              <w:rPr>
                <w:color w:val="000000"/>
              </w:rPr>
            </w:pPr>
            <w:r>
              <w:rPr>
                <w:color w:val="000000"/>
              </w:rPr>
              <w:t>13.4000</w:t>
            </w:r>
          </w:p>
        </w:tc>
        <w:tc>
          <w:tcPr>
            <w:tcW w:w="1080" w:type="dxa"/>
            <w:tcBorders>
              <w:top w:val="nil"/>
              <w:left w:val="nil"/>
              <w:bottom w:val="single" w:sz="4" w:space="0" w:color="auto"/>
              <w:right w:val="single" w:sz="4" w:space="0" w:color="auto"/>
            </w:tcBorders>
            <w:shd w:val="clear" w:color="auto" w:fill="auto"/>
            <w:noWrap/>
            <w:vAlign w:val="bottom"/>
            <w:hideMark/>
          </w:tcPr>
          <w:p w14:paraId="0D3C8374" w14:textId="77777777" w:rsidR="00E40E76" w:rsidRDefault="00E40E76">
            <w:pPr>
              <w:jc w:val="center"/>
              <w:rPr>
                <w:color w:val="000000"/>
              </w:rPr>
            </w:pPr>
            <w:r>
              <w:rPr>
                <w:color w:val="000000"/>
              </w:rPr>
              <w:t>1.6098</w:t>
            </w:r>
          </w:p>
        </w:tc>
        <w:tc>
          <w:tcPr>
            <w:tcW w:w="1080" w:type="dxa"/>
            <w:tcBorders>
              <w:top w:val="nil"/>
              <w:left w:val="nil"/>
              <w:bottom w:val="single" w:sz="4" w:space="0" w:color="auto"/>
              <w:right w:val="single" w:sz="4" w:space="0" w:color="auto"/>
            </w:tcBorders>
            <w:shd w:val="clear" w:color="auto" w:fill="auto"/>
            <w:noWrap/>
            <w:vAlign w:val="bottom"/>
            <w:hideMark/>
          </w:tcPr>
          <w:p w14:paraId="658BBAC7" w14:textId="77777777" w:rsidR="00E40E76" w:rsidRDefault="00E40E76">
            <w:pPr>
              <w:jc w:val="center"/>
              <w:rPr>
                <w:color w:val="000000"/>
              </w:rPr>
            </w:pPr>
            <w:r>
              <w:rPr>
                <w:color w:val="000000"/>
              </w:rPr>
              <w:t>28.7461</w:t>
            </w:r>
          </w:p>
        </w:tc>
      </w:tr>
      <w:tr w:rsidR="00E40E76" w14:paraId="50DBE3EE"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C40048C" w14:textId="77777777" w:rsidR="00E40E76" w:rsidRDefault="00E40E76">
            <w:pPr>
              <w:jc w:val="center"/>
              <w:rPr>
                <w:color w:val="000000"/>
              </w:rPr>
            </w:pPr>
            <w:r>
              <w:rPr>
                <w:color w:val="000000"/>
              </w:rPr>
              <w:t>Gd</w:t>
            </w:r>
          </w:p>
        </w:tc>
        <w:tc>
          <w:tcPr>
            <w:tcW w:w="1080" w:type="dxa"/>
            <w:tcBorders>
              <w:top w:val="nil"/>
              <w:left w:val="nil"/>
              <w:bottom w:val="single" w:sz="4" w:space="0" w:color="auto"/>
              <w:right w:val="single" w:sz="4" w:space="0" w:color="auto"/>
            </w:tcBorders>
            <w:shd w:val="clear" w:color="auto" w:fill="auto"/>
            <w:hideMark/>
          </w:tcPr>
          <w:p w14:paraId="3EFB5C41" w14:textId="77777777" w:rsidR="00E40E76" w:rsidRDefault="00E40E76">
            <w:pPr>
              <w:jc w:val="center"/>
              <w:rPr>
                <w:color w:val="000000"/>
              </w:rPr>
            </w:pPr>
            <w:r>
              <w:rPr>
                <w:color w:val="000000"/>
              </w:rPr>
              <w:t>0.4080</w:t>
            </w:r>
          </w:p>
        </w:tc>
        <w:tc>
          <w:tcPr>
            <w:tcW w:w="1080" w:type="dxa"/>
            <w:tcBorders>
              <w:top w:val="nil"/>
              <w:left w:val="nil"/>
              <w:bottom w:val="single" w:sz="4" w:space="0" w:color="auto"/>
              <w:right w:val="single" w:sz="4" w:space="0" w:color="auto"/>
            </w:tcBorders>
            <w:shd w:val="clear" w:color="auto" w:fill="auto"/>
            <w:hideMark/>
          </w:tcPr>
          <w:p w14:paraId="4C0F0AF2" w14:textId="77777777" w:rsidR="00E40E76" w:rsidRDefault="00E40E76">
            <w:pPr>
              <w:jc w:val="center"/>
              <w:rPr>
                <w:color w:val="000000"/>
              </w:rPr>
            </w:pPr>
            <w:r>
              <w:rPr>
                <w:color w:val="000000"/>
              </w:rPr>
              <w:t>2.0750</w:t>
            </w:r>
          </w:p>
        </w:tc>
        <w:tc>
          <w:tcPr>
            <w:tcW w:w="1080" w:type="dxa"/>
            <w:tcBorders>
              <w:top w:val="nil"/>
              <w:left w:val="nil"/>
              <w:bottom w:val="single" w:sz="4" w:space="0" w:color="auto"/>
              <w:right w:val="single" w:sz="4" w:space="0" w:color="auto"/>
            </w:tcBorders>
            <w:shd w:val="clear" w:color="auto" w:fill="auto"/>
            <w:hideMark/>
          </w:tcPr>
          <w:p w14:paraId="7823BDE0" w14:textId="77777777" w:rsidR="00E40E76" w:rsidRDefault="00E40E76">
            <w:pPr>
              <w:jc w:val="center"/>
              <w:rPr>
                <w:color w:val="000000"/>
              </w:rPr>
            </w:pPr>
            <w:r>
              <w:rPr>
                <w:color w:val="000000"/>
              </w:rPr>
              <w:t>1.4661</w:t>
            </w:r>
          </w:p>
        </w:tc>
        <w:tc>
          <w:tcPr>
            <w:tcW w:w="1080" w:type="dxa"/>
            <w:tcBorders>
              <w:top w:val="nil"/>
              <w:left w:val="nil"/>
              <w:bottom w:val="single" w:sz="4" w:space="0" w:color="auto"/>
              <w:right w:val="single" w:sz="4" w:space="0" w:color="auto"/>
            </w:tcBorders>
            <w:shd w:val="clear" w:color="auto" w:fill="auto"/>
            <w:hideMark/>
          </w:tcPr>
          <w:p w14:paraId="0E384406" w14:textId="77777777" w:rsidR="00E40E76" w:rsidRDefault="00E40E76">
            <w:pPr>
              <w:jc w:val="center"/>
              <w:rPr>
                <w:color w:val="000000"/>
              </w:rPr>
            </w:pPr>
            <w:r>
              <w:rPr>
                <w:color w:val="000000"/>
              </w:rPr>
              <w:t>7.4571</w:t>
            </w:r>
          </w:p>
        </w:tc>
        <w:tc>
          <w:tcPr>
            <w:tcW w:w="1080" w:type="dxa"/>
            <w:tcBorders>
              <w:top w:val="nil"/>
              <w:left w:val="nil"/>
              <w:bottom w:val="single" w:sz="4" w:space="0" w:color="auto"/>
              <w:right w:val="single" w:sz="4" w:space="0" w:color="auto"/>
            </w:tcBorders>
            <w:shd w:val="clear" w:color="auto" w:fill="auto"/>
            <w:hideMark/>
          </w:tcPr>
          <w:p w14:paraId="1F964138" w14:textId="77777777" w:rsidR="00E40E76" w:rsidRDefault="00E40E76">
            <w:pPr>
              <w:jc w:val="center"/>
              <w:rPr>
                <w:color w:val="000000"/>
              </w:rPr>
            </w:pPr>
            <w:r>
              <w:rPr>
                <w:color w:val="000000"/>
              </w:rPr>
              <w:t>3.4263</w:t>
            </w:r>
          </w:p>
        </w:tc>
        <w:tc>
          <w:tcPr>
            <w:tcW w:w="1080" w:type="dxa"/>
            <w:tcBorders>
              <w:top w:val="nil"/>
              <w:left w:val="nil"/>
              <w:bottom w:val="single" w:sz="4" w:space="0" w:color="auto"/>
              <w:right w:val="single" w:sz="4" w:space="0" w:color="auto"/>
            </w:tcBorders>
            <w:shd w:val="clear" w:color="auto" w:fill="auto"/>
            <w:noWrap/>
            <w:vAlign w:val="bottom"/>
            <w:hideMark/>
          </w:tcPr>
          <w:p w14:paraId="6250CD2B" w14:textId="77777777" w:rsidR="00E40E76" w:rsidRDefault="00E40E76">
            <w:pPr>
              <w:jc w:val="center"/>
              <w:rPr>
                <w:color w:val="000000"/>
              </w:rPr>
            </w:pPr>
            <w:r>
              <w:rPr>
                <w:color w:val="000000"/>
              </w:rPr>
              <w:t>17.4275</w:t>
            </w:r>
          </w:p>
        </w:tc>
      </w:tr>
      <w:tr w:rsidR="00E40E76" w14:paraId="48C035ED"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EC3FE39" w14:textId="77777777" w:rsidR="00E40E76" w:rsidRDefault="00E40E76">
            <w:pPr>
              <w:jc w:val="center"/>
              <w:rPr>
                <w:color w:val="000000"/>
              </w:rPr>
            </w:pPr>
            <w:r>
              <w:rPr>
                <w:color w:val="000000"/>
              </w:rPr>
              <w:t>Tb</w:t>
            </w:r>
          </w:p>
        </w:tc>
        <w:tc>
          <w:tcPr>
            <w:tcW w:w="1080" w:type="dxa"/>
            <w:tcBorders>
              <w:top w:val="nil"/>
              <w:left w:val="nil"/>
              <w:bottom w:val="single" w:sz="4" w:space="0" w:color="auto"/>
              <w:right w:val="single" w:sz="4" w:space="0" w:color="auto"/>
            </w:tcBorders>
            <w:shd w:val="clear" w:color="auto" w:fill="auto"/>
            <w:noWrap/>
            <w:vAlign w:val="bottom"/>
            <w:hideMark/>
          </w:tcPr>
          <w:p w14:paraId="5FFCA599" w14:textId="77777777" w:rsidR="00E40E76" w:rsidRDefault="00E40E76">
            <w:pPr>
              <w:jc w:val="center"/>
              <w:rPr>
                <w:color w:val="000000"/>
              </w:rPr>
            </w:pPr>
            <w:r>
              <w:rPr>
                <w:color w:val="000000"/>
              </w:rPr>
              <w:t>0.0875</w:t>
            </w:r>
          </w:p>
        </w:tc>
        <w:tc>
          <w:tcPr>
            <w:tcW w:w="1080" w:type="dxa"/>
            <w:tcBorders>
              <w:top w:val="nil"/>
              <w:left w:val="nil"/>
              <w:bottom w:val="single" w:sz="4" w:space="0" w:color="auto"/>
              <w:right w:val="single" w:sz="4" w:space="0" w:color="auto"/>
            </w:tcBorders>
            <w:shd w:val="clear" w:color="auto" w:fill="auto"/>
            <w:noWrap/>
            <w:vAlign w:val="bottom"/>
            <w:hideMark/>
          </w:tcPr>
          <w:p w14:paraId="7A69D710" w14:textId="77777777" w:rsidR="00E40E76" w:rsidRDefault="00E40E76">
            <w:pPr>
              <w:jc w:val="center"/>
              <w:rPr>
                <w:color w:val="000000"/>
              </w:rPr>
            </w:pPr>
            <w:r>
              <w:rPr>
                <w:color w:val="000000"/>
              </w:rPr>
              <w:t>2.4117</w:t>
            </w:r>
          </w:p>
        </w:tc>
        <w:tc>
          <w:tcPr>
            <w:tcW w:w="1080" w:type="dxa"/>
            <w:tcBorders>
              <w:top w:val="nil"/>
              <w:left w:val="nil"/>
              <w:bottom w:val="single" w:sz="4" w:space="0" w:color="auto"/>
              <w:right w:val="single" w:sz="4" w:space="0" w:color="auto"/>
            </w:tcBorders>
            <w:shd w:val="clear" w:color="auto" w:fill="auto"/>
            <w:noWrap/>
            <w:vAlign w:val="bottom"/>
            <w:hideMark/>
          </w:tcPr>
          <w:p w14:paraId="496C8403" w14:textId="77777777" w:rsidR="00E40E76" w:rsidRDefault="00E40E76">
            <w:pPr>
              <w:jc w:val="center"/>
              <w:rPr>
                <w:color w:val="000000"/>
              </w:rPr>
            </w:pPr>
            <w:r>
              <w:rPr>
                <w:color w:val="000000"/>
              </w:rPr>
              <w:t>0.3070</w:t>
            </w:r>
          </w:p>
        </w:tc>
        <w:tc>
          <w:tcPr>
            <w:tcW w:w="1080" w:type="dxa"/>
            <w:tcBorders>
              <w:top w:val="nil"/>
              <w:left w:val="nil"/>
              <w:bottom w:val="single" w:sz="4" w:space="0" w:color="auto"/>
              <w:right w:val="single" w:sz="4" w:space="0" w:color="auto"/>
            </w:tcBorders>
            <w:shd w:val="clear" w:color="auto" w:fill="auto"/>
            <w:noWrap/>
            <w:vAlign w:val="bottom"/>
            <w:hideMark/>
          </w:tcPr>
          <w:p w14:paraId="63114306" w14:textId="77777777" w:rsidR="00E40E76" w:rsidRDefault="00E40E76">
            <w:pPr>
              <w:jc w:val="center"/>
              <w:rPr>
                <w:color w:val="000000"/>
              </w:rPr>
            </w:pPr>
            <w:r>
              <w:rPr>
                <w:color w:val="000000"/>
              </w:rPr>
              <w:t>8.4575</w:t>
            </w:r>
          </w:p>
        </w:tc>
        <w:tc>
          <w:tcPr>
            <w:tcW w:w="1080" w:type="dxa"/>
            <w:tcBorders>
              <w:top w:val="nil"/>
              <w:left w:val="nil"/>
              <w:bottom w:val="single" w:sz="4" w:space="0" w:color="auto"/>
              <w:right w:val="single" w:sz="4" w:space="0" w:color="auto"/>
            </w:tcBorders>
            <w:shd w:val="clear" w:color="auto" w:fill="auto"/>
            <w:noWrap/>
            <w:vAlign w:val="bottom"/>
            <w:hideMark/>
          </w:tcPr>
          <w:p w14:paraId="28453883" w14:textId="77777777" w:rsidR="00E40E76" w:rsidRDefault="00E40E76">
            <w:pPr>
              <w:jc w:val="center"/>
              <w:rPr>
                <w:color w:val="000000"/>
              </w:rPr>
            </w:pPr>
            <w:r>
              <w:rPr>
                <w:color w:val="000000"/>
              </w:rPr>
              <w:t>0.6686</w:t>
            </w:r>
          </w:p>
        </w:tc>
        <w:tc>
          <w:tcPr>
            <w:tcW w:w="1080" w:type="dxa"/>
            <w:tcBorders>
              <w:top w:val="nil"/>
              <w:left w:val="nil"/>
              <w:bottom w:val="single" w:sz="4" w:space="0" w:color="auto"/>
              <w:right w:val="single" w:sz="4" w:space="0" w:color="auto"/>
            </w:tcBorders>
            <w:shd w:val="clear" w:color="auto" w:fill="auto"/>
            <w:noWrap/>
            <w:vAlign w:val="bottom"/>
            <w:hideMark/>
          </w:tcPr>
          <w:p w14:paraId="0295D2AF" w14:textId="77777777" w:rsidR="00E40E76" w:rsidRDefault="00E40E76">
            <w:pPr>
              <w:jc w:val="center"/>
              <w:rPr>
                <w:color w:val="000000"/>
              </w:rPr>
            </w:pPr>
            <w:r>
              <w:rPr>
                <w:color w:val="000000"/>
              </w:rPr>
              <w:t>18.4177</w:t>
            </w:r>
          </w:p>
        </w:tc>
      </w:tr>
      <w:tr w:rsidR="00E40E76" w14:paraId="4056540D"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0E1A157" w14:textId="77777777" w:rsidR="00E40E76" w:rsidRDefault="00E40E76">
            <w:pPr>
              <w:jc w:val="center"/>
              <w:rPr>
                <w:color w:val="000000"/>
              </w:rPr>
            </w:pPr>
            <w:r>
              <w:rPr>
                <w:color w:val="000000"/>
              </w:rPr>
              <w:t>Dy</w:t>
            </w:r>
          </w:p>
        </w:tc>
        <w:tc>
          <w:tcPr>
            <w:tcW w:w="1080" w:type="dxa"/>
            <w:tcBorders>
              <w:top w:val="nil"/>
              <w:left w:val="nil"/>
              <w:bottom w:val="single" w:sz="4" w:space="0" w:color="auto"/>
              <w:right w:val="single" w:sz="4" w:space="0" w:color="auto"/>
            </w:tcBorders>
            <w:shd w:val="clear" w:color="auto" w:fill="auto"/>
            <w:noWrap/>
            <w:vAlign w:val="bottom"/>
            <w:hideMark/>
          </w:tcPr>
          <w:p w14:paraId="3AF741B9" w14:textId="77777777" w:rsidR="00E40E76" w:rsidRDefault="00E40E76">
            <w:pPr>
              <w:jc w:val="center"/>
              <w:rPr>
                <w:color w:val="000000"/>
              </w:rPr>
            </w:pPr>
            <w:r>
              <w:rPr>
                <w:color w:val="000000"/>
              </w:rPr>
              <w:t>0.6684</w:t>
            </w:r>
          </w:p>
        </w:tc>
        <w:tc>
          <w:tcPr>
            <w:tcW w:w="1080" w:type="dxa"/>
            <w:tcBorders>
              <w:top w:val="nil"/>
              <w:left w:val="nil"/>
              <w:bottom w:val="single" w:sz="4" w:space="0" w:color="auto"/>
              <w:right w:val="single" w:sz="4" w:space="0" w:color="auto"/>
            </w:tcBorders>
            <w:shd w:val="clear" w:color="auto" w:fill="auto"/>
            <w:noWrap/>
            <w:vAlign w:val="bottom"/>
            <w:hideMark/>
          </w:tcPr>
          <w:p w14:paraId="3AA13C1C" w14:textId="77777777" w:rsidR="00E40E76" w:rsidRDefault="00E40E76">
            <w:pPr>
              <w:jc w:val="center"/>
              <w:rPr>
                <w:color w:val="000000"/>
              </w:rPr>
            </w:pPr>
            <w:r>
              <w:rPr>
                <w:color w:val="000000"/>
              </w:rPr>
              <w:t>2.7540</w:t>
            </w:r>
          </w:p>
        </w:tc>
        <w:tc>
          <w:tcPr>
            <w:tcW w:w="1080" w:type="dxa"/>
            <w:tcBorders>
              <w:top w:val="nil"/>
              <w:left w:val="nil"/>
              <w:bottom w:val="single" w:sz="4" w:space="0" w:color="auto"/>
              <w:right w:val="single" w:sz="4" w:space="0" w:color="auto"/>
            </w:tcBorders>
            <w:shd w:val="clear" w:color="auto" w:fill="auto"/>
            <w:noWrap/>
            <w:vAlign w:val="bottom"/>
            <w:hideMark/>
          </w:tcPr>
          <w:p w14:paraId="568BD935" w14:textId="77777777" w:rsidR="00E40E76" w:rsidRDefault="00E40E76">
            <w:pPr>
              <w:jc w:val="center"/>
              <w:rPr>
                <w:color w:val="000000"/>
              </w:rPr>
            </w:pPr>
            <w:r>
              <w:rPr>
                <w:color w:val="000000"/>
              </w:rPr>
              <w:t>2.2959</w:t>
            </w:r>
          </w:p>
        </w:tc>
        <w:tc>
          <w:tcPr>
            <w:tcW w:w="1080" w:type="dxa"/>
            <w:tcBorders>
              <w:top w:val="nil"/>
              <w:left w:val="nil"/>
              <w:bottom w:val="single" w:sz="4" w:space="0" w:color="auto"/>
              <w:right w:val="single" w:sz="4" w:space="0" w:color="auto"/>
            </w:tcBorders>
            <w:shd w:val="clear" w:color="auto" w:fill="auto"/>
            <w:noWrap/>
            <w:vAlign w:val="bottom"/>
            <w:hideMark/>
          </w:tcPr>
          <w:p w14:paraId="4E18BAB1" w14:textId="77777777" w:rsidR="00E40E76" w:rsidRDefault="00E40E76">
            <w:pPr>
              <w:jc w:val="center"/>
              <w:rPr>
                <w:color w:val="000000"/>
              </w:rPr>
            </w:pPr>
            <w:r>
              <w:rPr>
                <w:color w:val="000000"/>
              </w:rPr>
              <w:t>9.4596</w:t>
            </w:r>
          </w:p>
        </w:tc>
        <w:tc>
          <w:tcPr>
            <w:tcW w:w="1080" w:type="dxa"/>
            <w:tcBorders>
              <w:top w:val="nil"/>
              <w:left w:val="nil"/>
              <w:bottom w:val="single" w:sz="4" w:space="0" w:color="auto"/>
              <w:right w:val="single" w:sz="4" w:space="0" w:color="auto"/>
            </w:tcBorders>
            <w:shd w:val="clear" w:color="auto" w:fill="auto"/>
            <w:noWrap/>
            <w:vAlign w:val="bottom"/>
            <w:hideMark/>
          </w:tcPr>
          <w:p w14:paraId="25BEFC7B" w14:textId="77777777" w:rsidR="00E40E76" w:rsidRDefault="00E40E76">
            <w:pPr>
              <w:jc w:val="center"/>
              <w:rPr>
                <w:color w:val="000000"/>
              </w:rPr>
            </w:pPr>
            <w:r>
              <w:rPr>
                <w:color w:val="000000"/>
              </w:rPr>
              <w:t>4.7780</w:t>
            </w:r>
          </w:p>
        </w:tc>
        <w:tc>
          <w:tcPr>
            <w:tcW w:w="1080" w:type="dxa"/>
            <w:tcBorders>
              <w:top w:val="nil"/>
              <w:left w:val="nil"/>
              <w:bottom w:val="single" w:sz="4" w:space="0" w:color="auto"/>
              <w:right w:val="single" w:sz="4" w:space="0" w:color="auto"/>
            </w:tcBorders>
            <w:shd w:val="clear" w:color="auto" w:fill="auto"/>
            <w:noWrap/>
            <w:vAlign w:val="bottom"/>
            <w:hideMark/>
          </w:tcPr>
          <w:p w14:paraId="2AE8CEE8" w14:textId="77777777" w:rsidR="00E40E76" w:rsidRDefault="00E40E76">
            <w:pPr>
              <w:jc w:val="center"/>
              <w:rPr>
                <w:color w:val="000000"/>
              </w:rPr>
            </w:pPr>
            <w:r>
              <w:rPr>
                <w:color w:val="000000"/>
              </w:rPr>
              <w:t>19.6868</w:t>
            </w:r>
          </w:p>
        </w:tc>
      </w:tr>
      <w:tr w:rsidR="00E40E76" w14:paraId="3ADAC273"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AE35249" w14:textId="77777777" w:rsidR="00E40E76" w:rsidRDefault="00E40E76">
            <w:pPr>
              <w:jc w:val="center"/>
              <w:rPr>
                <w:color w:val="000000"/>
              </w:rPr>
            </w:pPr>
            <w:r>
              <w:rPr>
                <w:color w:val="000000"/>
              </w:rPr>
              <w:t>Y</w:t>
            </w:r>
          </w:p>
        </w:tc>
        <w:tc>
          <w:tcPr>
            <w:tcW w:w="1080" w:type="dxa"/>
            <w:tcBorders>
              <w:top w:val="nil"/>
              <w:left w:val="nil"/>
              <w:bottom w:val="single" w:sz="4" w:space="0" w:color="auto"/>
              <w:right w:val="single" w:sz="4" w:space="0" w:color="auto"/>
            </w:tcBorders>
            <w:shd w:val="clear" w:color="auto" w:fill="auto"/>
            <w:noWrap/>
            <w:vAlign w:val="bottom"/>
            <w:hideMark/>
          </w:tcPr>
          <w:p w14:paraId="0DD89303" w14:textId="77777777" w:rsidR="00E40E76" w:rsidRDefault="00E40E76">
            <w:pPr>
              <w:jc w:val="center"/>
              <w:rPr>
                <w:color w:val="000000"/>
              </w:rPr>
            </w:pPr>
            <w:r>
              <w:rPr>
                <w:color w:val="000000"/>
              </w:rPr>
              <w:t>4.7240</w:t>
            </w:r>
          </w:p>
        </w:tc>
        <w:tc>
          <w:tcPr>
            <w:tcW w:w="1080" w:type="dxa"/>
            <w:tcBorders>
              <w:top w:val="nil"/>
              <w:left w:val="nil"/>
              <w:bottom w:val="single" w:sz="4" w:space="0" w:color="auto"/>
              <w:right w:val="single" w:sz="4" w:space="0" w:color="auto"/>
            </w:tcBorders>
            <w:shd w:val="clear" w:color="auto" w:fill="auto"/>
            <w:noWrap/>
            <w:vAlign w:val="bottom"/>
            <w:hideMark/>
          </w:tcPr>
          <w:p w14:paraId="488CA16C" w14:textId="77777777" w:rsidR="00E40E76" w:rsidRDefault="00E40E76">
            <w:pPr>
              <w:jc w:val="center"/>
              <w:rPr>
                <w:color w:val="000000"/>
              </w:rPr>
            </w:pPr>
            <w:r>
              <w:rPr>
                <w:color w:val="000000"/>
              </w:rPr>
              <w:t>3.0282</w:t>
            </w:r>
          </w:p>
        </w:tc>
        <w:tc>
          <w:tcPr>
            <w:tcW w:w="1080" w:type="dxa"/>
            <w:tcBorders>
              <w:top w:val="nil"/>
              <w:left w:val="nil"/>
              <w:bottom w:val="single" w:sz="4" w:space="0" w:color="auto"/>
              <w:right w:val="single" w:sz="4" w:space="0" w:color="auto"/>
            </w:tcBorders>
            <w:shd w:val="clear" w:color="auto" w:fill="auto"/>
            <w:noWrap/>
            <w:vAlign w:val="bottom"/>
            <w:hideMark/>
          </w:tcPr>
          <w:p w14:paraId="56198313" w14:textId="77777777" w:rsidR="00E40E76" w:rsidRDefault="00E40E76">
            <w:pPr>
              <w:jc w:val="center"/>
              <w:rPr>
                <w:color w:val="000000"/>
              </w:rPr>
            </w:pPr>
            <w:r>
              <w:rPr>
                <w:color w:val="000000"/>
              </w:rPr>
              <w:t>15.9005</w:t>
            </w:r>
          </w:p>
        </w:tc>
        <w:tc>
          <w:tcPr>
            <w:tcW w:w="1080" w:type="dxa"/>
            <w:tcBorders>
              <w:top w:val="nil"/>
              <w:left w:val="nil"/>
              <w:bottom w:val="single" w:sz="4" w:space="0" w:color="auto"/>
              <w:right w:val="single" w:sz="4" w:space="0" w:color="auto"/>
            </w:tcBorders>
            <w:shd w:val="clear" w:color="auto" w:fill="auto"/>
            <w:noWrap/>
            <w:vAlign w:val="bottom"/>
            <w:hideMark/>
          </w:tcPr>
          <w:p w14:paraId="2BC65DC0" w14:textId="77777777" w:rsidR="00E40E76" w:rsidRDefault="00E40E76">
            <w:pPr>
              <w:jc w:val="center"/>
              <w:rPr>
                <w:color w:val="000000"/>
              </w:rPr>
            </w:pPr>
            <w:r>
              <w:rPr>
                <w:color w:val="000000"/>
              </w:rPr>
              <w:t>10.1926</w:t>
            </w:r>
          </w:p>
        </w:tc>
        <w:tc>
          <w:tcPr>
            <w:tcW w:w="1080" w:type="dxa"/>
            <w:tcBorders>
              <w:top w:val="nil"/>
              <w:left w:val="nil"/>
              <w:bottom w:val="single" w:sz="4" w:space="0" w:color="auto"/>
              <w:right w:val="single" w:sz="4" w:space="0" w:color="auto"/>
            </w:tcBorders>
            <w:shd w:val="clear" w:color="auto" w:fill="auto"/>
            <w:noWrap/>
            <w:vAlign w:val="bottom"/>
            <w:hideMark/>
          </w:tcPr>
          <w:p w14:paraId="74074D2A" w14:textId="77777777" w:rsidR="00E40E76" w:rsidRDefault="00E40E76">
            <w:pPr>
              <w:jc w:val="center"/>
              <w:rPr>
                <w:color w:val="000000"/>
              </w:rPr>
            </w:pPr>
            <w:r>
              <w:rPr>
                <w:color w:val="000000"/>
              </w:rPr>
              <w:t>31.3598</w:t>
            </w:r>
          </w:p>
        </w:tc>
        <w:tc>
          <w:tcPr>
            <w:tcW w:w="1080" w:type="dxa"/>
            <w:tcBorders>
              <w:top w:val="nil"/>
              <w:left w:val="nil"/>
              <w:bottom w:val="single" w:sz="4" w:space="0" w:color="auto"/>
              <w:right w:val="single" w:sz="4" w:space="0" w:color="auto"/>
            </w:tcBorders>
            <w:shd w:val="clear" w:color="auto" w:fill="auto"/>
            <w:noWrap/>
            <w:vAlign w:val="bottom"/>
            <w:hideMark/>
          </w:tcPr>
          <w:p w14:paraId="572829DC" w14:textId="77777777" w:rsidR="00E40E76" w:rsidRDefault="00E40E76">
            <w:pPr>
              <w:jc w:val="center"/>
              <w:rPr>
                <w:color w:val="000000"/>
              </w:rPr>
            </w:pPr>
            <w:r>
              <w:rPr>
                <w:color w:val="000000"/>
              </w:rPr>
              <w:t>20.1024</w:t>
            </w:r>
          </w:p>
        </w:tc>
      </w:tr>
      <w:tr w:rsidR="00E40E76" w14:paraId="43998881"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5629455" w14:textId="77777777" w:rsidR="00E40E76" w:rsidRDefault="00E40E76">
            <w:pPr>
              <w:jc w:val="center"/>
              <w:rPr>
                <w:color w:val="000000"/>
              </w:rPr>
            </w:pPr>
            <w:r>
              <w:rPr>
                <w:color w:val="000000"/>
              </w:rPr>
              <w:t>Ho</w:t>
            </w:r>
          </w:p>
        </w:tc>
        <w:tc>
          <w:tcPr>
            <w:tcW w:w="1080" w:type="dxa"/>
            <w:tcBorders>
              <w:top w:val="nil"/>
              <w:left w:val="nil"/>
              <w:bottom w:val="single" w:sz="4" w:space="0" w:color="auto"/>
              <w:right w:val="single" w:sz="4" w:space="0" w:color="auto"/>
            </w:tcBorders>
            <w:shd w:val="clear" w:color="auto" w:fill="auto"/>
            <w:noWrap/>
            <w:vAlign w:val="bottom"/>
            <w:hideMark/>
          </w:tcPr>
          <w:p w14:paraId="61E189EC" w14:textId="77777777" w:rsidR="00E40E76" w:rsidRDefault="00E40E76">
            <w:pPr>
              <w:jc w:val="center"/>
              <w:rPr>
                <w:color w:val="000000"/>
              </w:rPr>
            </w:pPr>
            <w:r>
              <w:rPr>
                <w:color w:val="000000"/>
              </w:rPr>
              <w:t>0.1628</w:t>
            </w:r>
          </w:p>
        </w:tc>
        <w:tc>
          <w:tcPr>
            <w:tcW w:w="1080" w:type="dxa"/>
            <w:tcBorders>
              <w:top w:val="nil"/>
              <w:left w:val="nil"/>
              <w:bottom w:val="single" w:sz="4" w:space="0" w:color="auto"/>
              <w:right w:val="single" w:sz="4" w:space="0" w:color="auto"/>
            </w:tcBorders>
            <w:shd w:val="clear" w:color="auto" w:fill="auto"/>
            <w:noWrap/>
            <w:vAlign w:val="bottom"/>
            <w:hideMark/>
          </w:tcPr>
          <w:p w14:paraId="2475051E" w14:textId="77777777" w:rsidR="00E40E76" w:rsidRDefault="00E40E76">
            <w:pPr>
              <w:jc w:val="center"/>
              <w:rPr>
                <w:color w:val="000000"/>
              </w:rPr>
            </w:pPr>
            <w:r>
              <w:rPr>
                <w:color w:val="000000"/>
              </w:rPr>
              <w:t>2.9287</w:t>
            </w:r>
          </w:p>
        </w:tc>
        <w:tc>
          <w:tcPr>
            <w:tcW w:w="1080" w:type="dxa"/>
            <w:tcBorders>
              <w:top w:val="nil"/>
              <w:left w:val="nil"/>
              <w:bottom w:val="single" w:sz="4" w:space="0" w:color="auto"/>
              <w:right w:val="single" w:sz="4" w:space="0" w:color="auto"/>
            </w:tcBorders>
            <w:shd w:val="clear" w:color="auto" w:fill="auto"/>
            <w:noWrap/>
            <w:vAlign w:val="bottom"/>
            <w:hideMark/>
          </w:tcPr>
          <w:p w14:paraId="38521655" w14:textId="77777777" w:rsidR="00E40E76" w:rsidRDefault="00E40E76">
            <w:pPr>
              <w:jc w:val="center"/>
              <w:rPr>
                <w:color w:val="000000"/>
              </w:rPr>
            </w:pPr>
            <w:r>
              <w:rPr>
                <w:color w:val="000000"/>
              </w:rPr>
              <w:t>0.5488</w:t>
            </w:r>
          </w:p>
        </w:tc>
        <w:tc>
          <w:tcPr>
            <w:tcW w:w="1080" w:type="dxa"/>
            <w:tcBorders>
              <w:top w:val="nil"/>
              <w:left w:val="nil"/>
              <w:bottom w:val="single" w:sz="4" w:space="0" w:color="auto"/>
              <w:right w:val="single" w:sz="4" w:space="0" w:color="auto"/>
            </w:tcBorders>
            <w:shd w:val="clear" w:color="auto" w:fill="auto"/>
            <w:noWrap/>
            <w:vAlign w:val="bottom"/>
            <w:hideMark/>
          </w:tcPr>
          <w:p w14:paraId="402F8AD4" w14:textId="77777777" w:rsidR="00E40E76" w:rsidRDefault="00E40E76">
            <w:pPr>
              <w:jc w:val="center"/>
              <w:rPr>
                <w:color w:val="000000"/>
              </w:rPr>
            </w:pPr>
            <w:r>
              <w:rPr>
                <w:color w:val="000000"/>
              </w:rPr>
              <w:t>9.8702</w:t>
            </w:r>
          </w:p>
        </w:tc>
        <w:tc>
          <w:tcPr>
            <w:tcW w:w="1080" w:type="dxa"/>
            <w:tcBorders>
              <w:top w:val="nil"/>
              <w:left w:val="nil"/>
              <w:bottom w:val="single" w:sz="4" w:space="0" w:color="auto"/>
              <w:right w:val="single" w:sz="4" w:space="0" w:color="auto"/>
            </w:tcBorders>
            <w:shd w:val="clear" w:color="auto" w:fill="auto"/>
            <w:noWrap/>
            <w:vAlign w:val="bottom"/>
            <w:hideMark/>
          </w:tcPr>
          <w:p w14:paraId="7AEDB995" w14:textId="77777777" w:rsidR="00E40E76" w:rsidRDefault="00E40E76">
            <w:pPr>
              <w:jc w:val="center"/>
              <w:rPr>
                <w:color w:val="000000"/>
              </w:rPr>
            </w:pPr>
            <w:r>
              <w:rPr>
                <w:color w:val="000000"/>
              </w:rPr>
              <w:t>1.0903</w:t>
            </w:r>
          </w:p>
        </w:tc>
        <w:tc>
          <w:tcPr>
            <w:tcW w:w="1080" w:type="dxa"/>
            <w:tcBorders>
              <w:top w:val="nil"/>
              <w:left w:val="nil"/>
              <w:bottom w:val="single" w:sz="4" w:space="0" w:color="auto"/>
              <w:right w:val="single" w:sz="4" w:space="0" w:color="auto"/>
            </w:tcBorders>
            <w:shd w:val="clear" w:color="auto" w:fill="auto"/>
            <w:noWrap/>
            <w:vAlign w:val="bottom"/>
            <w:hideMark/>
          </w:tcPr>
          <w:p w14:paraId="0CF58FC7" w14:textId="77777777" w:rsidR="00E40E76" w:rsidRDefault="00E40E76">
            <w:pPr>
              <w:jc w:val="center"/>
              <w:rPr>
                <w:color w:val="000000"/>
              </w:rPr>
            </w:pPr>
            <w:r>
              <w:rPr>
                <w:color w:val="000000"/>
              </w:rPr>
              <w:t>19.6106</w:t>
            </w:r>
          </w:p>
        </w:tc>
      </w:tr>
      <w:tr w:rsidR="00E40E76" w14:paraId="79D41EA8"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4169414" w14:textId="77777777" w:rsidR="00E40E76" w:rsidRDefault="00E40E76">
            <w:pPr>
              <w:jc w:val="center"/>
              <w:rPr>
                <w:color w:val="000000"/>
              </w:rPr>
            </w:pPr>
            <w:r>
              <w:rPr>
                <w:color w:val="000000"/>
              </w:rPr>
              <w:t>Er</w:t>
            </w:r>
          </w:p>
        </w:tc>
        <w:tc>
          <w:tcPr>
            <w:tcW w:w="1080" w:type="dxa"/>
            <w:tcBorders>
              <w:top w:val="nil"/>
              <w:left w:val="nil"/>
              <w:bottom w:val="single" w:sz="4" w:space="0" w:color="auto"/>
              <w:right w:val="single" w:sz="4" w:space="0" w:color="auto"/>
            </w:tcBorders>
            <w:shd w:val="clear" w:color="auto" w:fill="auto"/>
            <w:noWrap/>
            <w:vAlign w:val="bottom"/>
            <w:hideMark/>
          </w:tcPr>
          <w:p w14:paraId="213BAD97" w14:textId="77777777" w:rsidR="00E40E76" w:rsidRDefault="00E40E76">
            <w:pPr>
              <w:jc w:val="center"/>
              <w:rPr>
                <w:color w:val="000000"/>
              </w:rPr>
            </w:pPr>
            <w:r>
              <w:rPr>
                <w:color w:val="000000"/>
              </w:rPr>
              <w:t>0.5236</w:t>
            </w:r>
          </w:p>
        </w:tc>
        <w:tc>
          <w:tcPr>
            <w:tcW w:w="1080" w:type="dxa"/>
            <w:tcBorders>
              <w:top w:val="nil"/>
              <w:left w:val="nil"/>
              <w:bottom w:val="single" w:sz="4" w:space="0" w:color="auto"/>
              <w:right w:val="single" w:sz="4" w:space="0" w:color="auto"/>
            </w:tcBorders>
            <w:shd w:val="clear" w:color="auto" w:fill="auto"/>
            <w:noWrap/>
            <w:vAlign w:val="bottom"/>
            <w:hideMark/>
          </w:tcPr>
          <w:p w14:paraId="097F4A1B" w14:textId="77777777" w:rsidR="00E40E76" w:rsidRDefault="00E40E76">
            <w:pPr>
              <w:jc w:val="center"/>
              <w:rPr>
                <w:color w:val="000000"/>
              </w:rPr>
            </w:pPr>
            <w:r>
              <w:rPr>
                <w:color w:val="000000"/>
              </w:rPr>
              <w:t>3.2954</w:t>
            </w:r>
          </w:p>
        </w:tc>
        <w:tc>
          <w:tcPr>
            <w:tcW w:w="1080" w:type="dxa"/>
            <w:tcBorders>
              <w:top w:val="nil"/>
              <w:left w:val="nil"/>
              <w:bottom w:val="single" w:sz="4" w:space="0" w:color="auto"/>
              <w:right w:val="single" w:sz="4" w:space="0" w:color="auto"/>
            </w:tcBorders>
            <w:shd w:val="clear" w:color="auto" w:fill="auto"/>
            <w:noWrap/>
            <w:vAlign w:val="bottom"/>
            <w:hideMark/>
          </w:tcPr>
          <w:p w14:paraId="734AB5E3" w14:textId="77777777" w:rsidR="00E40E76" w:rsidRDefault="00E40E76">
            <w:pPr>
              <w:jc w:val="center"/>
              <w:rPr>
                <w:color w:val="000000"/>
              </w:rPr>
            </w:pPr>
            <w:r>
              <w:rPr>
                <w:color w:val="000000"/>
              </w:rPr>
              <w:t>1.7257</w:t>
            </w:r>
          </w:p>
        </w:tc>
        <w:tc>
          <w:tcPr>
            <w:tcW w:w="1080" w:type="dxa"/>
            <w:tcBorders>
              <w:top w:val="nil"/>
              <w:left w:val="nil"/>
              <w:bottom w:val="single" w:sz="4" w:space="0" w:color="auto"/>
              <w:right w:val="single" w:sz="4" w:space="0" w:color="auto"/>
            </w:tcBorders>
            <w:shd w:val="clear" w:color="auto" w:fill="auto"/>
            <w:noWrap/>
            <w:vAlign w:val="bottom"/>
            <w:hideMark/>
          </w:tcPr>
          <w:p w14:paraId="1430BBA1" w14:textId="77777777" w:rsidR="00E40E76" w:rsidRDefault="00E40E76">
            <w:pPr>
              <w:jc w:val="center"/>
              <w:rPr>
                <w:color w:val="000000"/>
              </w:rPr>
            </w:pPr>
            <w:r>
              <w:rPr>
                <w:color w:val="000000"/>
              </w:rPr>
              <w:t>10.8601</w:t>
            </w:r>
          </w:p>
        </w:tc>
        <w:tc>
          <w:tcPr>
            <w:tcW w:w="1080" w:type="dxa"/>
            <w:tcBorders>
              <w:top w:val="nil"/>
              <w:left w:val="nil"/>
              <w:bottom w:val="single" w:sz="4" w:space="0" w:color="auto"/>
              <w:right w:val="single" w:sz="4" w:space="0" w:color="auto"/>
            </w:tcBorders>
            <w:shd w:val="clear" w:color="auto" w:fill="auto"/>
            <w:noWrap/>
            <w:vAlign w:val="bottom"/>
            <w:hideMark/>
          </w:tcPr>
          <w:p w14:paraId="2C9AD433" w14:textId="77777777" w:rsidR="00E40E76" w:rsidRDefault="00E40E76">
            <w:pPr>
              <w:jc w:val="center"/>
              <w:rPr>
                <w:color w:val="000000"/>
              </w:rPr>
            </w:pPr>
            <w:r>
              <w:rPr>
                <w:color w:val="000000"/>
              </w:rPr>
              <w:t>3.2733</w:t>
            </w:r>
          </w:p>
        </w:tc>
        <w:tc>
          <w:tcPr>
            <w:tcW w:w="1080" w:type="dxa"/>
            <w:tcBorders>
              <w:top w:val="nil"/>
              <w:left w:val="nil"/>
              <w:bottom w:val="single" w:sz="4" w:space="0" w:color="auto"/>
              <w:right w:val="single" w:sz="4" w:space="0" w:color="auto"/>
            </w:tcBorders>
            <w:shd w:val="clear" w:color="auto" w:fill="auto"/>
            <w:noWrap/>
            <w:vAlign w:val="bottom"/>
            <w:hideMark/>
          </w:tcPr>
          <w:p w14:paraId="4ACB71A8" w14:textId="77777777" w:rsidR="00E40E76" w:rsidRDefault="00E40E76">
            <w:pPr>
              <w:jc w:val="center"/>
              <w:rPr>
                <w:color w:val="000000"/>
              </w:rPr>
            </w:pPr>
            <w:r>
              <w:rPr>
                <w:color w:val="000000"/>
              </w:rPr>
              <w:t>20.6000</w:t>
            </w:r>
          </w:p>
        </w:tc>
      </w:tr>
      <w:tr w:rsidR="00E40E76" w14:paraId="11212EDF"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9A9110F" w14:textId="77777777" w:rsidR="00E40E76" w:rsidRDefault="00E40E76">
            <w:pPr>
              <w:jc w:val="center"/>
              <w:rPr>
                <w:color w:val="000000"/>
              </w:rPr>
            </w:pPr>
            <w:r>
              <w:rPr>
                <w:color w:val="000000"/>
              </w:rPr>
              <w:t>Tm</w:t>
            </w:r>
          </w:p>
        </w:tc>
        <w:tc>
          <w:tcPr>
            <w:tcW w:w="1080" w:type="dxa"/>
            <w:tcBorders>
              <w:top w:val="nil"/>
              <w:left w:val="nil"/>
              <w:bottom w:val="single" w:sz="4" w:space="0" w:color="auto"/>
              <w:right w:val="single" w:sz="4" w:space="0" w:color="auto"/>
            </w:tcBorders>
            <w:shd w:val="clear" w:color="auto" w:fill="auto"/>
            <w:noWrap/>
            <w:vAlign w:val="bottom"/>
            <w:hideMark/>
          </w:tcPr>
          <w:p w14:paraId="46005A5E" w14:textId="77777777" w:rsidR="00E40E76" w:rsidRDefault="00E40E76">
            <w:pPr>
              <w:jc w:val="center"/>
              <w:rPr>
                <w:color w:val="000000"/>
              </w:rPr>
            </w:pPr>
            <w:r>
              <w:rPr>
                <w:color w:val="000000"/>
              </w:rPr>
              <w:t>0.0875</w:t>
            </w:r>
          </w:p>
        </w:tc>
        <w:tc>
          <w:tcPr>
            <w:tcW w:w="1080" w:type="dxa"/>
            <w:tcBorders>
              <w:top w:val="nil"/>
              <w:left w:val="nil"/>
              <w:bottom w:val="single" w:sz="4" w:space="0" w:color="auto"/>
              <w:right w:val="single" w:sz="4" w:space="0" w:color="auto"/>
            </w:tcBorders>
            <w:shd w:val="clear" w:color="auto" w:fill="auto"/>
            <w:noWrap/>
            <w:vAlign w:val="bottom"/>
            <w:hideMark/>
          </w:tcPr>
          <w:p w14:paraId="1697B3E6" w14:textId="77777777" w:rsidR="00E40E76" w:rsidRDefault="00E40E76">
            <w:pPr>
              <w:jc w:val="center"/>
              <w:rPr>
                <w:color w:val="000000"/>
              </w:rPr>
            </w:pPr>
            <w:r>
              <w:rPr>
                <w:color w:val="000000"/>
              </w:rPr>
              <w:t>2.3160</w:t>
            </w:r>
          </w:p>
        </w:tc>
        <w:tc>
          <w:tcPr>
            <w:tcW w:w="1080" w:type="dxa"/>
            <w:tcBorders>
              <w:top w:val="nil"/>
              <w:left w:val="nil"/>
              <w:bottom w:val="single" w:sz="4" w:space="0" w:color="auto"/>
              <w:right w:val="single" w:sz="4" w:space="0" w:color="auto"/>
            </w:tcBorders>
            <w:shd w:val="clear" w:color="auto" w:fill="auto"/>
            <w:noWrap/>
            <w:vAlign w:val="bottom"/>
            <w:hideMark/>
          </w:tcPr>
          <w:p w14:paraId="54DD39AC" w14:textId="77777777" w:rsidR="00E40E76" w:rsidRDefault="00E40E76">
            <w:pPr>
              <w:jc w:val="center"/>
              <w:rPr>
                <w:color w:val="000000"/>
              </w:rPr>
            </w:pPr>
            <w:r>
              <w:rPr>
                <w:color w:val="000000"/>
              </w:rPr>
              <w:t>0.2823</w:t>
            </w:r>
          </w:p>
        </w:tc>
        <w:tc>
          <w:tcPr>
            <w:tcW w:w="1080" w:type="dxa"/>
            <w:tcBorders>
              <w:top w:val="nil"/>
              <w:left w:val="nil"/>
              <w:bottom w:val="single" w:sz="4" w:space="0" w:color="auto"/>
              <w:right w:val="single" w:sz="4" w:space="0" w:color="auto"/>
            </w:tcBorders>
            <w:shd w:val="clear" w:color="auto" w:fill="auto"/>
            <w:noWrap/>
            <w:vAlign w:val="bottom"/>
            <w:hideMark/>
          </w:tcPr>
          <w:p w14:paraId="45FA6163" w14:textId="77777777" w:rsidR="00E40E76" w:rsidRDefault="00E40E76">
            <w:pPr>
              <w:jc w:val="center"/>
              <w:rPr>
                <w:color w:val="000000"/>
              </w:rPr>
            </w:pPr>
            <w:r>
              <w:rPr>
                <w:color w:val="000000"/>
              </w:rPr>
              <w:t>7.4675</w:t>
            </w:r>
          </w:p>
        </w:tc>
        <w:tc>
          <w:tcPr>
            <w:tcW w:w="1080" w:type="dxa"/>
            <w:tcBorders>
              <w:top w:val="nil"/>
              <w:left w:val="nil"/>
              <w:bottom w:val="single" w:sz="4" w:space="0" w:color="auto"/>
              <w:right w:val="single" w:sz="4" w:space="0" w:color="auto"/>
            </w:tcBorders>
            <w:shd w:val="clear" w:color="auto" w:fill="auto"/>
            <w:noWrap/>
            <w:vAlign w:val="bottom"/>
            <w:hideMark/>
          </w:tcPr>
          <w:p w14:paraId="3176EE01" w14:textId="77777777" w:rsidR="00E40E76" w:rsidRDefault="00E40E76">
            <w:pPr>
              <w:jc w:val="center"/>
              <w:rPr>
                <w:color w:val="000000"/>
              </w:rPr>
            </w:pPr>
            <w:r>
              <w:rPr>
                <w:color w:val="000000"/>
              </w:rPr>
              <w:t>0.5175</w:t>
            </w:r>
          </w:p>
        </w:tc>
        <w:tc>
          <w:tcPr>
            <w:tcW w:w="1080" w:type="dxa"/>
            <w:tcBorders>
              <w:top w:val="nil"/>
              <w:left w:val="nil"/>
              <w:bottom w:val="single" w:sz="4" w:space="0" w:color="auto"/>
              <w:right w:val="single" w:sz="4" w:space="0" w:color="auto"/>
            </w:tcBorders>
            <w:shd w:val="clear" w:color="auto" w:fill="auto"/>
            <w:noWrap/>
            <w:vAlign w:val="bottom"/>
            <w:hideMark/>
          </w:tcPr>
          <w:p w14:paraId="3A956A70" w14:textId="77777777" w:rsidR="00E40E76" w:rsidRDefault="00E40E76">
            <w:pPr>
              <w:jc w:val="center"/>
              <w:rPr>
                <w:color w:val="000000"/>
              </w:rPr>
            </w:pPr>
            <w:r>
              <w:rPr>
                <w:color w:val="000000"/>
              </w:rPr>
              <w:t>13.6908</w:t>
            </w:r>
          </w:p>
        </w:tc>
      </w:tr>
      <w:tr w:rsidR="00E40E76" w14:paraId="5A70C193"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10FCEDE" w14:textId="77777777" w:rsidR="00E40E76" w:rsidRDefault="00E40E76">
            <w:pPr>
              <w:jc w:val="center"/>
              <w:rPr>
                <w:color w:val="000000"/>
              </w:rPr>
            </w:pPr>
            <w:r>
              <w:rPr>
                <w:color w:val="000000"/>
              </w:rPr>
              <w:t>Yb</w:t>
            </w:r>
          </w:p>
        </w:tc>
        <w:tc>
          <w:tcPr>
            <w:tcW w:w="1080" w:type="dxa"/>
            <w:tcBorders>
              <w:top w:val="nil"/>
              <w:left w:val="nil"/>
              <w:bottom w:val="single" w:sz="4" w:space="0" w:color="auto"/>
              <w:right w:val="single" w:sz="4" w:space="0" w:color="auto"/>
            </w:tcBorders>
            <w:shd w:val="clear" w:color="auto" w:fill="auto"/>
            <w:noWrap/>
            <w:vAlign w:val="bottom"/>
            <w:hideMark/>
          </w:tcPr>
          <w:p w14:paraId="167FFAC9" w14:textId="77777777" w:rsidR="00E40E76" w:rsidRDefault="00E40E76">
            <w:pPr>
              <w:jc w:val="center"/>
              <w:rPr>
                <w:color w:val="000000"/>
              </w:rPr>
            </w:pPr>
            <w:r>
              <w:rPr>
                <w:color w:val="000000"/>
              </w:rPr>
              <w:t>0.6145</w:t>
            </w:r>
          </w:p>
        </w:tc>
        <w:tc>
          <w:tcPr>
            <w:tcW w:w="1080" w:type="dxa"/>
            <w:tcBorders>
              <w:top w:val="nil"/>
              <w:left w:val="nil"/>
              <w:bottom w:val="single" w:sz="4" w:space="0" w:color="auto"/>
              <w:right w:val="single" w:sz="4" w:space="0" w:color="auto"/>
            </w:tcBorders>
            <w:shd w:val="clear" w:color="auto" w:fill="auto"/>
            <w:noWrap/>
            <w:vAlign w:val="bottom"/>
            <w:hideMark/>
          </w:tcPr>
          <w:p w14:paraId="46C4A638" w14:textId="77777777" w:rsidR="00E40E76" w:rsidRDefault="00E40E76">
            <w:pPr>
              <w:jc w:val="center"/>
              <w:rPr>
                <w:color w:val="000000"/>
              </w:rPr>
            </w:pPr>
            <w:r>
              <w:rPr>
                <w:color w:val="000000"/>
              </w:rPr>
              <w:t>3.7815</w:t>
            </w:r>
          </w:p>
        </w:tc>
        <w:tc>
          <w:tcPr>
            <w:tcW w:w="1080" w:type="dxa"/>
            <w:tcBorders>
              <w:top w:val="nil"/>
              <w:left w:val="nil"/>
              <w:bottom w:val="single" w:sz="4" w:space="0" w:color="auto"/>
              <w:right w:val="single" w:sz="4" w:space="0" w:color="auto"/>
            </w:tcBorders>
            <w:shd w:val="clear" w:color="auto" w:fill="auto"/>
            <w:noWrap/>
            <w:vAlign w:val="bottom"/>
            <w:hideMark/>
          </w:tcPr>
          <w:p w14:paraId="01298AD7" w14:textId="77777777" w:rsidR="00E40E76" w:rsidRDefault="00E40E76">
            <w:pPr>
              <w:jc w:val="center"/>
              <w:rPr>
                <w:color w:val="000000"/>
              </w:rPr>
            </w:pPr>
            <w:r>
              <w:rPr>
                <w:color w:val="000000"/>
              </w:rPr>
              <w:t>1.9303</w:t>
            </w:r>
          </w:p>
        </w:tc>
        <w:tc>
          <w:tcPr>
            <w:tcW w:w="1080" w:type="dxa"/>
            <w:tcBorders>
              <w:top w:val="nil"/>
              <w:left w:val="nil"/>
              <w:bottom w:val="single" w:sz="4" w:space="0" w:color="auto"/>
              <w:right w:val="single" w:sz="4" w:space="0" w:color="auto"/>
            </w:tcBorders>
            <w:shd w:val="clear" w:color="auto" w:fill="auto"/>
            <w:noWrap/>
            <w:vAlign w:val="bottom"/>
            <w:hideMark/>
          </w:tcPr>
          <w:p w14:paraId="31BFFB13" w14:textId="77777777" w:rsidR="00E40E76" w:rsidRDefault="00E40E76">
            <w:pPr>
              <w:jc w:val="center"/>
              <w:rPr>
                <w:color w:val="000000"/>
              </w:rPr>
            </w:pPr>
            <w:r>
              <w:rPr>
                <w:color w:val="000000"/>
              </w:rPr>
              <w:t>11.8785</w:t>
            </w:r>
          </w:p>
        </w:tc>
        <w:tc>
          <w:tcPr>
            <w:tcW w:w="1080" w:type="dxa"/>
            <w:tcBorders>
              <w:top w:val="nil"/>
              <w:left w:val="nil"/>
              <w:bottom w:val="single" w:sz="4" w:space="0" w:color="auto"/>
              <w:right w:val="single" w:sz="4" w:space="0" w:color="auto"/>
            </w:tcBorders>
            <w:shd w:val="clear" w:color="auto" w:fill="auto"/>
            <w:noWrap/>
            <w:vAlign w:val="bottom"/>
            <w:hideMark/>
          </w:tcPr>
          <w:p w14:paraId="2D0FDEBF" w14:textId="77777777" w:rsidR="00E40E76" w:rsidRDefault="00E40E76">
            <w:pPr>
              <w:jc w:val="center"/>
              <w:rPr>
                <w:color w:val="000000"/>
              </w:rPr>
            </w:pPr>
            <w:r>
              <w:rPr>
                <w:color w:val="000000"/>
              </w:rPr>
              <w:t>3.4557</w:t>
            </w:r>
          </w:p>
        </w:tc>
        <w:tc>
          <w:tcPr>
            <w:tcW w:w="1080" w:type="dxa"/>
            <w:tcBorders>
              <w:top w:val="nil"/>
              <w:left w:val="nil"/>
              <w:bottom w:val="single" w:sz="4" w:space="0" w:color="auto"/>
              <w:right w:val="single" w:sz="4" w:space="0" w:color="auto"/>
            </w:tcBorders>
            <w:shd w:val="clear" w:color="auto" w:fill="auto"/>
            <w:noWrap/>
            <w:vAlign w:val="bottom"/>
            <w:hideMark/>
          </w:tcPr>
          <w:p w14:paraId="54E1185E" w14:textId="77777777" w:rsidR="00E40E76" w:rsidRDefault="00E40E76">
            <w:pPr>
              <w:jc w:val="center"/>
              <w:rPr>
                <w:color w:val="000000"/>
              </w:rPr>
            </w:pPr>
            <w:r>
              <w:rPr>
                <w:color w:val="000000"/>
              </w:rPr>
              <w:t>21.2661</w:t>
            </w:r>
          </w:p>
        </w:tc>
      </w:tr>
      <w:tr w:rsidR="00E40E76" w14:paraId="4C0B44F5"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2BF0A75" w14:textId="77777777" w:rsidR="00E40E76" w:rsidRDefault="00E40E76">
            <w:pPr>
              <w:jc w:val="center"/>
              <w:rPr>
                <w:color w:val="000000"/>
              </w:rPr>
            </w:pPr>
            <w:r>
              <w:rPr>
                <w:color w:val="000000"/>
              </w:rPr>
              <w:t>Lu</w:t>
            </w:r>
          </w:p>
        </w:tc>
        <w:tc>
          <w:tcPr>
            <w:tcW w:w="1080" w:type="dxa"/>
            <w:tcBorders>
              <w:top w:val="nil"/>
              <w:left w:val="nil"/>
              <w:bottom w:val="single" w:sz="4" w:space="0" w:color="auto"/>
              <w:right w:val="single" w:sz="4" w:space="0" w:color="auto"/>
            </w:tcBorders>
            <w:shd w:val="clear" w:color="auto" w:fill="auto"/>
            <w:noWrap/>
            <w:vAlign w:val="bottom"/>
            <w:hideMark/>
          </w:tcPr>
          <w:p w14:paraId="6600ED1D" w14:textId="77777777" w:rsidR="00E40E76" w:rsidRDefault="00E40E76">
            <w:pPr>
              <w:jc w:val="center"/>
              <w:rPr>
                <w:color w:val="000000"/>
              </w:rPr>
            </w:pPr>
            <w:r>
              <w:rPr>
                <w:color w:val="000000"/>
              </w:rPr>
              <w:t>0.0976</w:t>
            </w:r>
          </w:p>
        </w:tc>
        <w:tc>
          <w:tcPr>
            <w:tcW w:w="1080" w:type="dxa"/>
            <w:tcBorders>
              <w:top w:val="nil"/>
              <w:left w:val="nil"/>
              <w:bottom w:val="single" w:sz="4" w:space="0" w:color="auto"/>
              <w:right w:val="single" w:sz="4" w:space="0" w:color="auto"/>
            </w:tcBorders>
            <w:shd w:val="clear" w:color="auto" w:fill="auto"/>
            <w:noWrap/>
            <w:vAlign w:val="bottom"/>
            <w:hideMark/>
          </w:tcPr>
          <w:p w14:paraId="4C955DBB" w14:textId="77777777" w:rsidR="00E40E76" w:rsidRDefault="00E40E76">
            <w:pPr>
              <w:jc w:val="center"/>
              <w:rPr>
                <w:color w:val="000000"/>
              </w:rPr>
            </w:pPr>
            <w:r>
              <w:rPr>
                <w:color w:val="000000"/>
              </w:rPr>
              <w:t>4.0173</w:t>
            </w:r>
          </w:p>
        </w:tc>
        <w:tc>
          <w:tcPr>
            <w:tcW w:w="1080" w:type="dxa"/>
            <w:tcBorders>
              <w:top w:val="nil"/>
              <w:left w:val="nil"/>
              <w:bottom w:val="single" w:sz="4" w:space="0" w:color="auto"/>
              <w:right w:val="single" w:sz="4" w:space="0" w:color="auto"/>
            </w:tcBorders>
            <w:shd w:val="clear" w:color="auto" w:fill="auto"/>
            <w:noWrap/>
            <w:vAlign w:val="bottom"/>
            <w:hideMark/>
          </w:tcPr>
          <w:p w14:paraId="1939B3DD" w14:textId="77777777" w:rsidR="00E40E76" w:rsidRDefault="00E40E76">
            <w:pPr>
              <w:jc w:val="center"/>
              <w:rPr>
                <w:color w:val="000000"/>
              </w:rPr>
            </w:pPr>
            <w:r>
              <w:rPr>
                <w:color w:val="000000"/>
              </w:rPr>
              <w:t>0.3024</w:t>
            </w:r>
          </w:p>
        </w:tc>
        <w:tc>
          <w:tcPr>
            <w:tcW w:w="1080" w:type="dxa"/>
            <w:tcBorders>
              <w:top w:val="nil"/>
              <w:left w:val="nil"/>
              <w:bottom w:val="single" w:sz="4" w:space="0" w:color="auto"/>
              <w:right w:val="single" w:sz="4" w:space="0" w:color="auto"/>
            </w:tcBorders>
            <w:shd w:val="clear" w:color="auto" w:fill="auto"/>
            <w:noWrap/>
            <w:vAlign w:val="bottom"/>
            <w:hideMark/>
          </w:tcPr>
          <w:p w14:paraId="55B5F276" w14:textId="77777777" w:rsidR="00E40E76" w:rsidRDefault="00E40E76">
            <w:pPr>
              <w:jc w:val="center"/>
              <w:rPr>
                <w:color w:val="000000"/>
              </w:rPr>
            </w:pPr>
            <w:r>
              <w:rPr>
                <w:color w:val="000000"/>
              </w:rPr>
              <w:t>12.4438</w:t>
            </w:r>
          </w:p>
        </w:tc>
        <w:tc>
          <w:tcPr>
            <w:tcW w:w="1080" w:type="dxa"/>
            <w:tcBorders>
              <w:top w:val="nil"/>
              <w:left w:val="nil"/>
              <w:bottom w:val="single" w:sz="4" w:space="0" w:color="auto"/>
              <w:right w:val="single" w:sz="4" w:space="0" w:color="auto"/>
            </w:tcBorders>
            <w:shd w:val="clear" w:color="auto" w:fill="auto"/>
            <w:noWrap/>
            <w:vAlign w:val="bottom"/>
            <w:hideMark/>
          </w:tcPr>
          <w:p w14:paraId="40237627" w14:textId="77777777" w:rsidR="00E40E76" w:rsidRDefault="00E40E76">
            <w:pPr>
              <w:jc w:val="center"/>
              <w:rPr>
                <w:color w:val="000000"/>
              </w:rPr>
            </w:pPr>
            <w:r>
              <w:rPr>
                <w:color w:val="000000"/>
              </w:rPr>
              <w:t>0.5371</w:t>
            </w:r>
          </w:p>
        </w:tc>
        <w:tc>
          <w:tcPr>
            <w:tcW w:w="1080" w:type="dxa"/>
            <w:tcBorders>
              <w:top w:val="nil"/>
              <w:left w:val="nil"/>
              <w:bottom w:val="single" w:sz="4" w:space="0" w:color="auto"/>
              <w:right w:val="single" w:sz="4" w:space="0" w:color="auto"/>
            </w:tcBorders>
            <w:shd w:val="clear" w:color="auto" w:fill="auto"/>
            <w:noWrap/>
            <w:vAlign w:val="bottom"/>
            <w:hideMark/>
          </w:tcPr>
          <w:p w14:paraId="2B78957A" w14:textId="77777777" w:rsidR="00E40E76" w:rsidRDefault="00E40E76">
            <w:pPr>
              <w:jc w:val="center"/>
              <w:rPr>
                <w:color w:val="000000"/>
              </w:rPr>
            </w:pPr>
            <w:r>
              <w:rPr>
                <w:color w:val="000000"/>
              </w:rPr>
              <w:t>22.1040</w:t>
            </w:r>
          </w:p>
        </w:tc>
      </w:tr>
      <w:tr w:rsidR="00E40E76" w14:paraId="5AC1245B"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7614A76" w14:textId="77777777" w:rsidR="00E40E76" w:rsidRDefault="00E40E76">
            <w:pPr>
              <w:jc w:val="center"/>
              <w:rPr>
                <w:color w:val="000000"/>
              </w:rPr>
            </w:pPr>
            <w:r>
              <w:rPr>
                <w:color w:val="000000"/>
              </w:rPr>
              <w:t>Hf</w:t>
            </w:r>
          </w:p>
        </w:tc>
        <w:tc>
          <w:tcPr>
            <w:tcW w:w="1080" w:type="dxa"/>
            <w:tcBorders>
              <w:top w:val="nil"/>
              <w:left w:val="nil"/>
              <w:bottom w:val="single" w:sz="4" w:space="0" w:color="auto"/>
              <w:right w:val="single" w:sz="4" w:space="0" w:color="auto"/>
            </w:tcBorders>
            <w:shd w:val="clear" w:color="auto" w:fill="auto"/>
            <w:noWrap/>
            <w:vAlign w:val="bottom"/>
            <w:hideMark/>
          </w:tcPr>
          <w:p w14:paraId="1A727A72" w14:textId="77777777" w:rsidR="00E40E76" w:rsidRDefault="00E40E76">
            <w:pPr>
              <w:jc w:val="center"/>
              <w:rPr>
                <w:color w:val="000000"/>
              </w:rPr>
            </w:pPr>
            <w:r>
              <w:rPr>
                <w:color w:val="000000"/>
              </w:rPr>
              <w:t>0.1563</w:t>
            </w:r>
          </w:p>
        </w:tc>
        <w:tc>
          <w:tcPr>
            <w:tcW w:w="1080" w:type="dxa"/>
            <w:tcBorders>
              <w:top w:val="nil"/>
              <w:left w:val="nil"/>
              <w:bottom w:val="single" w:sz="4" w:space="0" w:color="auto"/>
              <w:right w:val="single" w:sz="4" w:space="0" w:color="auto"/>
            </w:tcBorders>
            <w:shd w:val="clear" w:color="auto" w:fill="auto"/>
            <w:noWrap/>
            <w:vAlign w:val="bottom"/>
            <w:hideMark/>
          </w:tcPr>
          <w:p w14:paraId="34D01845" w14:textId="77777777" w:rsidR="00E40E76" w:rsidRDefault="00E40E76">
            <w:pPr>
              <w:jc w:val="center"/>
              <w:rPr>
                <w:color w:val="000000"/>
              </w:rPr>
            </w:pPr>
            <w:r>
              <w:rPr>
                <w:color w:val="000000"/>
              </w:rPr>
              <w:t>1.5026</w:t>
            </w:r>
          </w:p>
        </w:tc>
        <w:tc>
          <w:tcPr>
            <w:tcW w:w="1080" w:type="dxa"/>
            <w:tcBorders>
              <w:top w:val="nil"/>
              <w:left w:val="nil"/>
              <w:bottom w:val="single" w:sz="4" w:space="0" w:color="auto"/>
              <w:right w:val="single" w:sz="4" w:space="0" w:color="auto"/>
            </w:tcBorders>
            <w:shd w:val="clear" w:color="auto" w:fill="auto"/>
            <w:noWrap/>
            <w:vAlign w:val="bottom"/>
            <w:hideMark/>
          </w:tcPr>
          <w:p w14:paraId="2E3FD307" w14:textId="77777777" w:rsidR="00E40E76" w:rsidRDefault="00E40E76">
            <w:pPr>
              <w:jc w:val="center"/>
              <w:rPr>
                <w:color w:val="000000"/>
              </w:rPr>
            </w:pPr>
            <w:r>
              <w:rPr>
                <w:color w:val="000000"/>
              </w:rPr>
              <w:t>0.5919</w:t>
            </w:r>
          </w:p>
        </w:tc>
        <w:tc>
          <w:tcPr>
            <w:tcW w:w="1080" w:type="dxa"/>
            <w:tcBorders>
              <w:top w:val="nil"/>
              <w:left w:val="nil"/>
              <w:bottom w:val="single" w:sz="4" w:space="0" w:color="auto"/>
              <w:right w:val="single" w:sz="4" w:space="0" w:color="auto"/>
            </w:tcBorders>
            <w:shd w:val="clear" w:color="auto" w:fill="auto"/>
            <w:noWrap/>
            <w:vAlign w:val="bottom"/>
            <w:hideMark/>
          </w:tcPr>
          <w:p w14:paraId="618F83B7" w14:textId="77777777" w:rsidR="00E40E76" w:rsidRDefault="00E40E76">
            <w:pPr>
              <w:jc w:val="center"/>
              <w:rPr>
                <w:color w:val="000000"/>
              </w:rPr>
            </w:pPr>
            <w:r>
              <w:rPr>
                <w:color w:val="000000"/>
              </w:rPr>
              <w:t>5.6910</w:t>
            </w:r>
          </w:p>
        </w:tc>
        <w:tc>
          <w:tcPr>
            <w:tcW w:w="1080" w:type="dxa"/>
            <w:tcBorders>
              <w:top w:val="nil"/>
              <w:left w:val="nil"/>
              <w:bottom w:val="single" w:sz="4" w:space="0" w:color="auto"/>
              <w:right w:val="single" w:sz="4" w:space="0" w:color="auto"/>
            </w:tcBorders>
            <w:shd w:val="clear" w:color="auto" w:fill="auto"/>
            <w:noWrap/>
            <w:vAlign w:val="bottom"/>
            <w:hideMark/>
          </w:tcPr>
          <w:p w14:paraId="59BCEAF5" w14:textId="77777777" w:rsidR="00E40E76" w:rsidRDefault="00E40E76">
            <w:pPr>
              <w:jc w:val="center"/>
              <w:rPr>
                <w:color w:val="000000"/>
              </w:rPr>
            </w:pPr>
            <w:r>
              <w:rPr>
                <w:color w:val="000000"/>
              </w:rPr>
              <w:t>3.7543</w:t>
            </w:r>
          </w:p>
        </w:tc>
        <w:tc>
          <w:tcPr>
            <w:tcW w:w="1080" w:type="dxa"/>
            <w:tcBorders>
              <w:top w:val="nil"/>
              <w:left w:val="nil"/>
              <w:bottom w:val="single" w:sz="4" w:space="0" w:color="auto"/>
              <w:right w:val="single" w:sz="4" w:space="0" w:color="auto"/>
            </w:tcBorders>
            <w:shd w:val="clear" w:color="auto" w:fill="auto"/>
            <w:noWrap/>
            <w:vAlign w:val="bottom"/>
            <w:hideMark/>
          </w:tcPr>
          <w:p w14:paraId="3F8E8CED" w14:textId="77777777" w:rsidR="00E40E76" w:rsidRDefault="00E40E76">
            <w:pPr>
              <w:jc w:val="center"/>
              <w:rPr>
                <w:color w:val="000000"/>
              </w:rPr>
            </w:pPr>
            <w:r>
              <w:rPr>
                <w:color w:val="000000"/>
              </w:rPr>
              <w:t>36.0988</w:t>
            </w:r>
          </w:p>
        </w:tc>
      </w:tr>
      <w:tr w:rsidR="00E40E76" w14:paraId="56602E96"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E9CA31B" w14:textId="77777777" w:rsidR="00E40E76" w:rsidRDefault="00E40E76">
            <w:pPr>
              <w:jc w:val="center"/>
              <w:rPr>
                <w:color w:val="000000"/>
              </w:rPr>
            </w:pPr>
            <w:r>
              <w:rPr>
                <w:color w:val="000000"/>
              </w:rPr>
              <w:t>Lu/Hf</w:t>
            </w:r>
          </w:p>
        </w:tc>
        <w:tc>
          <w:tcPr>
            <w:tcW w:w="1080" w:type="dxa"/>
            <w:tcBorders>
              <w:top w:val="nil"/>
              <w:left w:val="nil"/>
              <w:bottom w:val="single" w:sz="4" w:space="0" w:color="auto"/>
              <w:right w:val="single" w:sz="4" w:space="0" w:color="auto"/>
            </w:tcBorders>
            <w:shd w:val="clear" w:color="auto" w:fill="auto"/>
            <w:noWrap/>
            <w:vAlign w:val="bottom"/>
            <w:hideMark/>
          </w:tcPr>
          <w:p w14:paraId="1A2A19CE" w14:textId="77777777" w:rsidR="00E40E76" w:rsidRDefault="00E40E76">
            <w:pPr>
              <w:jc w:val="center"/>
              <w:rPr>
                <w:color w:val="000000"/>
              </w:rPr>
            </w:pPr>
            <w:r>
              <w:rPr>
                <w:color w:val="000000"/>
              </w:rPr>
              <w:t>0.6247</w:t>
            </w:r>
          </w:p>
        </w:tc>
        <w:tc>
          <w:tcPr>
            <w:tcW w:w="1080" w:type="dxa"/>
            <w:tcBorders>
              <w:top w:val="nil"/>
              <w:left w:val="nil"/>
              <w:bottom w:val="single" w:sz="4" w:space="0" w:color="auto"/>
              <w:right w:val="single" w:sz="4" w:space="0" w:color="auto"/>
            </w:tcBorders>
            <w:shd w:val="clear" w:color="auto" w:fill="auto"/>
            <w:noWrap/>
            <w:vAlign w:val="bottom"/>
            <w:hideMark/>
          </w:tcPr>
          <w:p w14:paraId="5C2CA2E4" w14:textId="77777777" w:rsidR="00E40E76" w:rsidRDefault="00E40E76">
            <w:pPr>
              <w:jc w:val="center"/>
              <w:rPr>
                <w:color w:val="000000"/>
              </w:rPr>
            </w:pPr>
            <w:r>
              <w:rPr>
                <w:color w:val="000000"/>
              </w:rPr>
              <w:t>2.6736</w:t>
            </w:r>
          </w:p>
        </w:tc>
        <w:tc>
          <w:tcPr>
            <w:tcW w:w="1080" w:type="dxa"/>
            <w:tcBorders>
              <w:top w:val="nil"/>
              <w:left w:val="nil"/>
              <w:bottom w:val="single" w:sz="4" w:space="0" w:color="auto"/>
              <w:right w:val="single" w:sz="4" w:space="0" w:color="auto"/>
            </w:tcBorders>
            <w:shd w:val="clear" w:color="auto" w:fill="auto"/>
            <w:noWrap/>
            <w:vAlign w:val="bottom"/>
            <w:hideMark/>
          </w:tcPr>
          <w:p w14:paraId="3771E15E" w14:textId="77777777" w:rsidR="00E40E76" w:rsidRDefault="00E40E76">
            <w:pPr>
              <w:jc w:val="center"/>
              <w:rPr>
                <w:color w:val="000000"/>
              </w:rPr>
            </w:pPr>
            <w:r>
              <w:rPr>
                <w:color w:val="000000"/>
              </w:rPr>
              <w:t>0.5109</w:t>
            </w:r>
          </w:p>
        </w:tc>
        <w:tc>
          <w:tcPr>
            <w:tcW w:w="1080" w:type="dxa"/>
            <w:tcBorders>
              <w:top w:val="nil"/>
              <w:left w:val="nil"/>
              <w:bottom w:val="single" w:sz="4" w:space="0" w:color="auto"/>
              <w:right w:val="single" w:sz="4" w:space="0" w:color="auto"/>
            </w:tcBorders>
            <w:shd w:val="clear" w:color="auto" w:fill="auto"/>
            <w:noWrap/>
            <w:vAlign w:val="bottom"/>
            <w:hideMark/>
          </w:tcPr>
          <w:p w14:paraId="26DF9324" w14:textId="77777777" w:rsidR="00E40E76" w:rsidRDefault="00E40E76">
            <w:pPr>
              <w:jc w:val="center"/>
              <w:rPr>
                <w:color w:val="000000"/>
              </w:rPr>
            </w:pPr>
            <w:r>
              <w:rPr>
                <w:color w:val="000000"/>
              </w:rPr>
              <w:t>2.1866</w:t>
            </w:r>
          </w:p>
        </w:tc>
        <w:tc>
          <w:tcPr>
            <w:tcW w:w="1080" w:type="dxa"/>
            <w:tcBorders>
              <w:top w:val="nil"/>
              <w:left w:val="nil"/>
              <w:bottom w:val="single" w:sz="4" w:space="0" w:color="auto"/>
              <w:right w:val="single" w:sz="4" w:space="0" w:color="auto"/>
            </w:tcBorders>
            <w:shd w:val="clear" w:color="auto" w:fill="auto"/>
            <w:noWrap/>
            <w:vAlign w:val="bottom"/>
            <w:hideMark/>
          </w:tcPr>
          <w:p w14:paraId="6A1C8432" w14:textId="77777777" w:rsidR="00E40E76" w:rsidRDefault="00E40E76">
            <w:pPr>
              <w:jc w:val="center"/>
              <w:rPr>
                <w:color w:val="000000"/>
              </w:rPr>
            </w:pPr>
            <w:r>
              <w:rPr>
                <w:color w:val="000000"/>
              </w:rPr>
              <w:t>0.1431</w:t>
            </w:r>
          </w:p>
        </w:tc>
        <w:tc>
          <w:tcPr>
            <w:tcW w:w="1080" w:type="dxa"/>
            <w:tcBorders>
              <w:top w:val="nil"/>
              <w:left w:val="nil"/>
              <w:bottom w:val="single" w:sz="4" w:space="0" w:color="auto"/>
              <w:right w:val="single" w:sz="4" w:space="0" w:color="auto"/>
            </w:tcBorders>
            <w:shd w:val="clear" w:color="auto" w:fill="auto"/>
            <w:noWrap/>
            <w:vAlign w:val="bottom"/>
            <w:hideMark/>
          </w:tcPr>
          <w:p w14:paraId="6308743D" w14:textId="77777777" w:rsidR="00E40E76" w:rsidRDefault="00E40E76">
            <w:pPr>
              <w:jc w:val="center"/>
              <w:rPr>
                <w:color w:val="000000"/>
              </w:rPr>
            </w:pPr>
            <w:r>
              <w:rPr>
                <w:color w:val="000000"/>
              </w:rPr>
              <w:t>0.6123</w:t>
            </w:r>
          </w:p>
        </w:tc>
      </w:tr>
      <w:tr w:rsidR="00E40E76" w14:paraId="08B3C83F"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2E815F2" w14:textId="77777777" w:rsidR="00E40E76" w:rsidRDefault="00E40E76">
            <w:pPr>
              <w:jc w:val="center"/>
              <w:rPr>
                <w:color w:val="000000"/>
              </w:rPr>
            </w:pPr>
            <w:r>
              <w:rPr>
                <w:color w:val="000000"/>
              </w:rPr>
              <w:t>Sm/Nd</w:t>
            </w:r>
          </w:p>
        </w:tc>
        <w:tc>
          <w:tcPr>
            <w:tcW w:w="1080" w:type="dxa"/>
            <w:tcBorders>
              <w:top w:val="nil"/>
              <w:left w:val="nil"/>
              <w:bottom w:val="single" w:sz="4" w:space="0" w:color="auto"/>
              <w:right w:val="single" w:sz="4" w:space="0" w:color="auto"/>
            </w:tcBorders>
            <w:shd w:val="clear" w:color="auto" w:fill="auto"/>
            <w:noWrap/>
            <w:vAlign w:val="bottom"/>
            <w:hideMark/>
          </w:tcPr>
          <w:p w14:paraId="5C9EBC81" w14:textId="77777777" w:rsidR="00E40E76" w:rsidRDefault="00E40E76">
            <w:pPr>
              <w:jc w:val="center"/>
              <w:rPr>
                <w:color w:val="000000"/>
              </w:rPr>
            </w:pPr>
            <w:r>
              <w:rPr>
                <w:color w:val="000000"/>
              </w:rPr>
              <w:t>0.4283</w:t>
            </w:r>
          </w:p>
        </w:tc>
        <w:tc>
          <w:tcPr>
            <w:tcW w:w="1080" w:type="dxa"/>
            <w:tcBorders>
              <w:top w:val="nil"/>
              <w:left w:val="nil"/>
              <w:bottom w:val="single" w:sz="4" w:space="0" w:color="auto"/>
              <w:right w:val="single" w:sz="4" w:space="0" w:color="auto"/>
            </w:tcBorders>
            <w:shd w:val="clear" w:color="auto" w:fill="auto"/>
            <w:noWrap/>
            <w:vAlign w:val="bottom"/>
            <w:hideMark/>
          </w:tcPr>
          <w:p w14:paraId="50B287AA" w14:textId="77777777" w:rsidR="00E40E76" w:rsidRDefault="00E40E76">
            <w:pPr>
              <w:jc w:val="center"/>
              <w:rPr>
                <w:color w:val="000000"/>
              </w:rPr>
            </w:pPr>
            <w:r>
              <w:rPr>
                <w:color w:val="000000"/>
              </w:rPr>
              <w:t>1.3172</w:t>
            </w:r>
          </w:p>
        </w:tc>
        <w:tc>
          <w:tcPr>
            <w:tcW w:w="1080" w:type="dxa"/>
            <w:tcBorders>
              <w:top w:val="nil"/>
              <w:left w:val="nil"/>
              <w:bottom w:val="single" w:sz="4" w:space="0" w:color="auto"/>
              <w:right w:val="single" w:sz="4" w:space="0" w:color="auto"/>
            </w:tcBorders>
            <w:shd w:val="clear" w:color="auto" w:fill="auto"/>
            <w:noWrap/>
            <w:vAlign w:val="bottom"/>
            <w:hideMark/>
          </w:tcPr>
          <w:p w14:paraId="6C0B66B0" w14:textId="77777777" w:rsidR="00E40E76" w:rsidRDefault="00E40E76">
            <w:pPr>
              <w:jc w:val="center"/>
              <w:rPr>
                <w:color w:val="000000"/>
              </w:rPr>
            </w:pPr>
            <w:r>
              <w:rPr>
                <w:color w:val="000000"/>
              </w:rPr>
              <w:t>0.4394</w:t>
            </w:r>
          </w:p>
        </w:tc>
        <w:tc>
          <w:tcPr>
            <w:tcW w:w="1080" w:type="dxa"/>
            <w:tcBorders>
              <w:top w:val="nil"/>
              <w:left w:val="nil"/>
              <w:bottom w:val="single" w:sz="4" w:space="0" w:color="auto"/>
              <w:right w:val="single" w:sz="4" w:space="0" w:color="auto"/>
            </w:tcBorders>
            <w:shd w:val="clear" w:color="auto" w:fill="auto"/>
            <w:noWrap/>
            <w:vAlign w:val="bottom"/>
            <w:hideMark/>
          </w:tcPr>
          <w:p w14:paraId="0C6F574A" w14:textId="77777777" w:rsidR="00E40E76" w:rsidRDefault="00E40E76">
            <w:pPr>
              <w:jc w:val="center"/>
              <w:rPr>
                <w:color w:val="000000"/>
              </w:rPr>
            </w:pPr>
            <w:r>
              <w:rPr>
                <w:color w:val="000000"/>
              </w:rPr>
              <w:t>1.3515</w:t>
            </w:r>
          </w:p>
        </w:tc>
        <w:tc>
          <w:tcPr>
            <w:tcW w:w="1080" w:type="dxa"/>
            <w:tcBorders>
              <w:top w:val="nil"/>
              <w:left w:val="nil"/>
              <w:bottom w:val="single" w:sz="4" w:space="0" w:color="auto"/>
              <w:right w:val="single" w:sz="4" w:space="0" w:color="auto"/>
            </w:tcBorders>
            <w:shd w:val="clear" w:color="auto" w:fill="auto"/>
            <w:noWrap/>
            <w:vAlign w:val="bottom"/>
            <w:hideMark/>
          </w:tcPr>
          <w:p w14:paraId="26747459" w14:textId="77777777" w:rsidR="00E40E76" w:rsidRDefault="00E40E76">
            <w:pPr>
              <w:jc w:val="center"/>
              <w:rPr>
                <w:color w:val="000000"/>
              </w:rPr>
            </w:pPr>
            <w:r>
              <w:rPr>
                <w:color w:val="000000"/>
              </w:rPr>
              <w:t>0.4573</w:t>
            </w:r>
          </w:p>
        </w:tc>
        <w:tc>
          <w:tcPr>
            <w:tcW w:w="1080" w:type="dxa"/>
            <w:tcBorders>
              <w:top w:val="nil"/>
              <w:left w:val="nil"/>
              <w:bottom w:val="single" w:sz="4" w:space="0" w:color="auto"/>
              <w:right w:val="single" w:sz="4" w:space="0" w:color="auto"/>
            </w:tcBorders>
            <w:shd w:val="clear" w:color="auto" w:fill="auto"/>
            <w:noWrap/>
            <w:vAlign w:val="bottom"/>
            <w:hideMark/>
          </w:tcPr>
          <w:p w14:paraId="5CA0323A" w14:textId="77777777" w:rsidR="00E40E76" w:rsidRDefault="00E40E76">
            <w:pPr>
              <w:jc w:val="center"/>
              <w:rPr>
                <w:color w:val="000000"/>
              </w:rPr>
            </w:pPr>
            <w:r>
              <w:rPr>
                <w:color w:val="000000"/>
              </w:rPr>
              <w:t>1.4065</w:t>
            </w:r>
          </w:p>
        </w:tc>
      </w:tr>
      <w:tr w:rsidR="00E40E76" w14:paraId="7256ECBA"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415BEF3" w14:textId="77777777" w:rsidR="00E40E76" w:rsidRDefault="00E40E76">
            <w:pPr>
              <w:jc w:val="center"/>
              <w:rPr>
                <w:color w:val="000000"/>
              </w:rPr>
            </w:pPr>
            <w:r>
              <w:rPr>
                <w:color w:val="000000"/>
              </w:rPr>
              <w:t>Yb/Sm</w:t>
            </w:r>
          </w:p>
        </w:tc>
        <w:tc>
          <w:tcPr>
            <w:tcW w:w="1080" w:type="dxa"/>
            <w:tcBorders>
              <w:top w:val="nil"/>
              <w:left w:val="nil"/>
              <w:bottom w:val="single" w:sz="4" w:space="0" w:color="auto"/>
              <w:right w:val="single" w:sz="4" w:space="0" w:color="auto"/>
            </w:tcBorders>
            <w:shd w:val="clear" w:color="auto" w:fill="auto"/>
            <w:noWrap/>
            <w:vAlign w:val="bottom"/>
            <w:hideMark/>
          </w:tcPr>
          <w:p w14:paraId="014B549C" w14:textId="77777777" w:rsidR="00E40E76" w:rsidRDefault="00E40E76">
            <w:pPr>
              <w:jc w:val="center"/>
              <w:rPr>
                <w:color w:val="000000"/>
              </w:rPr>
            </w:pPr>
            <w:r>
              <w:rPr>
                <w:color w:val="000000"/>
              </w:rPr>
              <w:t>2.9350</w:t>
            </w:r>
          </w:p>
        </w:tc>
        <w:tc>
          <w:tcPr>
            <w:tcW w:w="1080" w:type="dxa"/>
            <w:tcBorders>
              <w:top w:val="nil"/>
              <w:left w:val="nil"/>
              <w:bottom w:val="single" w:sz="4" w:space="0" w:color="auto"/>
              <w:right w:val="single" w:sz="4" w:space="0" w:color="auto"/>
            </w:tcBorders>
            <w:shd w:val="clear" w:color="auto" w:fill="auto"/>
            <w:noWrap/>
            <w:vAlign w:val="bottom"/>
            <w:hideMark/>
          </w:tcPr>
          <w:p w14:paraId="41F9A08A" w14:textId="77777777" w:rsidR="00E40E76" w:rsidRDefault="00E40E76">
            <w:pPr>
              <w:jc w:val="center"/>
              <w:rPr>
                <w:color w:val="000000"/>
              </w:rPr>
            </w:pPr>
            <w:r>
              <w:rPr>
                <w:color w:val="000000"/>
              </w:rPr>
              <w:t>2.6569</w:t>
            </w:r>
          </w:p>
        </w:tc>
        <w:tc>
          <w:tcPr>
            <w:tcW w:w="1080" w:type="dxa"/>
            <w:tcBorders>
              <w:top w:val="nil"/>
              <w:left w:val="nil"/>
              <w:bottom w:val="single" w:sz="4" w:space="0" w:color="auto"/>
              <w:right w:val="single" w:sz="4" w:space="0" w:color="auto"/>
            </w:tcBorders>
            <w:shd w:val="clear" w:color="auto" w:fill="auto"/>
            <w:noWrap/>
            <w:vAlign w:val="bottom"/>
            <w:hideMark/>
          </w:tcPr>
          <w:p w14:paraId="2090ACFF" w14:textId="77777777" w:rsidR="00E40E76" w:rsidRDefault="00E40E76">
            <w:pPr>
              <w:jc w:val="center"/>
              <w:rPr>
                <w:color w:val="000000"/>
              </w:rPr>
            </w:pPr>
            <w:r>
              <w:rPr>
                <w:color w:val="000000"/>
              </w:rPr>
              <w:t>2.4609</w:t>
            </w:r>
          </w:p>
        </w:tc>
        <w:tc>
          <w:tcPr>
            <w:tcW w:w="1080" w:type="dxa"/>
            <w:tcBorders>
              <w:top w:val="nil"/>
              <w:left w:val="nil"/>
              <w:bottom w:val="single" w:sz="4" w:space="0" w:color="auto"/>
              <w:right w:val="single" w:sz="4" w:space="0" w:color="auto"/>
            </w:tcBorders>
            <w:shd w:val="clear" w:color="auto" w:fill="auto"/>
            <w:noWrap/>
            <w:vAlign w:val="bottom"/>
            <w:hideMark/>
          </w:tcPr>
          <w:p w14:paraId="69496FED" w14:textId="77777777" w:rsidR="00E40E76" w:rsidRDefault="00E40E76">
            <w:pPr>
              <w:jc w:val="center"/>
              <w:rPr>
                <w:color w:val="000000"/>
              </w:rPr>
            </w:pPr>
            <w:r>
              <w:rPr>
                <w:color w:val="000000"/>
              </w:rPr>
              <w:t>2.2277</w:t>
            </w:r>
          </w:p>
        </w:tc>
        <w:tc>
          <w:tcPr>
            <w:tcW w:w="1080" w:type="dxa"/>
            <w:tcBorders>
              <w:top w:val="nil"/>
              <w:left w:val="nil"/>
              <w:bottom w:val="single" w:sz="4" w:space="0" w:color="auto"/>
              <w:right w:val="single" w:sz="4" w:space="0" w:color="auto"/>
            </w:tcBorders>
            <w:shd w:val="clear" w:color="auto" w:fill="auto"/>
            <w:noWrap/>
            <w:vAlign w:val="bottom"/>
            <w:hideMark/>
          </w:tcPr>
          <w:p w14:paraId="4157C744" w14:textId="77777777" w:rsidR="00E40E76" w:rsidRDefault="00E40E76">
            <w:pPr>
              <w:jc w:val="center"/>
              <w:rPr>
                <w:color w:val="000000"/>
              </w:rPr>
            </w:pPr>
            <w:r>
              <w:rPr>
                <w:color w:val="000000"/>
              </w:rPr>
              <w:t>1.6482</w:t>
            </w:r>
          </w:p>
        </w:tc>
        <w:tc>
          <w:tcPr>
            <w:tcW w:w="1080" w:type="dxa"/>
            <w:tcBorders>
              <w:top w:val="nil"/>
              <w:left w:val="nil"/>
              <w:bottom w:val="single" w:sz="4" w:space="0" w:color="auto"/>
              <w:right w:val="single" w:sz="4" w:space="0" w:color="auto"/>
            </w:tcBorders>
            <w:shd w:val="clear" w:color="auto" w:fill="auto"/>
            <w:noWrap/>
            <w:vAlign w:val="bottom"/>
            <w:hideMark/>
          </w:tcPr>
          <w:p w14:paraId="5F845252" w14:textId="77777777" w:rsidR="00E40E76" w:rsidRDefault="00E40E76">
            <w:pPr>
              <w:jc w:val="center"/>
              <w:rPr>
                <w:color w:val="000000"/>
              </w:rPr>
            </w:pPr>
            <w:r>
              <w:rPr>
                <w:color w:val="000000"/>
              </w:rPr>
              <w:t>1.4920</w:t>
            </w:r>
          </w:p>
        </w:tc>
      </w:tr>
      <w:tr w:rsidR="00E40E76" w14:paraId="1CFDC96B"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BC48CB7" w14:textId="77777777" w:rsidR="00E40E76" w:rsidRDefault="00E40E76">
            <w:pPr>
              <w:jc w:val="center"/>
              <w:rPr>
                <w:color w:val="000000"/>
              </w:rPr>
            </w:pPr>
            <w:r>
              <w:rPr>
                <w:color w:val="000000"/>
              </w:rPr>
              <w:t>Ce/Sm</w:t>
            </w:r>
          </w:p>
        </w:tc>
        <w:tc>
          <w:tcPr>
            <w:tcW w:w="1080" w:type="dxa"/>
            <w:tcBorders>
              <w:top w:val="nil"/>
              <w:left w:val="nil"/>
              <w:bottom w:val="single" w:sz="4" w:space="0" w:color="auto"/>
              <w:right w:val="single" w:sz="4" w:space="0" w:color="auto"/>
            </w:tcBorders>
            <w:shd w:val="clear" w:color="auto" w:fill="auto"/>
            <w:noWrap/>
            <w:vAlign w:val="bottom"/>
            <w:hideMark/>
          </w:tcPr>
          <w:p w14:paraId="0E5706C0" w14:textId="77777777" w:rsidR="00E40E76" w:rsidRDefault="00E40E76">
            <w:pPr>
              <w:jc w:val="center"/>
              <w:rPr>
                <w:color w:val="000000"/>
              </w:rPr>
            </w:pPr>
            <w:r>
              <w:rPr>
                <w:color w:val="000000"/>
              </w:rPr>
              <w:t>1.9939</w:t>
            </w:r>
          </w:p>
        </w:tc>
        <w:tc>
          <w:tcPr>
            <w:tcW w:w="1080" w:type="dxa"/>
            <w:tcBorders>
              <w:top w:val="nil"/>
              <w:left w:val="nil"/>
              <w:bottom w:val="single" w:sz="4" w:space="0" w:color="auto"/>
              <w:right w:val="single" w:sz="4" w:space="0" w:color="auto"/>
            </w:tcBorders>
            <w:shd w:val="clear" w:color="auto" w:fill="auto"/>
            <w:noWrap/>
            <w:vAlign w:val="bottom"/>
            <w:hideMark/>
          </w:tcPr>
          <w:p w14:paraId="3BAAA50E" w14:textId="77777777" w:rsidR="00E40E76" w:rsidRDefault="00E40E76">
            <w:pPr>
              <w:jc w:val="center"/>
              <w:rPr>
                <w:color w:val="000000"/>
              </w:rPr>
            </w:pPr>
            <w:r>
              <w:rPr>
                <w:color w:val="000000"/>
              </w:rPr>
              <w:t>0.4863</w:t>
            </w:r>
          </w:p>
        </w:tc>
        <w:tc>
          <w:tcPr>
            <w:tcW w:w="1080" w:type="dxa"/>
            <w:tcBorders>
              <w:top w:val="nil"/>
              <w:left w:val="nil"/>
              <w:bottom w:val="single" w:sz="4" w:space="0" w:color="auto"/>
              <w:right w:val="single" w:sz="4" w:space="0" w:color="auto"/>
            </w:tcBorders>
            <w:shd w:val="clear" w:color="auto" w:fill="auto"/>
            <w:noWrap/>
            <w:vAlign w:val="bottom"/>
            <w:hideMark/>
          </w:tcPr>
          <w:p w14:paraId="1C8AD17F" w14:textId="77777777" w:rsidR="00E40E76" w:rsidRDefault="00E40E76">
            <w:pPr>
              <w:jc w:val="center"/>
              <w:rPr>
                <w:color w:val="000000"/>
              </w:rPr>
            </w:pPr>
            <w:r>
              <w:rPr>
                <w:color w:val="000000"/>
              </w:rPr>
              <w:t>1.8832</w:t>
            </w:r>
          </w:p>
        </w:tc>
        <w:tc>
          <w:tcPr>
            <w:tcW w:w="1080" w:type="dxa"/>
            <w:tcBorders>
              <w:top w:val="nil"/>
              <w:left w:val="nil"/>
              <w:bottom w:val="single" w:sz="4" w:space="0" w:color="auto"/>
              <w:right w:val="single" w:sz="4" w:space="0" w:color="auto"/>
            </w:tcBorders>
            <w:shd w:val="clear" w:color="auto" w:fill="auto"/>
            <w:noWrap/>
            <w:vAlign w:val="bottom"/>
            <w:hideMark/>
          </w:tcPr>
          <w:p w14:paraId="1493AC96" w14:textId="77777777" w:rsidR="00E40E76" w:rsidRDefault="00E40E76">
            <w:pPr>
              <w:jc w:val="center"/>
              <w:rPr>
                <w:color w:val="000000"/>
              </w:rPr>
            </w:pPr>
            <w:r>
              <w:rPr>
                <w:color w:val="000000"/>
              </w:rPr>
              <w:t>0.4592</w:t>
            </w:r>
          </w:p>
        </w:tc>
        <w:tc>
          <w:tcPr>
            <w:tcW w:w="1080" w:type="dxa"/>
            <w:tcBorders>
              <w:top w:val="nil"/>
              <w:left w:val="nil"/>
              <w:bottom w:val="single" w:sz="4" w:space="0" w:color="auto"/>
              <w:right w:val="single" w:sz="4" w:space="0" w:color="auto"/>
            </w:tcBorders>
            <w:shd w:val="clear" w:color="auto" w:fill="auto"/>
            <w:noWrap/>
            <w:vAlign w:val="bottom"/>
            <w:hideMark/>
          </w:tcPr>
          <w:p w14:paraId="0050B9DB" w14:textId="77777777" w:rsidR="00E40E76" w:rsidRDefault="00E40E76">
            <w:pPr>
              <w:jc w:val="center"/>
              <w:rPr>
                <w:color w:val="000000"/>
              </w:rPr>
            </w:pPr>
            <w:r>
              <w:rPr>
                <w:color w:val="000000"/>
              </w:rPr>
              <w:t>1.8506</w:t>
            </w:r>
          </w:p>
        </w:tc>
        <w:tc>
          <w:tcPr>
            <w:tcW w:w="1080" w:type="dxa"/>
            <w:tcBorders>
              <w:top w:val="nil"/>
              <w:left w:val="nil"/>
              <w:bottom w:val="single" w:sz="4" w:space="0" w:color="auto"/>
              <w:right w:val="single" w:sz="4" w:space="0" w:color="auto"/>
            </w:tcBorders>
            <w:shd w:val="clear" w:color="auto" w:fill="auto"/>
            <w:noWrap/>
            <w:vAlign w:val="bottom"/>
            <w:hideMark/>
          </w:tcPr>
          <w:p w14:paraId="33F6C559" w14:textId="77777777" w:rsidR="00E40E76" w:rsidRDefault="00E40E76">
            <w:pPr>
              <w:jc w:val="center"/>
              <w:rPr>
                <w:color w:val="000000"/>
              </w:rPr>
            </w:pPr>
            <w:r>
              <w:rPr>
                <w:color w:val="000000"/>
              </w:rPr>
              <w:t>0.4513</w:t>
            </w:r>
          </w:p>
        </w:tc>
      </w:tr>
    </w:tbl>
    <w:p w14:paraId="5142F565" w14:textId="77777777" w:rsidR="00E40E76" w:rsidRDefault="00E40E76" w:rsidP="00015213"/>
    <w:p w14:paraId="260F9A96" w14:textId="3FAA2656" w:rsidR="00E40E76" w:rsidRDefault="00E40E76">
      <w:r>
        <w:br w:type="page"/>
      </w:r>
    </w:p>
    <w:p w14:paraId="0F383CD5" w14:textId="13E0F430" w:rsidR="00E40E76" w:rsidRDefault="00E40E76" w:rsidP="00E40E76">
      <w:r w:rsidRPr="00557062">
        <w:rPr>
          <w:b/>
          <w:bCs/>
        </w:rPr>
        <w:lastRenderedPageBreak/>
        <w:t xml:space="preserve">Table </w:t>
      </w:r>
      <w:r w:rsidR="0025081E">
        <w:rPr>
          <w:b/>
          <w:bCs/>
        </w:rPr>
        <w:t>2.</w:t>
      </w:r>
      <w:r w:rsidRPr="00557062">
        <w:rPr>
          <w:b/>
          <w:bCs/>
        </w:rPr>
        <w:t>3.</w:t>
      </w:r>
      <w:r w:rsidRPr="00557062">
        <w:t xml:space="preserve"> Continued</w:t>
      </w:r>
      <w:r w:rsidR="00C40415">
        <w:t>.</w:t>
      </w:r>
    </w:p>
    <w:tbl>
      <w:tblPr>
        <w:tblW w:w="5400" w:type="dxa"/>
        <w:tblLook w:val="04A0" w:firstRow="1" w:lastRow="0" w:firstColumn="1" w:lastColumn="0" w:noHBand="0" w:noVBand="1"/>
      </w:tblPr>
      <w:tblGrid>
        <w:gridCol w:w="1080"/>
        <w:gridCol w:w="1080"/>
        <w:gridCol w:w="1080"/>
        <w:gridCol w:w="1080"/>
        <w:gridCol w:w="1080"/>
      </w:tblGrid>
      <w:tr w:rsidR="00E40E76" w14:paraId="6685EED0" w14:textId="77777777" w:rsidTr="00E40E76">
        <w:trPr>
          <w:trHeight w:val="680"/>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E76518" w14:textId="77777777" w:rsidR="00E40E76" w:rsidRDefault="00E40E76">
            <w:pPr>
              <w:jc w:val="center"/>
              <w:rPr>
                <w:color w:val="000000"/>
              </w:rPr>
            </w:pPr>
            <w:r>
              <w:rPr>
                <w:color w:val="000000"/>
              </w:rPr>
              <w:t>Element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21E097B" w14:textId="77777777" w:rsidR="00E40E76" w:rsidRDefault="00E40E76">
            <w:pPr>
              <w:jc w:val="center"/>
              <w:rPr>
                <w:color w:val="000000"/>
              </w:rPr>
            </w:pPr>
            <w:r>
              <w:rPr>
                <w:color w:val="000000"/>
              </w:rPr>
              <w:t>IBC #1 (ppm)</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55EA3A1" w14:textId="77777777" w:rsidR="00E40E76" w:rsidRDefault="00E40E76">
            <w:pPr>
              <w:jc w:val="center"/>
              <w:rPr>
                <w:color w:val="000000"/>
              </w:rPr>
            </w:pPr>
            <w:r>
              <w:rPr>
                <w:color w:val="000000"/>
              </w:rPr>
              <w:t>IBC #1 (CN)</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AB8195A" w14:textId="77777777" w:rsidR="00E40E76" w:rsidRDefault="00E40E76">
            <w:pPr>
              <w:jc w:val="center"/>
              <w:rPr>
                <w:color w:val="000000"/>
              </w:rPr>
            </w:pPr>
            <w:r>
              <w:rPr>
                <w:color w:val="000000"/>
              </w:rPr>
              <w:t>IBC #2 (ppm)</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3B15E93" w14:textId="77777777" w:rsidR="00E40E76" w:rsidRDefault="00E40E76">
            <w:pPr>
              <w:jc w:val="center"/>
              <w:rPr>
                <w:color w:val="000000"/>
              </w:rPr>
            </w:pPr>
            <w:r>
              <w:rPr>
                <w:color w:val="000000"/>
              </w:rPr>
              <w:t>IBC #2 (CN)</w:t>
            </w:r>
          </w:p>
        </w:tc>
      </w:tr>
      <w:tr w:rsidR="00E40E76" w14:paraId="60223EBA"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B27915B" w14:textId="77777777" w:rsidR="00E40E76" w:rsidRDefault="00E40E76">
            <w:pPr>
              <w:jc w:val="center"/>
              <w:rPr>
                <w:color w:val="000000"/>
              </w:rPr>
            </w:pPr>
            <w:r>
              <w:rPr>
                <w:color w:val="000000"/>
              </w:rPr>
              <w:t>La</w:t>
            </w:r>
          </w:p>
        </w:tc>
        <w:tc>
          <w:tcPr>
            <w:tcW w:w="1080" w:type="dxa"/>
            <w:tcBorders>
              <w:top w:val="nil"/>
              <w:left w:val="nil"/>
              <w:bottom w:val="single" w:sz="4" w:space="0" w:color="auto"/>
              <w:right w:val="single" w:sz="4" w:space="0" w:color="auto"/>
            </w:tcBorders>
            <w:shd w:val="clear" w:color="auto" w:fill="auto"/>
            <w:noWrap/>
            <w:vAlign w:val="bottom"/>
            <w:hideMark/>
          </w:tcPr>
          <w:p w14:paraId="78002A32" w14:textId="77777777" w:rsidR="00E40E76" w:rsidRDefault="00E40E76">
            <w:pPr>
              <w:jc w:val="center"/>
              <w:rPr>
                <w:color w:val="000000"/>
              </w:rPr>
            </w:pPr>
            <w:r>
              <w:rPr>
                <w:color w:val="000000"/>
              </w:rPr>
              <w:t>0.8936</w:t>
            </w:r>
          </w:p>
        </w:tc>
        <w:tc>
          <w:tcPr>
            <w:tcW w:w="1080" w:type="dxa"/>
            <w:tcBorders>
              <w:top w:val="nil"/>
              <w:left w:val="nil"/>
              <w:bottom w:val="single" w:sz="4" w:space="0" w:color="auto"/>
              <w:right w:val="single" w:sz="4" w:space="0" w:color="auto"/>
            </w:tcBorders>
            <w:shd w:val="clear" w:color="auto" w:fill="auto"/>
            <w:noWrap/>
            <w:vAlign w:val="bottom"/>
            <w:hideMark/>
          </w:tcPr>
          <w:p w14:paraId="395FADB6" w14:textId="77777777" w:rsidR="00E40E76" w:rsidRDefault="00E40E76">
            <w:pPr>
              <w:jc w:val="center"/>
              <w:rPr>
                <w:color w:val="000000"/>
              </w:rPr>
            </w:pPr>
            <w:r>
              <w:rPr>
                <w:color w:val="000000"/>
              </w:rPr>
              <w:t>3.8076</w:t>
            </w:r>
          </w:p>
        </w:tc>
        <w:tc>
          <w:tcPr>
            <w:tcW w:w="1080" w:type="dxa"/>
            <w:tcBorders>
              <w:top w:val="nil"/>
              <w:left w:val="nil"/>
              <w:bottom w:val="single" w:sz="4" w:space="0" w:color="auto"/>
              <w:right w:val="single" w:sz="4" w:space="0" w:color="auto"/>
            </w:tcBorders>
            <w:shd w:val="clear" w:color="auto" w:fill="auto"/>
            <w:noWrap/>
            <w:vAlign w:val="bottom"/>
            <w:hideMark/>
          </w:tcPr>
          <w:p w14:paraId="2697E82D" w14:textId="77777777" w:rsidR="00E40E76" w:rsidRDefault="00E40E76">
            <w:pPr>
              <w:jc w:val="center"/>
              <w:rPr>
                <w:color w:val="000000"/>
              </w:rPr>
            </w:pPr>
            <w:r>
              <w:rPr>
                <w:color w:val="000000"/>
              </w:rPr>
              <w:t>0.3015</w:t>
            </w:r>
          </w:p>
        </w:tc>
        <w:tc>
          <w:tcPr>
            <w:tcW w:w="1080" w:type="dxa"/>
            <w:tcBorders>
              <w:top w:val="nil"/>
              <w:left w:val="nil"/>
              <w:bottom w:val="single" w:sz="4" w:space="0" w:color="auto"/>
              <w:right w:val="single" w:sz="4" w:space="0" w:color="auto"/>
            </w:tcBorders>
            <w:shd w:val="clear" w:color="auto" w:fill="auto"/>
            <w:noWrap/>
            <w:vAlign w:val="bottom"/>
            <w:hideMark/>
          </w:tcPr>
          <w:p w14:paraId="2CB2BDA5" w14:textId="77777777" w:rsidR="00E40E76" w:rsidRDefault="00E40E76">
            <w:pPr>
              <w:jc w:val="center"/>
              <w:rPr>
                <w:color w:val="000000"/>
              </w:rPr>
            </w:pPr>
            <w:r>
              <w:rPr>
                <w:color w:val="000000"/>
              </w:rPr>
              <w:t>1.2848</w:t>
            </w:r>
          </w:p>
        </w:tc>
      </w:tr>
      <w:tr w:rsidR="00E40E76" w14:paraId="5490FBCB"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CCD52F8" w14:textId="77777777" w:rsidR="00E40E76" w:rsidRDefault="00E40E76">
            <w:pPr>
              <w:jc w:val="center"/>
              <w:rPr>
                <w:color w:val="000000"/>
              </w:rPr>
            </w:pPr>
            <w:r>
              <w:rPr>
                <w:color w:val="000000"/>
              </w:rPr>
              <w:t>Ce</w:t>
            </w:r>
          </w:p>
        </w:tc>
        <w:tc>
          <w:tcPr>
            <w:tcW w:w="1080" w:type="dxa"/>
            <w:tcBorders>
              <w:top w:val="nil"/>
              <w:left w:val="nil"/>
              <w:bottom w:val="single" w:sz="4" w:space="0" w:color="auto"/>
              <w:right w:val="single" w:sz="4" w:space="0" w:color="auto"/>
            </w:tcBorders>
            <w:shd w:val="clear" w:color="auto" w:fill="auto"/>
            <w:noWrap/>
            <w:vAlign w:val="bottom"/>
            <w:hideMark/>
          </w:tcPr>
          <w:p w14:paraId="0BF4AF11" w14:textId="77777777" w:rsidR="00E40E76" w:rsidRDefault="00E40E76">
            <w:pPr>
              <w:jc w:val="center"/>
              <w:rPr>
                <w:color w:val="000000"/>
              </w:rPr>
            </w:pPr>
            <w:r>
              <w:rPr>
                <w:color w:val="000000"/>
              </w:rPr>
              <w:t>2.9132</w:t>
            </w:r>
          </w:p>
        </w:tc>
        <w:tc>
          <w:tcPr>
            <w:tcW w:w="1080" w:type="dxa"/>
            <w:tcBorders>
              <w:top w:val="nil"/>
              <w:left w:val="nil"/>
              <w:bottom w:val="single" w:sz="4" w:space="0" w:color="auto"/>
              <w:right w:val="single" w:sz="4" w:space="0" w:color="auto"/>
            </w:tcBorders>
            <w:shd w:val="clear" w:color="auto" w:fill="auto"/>
            <w:noWrap/>
            <w:vAlign w:val="bottom"/>
            <w:hideMark/>
          </w:tcPr>
          <w:p w14:paraId="44ECD0C7" w14:textId="77777777" w:rsidR="00E40E76" w:rsidRDefault="00E40E76">
            <w:pPr>
              <w:jc w:val="center"/>
              <w:rPr>
                <w:color w:val="000000"/>
              </w:rPr>
            </w:pPr>
            <w:r>
              <w:rPr>
                <w:color w:val="000000"/>
              </w:rPr>
              <w:t>4.8296</w:t>
            </w:r>
          </w:p>
        </w:tc>
        <w:tc>
          <w:tcPr>
            <w:tcW w:w="1080" w:type="dxa"/>
            <w:tcBorders>
              <w:top w:val="nil"/>
              <w:left w:val="nil"/>
              <w:bottom w:val="single" w:sz="4" w:space="0" w:color="auto"/>
              <w:right w:val="single" w:sz="4" w:space="0" w:color="auto"/>
            </w:tcBorders>
            <w:shd w:val="clear" w:color="auto" w:fill="auto"/>
            <w:noWrap/>
            <w:vAlign w:val="bottom"/>
            <w:hideMark/>
          </w:tcPr>
          <w:p w14:paraId="4C124593" w14:textId="77777777" w:rsidR="00E40E76" w:rsidRDefault="00E40E76">
            <w:pPr>
              <w:jc w:val="center"/>
              <w:rPr>
                <w:color w:val="000000"/>
              </w:rPr>
            </w:pPr>
            <w:r>
              <w:rPr>
                <w:color w:val="000000"/>
              </w:rPr>
              <w:t>1.0132</w:t>
            </w:r>
          </w:p>
        </w:tc>
        <w:tc>
          <w:tcPr>
            <w:tcW w:w="1080" w:type="dxa"/>
            <w:tcBorders>
              <w:top w:val="nil"/>
              <w:left w:val="nil"/>
              <w:bottom w:val="single" w:sz="4" w:space="0" w:color="auto"/>
              <w:right w:val="single" w:sz="4" w:space="0" w:color="auto"/>
            </w:tcBorders>
            <w:shd w:val="clear" w:color="auto" w:fill="auto"/>
            <w:noWrap/>
            <w:vAlign w:val="bottom"/>
            <w:hideMark/>
          </w:tcPr>
          <w:p w14:paraId="7403E5BA" w14:textId="77777777" w:rsidR="00E40E76" w:rsidRDefault="00E40E76">
            <w:pPr>
              <w:jc w:val="center"/>
              <w:rPr>
                <w:color w:val="000000"/>
              </w:rPr>
            </w:pPr>
            <w:r>
              <w:rPr>
                <w:color w:val="000000"/>
              </w:rPr>
              <w:t>1.6797</w:t>
            </w:r>
          </w:p>
        </w:tc>
      </w:tr>
      <w:tr w:rsidR="00E40E76" w14:paraId="7430A33D"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91871E3" w14:textId="77777777" w:rsidR="00E40E76" w:rsidRDefault="00E40E76">
            <w:pPr>
              <w:jc w:val="center"/>
              <w:rPr>
                <w:color w:val="000000"/>
              </w:rPr>
            </w:pPr>
            <w:r>
              <w:rPr>
                <w:color w:val="000000"/>
              </w:rPr>
              <w:t>Pr</w:t>
            </w:r>
          </w:p>
        </w:tc>
        <w:tc>
          <w:tcPr>
            <w:tcW w:w="1080" w:type="dxa"/>
            <w:tcBorders>
              <w:top w:val="nil"/>
              <w:left w:val="nil"/>
              <w:bottom w:val="single" w:sz="4" w:space="0" w:color="auto"/>
              <w:right w:val="single" w:sz="4" w:space="0" w:color="auto"/>
            </w:tcBorders>
            <w:shd w:val="clear" w:color="auto" w:fill="auto"/>
            <w:noWrap/>
            <w:vAlign w:val="bottom"/>
            <w:hideMark/>
          </w:tcPr>
          <w:p w14:paraId="19D5F4D3" w14:textId="77777777" w:rsidR="00E40E76" w:rsidRDefault="00E40E76">
            <w:pPr>
              <w:jc w:val="center"/>
              <w:rPr>
                <w:color w:val="000000"/>
              </w:rPr>
            </w:pPr>
            <w:r>
              <w:rPr>
                <w:color w:val="000000"/>
              </w:rPr>
              <w:t>0.5596</w:t>
            </w:r>
          </w:p>
        </w:tc>
        <w:tc>
          <w:tcPr>
            <w:tcW w:w="1080" w:type="dxa"/>
            <w:tcBorders>
              <w:top w:val="nil"/>
              <w:left w:val="nil"/>
              <w:bottom w:val="single" w:sz="4" w:space="0" w:color="auto"/>
              <w:right w:val="single" w:sz="4" w:space="0" w:color="auto"/>
            </w:tcBorders>
            <w:shd w:val="clear" w:color="auto" w:fill="auto"/>
            <w:noWrap/>
            <w:vAlign w:val="bottom"/>
            <w:hideMark/>
          </w:tcPr>
          <w:p w14:paraId="401DF095" w14:textId="77777777" w:rsidR="00E40E76" w:rsidRDefault="00E40E76">
            <w:pPr>
              <w:jc w:val="center"/>
              <w:rPr>
                <w:color w:val="000000"/>
              </w:rPr>
            </w:pPr>
            <w:r>
              <w:rPr>
                <w:color w:val="000000"/>
              </w:rPr>
              <w:t>6.2810</w:t>
            </w:r>
          </w:p>
        </w:tc>
        <w:tc>
          <w:tcPr>
            <w:tcW w:w="1080" w:type="dxa"/>
            <w:tcBorders>
              <w:top w:val="nil"/>
              <w:left w:val="nil"/>
              <w:bottom w:val="single" w:sz="4" w:space="0" w:color="auto"/>
              <w:right w:val="single" w:sz="4" w:space="0" w:color="auto"/>
            </w:tcBorders>
            <w:shd w:val="clear" w:color="auto" w:fill="auto"/>
            <w:noWrap/>
            <w:vAlign w:val="bottom"/>
            <w:hideMark/>
          </w:tcPr>
          <w:p w14:paraId="57A36B3B" w14:textId="77777777" w:rsidR="00E40E76" w:rsidRDefault="00E40E76">
            <w:pPr>
              <w:jc w:val="center"/>
              <w:rPr>
                <w:color w:val="000000"/>
              </w:rPr>
            </w:pPr>
            <w:r>
              <w:rPr>
                <w:color w:val="000000"/>
              </w:rPr>
              <w:t>0.2015</w:t>
            </w:r>
          </w:p>
        </w:tc>
        <w:tc>
          <w:tcPr>
            <w:tcW w:w="1080" w:type="dxa"/>
            <w:tcBorders>
              <w:top w:val="nil"/>
              <w:left w:val="nil"/>
              <w:bottom w:val="single" w:sz="4" w:space="0" w:color="auto"/>
              <w:right w:val="single" w:sz="4" w:space="0" w:color="auto"/>
            </w:tcBorders>
            <w:shd w:val="clear" w:color="auto" w:fill="auto"/>
            <w:noWrap/>
            <w:vAlign w:val="bottom"/>
            <w:hideMark/>
          </w:tcPr>
          <w:p w14:paraId="33558DE0" w14:textId="77777777" w:rsidR="00E40E76" w:rsidRDefault="00E40E76">
            <w:pPr>
              <w:jc w:val="center"/>
              <w:rPr>
                <w:color w:val="000000"/>
              </w:rPr>
            </w:pPr>
            <w:r>
              <w:rPr>
                <w:color w:val="000000"/>
              </w:rPr>
              <w:t>2.2620</w:t>
            </w:r>
          </w:p>
        </w:tc>
      </w:tr>
      <w:tr w:rsidR="00E40E76" w14:paraId="7525D720"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8F34556" w14:textId="77777777" w:rsidR="00E40E76" w:rsidRDefault="00E40E76">
            <w:pPr>
              <w:jc w:val="center"/>
              <w:rPr>
                <w:color w:val="000000"/>
              </w:rPr>
            </w:pPr>
            <w:r>
              <w:rPr>
                <w:color w:val="000000"/>
              </w:rPr>
              <w:t>Nd</w:t>
            </w:r>
          </w:p>
        </w:tc>
        <w:tc>
          <w:tcPr>
            <w:tcW w:w="1080" w:type="dxa"/>
            <w:tcBorders>
              <w:top w:val="nil"/>
              <w:left w:val="nil"/>
              <w:bottom w:val="single" w:sz="4" w:space="0" w:color="auto"/>
              <w:right w:val="single" w:sz="4" w:space="0" w:color="auto"/>
            </w:tcBorders>
            <w:shd w:val="clear" w:color="auto" w:fill="auto"/>
            <w:noWrap/>
            <w:vAlign w:val="bottom"/>
            <w:hideMark/>
          </w:tcPr>
          <w:p w14:paraId="77B7B68D" w14:textId="77777777" w:rsidR="00E40E76" w:rsidRDefault="00E40E76">
            <w:pPr>
              <w:jc w:val="center"/>
              <w:rPr>
                <w:color w:val="000000"/>
              </w:rPr>
            </w:pPr>
            <w:r>
              <w:rPr>
                <w:color w:val="000000"/>
              </w:rPr>
              <w:t>3.4458</w:t>
            </w:r>
          </w:p>
        </w:tc>
        <w:tc>
          <w:tcPr>
            <w:tcW w:w="1080" w:type="dxa"/>
            <w:tcBorders>
              <w:top w:val="nil"/>
              <w:left w:val="nil"/>
              <w:bottom w:val="single" w:sz="4" w:space="0" w:color="auto"/>
              <w:right w:val="single" w:sz="4" w:space="0" w:color="auto"/>
            </w:tcBorders>
            <w:shd w:val="clear" w:color="auto" w:fill="auto"/>
            <w:noWrap/>
            <w:vAlign w:val="bottom"/>
            <w:hideMark/>
          </w:tcPr>
          <w:p w14:paraId="5DE335E8" w14:textId="77777777" w:rsidR="00E40E76" w:rsidRDefault="00E40E76">
            <w:pPr>
              <w:jc w:val="center"/>
              <w:rPr>
                <w:color w:val="000000"/>
              </w:rPr>
            </w:pPr>
            <w:r>
              <w:rPr>
                <w:color w:val="000000"/>
              </w:rPr>
              <w:t>7.6168</w:t>
            </w:r>
          </w:p>
        </w:tc>
        <w:tc>
          <w:tcPr>
            <w:tcW w:w="1080" w:type="dxa"/>
            <w:tcBorders>
              <w:top w:val="nil"/>
              <w:left w:val="nil"/>
              <w:bottom w:val="single" w:sz="4" w:space="0" w:color="auto"/>
              <w:right w:val="single" w:sz="4" w:space="0" w:color="auto"/>
            </w:tcBorders>
            <w:shd w:val="clear" w:color="auto" w:fill="auto"/>
            <w:noWrap/>
            <w:vAlign w:val="bottom"/>
            <w:hideMark/>
          </w:tcPr>
          <w:p w14:paraId="7097FAB1" w14:textId="77777777" w:rsidR="00E40E76" w:rsidRDefault="00E40E76">
            <w:pPr>
              <w:jc w:val="center"/>
              <w:rPr>
                <w:color w:val="000000"/>
              </w:rPr>
            </w:pPr>
            <w:r>
              <w:rPr>
                <w:color w:val="000000"/>
              </w:rPr>
              <w:t>1.2043</w:t>
            </w:r>
          </w:p>
        </w:tc>
        <w:tc>
          <w:tcPr>
            <w:tcW w:w="1080" w:type="dxa"/>
            <w:tcBorders>
              <w:top w:val="nil"/>
              <w:left w:val="nil"/>
              <w:bottom w:val="single" w:sz="4" w:space="0" w:color="auto"/>
              <w:right w:val="single" w:sz="4" w:space="0" w:color="auto"/>
            </w:tcBorders>
            <w:shd w:val="clear" w:color="auto" w:fill="auto"/>
            <w:noWrap/>
            <w:vAlign w:val="bottom"/>
            <w:hideMark/>
          </w:tcPr>
          <w:p w14:paraId="11794A58" w14:textId="77777777" w:rsidR="00E40E76" w:rsidRDefault="00E40E76">
            <w:pPr>
              <w:jc w:val="center"/>
              <w:rPr>
                <w:color w:val="000000"/>
              </w:rPr>
            </w:pPr>
            <w:r>
              <w:rPr>
                <w:color w:val="000000"/>
              </w:rPr>
              <w:t>2.6620</w:t>
            </w:r>
          </w:p>
        </w:tc>
      </w:tr>
      <w:tr w:rsidR="00E40E76" w14:paraId="3D8CC392"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7BAD991" w14:textId="77777777" w:rsidR="00E40E76" w:rsidRDefault="00E40E76">
            <w:pPr>
              <w:jc w:val="center"/>
              <w:rPr>
                <w:color w:val="000000"/>
              </w:rPr>
            </w:pPr>
            <w:r>
              <w:rPr>
                <w:color w:val="000000"/>
              </w:rPr>
              <w:t>Sm</w:t>
            </w:r>
          </w:p>
        </w:tc>
        <w:tc>
          <w:tcPr>
            <w:tcW w:w="1080" w:type="dxa"/>
            <w:tcBorders>
              <w:top w:val="nil"/>
              <w:left w:val="nil"/>
              <w:bottom w:val="single" w:sz="4" w:space="0" w:color="auto"/>
              <w:right w:val="single" w:sz="4" w:space="0" w:color="auto"/>
            </w:tcBorders>
            <w:shd w:val="clear" w:color="auto" w:fill="auto"/>
            <w:noWrap/>
            <w:vAlign w:val="bottom"/>
            <w:hideMark/>
          </w:tcPr>
          <w:p w14:paraId="66395BBA" w14:textId="77777777" w:rsidR="00E40E76" w:rsidRDefault="00E40E76">
            <w:pPr>
              <w:jc w:val="center"/>
              <w:rPr>
                <w:color w:val="000000"/>
              </w:rPr>
            </w:pPr>
            <w:r>
              <w:rPr>
                <w:color w:val="000000"/>
              </w:rPr>
              <w:t>1.5782</w:t>
            </w:r>
          </w:p>
        </w:tc>
        <w:tc>
          <w:tcPr>
            <w:tcW w:w="1080" w:type="dxa"/>
            <w:tcBorders>
              <w:top w:val="nil"/>
              <w:left w:val="nil"/>
              <w:bottom w:val="single" w:sz="4" w:space="0" w:color="auto"/>
              <w:right w:val="single" w:sz="4" w:space="0" w:color="auto"/>
            </w:tcBorders>
            <w:shd w:val="clear" w:color="auto" w:fill="auto"/>
            <w:noWrap/>
            <w:vAlign w:val="bottom"/>
            <w:hideMark/>
          </w:tcPr>
          <w:p w14:paraId="4180D66C" w14:textId="77777777" w:rsidR="00E40E76" w:rsidRDefault="00E40E76">
            <w:pPr>
              <w:jc w:val="center"/>
              <w:rPr>
                <w:color w:val="000000"/>
              </w:rPr>
            </w:pPr>
            <w:r>
              <w:rPr>
                <w:color w:val="000000"/>
              </w:rPr>
              <w:t>10.7285</w:t>
            </w:r>
          </w:p>
        </w:tc>
        <w:tc>
          <w:tcPr>
            <w:tcW w:w="1080" w:type="dxa"/>
            <w:tcBorders>
              <w:top w:val="nil"/>
              <w:left w:val="nil"/>
              <w:bottom w:val="single" w:sz="4" w:space="0" w:color="auto"/>
              <w:right w:val="single" w:sz="4" w:space="0" w:color="auto"/>
            </w:tcBorders>
            <w:shd w:val="clear" w:color="auto" w:fill="auto"/>
            <w:noWrap/>
            <w:vAlign w:val="bottom"/>
            <w:hideMark/>
          </w:tcPr>
          <w:p w14:paraId="06AEBDA3" w14:textId="77777777" w:rsidR="00E40E76" w:rsidRDefault="00E40E76">
            <w:pPr>
              <w:jc w:val="center"/>
              <w:rPr>
                <w:color w:val="000000"/>
              </w:rPr>
            </w:pPr>
            <w:r>
              <w:rPr>
                <w:color w:val="000000"/>
              </w:rPr>
              <w:t>0.5304</w:t>
            </w:r>
          </w:p>
        </w:tc>
        <w:tc>
          <w:tcPr>
            <w:tcW w:w="1080" w:type="dxa"/>
            <w:tcBorders>
              <w:top w:val="nil"/>
              <w:left w:val="nil"/>
              <w:bottom w:val="single" w:sz="4" w:space="0" w:color="auto"/>
              <w:right w:val="single" w:sz="4" w:space="0" w:color="auto"/>
            </w:tcBorders>
            <w:shd w:val="clear" w:color="auto" w:fill="auto"/>
            <w:noWrap/>
            <w:vAlign w:val="bottom"/>
            <w:hideMark/>
          </w:tcPr>
          <w:p w14:paraId="78ADC5DE" w14:textId="77777777" w:rsidR="00E40E76" w:rsidRDefault="00E40E76">
            <w:pPr>
              <w:jc w:val="center"/>
              <w:rPr>
                <w:color w:val="000000"/>
              </w:rPr>
            </w:pPr>
            <w:r>
              <w:rPr>
                <w:color w:val="000000"/>
              </w:rPr>
              <w:t>3.6054</w:t>
            </w:r>
          </w:p>
        </w:tc>
      </w:tr>
      <w:tr w:rsidR="00E40E76" w14:paraId="673627C0"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C377D7F" w14:textId="77777777" w:rsidR="00E40E76" w:rsidRDefault="00E40E76">
            <w:pPr>
              <w:jc w:val="center"/>
              <w:rPr>
                <w:color w:val="000000"/>
              </w:rPr>
            </w:pPr>
            <w:r>
              <w:rPr>
                <w:color w:val="000000"/>
              </w:rPr>
              <w:t>Eu</w:t>
            </w:r>
          </w:p>
        </w:tc>
        <w:tc>
          <w:tcPr>
            <w:tcW w:w="1080" w:type="dxa"/>
            <w:tcBorders>
              <w:top w:val="nil"/>
              <w:left w:val="nil"/>
              <w:bottom w:val="single" w:sz="4" w:space="0" w:color="auto"/>
              <w:right w:val="single" w:sz="4" w:space="0" w:color="auto"/>
            </w:tcBorders>
            <w:shd w:val="clear" w:color="auto" w:fill="auto"/>
            <w:noWrap/>
            <w:vAlign w:val="bottom"/>
            <w:hideMark/>
          </w:tcPr>
          <w:p w14:paraId="57D65996" w14:textId="77777777" w:rsidR="00E40E76" w:rsidRDefault="00E40E76">
            <w:pPr>
              <w:jc w:val="center"/>
              <w:rPr>
                <w:color w:val="000000"/>
              </w:rPr>
            </w:pPr>
            <w:r>
              <w:rPr>
                <w:color w:val="000000"/>
              </w:rPr>
              <w:t>1.2662</w:t>
            </w:r>
          </w:p>
        </w:tc>
        <w:tc>
          <w:tcPr>
            <w:tcW w:w="1080" w:type="dxa"/>
            <w:tcBorders>
              <w:top w:val="nil"/>
              <w:left w:val="nil"/>
              <w:bottom w:val="single" w:sz="4" w:space="0" w:color="auto"/>
              <w:right w:val="single" w:sz="4" w:space="0" w:color="auto"/>
            </w:tcBorders>
            <w:shd w:val="clear" w:color="auto" w:fill="auto"/>
            <w:noWrap/>
            <w:vAlign w:val="bottom"/>
            <w:hideMark/>
          </w:tcPr>
          <w:p w14:paraId="5537B146" w14:textId="77777777" w:rsidR="00E40E76" w:rsidRDefault="00E40E76">
            <w:pPr>
              <w:jc w:val="center"/>
              <w:rPr>
                <w:color w:val="000000"/>
              </w:rPr>
            </w:pPr>
            <w:r>
              <w:rPr>
                <w:color w:val="000000"/>
              </w:rPr>
              <w:t>22.6114</w:t>
            </w:r>
          </w:p>
        </w:tc>
        <w:tc>
          <w:tcPr>
            <w:tcW w:w="1080" w:type="dxa"/>
            <w:tcBorders>
              <w:top w:val="nil"/>
              <w:left w:val="nil"/>
              <w:bottom w:val="single" w:sz="4" w:space="0" w:color="auto"/>
              <w:right w:val="single" w:sz="4" w:space="0" w:color="auto"/>
            </w:tcBorders>
            <w:shd w:val="clear" w:color="auto" w:fill="auto"/>
            <w:noWrap/>
            <w:vAlign w:val="bottom"/>
            <w:hideMark/>
          </w:tcPr>
          <w:p w14:paraId="5498A5D7" w14:textId="77777777" w:rsidR="00E40E76" w:rsidRDefault="00E40E76">
            <w:pPr>
              <w:jc w:val="center"/>
              <w:rPr>
                <w:color w:val="000000"/>
              </w:rPr>
            </w:pPr>
            <w:r>
              <w:rPr>
                <w:color w:val="000000"/>
              </w:rPr>
              <w:t>0.4962</w:t>
            </w:r>
          </w:p>
        </w:tc>
        <w:tc>
          <w:tcPr>
            <w:tcW w:w="1080" w:type="dxa"/>
            <w:tcBorders>
              <w:top w:val="nil"/>
              <w:left w:val="nil"/>
              <w:bottom w:val="single" w:sz="4" w:space="0" w:color="auto"/>
              <w:right w:val="single" w:sz="4" w:space="0" w:color="auto"/>
            </w:tcBorders>
            <w:shd w:val="clear" w:color="auto" w:fill="auto"/>
            <w:noWrap/>
            <w:vAlign w:val="bottom"/>
            <w:hideMark/>
          </w:tcPr>
          <w:p w14:paraId="7F1F1A05" w14:textId="77777777" w:rsidR="00E40E76" w:rsidRDefault="00E40E76">
            <w:pPr>
              <w:jc w:val="center"/>
              <w:rPr>
                <w:color w:val="000000"/>
              </w:rPr>
            </w:pPr>
            <w:r>
              <w:rPr>
                <w:color w:val="000000"/>
              </w:rPr>
              <w:t>8.8612</w:t>
            </w:r>
          </w:p>
        </w:tc>
      </w:tr>
      <w:tr w:rsidR="00E40E76" w14:paraId="740CAB62"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39FED5C" w14:textId="77777777" w:rsidR="00E40E76" w:rsidRDefault="00E40E76">
            <w:pPr>
              <w:jc w:val="center"/>
              <w:rPr>
                <w:color w:val="000000"/>
              </w:rPr>
            </w:pPr>
            <w:r>
              <w:rPr>
                <w:color w:val="000000"/>
              </w:rPr>
              <w:t>Gd</w:t>
            </w:r>
          </w:p>
        </w:tc>
        <w:tc>
          <w:tcPr>
            <w:tcW w:w="1080" w:type="dxa"/>
            <w:tcBorders>
              <w:top w:val="nil"/>
              <w:left w:val="nil"/>
              <w:bottom w:val="single" w:sz="4" w:space="0" w:color="auto"/>
              <w:right w:val="single" w:sz="4" w:space="0" w:color="auto"/>
            </w:tcBorders>
            <w:shd w:val="clear" w:color="auto" w:fill="auto"/>
            <w:noWrap/>
            <w:vAlign w:val="bottom"/>
            <w:hideMark/>
          </w:tcPr>
          <w:p w14:paraId="49619885" w14:textId="77777777" w:rsidR="00E40E76" w:rsidRDefault="00E40E76">
            <w:pPr>
              <w:jc w:val="center"/>
              <w:rPr>
                <w:color w:val="000000"/>
              </w:rPr>
            </w:pPr>
            <w:r>
              <w:rPr>
                <w:color w:val="000000"/>
              </w:rPr>
              <w:t>2.5852</w:t>
            </w:r>
          </w:p>
        </w:tc>
        <w:tc>
          <w:tcPr>
            <w:tcW w:w="1080" w:type="dxa"/>
            <w:tcBorders>
              <w:top w:val="nil"/>
              <w:left w:val="nil"/>
              <w:bottom w:val="single" w:sz="4" w:space="0" w:color="auto"/>
              <w:right w:val="single" w:sz="4" w:space="0" w:color="auto"/>
            </w:tcBorders>
            <w:shd w:val="clear" w:color="auto" w:fill="auto"/>
            <w:noWrap/>
            <w:vAlign w:val="bottom"/>
            <w:hideMark/>
          </w:tcPr>
          <w:p w14:paraId="402505B3" w14:textId="77777777" w:rsidR="00E40E76" w:rsidRDefault="00E40E76">
            <w:pPr>
              <w:jc w:val="center"/>
              <w:rPr>
                <w:color w:val="000000"/>
              </w:rPr>
            </w:pPr>
            <w:r>
              <w:rPr>
                <w:color w:val="000000"/>
              </w:rPr>
              <w:t>13.1494</w:t>
            </w:r>
          </w:p>
        </w:tc>
        <w:tc>
          <w:tcPr>
            <w:tcW w:w="1080" w:type="dxa"/>
            <w:tcBorders>
              <w:top w:val="nil"/>
              <w:left w:val="nil"/>
              <w:bottom w:val="single" w:sz="4" w:space="0" w:color="auto"/>
              <w:right w:val="single" w:sz="4" w:space="0" w:color="auto"/>
            </w:tcBorders>
            <w:shd w:val="clear" w:color="auto" w:fill="auto"/>
            <w:noWrap/>
            <w:vAlign w:val="bottom"/>
            <w:hideMark/>
          </w:tcPr>
          <w:p w14:paraId="675886A2" w14:textId="77777777" w:rsidR="00E40E76" w:rsidRDefault="00E40E76">
            <w:pPr>
              <w:jc w:val="center"/>
              <w:rPr>
                <w:color w:val="000000"/>
              </w:rPr>
            </w:pPr>
            <w:r>
              <w:rPr>
                <w:color w:val="000000"/>
              </w:rPr>
              <w:t>0.9712</w:t>
            </w:r>
          </w:p>
        </w:tc>
        <w:tc>
          <w:tcPr>
            <w:tcW w:w="1080" w:type="dxa"/>
            <w:tcBorders>
              <w:top w:val="nil"/>
              <w:left w:val="nil"/>
              <w:bottom w:val="single" w:sz="4" w:space="0" w:color="auto"/>
              <w:right w:val="single" w:sz="4" w:space="0" w:color="auto"/>
            </w:tcBorders>
            <w:shd w:val="clear" w:color="auto" w:fill="auto"/>
            <w:noWrap/>
            <w:vAlign w:val="bottom"/>
            <w:hideMark/>
          </w:tcPr>
          <w:p w14:paraId="4A31D030" w14:textId="77777777" w:rsidR="00E40E76" w:rsidRDefault="00E40E76">
            <w:pPr>
              <w:jc w:val="center"/>
              <w:rPr>
                <w:color w:val="000000"/>
              </w:rPr>
            </w:pPr>
            <w:r>
              <w:rPr>
                <w:color w:val="000000"/>
              </w:rPr>
              <w:t>4.9402</w:t>
            </w:r>
          </w:p>
        </w:tc>
      </w:tr>
      <w:tr w:rsidR="00E40E76" w14:paraId="64291AC1"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517C8A9" w14:textId="77777777" w:rsidR="00E40E76" w:rsidRDefault="00E40E76">
            <w:pPr>
              <w:jc w:val="center"/>
              <w:rPr>
                <w:color w:val="000000"/>
              </w:rPr>
            </w:pPr>
            <w:r>
              <w:rPr>
                <w:color w:val="000000"/>
              </w:rPr>
              <w:t>Tb</w:t>
            </w:r>
          </w:p>
        </w:tc>
        <w:tc>
          <w:tcPr>
            <w:tcW w:w="1080" w:type="dxa"/>
            <w:tcBorders>
              <w:top w:val="nil"/>
              <w:left w:val="nil"/>
              <w:bottom w:val="single" w:sz="4" w:space="0" w:color="auto"/>
              <w:right w:val="single" w:sz="4" w:space="0" w:color="auto"/>
            </w:tcBorders>
            <w:shd w:val="clear" w:color="auto" w:fill="auto"/>
            <w:noWrap/>
            <w:vAlign w:val="bottom"/>
            <w:hideMark/>
          </w:tcPr>
          <w:p w14:paraId="1C79D131" w14:textId="77777777" w:rsidR="00E40E76" w:rsidRDefault="00E40E76">
            <w:pPr>
              <w:jc w:val="center"/>
              <w:rPr>
                <w:color w:val="000000"/>
              </w:rPr>
            </w:pPr>
            <w:r>
              <w:rPr>
                <w:color w:val="000000"/>
              </w:rPr>
              <w:t>0.5053</w:t>
            </w:r>
          </w:p>
        </w:tc>
        <w:tc>
          <w:tcPr>
            <w:tcW w:w="1080" w:type="dxa"/>
            <w:tcBorders>
              <w:top w:val="nil"/>
              <w:left w:val="nil"/>
              <w:bottom w:val="single" w:sz="4" w:space="0" w:color="auto"/>
              <w:right w:val="single" w:sz="4" w:space="0" w:color="auto"/>
            </w:tcBorders>
            <w:shd w:val="clear" w:color="auto" w:fill="auto"/>
            <w:noWrap/>
            <w:vAlign w:val="bottom"/>
            <w:hideMark/>
          </w:tcPr>
          <w:p w14:paraId="085AF775" w14:textId="77777777" w:rsidR="00E40E76" w:rsidRDefault="00E40E76">
            <w:pPr>
              <w:jc w:val="center"/>
              <w:rPr>
                <w:color w:val="000000"/>
              </w:rPr>
            </w:pPr>
            <w:r>
              <w:rPr>
                <w:color w:val="000000"/>
              </w:rPr>
              <w:t>13.9197</w:t>
            </w:r>
          </w:p>
        </w:tc>
        <w:tc>
          <w:tcPr>
            <w:tcW w:w="1080" w:type="dxa"/>
            <w:tcBorders>
              <w:top w:val="nil"/>
              <w:left w:val="nil"/>
              <w:bottom w:val="single" w:sz="4" w:space="0" w:color="auto"/>
              <w:right w:val="single" w:sz="4" w:space="0" w:color="auto"/>
            </w:tcBorders>
            <w:shd w:val="clear" w:color="auto" w:fill="auto"/>
            <w:noWrap/>
            <w:vAlign w:val="bottom"/>
            <w:hideMark/>
          </w:tcPr>
          <w:p w14:paraId="24D3EEE4" w14:textId="77777777" w:rsidR="00E40E76" w:rsidRDefault="00E40E76">
            <w:pPr>
              <w:jc w:val="center"/>
              <w:rPr>
                <w:color w:val="000000"/>
              </w:rPr>
            </w:pPr>
            <w:r>
              <w:rPr>
                <w:color w:val="000000"/>
              </w:rPr>
              <w:t>0.2018</w:t>
            </w:r>
          </w:p>
        </w:tc>
        <w:tc>
          <w:tcPr>
            <w:tcW w:w="1080" w:type="dxa"/>
            <w:tcBorders>
              <w:top w:val="nil"/>
              <w:left w:val="nil"/>
              <w:bottom w:val="single" w:sz="4" w:space="0" w:color="auto"/>
              <w:right w:val="single" w:sz="4" w:space="0" w:color="auto"/>
            </w:tcBorders>
            <w:shd w:val="clear" w:color="auto" w:fill="auto"/>
            <w:noWrap/>
            <w:vAlign w:val="bottom"/>
            <w:hideMark/>
          </w:tcPr>
          <w:p w14:paraId="71805AD2" w14:textId="77777777" w:rsidR="00E40E76" w:rsidRDefault="00E40E76">
            <w:pPr>
              <w:jc w:val="center"/>
              <w:rPr>
                <w:color w:val="000000"/>
              </w:rPr>
            </w:pPr>
            <w:r>
              <w:rPr>
                <w:color w:val="000000"/>
              </w:rPr>
              <w:t>5.5580</w:t>
            </w:r>
          </w:p>
        </w:tc>
      </w:tr>
      <w:tr w:rsidR="00E40E76" w14:paraId="33353106"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7F450AE" w14:textId="77777777" w:rsidR="00E40E76" w:rsidRDefault="00E40E76">
            <w:pPr>
              <w:jc w:val="center"/>
              <w:rPr>
                <w:color w:val="000000"/>
              </w:rPr>
            </w:pPr>
            <w:r>
              <w:rPr>
                <w:color w:val="000000"/>
              </w:rPr>
              <w:t>Dy</w:t>
            </w:r>
          </w:p>
        </w:tc>
        <w:tc>
          <w:tcPr>
            <w:tcW w:w="1080" w:type="dxa"/>
            <w:tcBorders>
              <w:top w:val="nil"/>
              <w:left w:val="nil"/>
              <w:bottom w:val="single" w:sz="4" w:space="0" w:color="auto"/>
              <w:right w:val="single" w:sz="4" w:space="0" w:color="auto"/>
            </w:tcBorders>
            <w:shd w:val="clear" w:color="auto" w:fill="auto"/>
            <w:noWrap/>
            <w:vAlign w:val="bottom"/>
            <w:hideMark/>
          </w:tcPr>
          <w:p w14:paraId="12C7F2A3" w14:textId="77777777" w:rsidR="00E40E76" w:rsidRDefault="00E40E76">
            <w:pPr>
              <w:jc w:val="center"/>
              <w:rPr>
                <w:color w:val="000000"/>
              </w:rPr>
            </w:pPr>
            <w:r>
              <w:rPr>
                <w:color w:val="000000"/>
              </w:rPr>
              <w:t>3.6172</w:t>
            </w:r>
          </w:p>
        </w:tc>
        <w:tc>
          <w:tcPr>
            <w:tcW w:w="1080" w:type="dxa"/>
            <w:tcBorders>
              <w:top w:val="nil"/>
              <w:left w:val="nil"/>
              <w:bottom w:val="single" w:sz="4" w:space="0" w:color="auto"/>
              <w:right w:val="single" w:sz="4" w:space="0" w:color="auto"/>
            </w:tcBorders>
            <w:shd w:val="clear" w:color="auto" w:fill="auto"/>
            <w:noWrap/>
            <w:vAlign w:val="bottom"/>
            <w:hideMark/>
          </w:tcPr>
          <w:p w14:paraId="1BB41F60" w14:textId="77777777" w:rsidR="00E40E76" w:rsidRDefault="00E40E76">
            <w:pPr>
              <w:jc w:val="center"/>
              <w:rPr>
                <w:color w:val="000000"/>
              </w:rPr>
            </w:pPr>
            <w:r>
              <w:rPr>
                <w:color w:val="000000"/>
              </w:rPr>
              <w:t>14.9042</w:t>
            </w:r>
          </w:p>
        </w:tc>
        <w:tc>
          <w:tcPr>
            <w:tcW w:w="1080" w:type="dxa"/>
            <w:tcBorders>
              <w:top w:val="nil"/>
              <w:left w:val="nil"/>
              <w:bottom w:val="single" w:sz="4" w:space="0" w:color="auto"/>
              <w:right w:val="single" w:sz="4" w:space="0" w:color="auto"/>
            </w:tcBorders>
            <w:shd w:val="clear" w:color="auto" w:fill="auto"/>
            <w:noWrap/>
            <w:vAlign w:val="bottom"/>
            <w:hideMark/>
          </w:tcPr>
          <w:p w14:paraId="68245647" w14:textId="77777777" w:rsidR="00E40E76" w:rsidRDefault="00E40E76">
            <w:pPr>
              <w:jc w:val="center"/>
              <w:rPr>
                <w:color w:val="000000"/>
              </w:rPr>
            </w:pPr>
            <w:r>
              <w:rPr>
                <w:color w:val="000000"/>
              </w:rPr>
              <w:t>1.5047</w:t>
            </w:r>
          </w:p>
        </w:tc>
        <w:tc>
          <w:tcPr>
            <w:tcW w:w="1080" w:type="dxa"/>
            <w:tcBorders>
              <w:top w:val="nil"/>
              <w:left w:val="nil"/>
              <w:bottom w:val="single" w:sz="4" w:space="0" w:color="auto"/>
              <w:right w:val="single" w:sz="4" w:space="0" w:color="auto"/>
            </w:tcBorders>
            <w:shd w:val="clear" w:color="auto" w:fill="auto"/>
            <w:noWrap/>
            <w:vAlign w:val="bottom"/>
            <w:hideMark/>
          </w:tcPr>
          <w:p w14:paraId="550EC8AB" w14:textId="77777777" w:rsidR="00E40E76" w:rsidRDefault="00E40E76">
            <w:pPr>
              <w:jc w:val="center"/>
              <w:rPr>
                <w:color w:val="000000"/>
              </w:rPr>
            </w:pPr>
            <w:r>
              <w:rPr>
                <w:color w:val="000000"/>
              </w:rPr>
              <w:t>6.1999</w:t>
            </w:r>
          </w:p>
        </w:tc>
      </w:tr>
      <w:tr w:rsidR="00E40E76" w14:paraId="15FD6214"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AA6720C" w14:textId="77777777" w:rsidR="00E40E76" w:rsidRDefault="00E40E76">
            <w:pPr>
              <w:jc w:val="center"/>
              <w:rPr>
                <w:color w:val="000000"/>
              </w:rPr>
            </w:pPr>
            <w:r>
              <w:rPr>
                <w:color w:val="000000"/>
              </w:rPr>
              <w:t>Y</w:t>
            </w:r>
          </w:p>
        </w:tc>
        <w:tc>
          <w:tcPr>
            <w:tcW w:w="1080" w:type="dxa"/>
            <w:tcBorders>
              <w:top w:val="nil"/>
              <w:left w:val="nil"/>
              <w:bottom w:val="single" w:sz="4" w:space="0" w:color="auto"/>
              <w:right w:val="single" w:sz="4" w:space="0" w:color="auto"/>
            </w:tcBorders>
            <w:shd w:val="clear" w:color="auto" w:fill="auto"/>
            <w:noWrap/>
            <w:vAlign w:val="bottom"/>
            <w:hideMark/>
          </w:tcPr>
          <w:p w14:paraId="7E71F90B" w14:textId="77777777" w:rsidR="00E40E76" w:rsidRDefault="00E40E76">
            <w:pPr>
              <w:jc w:val="center"/>
              <w:rPr>
                <w:color w:val="000000"/>
              </w:rPr>
            </w:pPr>
            <w:r>
              <w:rPr>
                <w:color w:val="000000"/>
              </w:rPr>
              <w:t>23.7794</w:t>
            </w:r>
          </w:p>
        </w:tc>
        <w:tc>
          <w:tcPr>
            <w:tcW w:w="1080" w:type="dxa"/>
            <w:tcBorders>
              <w:top w:val="nil"/>
              <w:left w:val="nil"/>
              <w:bottom w:val="single" w:sz="4" w:space="0" w:color="auto"/>
              <w:right w:val="single" w:sz="4" w:space="0" w:color="auto"/>
            </w:tcBorders>
            <w:shd w:val="clear" w:color="auto" w:fill="auto"/>
            <w:noWrap/>
            <w:vAlign w:val="bottom"/>
            <w:hideMark/>
          </w:tcPr>
          <w:p w14:paraId="756C0E28" w14:textId="77777777" w:rsidR="00E40E76" w:rsidRDefault="00E40E76">
            <w:pPr>
              <w:jc w:val="center"/>
              <w:rPr>
                <w:color w:val="000000"/>
              </w:rPr>
            </w:pPr>
            <w:r>
              <w:rPr>
                <w:color w:val="000000"/>
              </w:rPr>
              <w:t>15.2432</w:t>
            </w:r>
          </w:p>
        </w:tc>
        <w:tc>
          <w:tcPr>
            <w:tcW w:w="1080" w:type="dxa"/>
            <w:tcBorders>
              <w:top w:val="nil"/>
              <w:left w:val="nil"/>
              <w:bottom w:val="single" w:sz="4" w:space="0" w:color="auto"/>
              <w:right w:val="single" w:sz="4" w:space="0" w:color="auto"/>
            </w:tcBorders>
            <w:shd w:val="clear" w:color="auto" w:fill="auto"/>
            <w:noWrap/>
            <w:vAlign w:val="bottom"/>
            <w:hideMark/>
          </w:tcPr>
          <w:p w14:paraId="4D681BC7" w14:textId="77777777" w:rsidR="00E40E76" w:rsidRDefault="00E40E76">
            <w:pPr>
              <w:jc w:val="center"/>
              <w:rPr>
                <w:color w:val="000000"/>
              </w:rPr>
            </w:pPr>
            <w:r>
              <w:rPr>
                <w:color w:val="000000"/>
              </w:rPr>
              <w:t>10.3789</w:t>
            </w:r>
          </w:p>
        </w:tc>
        <w:tc>
          <w:tcPr>
            <w:tcW w:w="1080" w:type="dxa"/>
            <w:tcBorders>
              <w:top w:val="nil"/>
              <w:left w:val="nil"/>
              <w:bottom w:val="single" w:sz="4" w:space="0" w:color="auto"/>
              <w:right w:val="single" w:sz="4" w:space="0" w:color="auto"/>
            </w:tcBorders>
            <w:shd w:val="clear" w:color="auto" w:fill="auto"/>
            <w:noWrap/>
            <w:vAlign w:val="bottom"/>
            <w:hideMark/>
          </w:tcPr>
          <w:p w14:paraId="2DFE75E3" w14:textId="77777777" w:rsidR="00E40E76" w:rsidRDefault="00E40E76">
            <w:pPr>
              <w:jc w:val="center"/>
              <w:rPr>
                <w:color w:val="000000"/>
              </w:rPr>
            </w:pPr>
            <w:r>
              <w:rPr>
                <w:color w:val="000000"/>
              </w:rPr>
              <w:t>6.6531</w:t>
            </w:r>
          </w:p>
        </w:tc>
      </w:tr>
      <w:tr w:rsidR="00E40E76" w14:paraId="24867C94"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4A86039" w14:textId="77777777" w:rsidR="00E40E76" w:rsidRDefault="00E40E76">
            <w:pPr>
              <w:jc w:val="center"/>
              <w:rPr>
                <w:color w:val="000000"/>
              </w:rPr>
            </w:pPr>
            <w:r>
              <w:rPr>
                <w:color w:val="000000"/>
              </w:rPr>
              <w:t>Ho</w:t>
            </w:r>
          </w:p>
        </w:tc>
        <w:tc>
          <w:tcPr>
            <w:tcW w:w="1080" w:type="dxa"/>
            <w:tcBorders>
              <w:top w:val="nil"/>
              <w:left w:val="nil"/>
              <w:bottom w:val="single" w:sz="4" w:space="0" w:color="auto"/>
              <w:right w:val="single" w:sz="4" w:space="0" w:color="auto"/>
            </w:tcBorders>
            <w:shd w:val="clear" w:color="auto" w:fill="auto"/>
            <w:noWrap/>
            <w:vAlign w:val="bottom"/>
            <w:hideMark/>
          </w:tcPr>
          <w:p w14:paraId="3A804512" w14:textId="77777777" w:rsidR="00E40E76" w:rsidRDefault="00E40E76">
            <w:pPr>
              <w:jc w:val="center"/>
              <w:rPr>
                <w:color w:val="000000"/>
              </w:rPr>
            </w:pPr>
            <w:r>
              <w:rPr>
                <w:color w:val="000000"/>
              </w:rPr>
              <w:t>0.8270</w:t>
            </w:r>
          </w:p>
        </w:tc>
        <w:tc>
          <w:tcPr>
            <w:tcW w:w="1080" w:type="dxa"/>
            <w:tcBorders>
              <w:top w:val="nil"/>
              <w:left w:val="nil"/>
              <w:bottom w:val="single" w:sz="4" w:space="0" w:color="auto"/>
              <w:right w:val="single" w:sz="4" w:space="0" w:color="auto"/>
            </w:tcBorders>
            <w:shd w:val="clear" w:color="auto" w:fill="auto"/>
            <w:noWrap/>
            <w:vAlign w:val="bottom"/>
            <w:hideMark/>
          </w:tcPr>
          <w:p w14:paraId="65E69FA0" w14:textId="77777777" w:rsidR="00E40E76" w:rsidRDefault="00E40E76">
            <w:pPr>
              <w:jc w:val="center"/>
              <w:rPr>
                <w:color w:val="000000"/>
              </w:rPr>
            </w:pPr>
            <w:r>
              <w:rPr>
                <w:color w:val="000000"/>
              </w:rPr>
              <w:t>14.8737</w:t>
            </w:r>
          </w:p>
        </w:tc>
        <w:tc>
          <w:tcPr>
            <w:tcW w:w="1080" w:type="dxa"/>
            <w:tcBorders>
              <w:top w:val="nil"/>
              <w:left w:val="nil"/>
              <w:bottom w:val="single" w:sz="4" w:space="0" w:color="auto"/>
              <w:right w:val="single" w:sz="4" w:space="0" w:color="auto"/>
            </w:tcBorders>
            <w:shd w:val="clear" w:color="auto" w:fill="auto"/>
            <w:noWrap/>
            <w:vAlign w:val="bottom"/>
            <w:hideMark/>
          </w:tcPr>
          <w:p w14:paraId="5B86A007" w14:textId="77777777" w:rsidR="00E40E76" w:rsidRDefault="00E40E76">
            <w:pPr>
              <w:jc w:val="center"/>
              <w:rPr>
                <w:color w:val="000000"/>
              </w:rPr>
            </w:pPr>
            <w:r>
              <w:rPr>
                <w:color w:val="000000"/>
              </w:rPr>
              <w:t>0.3586</w:t>
            </w:r>
          </w:p>
        </w:tc>
        <w:tc>
          <w:tcPr>
            <w:tcW w:w="1080" w:type="dxa"/>
            <w:tcBorders>
              <w:top w:val="nil"/>
              <w:left w:val="nil"/>
              <w:bottom w:val="single" w:sz="4" w:space="0" w:color="auto"/>
              <w:right w:val="single" w:sz="4" w:space="0" w:color="auto"/>
            </w:tcBorders>
            <w:shd w:val="clear" w:color="auto" w:fill="auto"/>
            <w:noWrap/>
            <w:vAlign w:val="bottom"/>
            <w:hideMark/>
          </w:tcPr>
          <w:p w14:paraId="56B623C1" w14:textId="77777777" w:rsidR="00E40E76" w:rsidRDefault="00E40E76">
            <w:pPr>
              <w:jc w:val="center"/>
              <w:rPr>
                <w:color w:val="000000"/>
              </w:rPr>
            </w:pPr>
            <w:r>
              <w:rPr>
                <w:color w:val="000000"/>
              </w:rPr>
              <w:t>6.4496</w:t>
            </w:r>
          </w:p>
        </w:tc>
      </w:tr>
      <w:tr w:rsidR="00E40E76" w14:paraId="75DD7B0A"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6660EF5" w14:textId="77777777" w:rsidR="00E40E76" w:rsidRDefault="00E40E76">
            <w:pPr>
              <w:jc w:val="center"/>
              <w:rPr>
                <w:color w:val="000000"/>
              </w:rPr>
            </w:pPr>
            <w:r>
              <w:rPr>
                <w:color w:val="000000"/>
              </w:rPr>
              <w:t>Er</w:t>
            </w:r>
          </w:p>
        </w:tc>
        <w:tc>
          <w:tcPr>
            <w:tcW w:w="1080" w:type="dxa"/>
            <w:tcBorders>
              <w:top w:val="nil"/>
              <w:left w:val="nil"/>
              <w:bottom w:val="single" w:sz="4" w:space="0" w:color="auto"/>
              <w:right w:val="single" w:sz="4" w:space="0" w:color="auto"/>
            </w:tcBorders>
            <w:shd w:val="clear" w:color="auto" w:fill="auto"/>
            <w:noWrap/>
            <w:vAlign w:val="bottom"/>
            <w:hideMark/>
          </w:tcPr>
          <w:p w14:paraId="2458BB00" w14:textId="77777777" w:rsidR="00E40E76" w:rsidRDefault="00E40E76">
            <w:pPr>
              <w:jc w:val="center"/>
              <w:rPr>
                <w:color w:val="000000"/>
              </w:rPr>
            </w:pPr>
            <w:r>
              <w:rPr>
                <w:color w:val="000000"/>
              </w:rPr>
              <w:t>2.4875</w:t>
            </w:r>
          </w:p>
        </w:tc>
        <w:tc>
          <w:tcPr>
            <w:tcW w:w="1080" w:type="dxa"/>
            <w:tcBorders>
              <w:top w:val="nil"/>
              <w:left w:val="nil"/>
              <w:bottom w:val="single" w:sz="4" w:space="0" w:color="auto"/>
              <w:right w:val="single" w:sz="4" w:space="0" w:color="auto"/>
            </w:tcBorders>
            <w:shd w:val="clear" w:color="auto" w:fill="auto"/>
            <w:noWrap/>
            <w:vAlign w:val="bottom"/>
            <w:hideMark/>
          </w:tcPr>
          <w:p w14:paraId="7B0ABB59" w14:textId="77777777" w:rsidR="00E40E76" w:rsidRDefault="00E40E76">
            <w:pPr>
              <w:jc w:val="center"/>
              <w:rPr>
                <w:color w:val="000000"/>
              </w:rPr>
            </w:pPr>
            <w:r>
              <w:rPr>
                <w:color w:val="000000"/>
              </w:rPr>
              <w:t>15.6548</w:t>
            </w:r>
          </w:p>
        </w:tc>
        <w:tc>
          <w:tcPr>
            <w:tcW w:w="1080" w:type="dxa"/>
            <w:tcBorders>
              <w:top w:val="nil"/>
              <w:left w:val="nil"/>
              <w:bottom w:val="single" w:sz="4" w:space="0" w:color="auto"/>
              <w:right w:val="single" w:sz="4" w:space="0" w:color="auto"/>
            </w:tcBorders>
            <w:shd w:val="clear" w:color="auto" w:fill="auto"/>
            <w:noWrap/>
            <w:vAlign w:val="bottom"/>
            <w:hideMark/>
          </w:tcPr>
          <w:p w14:paraId="65C2490E" w14:textId="77777777" w:rsidR="00E40E76" w:rsidRDefault="00E40E76">
            <w:pPr>
              <w:jc w:val="center"/>
              <w:rPr>
                <w:color w:val="000000"/>
              </w:rPr>
            </w:pPr>
            <w:r>
              <w:rPr>
                <w:color w:val="000000"/>
              </w:rPr>
              <w:t>1.1263</w:t>
            </w:r>
          </w:p>
        </w:tc>
        <w:tc>
          <w:tcPr>
            <w:tcW w:w="1080" w:type="dxa"/>
            <w:tcBorders>
              <w:top w:val="nil"/>
              <w:left w:val="nil"/>
              <w:bottom w:val="single" w:sz="4" w:space="0" w:color="auto"/>
              <w:right w:val="single" w:sz="4" w:space="0" w:color="auto"/>
            </w:tcBorders>
            <w:shd w:val="clear" w:color="auto" w:fill="auto"/>
            <w:noWrap/>
            <w:vAlign w:val="bottom"/>
            <w:hideMark/>
          </w:tcPr>
          <w:p w14:paraId="69798483" w14:textId="77777777" w:rsidR="00E40E76" w:rsidRDefault="00E40E76">
            <w:pPr>
              <w:jc w:val="center"/>
              <w:rPr>
                <w:color w:val="000000"/>
              </w:rPr>
            </w:pPr>
            <w:r>
              <w:rPr>
                <w:color w:val="000000"/>
              </w:rPr>
              <w:t>7.0879</w:t>
            </w:r>
          </w:p>
        </w:tc>
      </w:tr>
      <w:tr w:rsidR="00E40E76" w14:paraId="3153794C"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CC62C96" w14:textId="77777777" w:rsidR="00E40E76" w:rsidRDefault="00E40E76">
            <w:pPr>
              <w:jc w:val="center"/>
              <w:rPr>
                <w:color w:val="000000"/>
              </w:rPr>
            </w:pPr>
            <w:r>
              <w:rPr>
                <w:color w:val="000000"/>
              </w:rPr>
              <w:t>Tm</w:t>
            </w:r>
          </w:p>
        </w:tc>
        <w:tc>
          <w:tcPr>
            <w:tcW w:w="1080" w:type="dxa"/>
            <w:tcBorders>
              <w:top w:val="nil"/>
              <w:left w:val="nil"/>
              <w:bottom w:val="single" w:sz="4" w:space="0" w:color="auto"/>
              <w:right w:val="single" w:sz="4" w:space="0" w:color="auto"/>
            </w:tcBorders>
            <w:shd w:val="clear" w:color="auto" w:fill="auto"/>
            <w:noWrap/>
            <w:vAlign w:val="bottom"/>
            <w:hideMark/>
          </w:tcPr>
          <w:p w14:paraId="69A95D5E" w14:textId="77777777" w:rsidR="00E40E76" w:rsidRDefault="00E40E76">
            <w:pPr>
              <w:jc w:val="center"/>
              <w:rPr>
                <w:color w:val="000000"/>
              </w:rPr>
            </w:pPr>
            <w:r>
              <w:rPr>
                <w:color w:val="000000"/>
              </w:rPr>
              <w:t>0.3941</w:t>
            </w:r>
          </w:p>
        </w:tc>
        <w:tc>
          <w:tcPr>
            <w:tcW w:w="1080" w:type="dxa"/>
            <w:tcBorders>
              <w:top w:val="nil"/>
              <w:left w:val="nil"/>
              <w:bottom w:val="single" w:sz="4" w:space="0" w:color="auto"/>
              <w:right w:val="single" w:sz="4" w:space="0" w:color="auto"/>
            </w:tcBorders>
            <w:shd w:val="clear" w:color="auto" w:fill="auto"/>
            <w:noWrap/>
            <w:vAlign w:val="bottom"/>
            <w:hideMark/>
          </w:tcPr>
          <w:p w14:paraId="216FC80D" w14:textId="77777777" w:rsidR="00E40E76" w:rsidRDefault="00E40E76">
            <w:pPr>
              <w:jc w:val="center"/>
              <w:rPr>
                <w:color w:val="000000"/>
              </w:rPr>
            </w:pPr>
            <w:r>
              <w:rPr>
                <w:color w:val="000000"/>
              </w:rPr>
              <w:t>10.4249</w:t>
            </w:r>
          </w:p>
        </w:tc>
        <w:tc>
          <w:tcPr>
            <w:tcW w:w="1080" w:type="dxa"/>
            <w:tcBorders>
              <w:top w:val="nil"/>
              <w:left w:val="nil"/>
              <w:bottom w:val="single" w:sz="4" w:space="0" w:color="auto"/>
              <w:right w:val="single" w:sz="4" w:space="0" w:color="auto"/>
            </w:tcBorders>
            <w:shd w:val="clear" w:color="auto" w:fill="auto"/>
            <w:noWrap/>
            <w:vAlign w:val="bottom"/>
            <w:hideMark/>
          </w:tcPr>
          <w:p w14:paraId="585A5996" w14:textId="77777777" w:rsidR="00E40E76" w:rsidRDefault="00E40E76">
            <w:pPr>
              <w:jc w:val="center"/>
              <w:rPr>
                <w:color w:val="000000"/>
              </w:rPr>
            </w:pPr>
            <w:r>
              <w:rPr>
                <w:color w:val="000000"/>
              </w:rPr>
              <w:t>0.1845</w:t>
            </w:r>
          </w:p>
        </w:tc>
        <w:tc>
          <w:tcPr>
            <w:tcW w:w="1080" w:type="dxa"/>
            <w:tcBorders>
              <w:top w:val="nil"/>
              <w:left w:val="nil"/>
              <w:bottom w:val="single" w:sz="4" w:space="0" w:color="auto"/>
              <w:right w:val="single" w:sz="4" w:space="0" w:color="auto"/>
            </w:tcBorders>
            <w:shd w:val="clear" w:color="auto" w:fill="auto"/>
            <w:noWrap/>
            <w:vAlign w:val="bottom"/>
            <w:hideMark/>
          </w:tcPr>
          <w:p w14:paraId="1D2BB88B" w14:textId="77777777" w:rsidR="00E40E76" w:rsidRDefault="00E40E76">
            <w:pPr>
              <w:jc w:val="center"/>
              <w:rPr>
                <w:color w:val="000000"/>
              </w:rPr>
            </w:pPr>
            <w:r>
              <w:rPr>
                <w:color w:val="000000"/>
              </w:rPr>
              <w:t>4.8811</w:t>
            </w:r>
          </w:p>
        </w:tc>
      </w:tr>
      <w:tr w:rsidR="00E40E76" w14:paraId="04B46BC6"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A61396A" w14:textId="77777777" w:rsidR="00E40E76" w:rsidRDefault="00E40E76">
            <w:pPr>
              <w:jc w:val="center"/>
              <w:rPr>
                <w:color w:val="000000"/>
              </w:rPr>
            </w:pPr>
            <w:r>
              <w:rPr>
                <w:color w:val="000000"/>
              </w:rPr>
              <w:t>Yb</w:t>
            </w:r>
          </w:p>
        </w:tc>
        <w:tc>
          <w:tcPr>
            <w:tcW w:w="1080" w:type="dxa"/>
            <w:tcBorders>
              <w:top w:val="nil"/>
              <w:left w:val="nil"/>
              <w:bottom w:val="single" w:sz="4" w:space="0" w:color="auto"/>
              <w:right w:val="single" w:sz="4" w:space="0" w:color="auto"/>
            </w:tcBorders>
            <w:shd w:val="clear" w:color="auto" w:fill="auto"/>
            <w:noWrap/>
            <w:vAlign w:val="bottom"/>
            <w:hideMark/>
          </w:tcPr>
          <w:p w14:paraId="2EE48B6C" w14:textId="77777777" w:rsidR="00E40E76" w:rsidRDefault="00E40E76">
            <w:pPr>
              <w:jc w:val="center"/>
              <w:rPr>
                <w:color w:val="000000"/>
              </w:rPr>
            </w:pPr>
            <w:r>
              <w:rPr>
                <w:color w:val="000000"/>
              </w:rPr>
              <w:t>2.6378</w:t>
            </w:r>
          </w:p>
        </w:tc>
        <w:tc>
          <w:tcPr>
            <w:tcW w:w="1080" w:type="dxa"/>
            <w:tcBorders>
              <w:top w:val="nil"/>
              <w:left w:val="nil"/>
              <w:bottom w:val="single" w:sz="4" w:space="0" w:color="auto"/>
              <w:right w:val="single" w:sz="4" w:space="0" w:color="auto"/>
            </w:tcBorders>
            <w:shd w:val="clear" w:color="auto" w:fill="auto"/>
            <w:noWrap/>
            <w:vAlign w:val="bottom"/>
            <w:hideMark/>
          </w:tcPr>
          <w:p w14:paraId="10C58800" w14:textId="77777777" w:rsidR="00E40E76" w:rsidRDefault="00E40E76">
            <w:pPr>
              <w:jc w:val="center"/>
              <w:rPr>
                <w:color w:val="000000"/>
              </w:rPr>
            </w:pPr>
            <w:r>
              <w:rPr>
                <w:color w:val="000000"/>
              </w:rPr>
              <w:t>16.2325</w:t>
            </w:r>
          </w:p>
        </w:tc>
        <w:tc>
          <w:tcPr>
            <w:tcW w:w="1080" w:type="dxa"/>
            <w:tcBorders>
              <w:top w:val="nil"/>
              <w:left w:val="nil"/>
              <w:bottom w:val="single" w:sz="4" w:space="0" w:color="auto"/>
              <w:right w:val="single" w:sz="4" w:space="0" w:color="auto"/>
            </w:tcBorders>
            <w:shd w:val="clear" w:color="auto" w:fill="auto"/>
            <w:noWrap/>
            <w:vAlign w:val="bottom"/>
            <w:hideMark/>
          </w:tcPr>
          <w:p w14:paraId="04FF32B5" w14:textId="77777777" w:rsidR="00E40E76" w:rsidRDefault="00E40E76">
            <w:pPr>
              <w:jc w:val="center"/>
              <w:rPr>
                <w:color w:val="000000"/>
              </w:rPr>
            </w:pPr>
            <w:r>
              <w:rPr>
                <w:color w:val="000000"/>
              </w:rPr>
              <w:t>1.2686</w:t>
            </w:r>
          </w:p>
        </w:tc>
        <w:tc>
          <w:tcPr>
            <w:tcW w:w="1080" w:type="dxa"/>
            <w:tcBorders>
              <w:top w:val="nil"/>
              <w:left w:val="nil"/>
              <w:bottom w:val="single" w:sz="4" w:space="0" w:color="auto"/>
              <w:right w:val="single" w:sz="4" w:space="0" w:color="auto"/>
            </w:tcBorders>
            <w:shd w:val="clear" w:color="auto" w:fill="auto"/>
            <w:noWrap/>
            <w:vAlign w:val="bottom"/>
            <w:hideMark/>
          </w:tcPr>
          <w:p w14:paraId="4D4900E7" w14:textId="77777777" w:rsidR="00E40E76" w:rsidRDefault="00E40E76">
            <w:pPr>
              <w:jc w:val="center"/>
              <w:rPr>
                <w:color w:val="000000"/>
              </w:rPr>
            </w:pPr>
            <w:r>
              <w:rPr>
                <w:color w:val="000000"/>
              </w:rPr>
              <w:t>7.8070</w:t>
            </w:r>
          </w:p>
        </w:tc>
      </w:tr>
      <w:tr w:rsidR="00E40E76" w14:paraId="259241A1"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89733D8" w14:textId="77777777" w:rsidR="00E40E76" w:rsidRDefault="00E40E76">
            <w:pPr>
              <w:jc w:val="center"/>
              <w:rPr>
                <w:color w:val="000000"/>
              </w:rPr>
            </w:pPr>
            <w:r>
              <w:rPr>
                <w:color w:val="000000"/>
              </w:rPr>
              <w:t>Lu</w:t>
            </w:r>
          </w:p>
        </w:tc>
        <w:tc>
          <w:tcPr>
            <w:tcW w:w="1080" w:type="dxa"/>
            <w:tcBorders>
              <w:top w:val="nil"/>
              <w:left w:val="nil"/>
              <w:bottom w:val="single" w:sz="4" w:space="0" w:color="auto"/>
              <w:right w:val="single" w:sz="4" w:space="0" w:color="auto"/>
            </w:tcBorders>
            <w:shd w:val="clear" w:color="auto" w:fill="auto"/>
            <w:noWrap/>
            <w:vAlign w:val="bottom"/>
            <w:hideMark/>
          </w:tcPr>
          <w:p w14:paraId="7BAC9FAF" w14:textId="77777777" w:rsidR="00E40E76" w:rsidRDefault="00E40E76">
            <w:pPr>
              <w:jc w:val="center"/>
              <w:rPr>
                <w:color w:val="000000"/>
              </w:rPr>
            </w:pPr>
            <w:r>
              <w:rPr>
                <w:color w:val="000000"/>
              </w:rPr>
              <w:t>0.4106</w:t>
            </w:r>
          </w:p>
        </w:tc>
        <w:tc>
          <w:tcPr>
            <w:tcW w:w="1080" w:type="dxa"/>
            <w:tcBorders>
              <w:top w:val="nil"/>
              <w:left w:val="nil"/>
              <w:bottom w:val="single" w:sz="4" w:space="0" w:color="auto"/>
              <w:right w:val="single" w:sz="4" w:space="0" w:color="auto"/>
            </w:tcBorders>
            <w:shd w:val="clear" w:color="auto" w:fill="auto"/>
            <w:noWrap/>
            <w:vAlign w:val="bottom"/>
            <w:hideMark/>
          </w:tcPr>
          <w:p w14:paraId="287701F3" w14:textId="77777777" w:rsidR="00E40E76" w:rsidRDefault="00E40E76">
            <w:pPr>
              <w:jc w:val="center"/>
              <w:rPr>
                <w:color w:val="000000"/>
              </w:rPr>
            </w:pPr>
            <w:r>
              <w:rPr>
                <w:color w:val="000000"/>
              </w:rPr>
              <w:t>16.8989</w:t>
            </w:r>
          </w:p>
        </w:tc>
        <w:tc>
          <w:tcPr>
            <w:tcW w:w="1080" w:type="dxa"/>
            <w:tcBorders>
              <w:top w:val="nil"/>
              <w:left w:val="nil"/>
              <w:bottom w:val="single" w:sz="4" w:space="0" w:color="auto"/>
              <w:right w:val="single" w:sz="4" w:space="0" w:color="auto"/>
            </w:tcBorders>
            <w:shd w:val="clear" w:color="auto" w:fill="auto"/>
            <w:noWrap/>
            <w:vAlign w:val="bottom"/>
            <w:hideMark/>
          </w:tcPr>
          <w:p w14:paraId="7892870A" w14:textId="77777777" w:rsidR="00E40E76" w:rsidRDefault="00E40E76">
            <w:pPr>
              <w:jc w:val="center"/>
              <w:rPr>
                <w:color w:val="000000"/>
              </w:rPr>
            </w:pPr>
            <w:r>
              <w:rPr>
                <w:color w:val="000000"/>
              </w:rPr>
              <w:t>0.1995</w:t>
            </w:r>
          </w:p>
        </w:tc>
        <w:tc>
          <w:tcPr>
            <w:tcW w:w="1080" w:type="dxa"/>
            <w:tcBorders>
              <w:top w:val="nil"/>
              <w:left w:val="nil"/>
              <w:bottom w:val="single" w:sz="4" w:space="0" w:color="auto"/>
              <w:right w:val="single" w:sz="4" w:space="0" w:color="auto"/>
            </w:tcBorders>
            <w:shd w:val="clear" w:color="auto" w:fill="auto"/>
            <w:noWrap/>
            <w:vAlign w:val="bottom"/>
            <w:hideMark/>
          </w:tcPr>
          <w:p w14:paraId="28537A94" w14:textId="77777777" w:rsidR="00E40E76" w:rsidRDefault="00E40E76">
            <w:pPr>
              <w:jc w:val="center"/>
              <w:rPr>
                <w:color w:val="000000"/>
              </w:rPr>
            </w:pPr>
            <w:r>
              <w:rPr>
                <w:color w:val="000000"/>
              </w:rPr>
              <w:t>8.2108</w:t>
            </w:r>
          </w:p>
        </w:tc>
      </w:tr>
      <w:tr w:rsidR="00E40E76" w14:paraId="6915410C"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6EC8A5D" w14:textId="77777777" w:rsidR="00E40E76" w:rsidRDefault="00E40E76">
            <w:pPr>
              <w:jc w:val="center"/>
              <w:rPr>
                <w:color w:val="000000"/>
              </w:rPr>
            </w:pPr>
            <w:r>
              <w:rPr>
                <w:color w:val="000000"/>
              </w:rPr>
              <w:t>Hf</w:t>
            </w:r>
          </w:p>
        </w:tc>
        <w:tc>
          <w:tcPr>
            <w:tcW w:w="1080" w:type="dxa"/>
            <w:tcBorders>
              <w:top w:val="nil"/>
              <w:left w:val="nil"/>
              <w:bottom w:val="single" w:sz="4" w:space="0" w:color="auto"/>
              <w:right w:val="single" w:sz="4" w:space="0" w:color="auto"/>
            </w:tcBorders>
            <w:shd w:val="clear" w:color="auto" w:fill="auto"/>
            <w:noWrap/>
            <w:vAlign w:val="bottom"/>
            <w:hideMark/>
          </w:tcPr>
          <w:p w14:paraId="6B84F98F" w14:textId="77777777" w:rsidR="00E40E76" w:rsidRDefault="00E40E76">
            <w:pPr>
              <w:jc w:val="center"/>
              <w:rPr>
                <w:color w:val="000000"/>
              </w:rPr>
            </w:pPr>
            <w:r>
              <w:rPr>
                <w:color w:val="000000"/>
              </w:rPr>
              <w:t>2.8368</w:t>
            </w:r>
          </w:p>
        </w:tc>
        <w:tc>
          <w:tcPr>
            <w:tcW w:w="1080" w:type="dxa"/>
            <w:tcBorders>
              <w:top w:val="nil"/>
              <w:left w:val="nil"/>
              <w:bottom w:val="single" w:sz="4" w:space="0" w:color="auto"/>
              <w:right w:val="single" w:sz="4" w:space="0" w:color="auto"/>
            </w:tcBorders>
            <w:shd w:val="clear" w:color="auto" w:fill="auto"/>
            <w:noWrap/>
            <w:vAlign w:val="bottom"/>
            <w:hideMark/>
          </w:tcPr>
          <w:p w14:paraId="6766D2D1" w14:textId="77777777" w:rsidR="00E40E76" w:rsidRDefault="00E40E76">
            <w:pPr>
              <w:jc w:val="center"/>
              <w:rPr>
                <w:color w:val="000000"/>
              </w:rPr>
            </w:pPr>
            <w:r>
              <w:rPr>
                <w:color w:val="000000"/>
              </w:rPr>
              <w:t>27.2766</w:t>
            </w:r>
          </w:p>
        </w:tc>
        <w:tc>
          <w:tcPr>
            <w:tcW w:w="1080" w:type="dxa"/>
            <w:tcBorders>
              <w:top w:val="nil"/>
              <w:left w:val="nil"/>
              <w:bottom w:val="single" w:sz="4" w:space="0" w:color="auto"/>
              <w:right w:val="single" w:sz="4" w:space="0" w:color="auto"/>
            </w:tcBorders>
            <w:shd w:val="clear" w:color="auto" w:fill="auto"/>
            <w:noWrap/>
            <w:vAlign w:val="bottom"/>
            <w:hideMark/>
          </w:tcPr>
          <w:p w14:paraId="6EB27D1B" w14:textId="77777777" w:rsidR="00E40E76" w:rsidRDefault="00E40E76">
            <w:pPr>
              <w:jc w:val="center"/>
              <w:rPr>
                <w:color w:val="000000"/>
              </w:rPr>
            </w:pPr>
            <w:r>
              <w:rPr>
                <w:color w:val="000000"/>
              </w:rPr>
              <w:t>0.5482</w:t>
            </w:r>
          </w:p>
        </w:tc>
        <w:tc>
          <w:tcPr>
            <w:tcW w:w="1080" w:type="dxa"/>
            <w:tcBorders>
              <w:top w:val="nil"/>
              <w:left w:val="nil"/>
              <w:bottom w:val="single" w:sz="4" w:space="0" w:color="auto"/>
              <w:right w:val="single" w:sz="4" w:space="0" w:color="auto"/>
            </w:tcBorders>
            <w:shd w:val="clear" w:color="auto" w:fill="auto"/>
            <w:noWrap/>
            <w:vAlign w:val="bottom"/>
            <w:hideMark/>
          </w:tcPr>
          <w:p w14:paraId="50766533" w14:textId="77777777" w:rsidR="00E40E76" w:rsidRDefault="00E40E76">
            <w:pPr>
              <w:jc w:val="center"/>
              <w:rPr>
                <w:color w:val="000000"/>
              </w:rPr>
            </w:pPr>
            <w:r>
              <w:rPr>
                <w:color w:val="000000"/>
              </w:rPr>
              <w:t>5.2710</w:t>
            </w:r>
          </w:p>
        </w:tc>
      </w:tr>
      <w:tr w:rsidR="00E40E76" w14:paraId="23A47D28"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F6D5C4C" w14:textId="77777777" w:rsidR="00E40E76" w:rsidRDefault="00E40E76">
            <w:pPr>
              <w:jc w:val="center"/>
              <w:rPr>
                <w:color w:val="000000"/>
              </w:rPr>
            </w:pPr>
            <w:r>
              <w:rPr>
                <w:color w:val="000000"/>
              </w:rPr>
              <w:t>Lu/Hf</w:t>
            </w:r>
          </w:p>
        </w:tc>
        <w:tc>
          <w:tcPr>
            <w:tcW w:w="1080" w:type="dxa"/>
            <w:tcBorders>
              <w:top w:val="nil"/>
              <w:left w:val="nil"/>
              <w:bottom w:val="single" w:sz="4" w:space="0" w:color="auto"/>
              <w:right w:val="single" w:sz="4" w:space="0" w:color="auto"/>
            </w:tcBorders>
            <w:shd w:val="clear" w:color="auto" w:fill="auto"/>
            <w:noWrap/>
            <w:vAlign w:val="bottom"/>
            <w:hideMark/>
          </w:tcPr>
          <w:p w14:paraId="517AC1E0" w14:textId="77777777" w:rsidR="00E40E76" w:rsidRDefault="00E40E76">
            <w:pPr>
              <w:jc w:val="center"/>
              <w:rPr>
                <w:color w:val="000000"/>
              </w:rPr>
            </w:pPr>
            <w:r>
              <w:rPr>
                <w:color w:val="000000"/>
              </w:rPr>
              <w:t>0.1448</w:t>
            </w:r>
          </w:p>
        </w:tc>
        <w:tc>
          <w:tcPr>
            <w:tcW w:w="1080" w:type="dxa"/>
            <w:tcBorders>
              <w:top w:val="nil"/>
              <w:left w:val="nil"/>
              <w:bottom w:val="single" w:sz="4" w:space="0" w:color="auto"/>
              <w:right w:val="single" w:sz="4" w:space="0" w:color="auto"/>
            </w:tcBorders>
            <w:shd w:val="clear" w:color="auto" w:fill="auto"/>
            <w:noWrap/>
            <w:vAlign w:val="bottom"/>
            <w:hideMark/>
          </w:tcPr>
          <w:p w14:paraId="6D6C885D" w14:textId="77777777" w:rsidR="00E40E76" w:rsidRDefault="00E40E76">
            <w:pPr>
              <w:jc w:val="center"/>
              <w:rPr>
                <w:color w:val="000000"/>
              </w:rPr>
            </w:pPr>
            <w:r>
              <w:rPr>
                <w:color w:val="000000"/>
              </w:rPr>
              <w:t>0.6195</w:t>
            </w:r>
          </w:p>
        </w:tc>
        <w:tc>
          <w:tcPr>
            <w:tcW w:w="1080" w:type="dxa"/>
            <w:tcBorders>
              <w:top w:val="nil"/>
              <w:left w:val="nil"/>
              <w:bottom w:val="single" w:sz="4" w:space="0" w:color="auto"/>
              <w:right w:val="single" w:sz="4" w:space="0" w:color="auto"/>
            </w:tcBorders>
            <w:shd w:val="clear" w:color="auto" w:fill="auto"/>
            <w:noWrap/>
            <w:vAlign w:val="bottom"/>
            <w:hideMark/>
          </w:tcPr>
          <w:p w14:paraId="77B83764" w14:textId="77777777" w:rsidR="00E40E76" w:rsidRDefault="00E40E76">
            <w:pPr>
              <w:jc w:val="center"/>
              <w:rPr>
                <w:color w:val="000000"/>
              </w:rPr>
            </w:pPr>
            <w:r>
              <w:rPr>
                <w:color w:val="000000"/>
              </w:rPr>
              <w:t>0.3640</w:t>
            </w:r>
          </w:p>
        </w:tc>
        <w:tc>
          <w:tcPr>
            <w:tcW w:w="1080" w:type="dxa"/>
            <w:tcBorders>
              <w:top w:val="nil"/>
              <w:left w:val="nil"/>
              <w:bottom w:val="single" w:sz="4" w:space="0" w:color="auto"/>
              <w:right w:val="single" w:sz="4" w:space="0" w:color="auto"/>
            </w:tcBorders>
            <w:shd w:val="clear" w:color="auto" w:fill="auto"/>
            <w:noWrap/>
            <w:vAlign w:val="bottom"/>
            <w:hideMark/>
          </w:tcPr>
          <w:p w14:paraId="7131EED6" w14:textId="77777777" w:rsidR="00E40E76" w:rsidRDefault="00E40E76">
            <w:pPr>
              <w:jc w:val="center"/>
              <w:rPr>
                <w:color w:val="000000"/>
              </w:rPr>
            </w:pPr>
            <w:r>
              <w:rPr>
                <w:color w:val="000000"/>
              </w:rPr>
              <w:t>1.5577</w:t>
            </w:r>
          </w:p>
        </w:tc>
      </w:tr>
      <w:tr w:rsidR="00E40E76" w14:paraId="6165BBF2"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8623348" w14:textId="77777777" w:rsidR="00E40E76" w:rsidRDefault="00E40E76">
            <w:pPr>
              <w:jc w:val="center"/>
              <w:rPr>
                <w:color w:val="000000"/>
              </w:rPr>
            </w:pPr>
            <w:r>
              <w:rPr>
                <w:color w:val="000000"/>
              </w:rPr>
              <w:t>Sm/Nd</w:t>
            </w:r>
          </w:p>
        </w:tc>
        <w:tc>
          <w:tcPr>
            <w:tcW w:w="1080" w:type="dxa"/>
            <w:tcBorders>
              <w:top w:val="nil"/>
              <w:left w:val="nil"/>
              <w:bottom w:val="single" w:sz="4" w:space="0" w:color="auto"/>
              <w:right w:val="single" w:sz="4" w:space="0" w:color="auto"/>
            </w:tcBorders>
            <w:shd w:val="clear" w:color="auto" w:fill="auto"/>
            <w:noWrap/>
            <w:vAlign w:val="bottom"/>
            <w:hideMark/>
          </w:tcPr>
          <w:p w14:paraId="6A56437F" w14:textId="77777777" w:rsidR="00E40E76" w:rsidRDefault="00E40E76">
            <w:pPr>
              <w:jc w:val="center"/>
              <w:rPr>
                <w:color w:val="000000"/>
              </w:rPr>
            </w:pPr>
            <w:r>
              <w:rPr>
                <w:color w:val="000000"/>
              </w:rPr>
              <w:t>0.4580</w:t>
            </w:r>
          </w:p>
        </w:tc>
        <w:tc>
          <w:tcPr>
            <w:tcW w:w="1080" w:type="dxa"/>
            <w:tcBorders>
              <w:top w:val="nil"/>
              <w:left w:val="nil"/>
              <w:bottom w:val="single" w:sz="4" w:space="0" w:color="auto"/>
              <w:right w:val="single" w:sz="4" w:space="0" w:color="auto"/>
            </w:tcBorders>
            <w:shd w:val="clear" w:color="auto" w:fill="auto"/>
            <w:noWrap/>
            <w:vAlign w:val="bottom"/>
            <w:hideMark/>
          </w:tcPr>
          <w:p w14:paraId="0A68402C" w14:textId="77777777" w:rsidR="00E40E76" w:rsidRDefault="00E40E76">
            <w:pPr>
              <w:jc w:val="center"/>
              <w:rPr>
                <w:color w:val="000000"/>
              </w:rPr>
            </w:pPr>
            <w:r>
              <w:rPr>
                <w:color w:val="000000"/>
              </w:rPr>
              <w:t>1.4085</w:t>
            </w:r>
          </w:p>
        </w:tc>
        <w:tc>
          <w:tcPr>
            <w:tcW w:w="1080" w:type="dxa"/>
            <w:tcBorders>
              <w:top w:val="nil"/>
              <w:left w:val="nil"/>
              <w:bottom w:val="single" w:sz="4" w:space="0" w:color="auto"/>
              <w:right w:val="single" w:sz="4" w:space="0" w:color="auto"/>
            </w:tcBorders>
            <w:shd w:val="clear" w:color="auto" w:fill="auto"/>
            <w:noWrap/>
            <w:vAlign w:val="bottom"/>
            <w:hideMark/>
          </w:tcPr>
          <w:p w14:paraId="5C729413" w14:textId="77777777" w:rsidR="00E40E76" w:rsidRDefault="00E40E76">
            <w:pPr>
              <w:jc w:val="center"/>
              <w:rPr>
                <w:color w:val="000000"/>
              </w:rPr>
            </w:pPr>
            <w:r>
              <w:rPr>
                <w:color w:val="000000"/>
              </w:rPr>
              <w:t>0.4404</w:t>
            </w:r>
          </w:p>
        </w:tc>
        <w:tc>
          <w:tcPr>
            <w:tcW w:w="1080" w:type="dxa"/>
            <w:tcBorders>
              <w:top w:val="nil"/>
              <w:left w:val="nil"/>
              <w:bottom w:val="single" w:sz="4" w:space="0" w:color="auto"/>
              <w:right w:val="single" w:sz="4" w:space="0" w:color="auto"/>
            </w:tcBorders>
            <w:shd w:val="clear" w:color="auto" w:fill="auto"/>
            <w:noWrap/>
            <w:vAlign w:val="bottom"/>
            <w:hideMark/>
          </w:tcPr>
          <w:p w14:paraId="32A790AB" w14:textId="77777777" w:rsidR="00E40E76" w:rsidRDefault="00E40E76">
            <w:pPr>
              <w:jc w:val="center"/>
              <w:rPr>
                <w:color w:val="000000"/>
              </w:rPr>
            </w:pPr>
            <w:r>
              <w:rPr>
                <w:color w:val="000000"/>
              </w:rPr>
              <w:t>1.3544</w:t>
            </w:r>
          </w:p>
        </w:tc>
      </w:tr>
      <w:tr w:rsidR="00E40E76" w14:paraId="6F814462"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6E82C3A" w14:textId="77777777" w:rsidR="00E40E76" w:rsidRDefault="00E40E76">
            <w:pPr>
              <w:jc w:val="center"/>
              <w:rPr>
                <w:color w:val="000000"/>
              </w:rPr>
            </w:pPr>
            <w:r>
              <w:rPr>
                <w:color w:val="000000"/>
              </w:rPr>
              <w:t>Yb/Sm</w:t>
            </w:r>
          </w:p>
        </w:tc>
        <w:tc>
          <w:tcPr>
            <w:tcW w:w="1080" w:type="dxa"/>
            <w:tcBorders>
              <w:top w:val="nil"/>
              <w:left w:val="nil"/>
              <w:bottom w:val="single" w:sz="4" w:space="0" w:color="auto"/>
              <w:right w:val="single" w:sz="4" w:space="0" w:color="auto"/>
            </w:tcBorders>
            <w:shd w:val="clear" w:color="auto" w:fill="auto"/>
            <w:noWrap/>
            <w:vAlign w:val="bottom"/>
            <w:hideMark/>
          </w:tcPr>
          <w:p w14:paraId="63F56377" w14:textId="77777777" w:rsidR="00E40E76" w:rsidRDefault="00E40E76">
            <w:pPr>
              <w:jc w:val="center"/>
              <w:rPr>
                <w:color w:val="000000"/>
              </w:rPr>
            </w:pPr>
            <w:r>
              <w:rPr>
                <w:color w:val="000000"/>
              </w:rPr>
              <w:t>1.6714</w:t>
            </w:r>
          </w:p>
        </w:tc>
        <w:tc>
          <w:tcPr>
            <w:tcW w:w="1080" w:type="dxa"/>
            <w:tcBorders>
              <w:top w:val="nil"/>
              <w:left w:val="nil"/>
              <w:bottom w:val="single" w:sz="4" w:space="0" w:color="auto"/>
              <w:right w:val="single" w:sz="4" w:space="0" w:color="auto"/>
            </w:tcBorders>
            <w:shd w:val="clear" w:color="auto" w:fill="auto"/>
            <w:noWrap/>
            <w:vAlign w:val="bottom"/>
            <w:hideMark/>
          </w:tcPr>
          <w:p w14:paraId="57F5C77D" w14:textId="77777777" w:rsidR="00E40E76" w:rsidRDefault="00E40E76">
            <w:pPr>
              <w:jc w:val="center"/>
              <w:rPr>
                <w:color w:val="000000"/>
              </w:rPr>
            </w:pPr>
            <w:r>
              <w:rPr>
                <w:color w:val="000000"/>
              </w:rPr>
              <w:t>1.5130</w:t>
            </w:r>
          </w:p>
        </w:tc>
        <w:tc>
          <w:tcPr>
            <w:tcW w:w="1080" w:type="dxa"/>
            <w:tcBorders>
              <w:top w:val="nil"/>
              <w:left w:val="nil"/>
              <w:bottom w:val="single" w:sz="4" w:space="0" w:color="auto"/>
              <w:right w:val="single" w:sz="4" w:space="0" w:color="auto"/>
            </w:tcBorders>
            <w:shd w:val="clear" w:color="auto" w:fill="auto"/>
            <w:noWrap/>
            <w:vAlign w:val="bottom"/>
            <w:hideMark/>
          </w:tcPr>
          <w:p w14:paraId="0AF2D889" w14:textId="77777777" w:rsidR="00E40E76" w:rsidRDefault="00E40E76">
            <w:pPr>
              <w:jc w:val="center"/>
              <w:rPr>
                <w:color w:val="000000"/>
              </w:rPr>
            </w:pPr>
            <w:r>
              <w:rPr>
                <w:color w:val="000000"/>
              </w:rPr>
              <w:t>2.3920</w:t>
            </w:r>
          </w:p>
        </w:tc>
        <w:tc>
          <w:tcPr>
            <w:tcW w:w="1080" w:type="dxa"/>
            <w:tcBorders>
              <w:top w:val="nil"/>
              <w:left w:val="nil"/>
              <w:bottom w:val="single" w:sz="4" w:space="0" w:color="auto"/>
              <w:right w:val="single" w:sz="4" w:space="0" w:color="auto"/>
            </w:tcBorders>
            <w:shd w:val="clear" w:color="auto" w:fill="auto"/>
            <w:noWrap/>
            <w:vAlign w:val="bottom"/>
            <w:hideMark/>
          </w:tcPr>
          <w:p w14:paraId="2169B63F" w14:textId="77777777" w:rsidR="00E40E76" w:rsidRDefault="00E40E76">
            <w:pPr>
              <w:jc w:val="center"/>
              <w:rPr>
                <w:color w:val="000000"/>
              </w:rPr>
            </w:pPr>
            <w:r>
              <w:rPr>
                <w:color w:val="000000"/>
              </w:rPr>
              <w:t>2.1653</w:t>
            </w:r>
          </w:p>
        </w:tc>
      </w:tr>
      <w:tr w:rsidR="00E40E76" w14:paraId="2D802F05" w14:textId="77777777" w:rsidTr="00E40E76">
        <w:trPr>
          <w:trHeight w:val="32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D2957F7" w14:textId="77777777" w:rsidR="00E40E76" w:rsidRDefault="00E40E76">
            <w:pPr>
              <w:jc w:val="center"/>
              <w:rPr>
                <w:color w:val="000000"/>
              </w:rPr>
            </w:pPr>
            <w:r>
              <w:rPr>
                <w:color w:val="000000"/>
              </w:rPr>
              <w:t>Ce/Sm</w:t>
            </w:r>
          </w:p>
        </w:tc>
        <w:tc>
          <w:tcPr>
            <w:tcW w:w="1080" w:type="dxa"/>
            <w:tcBorders>
              <w:top w:val="nil"/>
              <w:left w:val="nil"/>
              <w:bottom w:val="single" w:sz="4" w:space="0" w:color="auto"/>
              <w:right w:val="single" w:sz="4" w:space="0" w:color="auto"/>
            </w:tcBorders>
            <w:shd w:val="clear" w:color="auto" w:fill="auto"/>
            <w:noWrap/>
            <w:vAlign w:val="bottom"/>
            <w:hideMark/>
          </w:tcPr>
          <w:p w14:paraId="46207C04" w14:textId="77777777" w:rsidR="00E40E76" w:rsidRDefault="00E40E76">
            <w:pPr>
              <w:jc w:val="center"/>
              <w:rPr>
                <w:color w:val="000000"/>
              </w:rPr>
            </w:pPr>
            <w:r>
              <w:rPr>
                <w:color w:val="000000"/>
              </w:rPr>
              <w:t>1.8460</w:t>
            </w:r>
          </w:p>
        </w:tc>
        <w:tc>
          <w:tcPr>
            <w:tcW w:w="1080" w:type="dxa"/>
            <w:tcBorders>
              <w:top w:val="nil"/>
              <w:left w:val="nil"/>
              <w:bottom w:val="single" w:sz="4" w:space="0" w:color="auto"/>
              <w:right w:val="single" w:sz="4" w:space="0" w:color="auto"/>
            </w:tcBorders>
            <w:shd w:val="clear" w:color="auto" w:fill="auto"/>
            <w:noWrap/>
            <w:vAlign w:val="bottom"/>
            <w:hideMark/>
          </w:tcPr>
          <w:p w14:paraId="674284C3" w14:textId="77777777" w:rsidR="00E40E76" w:rsidRDefault="00E40E76">
            <w:pPr>
              <w:jc w:val="center"/>
              <w:rPr>
                <w:color w:val="000000"/>
              </w:rPr>
            </w:pPr>
            <w:r>
              <w:rPr>
                <w:color w:val="000000"/>
              </w:rPr>
              <w:t>0.4502</w:t>
            </w:r>
          </w:p>
        </w:tc>
        <w:tc>
          <w:tcPr>
            <w:tcW w:w="1080" w:type="dxa"/>
            <w:tcBorders>
              <w:top w:val="nil"/>
              <w:left w:val="nil"/>
              <w:bottom w:val="single" w:sz="4" w:space="0" w:color="auto"/>
              <w:right w:val="single" w:sz="4" w:space="0" w:color="auto"/>
            </w:tcBorders>
            <w:shd w:val="clear" w:color="auto" w:fill="auto"/>
            <w:noWrap/>
            <w:vAlign w:val="bottom"/>
            <w:hideMark/>
          </w:tcPr>
          <w:p w14:paraId="7DEC0879" w14:textId="77777777" w:rsidR="00E40E76" w:rsidRDefault="00E40E76">
            <w:pPr>
              <w:jc w:val="center"/>
              <w:rPr>
                <w:color w:val="000000"/>
              </w:rPr>
            </w:pPr>
            <w:r>
              <w:rPr>
                <w:color w:val="000000"/>
              </w:rPr>
              <w:t>1.9104</w:t>
            </w:r>
          </w:p>
        </w:tc>
        <w:tc>
          <w:tcPr>
            <w:tcW w:w="1080" w:type="dxa"/>
            <w:tcBorders>
              <w:top w:val="nil"/>
              <w:left w:val="nil"/>
              <w:bottom w:val="single" w:sz="4" w:space="0" w:color="auto"/>
              <w:right w:val="single" w:sz="4" w:space="0" w:color="auto"/>
            </w:tcBorders>
            <w:shd w:val="clear" w:color="auto" w:fill="auto"/>
            <w:noWrap/>
            <w:vAlign w:val="bottom"/>
            <w:hideMark/>
          </w:tcPr>
          <w:p w14:paraId="630E0FC7" w14:textId="77777777" w:rsidR="00E40E76" w:rsidRDefault="00E40E76">
            <w:pPr>
              <w:jc w:val="center"/>
              <w:rPr>
                <w:color w:val="000000"/>
              </w:rPr>
            </w:pPr>
            <w:r>
              <w:rPr>
                <w:color w:val="000000"/>
              </w:rPr>
              <w:t>0.4659</w:t>
            </w:r>
          </w:p>
        </w:tc>
      </w:tr>
    </w:tbl>
    <w:p w14:paraId="1E70B721" w14:textId="77777777" w:rsidR="00015213" w:rsidRPr="00557062" w:rsidRDefault="00015213" w:rsidP="00015213">
      <w:pPr>
        <w:rPr>
          <w:color w:val="000000" w:themeColor="text1"/>
        </w:rPr>
      </w:pPr>
      <w:r w:rsidRPr="00820AC8">
        <w:rPr>
          <w:color w:val="000000" w:themeColor="text1"/>
        </w:rPr>
        <w:t>Layer #1: 0-51% LMO solidification, Layer #2: 51-78% LMO solidification, Layer #3: 78-81% LMO solidification, Layer #4: 81-95% LMO solidification, Layer #5: 95-98% LMO solidification, Layer #6: 98-100% LMO solidification.</w:t>
      </w:r>
    </w:p>
    <w:p w14:paraId="652E30F2" w14:textId="77777777" w:rsidR="00015213" w:rsidRPr="00557062" w:rsidRDefault="00015213" w:rsidP="00015213">
      <w:pPr>
        <w:rPr>
          <w:color w:val="000000" w:themeColor="text1"/>
        </w:rPr>
      </w:pPr>
      <w:r w:rsidRPr="00820AC8">
        <w:rPr>
          <w:color w:val="000000" w:themeColor="text1"/>
        </w:rPr>
        <w:t xml:space="preserve">CN indicates the chondrite normalized values. The CI Chondrite composition reported by Anders and Grevesse (1989) was used for normalization calculations. </w:t>
      </w:r>
    </w:p>
    <w:p w14:paraId="3818AA74" w14:textId="77777777" w:rsidR="00015213" w:rsidRPr="00557062" w:rsidRDefault="00015213" w:rsidP="00015213">
      <w:pPr>
        <w:rPr>
          <w:color w:val="000000" w:themeColor="text1"/>
        </w:rPr>
      </w:pPr>
      <w:r w:rsidRPr="00820AC8">
        <w:rPr>
          <w:color w:val="000000" w:themeColor="text1"/>
        </w:rPr>
        <w:t>IBC #1 represents the composition of IBC material (i.e., average of LMO cumulate compositions from 98-99.5% solidification) assuming no pre-overturn mixing.</w:t>
      </w:r>
    </w:p>
    <w:p w14:paraId="55BD2087" w14:textId="77777777" w:rsidR="0043680A" w:rsidRDefault="00015213" w:rsidP="00015213">
      <w:pPr>
        <w:rPr>
          <w:color w:val="000000" w:themeColor="text1"/>
        </w:rPr>
      </w:pPr>
      <w:r w:rsidRPr="00820AC8">
        <w:rPr>
          <w:color w:val="000000" w:themeColor="text1"/>
        </w:rPr>
        <w:t>IBC #2 represents the composition of IBC material assuming the upper 100 km of the lunar mantle experienced pre-overturn mixing.</w:t>
      </w:r>
    </w:p>
    <w:p w14:paraId="30887C71" w14:textId="1A7B8B8F" w:rsidR="0043680A" w:rsidRDefault="0043680A">
      <w:pPr>
        <w:rPr>
          <w:color w:val="000000" w:themeColor="text1"/>
        </w:rPr>
      </w:pPr>
      <w:r>
        <w:rPr>
          <w:color w:val="000000" w:themeColor="text1"/>
        </w:rPr>
        <w:br w:type="page"/>
      </w:r>
    </w:p>
    <w:p w14:paraId="08B39616" w14:textId="77777777" w:rsidR="0043680A" w:rsidRDefault="0043680A" w:rsidP="0043680A">
      <w:pPr>
        <w:rPr>
          <w:b/>
          <w:bCs/>
        </w:rPr>
      </w:pPr>
      <w:r>
        <w:rPr>
          <w:b/>
          <w:bCs/>
          <w:noProof/>
        </w:rPr>
        <w:lastRenderedPageBreak/>
        <w:drawing>
          <wp:inline distT="0" distB="0" distL="0" distR="0" wp14:anchorId="237342AF" wp14:editId="17D1F2BE">
            <wp:extent cx="5486400" cy="2205355"/>
            <wp:effectExtent l="0" t="0" r="0" b="4445"/>
            <wp:docPr id="1272550872" name="Picture 42" descr="A diagram of different types of liquid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168481" name="Picture 42" descr="A diagram of different types of liquid flow&#10;&#10;Description automatically generated"/>
                    <pic:cNvPicPr/>
                  </pic:nvPicPr>
                  <pic:blipFill>
                    <a:blip r:embed="rId192" cstate="print">
                      <a:extLst>
                        <a:ext uri="{28A0092B-C50C-407E-A947-70E740481C1C}">
                          <a14:useLocalDpi xmlns:a14="http://schemas.microsoft.com/office/drawing/2010/main" val="0"/>
                        </a:ext>
                      </a:extLst>
                    </a:blip>
                    <a:stretch>
                      <a:fillRect/>
                    </a:stretch>
                  </pic:blipFill>
                  <pic:spPr>
                    <a:xfrm>
                      <a:off x="0" y="0"/>
                      <a:ext cx="5486400" cy="2205355"/>
                    </a:xfrm>
                    <a:prstGeom prst="rect">
                      <a:avLst/>
                    </a:prstGeom>
                  </pic:spPr>
                </pic:pic>
              </a:graphicData>
            </a:graphic>
          </wp:inline>
        </w:drawing>
      </w:r>
    </w:p>
    <w:p w14:paraId="6C917646" w14:textId="77777777" w:rsidR="0043680A" w:rsidRPr="00C82FDA" w:rsidRDefault="0043680A" w:rsidP="0043680A">
      <w:pPr>
        <w:pStyle w:val="FigureCaption"/>
      </w:pPr>
      <w:bookmarkStart w:id="263" w:name="_Toc185263419"/>
      <w:r w:rsidRPr="002B3EB5">
        <w:rPr>
          <w:b/>
          <w:bCs/>
        </w:rPr>
        <w:t>Figure 2.2.</w:t>
      </w:r>
      <w:r w:rsidRPr="00C82FDA">
        <w:t xml:space="preserve"> </w:t>
      </w:r>
      <w:r w:rsidRPr="008D1AEB">
        <w:t>Trace element comparison between evolving magma ocean cumulates, lunar picritic glasses, and lunar KREEP basalts. (a) Modeled evolution of LMO cumulates assuming different plagioclase floatation efficiencies. Note the Eu anomaly sign and magnitude depend on the efficiency of plagioclase flotation and assumed ƒO</w:t>
      </w:r>
      <w:r w:rsidRPr="008D1AEB">
        <w:rPr>
          <w:vertAlign w:val="subscript"/>
        </w:rPr>
        <w:t>2</w:t>
      </w:r>
      <w:r w:rsidRPr="008D1AEB">
        <w:t xml:space="preserve"> conditions in the LMO. Here, we assume the ƒO</w:t>
      </w:r>
      <w:r w:rsidRPr="008D1AEB">
        <w:rPr>
          <w:vertAlign w:val="subscript"/>
        </w:rPr>
        <w:t>2</w:t>
      </w:r>
      <w:r w:rsidRPr="008D1AEB">
        <w:t xml:space="preserve"> is IW. (b) Comparison of modeled LMO residual liquids and the compositional ranges of picritic glasses and KREEP basalts. Low-degree partial melt of LMO cumulate layer #6 (i.e., the IBC layer assuming 90% plagioclase floatation) is plotted to show the effect of partial melting on REE trends (also see Figure 2.4). Note that KREEP basalts and many glasses have steeper REE patterns than the LMO residual liquids, suggesting their KREEPy signature cannot result from the direct assimilation of an LMO residual liquid. Partial melting of KREEPy LMO cumulates increases the slope of the REE pattern (dashed gray line), better fitting lunar basalts and suggesting basalt sources contained a KREEP-bearing solid component that precipitated from the late-stage LMO. Partial melting models are discussed further in sections (2.2.4.) and (2.2.5.). Low-Ti picritic glasses: very low-Ti (VLT) glass &amp; green glass groups; Intermediate-Ti picritic glasses: yellow glass group; High-Ti picritic glasses: orange glass, red glass, &amp; black glass groups. The intermediate-Ti and high-Ti picritic glasses are plotted together to declutter the plot as there is significant overlap in their trace element compositions. Lunar picritic glass </w:t>
      </w:r>
      <w:r>
        <w:t>data was</w:t>
      </w:r>
      <w:r w:rsidRPr="008D1AEB">
        <w:t xml:space="preserve"> compiled from</w:t>
      </w:r>
      <w:r>
        <w:t>:</w:t>
      </w:r>
      <w:r w:rsidRPr="008D1AEB">
        <w:t xml:space="preserve"> Hughes et al., 1990; Shearer et al., 1991; Shearer and Papike, 1993; McIntosh et al., 2024</w:t>
      </w:r>
      <w:r>
        <w:t>.</w:t>
      </w:r>
      <w:r w:rsidRPr="008D1AEB">
        <w:t xml:space="preserve"> </w:t>
      </w:r>
      <w:r>
        <w:t>L</w:t>
      </w:r>
      <w:r w:rsidRPr="008D1AEB">
        <w:t xml:space="preserve">unar KREEP basalt </w:t>
      </w:r>
      <w:r>
        <w:t>data was</w:t>
      </w:r>
      <w:r w:rsidRPr="008D1AEB">
        <w:t xml:space="preserve"> compiled from</w:t>
      </w:r>
      <w:r>
        <w:t xml:space="preserve">: </w:t>
      </w:r>
      <w:r w:rsidRPr="008D1AEB">
        <w:t>Neal and Krammer, 2003; Hallis et al., 2014; Borg et al., 2019.</w:t>
      </w:r>
      <w:bookmarkEnd w:id="263"/>
      <w:r w:rsidRPr="00C82FDA">
        <w:t xml:space="preserve"> </w:t>
      </w:r>
    </w:p>
    <w:p w14:paraId="10A5BF60" w14:textId="69C92F58" w:rsidR="0043680A" w:rsidRDefault="0043680A">
      <w:pPr>
        <w:rPr>
          <w:color w:val="000000" w:themeColor="text1"/>
        </w:rPr>
      </w:pPr>
      <w:r>
        <w:rPr>
          <w:color w:val="000000" w:themeColor="text1"/>
        </w:rPr>
        <w:br w:type="page"/>
      </w:r>
    </w:p>
    <w:p w14:paraId="662A225A" w14:textId="7974B94C" w:rsidR="0043680A" w:rsidRDefault="0043680A" w:rsidP="0043680A">
      <w:pPr>
        <w:jc w:val="center"/>
        <w:rPr>
          <w:color w:val="000000" w:themeColor="text1"/>
        </w:rPr>
      </w:pPr>
      <w:r>
        <w:rPr>
          <w:b/>
          <w:bCs/>
          <w:noProof/>
        </w:rPr>
        <w:lastRenderedPageBreak/>
        <w:drawing>
          <wp:inline distT="0" distB="0" distL="0" distR="0" wp14:anchorId="0DF59A50" wp14:editId="44062ACB">
            <wp:extent cx="3959267" cy="6121400"/>
            <wp:effectExtent l="0" t="0" r="3175" b="0"/>
            <wp:docPr id="1277562168" name="Picture 43" descr="A diagram of a rock 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970415" name="Picture 43" descr="A diagram of a rock formation&#10;&#10;Description automatically generated with medium confidence"/>
                    <pic:cNvPicPr/>
                  </pic:nvPicPr>
                  <pic:blipFill>
                    <a:blip r:embed="rId193" cstate="print">
                      <a:extLst>
                        <a:ext uri="{28A0092B-C50C-407E-A947-70E740481C1C}">
                          <a14:useLocalDpi xmlns:a14="http://schemas.microsoft.com/office/drawing/2010/main" val="0"/>
                        </a:ext>
                      </a:extLst>
                    </a:blip>
                    <a:stretch>
                      <a:fillRect/>
                    </a:stretch>
                  </pic:blipFill>
                  <pic:spPr>
                    <a:xfrm>
                      <a:off x="0" y="0"/>
                      <a:ext cx="3979379" cy="6152495"/>
                    </a:xfrm>
                    <a:prstGeom prst="rect">
                      <a:avLst/>
                    </a:prstGeom>
                  </pic:spPr>
                </pic:pic>
              </a:graphicData>
            </a:graphic>
          </wp:inline>
        </w:drawing>
      </w:r>
    </w:p>
    <w:p w14:paraId="720602FA" w14:textId="66902C73" w:rsidR="00015213" w:rsidRDefault="0043680A" w:rsidP="001C68F0">
      <w:pPr>
        <w:pStyle w:val="FigureCaption"/>
      </w:pPr>
      <w:bookmarkStart w:id="264" w:name="_Toc182944863"/>
      <w:bookmarkStart w:id="265" w:name="_Toc183019410"/>
      <w:bookmarkStart w:id="266" w:name="_Toc185263420"/>
      <w:r w:rsidRPr="00F3476E">
        <w:rPr>
          <w:b/>
          <w:bCs/>
        </w:rPr>
        <w:t>Figure 2.3.</w:t>
      </w:r>
      <w:r w:rsidRPr="00557062">
        <w:t xml:space="preserve"> </w:t>
      </w:r>
      <w:r w:rsidRPr="008D1AEB">
        <w:t>Evolution of LMO residual melt and cumulates during fractional crystallization of the LMO compared to picritic lunar glass and basalt compositions. The color and texture of the trend lines indicate plagioclase floatation efficiency. (Lu/Hf)</w:t>
      </w:r>
      <w:r w:rsidRPr="008D1AEB">
        <w:rPr>
          <w:vertAlign w:val="subscript"/>
        </w:rPr>
        <w:t>N</w:t>
      </w:r>
      <w:r w:rsidRPr="008D1AEB">
        <w:t xml:space="preserve"> and (Sm/Nd)</w:t>
      </w:r>
      <w:r w:rsidRPr="008D1AEB">
        <w:rPr>
          <w:vertAlign w:val="subscript"/>
        </w:rPr>
        <w:t>N</w:t>
      </w:r>
      <w:r w:rsidRPr="008D1AEB">
        <w:t xml:space="preserve"> are chondrite normalized ratios. References for lunar sample compositions can be found in Figure 2.2. Low-Ti picritic glasses: VLT glass &amp; green glass groups. Percent LMO solidification (PCS), Early Magma Ocean Cumulate (EMOC), Ilmenite-Bearing Cumulate (IBC). These models indicate that the theoretical IBC layer would exhibit similar (Lu/Hf)</w:t>
      </w:r>
      <w:r w:rsidRPr="008D1AEB">
        <w:rPr>
          <w:vertAlign w:val="subscript"/>
        </w:rPr>
        <w:t>N</w:t>
      </w:r>
      <w:r w:rsidRPr="008D1AEB">
        <w:t xml:space="preserve"> ratios to the intermediate to high-Ti lunar picritic glasses (i.e., yellow, orange, red, and black glasses) while the earliest LMO cumulates plot far from all lunar picritic glass groups.</w:t>
      </w:r>
      <w:bookmarkEnd w:id="264"/>
      <w:bookmarkEnd w:id="265"/>
      <w:bookmarkEnd w:id="266"/>
      <w:r w:rsidR="00015213">
        <w:br w:type="page"/>
      </w:r>
    </w:p>
    <w:p w14:paraId="50C910ED" w14:textId="77777777" w:rsidR="00CB7ADA" w:rsidRPr="00557062" w:rsidRDefault="00CB7ADA" w:rsidP="006E67B1">
      <w:pPr>
        <w:pStyle w:val="Heading3"/>
      </w:pPr>
      <w:bookmarkStart w:id="267" w:name="_Toc182995476"/>
      <w:bookmarkStart w:id="268" w:name="_Toc183536593"/>
      <w:bookmarkStart w:id="269" w:name="_Toc184727397"/>
      <w:bookmarkStart w:id="270" w:name="_Toc185325644"/>
      <w:r w:rsidRPr="00557062">
        <w:lastRenderedPageBreak/>
        <w:t>Eu anomalies of LMO cumulates and cumulate melts</w:t>
      </w:r>
      <w:bookmarkEnd w:id="267"/>
      <w:bookmarkEnd w:id="268"/>
      <w:bookmarkEnd w:id="269"/>
      <w:bookmarkEnd w:id="270"/>
    </w:p>
    <w:p w14:paraId="4C9B391A" w14:textId="7782F4C6" w:rsidR="00CB7ADA" w:rsidRPr="00557062" w:rsidRDefault="00CB7ADA" w:rsidP="00CB7ADA">
      <w:pPr>
        <w:spacing w:line="480" w:lineRule="auto"/>
        <w:ind w:firstLine="720"/>
        <w:rPr>
          <w:color w:val="000000" w:themeColor="text1"/>
        </w:rPr>
      </w:pPr>
      <w:r w:rsidRPr="00557062">
        <w:rPr>
          <w:color w:val="000000" w:themeColor="text1"/>
        </w:rPr>
        <w:t>Models from this study indicate that the negative Eu anomaly (i.e., the depletion Eu relative to neighboring REE), which is ubiquitous feature of lunar mare basalt and picritic glass chemistry (Hughes et al., 1990; Shearer et al., 1991; Shearer and Papike, 1993; Neal, 2001; Hallis et al., 2014; McIntosh et al., 2024) (</w:t>
      </w:r>
      <w:r w:rsidRPr="00CB7ADA">
        <w:rPr>
          <w:b/>
          <w:bCs/>
          <w:color w:val="000000" w:themeColor="text1"/>
        </w:rPr>
        <w:t xml:space="preserve">Figure </w:t>
      </w:r>
      <w:r>
        <w:rPr>
          <w:b/>
          <w:bCs/>
          <w:color w:val="000000" w:themeColor="text1"/>
        </w:rPr>
        <w:t>2.</w:t>
      </w:r>
      <w:r w:rsidRPr="00CB7ADA">
        <w:rPr>
          <w:b/>
          <w:bCs/>
          <w:color w:val="000000" w:themeColor="text1"/>
        </w:rPr>
        <w:t>2b</w:t>
      </w:r>
      <w:r w:rsidRPr="00557062">
        <w:rPr>
          <w:color w:val="000000" w:themeColor="text1"/>
        </w:rPr>
        <w:t>), is absent in the LMO cumulate pile unless plagioclase floatation is highly efficient (&gt;90%) (</w:t>
      </w:r>
      <w:r w:rsidRPr="00CB7ADA">
        <w:rPr>
          <w:b/>
          <w:bCs/>
          <w:color w:val="000000" w:themeColor="text1"/>
        </w:rPr>
        <w:t xml:space="preserve">Figure </w:t>
      </w:r>
      <w:r>
        <w:rPr>
          <w:b/>
          <w:bCs/>
          <w:color w:val="000000" w:themeColor="text1"/>
        </w:rPr>
        <w:t>2.</w:t>
      </w:r>
      <w:r w:rsidRPr="00CB7ADA">
        <w:rPr>
          <w:b/>
          <w:bCs/>
          <w:color w:val="000000" w:themeColor="text1"/>
        </w:rPr>
        <w:t>2a</w:t>
      </w:r>
      <w:r w:rsidRPr="00557062">
        <w:rPr>
          <w:color w:val="000000" w:themeColor="text1"/>
        </w:rPr>
        <w:t>). The 90% floatation efficiency model from this study never generates a negative Eu anomaly in the LMO cumulates (</w:t>
      </w:r>
      <w:r w:rsidRPr="00CB7ADA">
        <w:rPr>
          <w:b/>
          <w:bCs/>
          <w:color w:val="000000" w:themeColor="text1"/>
        </w:rPr>
        <w:t xml:space="preserve">Figure </w:t>
      </w:r>
      <w:r>
        <w:rPr>
          <w:b/>
          <w:bCs/>
          <w:color w:val="000000" w:themeColor="text1"/>
        </w:rPr>
        <w:t>2.</w:t>
      </w:r>
      <w:r w:rsidRPr="00CB7ADA">
        <w:rPr>
          <w:b/>
          <w:bCs/>
          <w:color w:val="000000" w:themeColor="text1"/>
        </w:rPr>
        <w:t>2a</w:t>
      </w:r>
      <w:r w:rsidRPr="00557062">
        <w:rPr>
          <w:color w:val="000000" w:themeColor="text1"/>
        </w:rPr>
        <w:t>); however, increasing the amount of interstitial melt in the LMO cumulates or decreasing the ƒO</w:t>
      </w:r>
      <w:r w:rsidRPr="00557062">
        <w:rPr>
          <w:color w:val="000000" w:themeColor="text1"/>
          <w:vertAlign w:val="subscript"/>
        </w:rPr>
        <w:t>2</w:t>
      </w:r>
      <w:r w:rsidRPr="00557062">
        <w:rPr>
          <w:color w:val="000000" w:themeColor="text1"/>
        </w:rPr>
        <w:t xml:space="preserve"> of the lunar mantle below IW could change this result. </w:t>
      </w:r>
    </w:p>
    <w:p w14:paraId="034704B6" w14:textId="4169ED40" w:rsidR="00CB7ADA" w:rsidRDefault="00CB7ADA" w:rsidP="004F5D3D">
      <w:pPr>
        <w:spacing w:line="480" w:lineRule="auto"/>
        <w:ind w:firstLine="720"/>
        <w:rPr>
          <w:color w:val="000000" w:themeColor="text1"/>
        </w:rPr>
      </w:pPr>
      <w:r w:rsidRPr="00557062">
        <w:rPr>
          <w:color w:val="000000" w:themeColor="text1"/>
        </w:rPr>
        <w:t>Increasing the amount of interstitial melt in the LMO cumulates to &gt;1% would slightly increase the scale of the Eu anomaly as the abundance of REE in the melt is higher (</w:t>
      </w:r>
      <w:r w:rsidRPr="00CB7ADA">
        <w:rPr>
          <w:b/>
          <w:bCs/>
          <w:color w:val="000000" w:themeColor="text1"/>
        </w:rPr>
        <w:t xml:space="preserve">Figure </w:t>
      </w:r>
      <w:r>
        <w:rPr>
          <w:b/>
          <w:bCs/>
          <w:color w:val="000000" w:themeColor="text1"/>
        </w:rPr>
        <w:t>2.</w:t>
      </w:r>
      <w:r w:rsidRPr="00CB7ADA">
        <w:rPr>
          <w:b/>
          <w:bCs/>
          <w:color w:val="000000" w:themeColor="text1"/>
        </w:rPr>
        <w:t>2b</w:t>
      </w:r>
      <w:r w:rsidRPr="00557062">
        <w:rPr>
          <w:color w:val="000000" w:themeColor="text1"/>
        </w:rPr>
        <w:t xml:space="preserve">). Although increasing the amount of interstitial melt could result in a Eu anomaly at floatation efficiencies </w:t>
      </w:r>
      <m:oMath>
        <m:r>
          <w:rPr>
            <w:rFonts w:ascii="Cambria Math" w:hAnsi="Cambria Math"/>
            <w:color w:val="000000" w:themeColor="text1"/>
          </w:rPr>
          <m:t>≤</m:t>
        </m:r>
      </m:oMath>
      <w:r w:rsidRPr="00557062">
        <w:rPr>
          <w:rFonts w:eastAsiaTheme="minorEastAsia"/>
          <w:color w:val="000000" w:themeColor="text1"/>
        </w:rPr>
        <w:t>90%</w:t>
      </w:r>
      <w:r w:rsidRPr="00557062">
        <w:rPr>
          <w:color w:val="000000" w:themeColor="text1"/>
        </w:rPr>
        <w:t>, the amount of interstitial melt would likely be limited to a couple percent of the total cumulate volume (e.g., 1-5%) at most given the effect of cumulate compaction during crystal settling (Solomatov and Steveson 1993; McKenzie, 2011). This amount of interstitial melt would still fail to explain the scale of the Eu anomaly in lunar mare basalts and picritic glasses at floatation efficiencies &lt;90%. Decreasing the ƒO</w:t>
      </w:r>
      <w:r w:rsidRPr="00557062">
        <w:rPr>
          <w:color w:val="000000" w:themeColor="text1"/>
          <w:vertAlign w:val="subscript"/>
        </w:rPr>
        <w:t>2</w:t>
      </w:r>
      <w:r w:rsidRPr="00557062">
        <w:rPr>
          <w:color w:val="000000" w:themeColor="text1"/>
        </w:rPr>
        <w:t xml:space="preserve"> of the lunar mantle below IW would increase the impact of plagioclase floatation on the Eu anomaly and could produce a negative Eu anomaly for LMO cumulates assuming 90% floatation efficiency; however, this is still unlikely to </w:t>
      </w:r>
      <w:r w:rsidRPr="00557062">
        <w:rPr>
          <w:color w:val="000000" w:themeColor="text1"/>
        </w:rPr>
        <w:lastRenderedPageBreak/>
        <w:t xml:space="preserve">explain the scale of the Eu anomaly in picritic glasses (see section </w:t>
      </w:r>
      <w:r>
        <w:rPr>
          <w:color w:val="000000" w:themeColor="text1"/>
        </w:rPr>
        <w:t>2.</w:t>
      </w:r>
      <w:r w:rsidRPr="00557062">
        <w:rPr>
          <w:color w:val="000000" w:themeColor="text1"/>
        </w:rPr>
        <w:t>2.5. for further discussion).</w:t>
      </w:r>
    </w:p>
    <w:p w14:paraId="2CC945E4" w14:textId="722D9382" w:rsidR="004F5D3D" w:rsidRPr="00557062" w:rsidRDefault="004F5D3D" w:rsidP="004F5D3D">
      <w:pPr>
        <w:spacing w:line="480" w:lineRule="auto"/>
        <w:ind w:firstLine="720"/>
        <w:rPr>
          <w:color w:val="000000" w:themeColor="text1"/>
        </w:rPr>
      </w:pPr>
      <w:r w:rsidRPr="00557062">
        <w:rPr>
          <w:color w:val="000000" w:themeColor="text1"/>
        </w:rPr>
        <w:t>Since the picritic glasses also exhibit this Eu anomaly (</w:t>
      </w:r>
      <w:r w:rsidRPr="004F5D3D">
        <w:rPr>
          <w:b/>
          <w:bCs/>
          <w:color w:val="000000" w:themeColor="text1"/>
        </w:rPr>
        <w:t>Figure 2.2b</w:t>
      </w:r>
      <w:r w:rsidRPr="00557062">
        <w:rPr>
          <w:color w:val="000000" w:themeColor="text1"/>
        </w:rPr>
        <w:t xml:space="preserve">) and are minimally fractionated (Delano 1986), the picritic glass mantle sources must also have a negative Eu anomaly or contain residual plagioclase. The glasses are thought to form at depths well below those where plagioclase could be a stable phase (Wagner and Grove, 1997; Elkins-Tanton et al., 2003; Krawczynski and Grove, 2012; Barr and Grove, 2013; Brown and Grove, 2015, also see further discussion below in section </w:t>
      </w:r>
      <w:r>
        <w:rPr>
          <w:color w:val="000000" w:themeColor="text1"/>
        </w:rPr>
        <w:t>2.</w:t>
      </w:r>
      <w:r w:rsidRPr="00557062">
        <w:rPr>
          <w:color w:val="000000" w:themeColor="text1"/>
        </w:rPr>
        <w:t xml:space="preserve">3.2.). Thus, without a significant contribution to the Eu anomaly from phases the solidification sequence does not invoke (apatite; see </w:t>
      </w:r>
      <w:r w:rsidRPr="004F5D3D">
        <w:rPr>
          <w:b/>
          <w:bCs/>
          <w:color w:val="000000" w:themeColor="text1"/>
        </w:rPr>
        <w:t>Figures B4 and B5</w:t>
      </w:r>
      <w:r w:rsidRPr="00557062">
        <w:rPr>
          <w:color w:val="000000" w:themeColor="text1"/>
        </w:rPr>
        <w:t xml:space="preserve"> for models that demonstrate effects of apatite), plagioclase floatation during LMO solidification and crustal formation must be highly efficient (i.e., &gt;90%) to produce inferred requisite Eu anomalies in the picritic glass source. </w:t>
      </w:r>
    </w:p>
    <w:p w14:paraId="408B185D" w14:textId="77777777" w:rsidR="004F5D3D" w:rsidRPr="00557062" w:rsidRDefault="004F5D3D" w:rsidP="004F5D3D">
      <w:pPr>
        <w:pStyle w:val="Heading4"/>
      </w:pPr>
      <w:bookmarkStart w:id="271" w:name="_Toc183536594"/>
      <w:bookmarkStart w:id="272" w:name="_Toc184727398"/>
      <w:bookmarkStart w:id="273" w:name="_Toc185325645"/>
      <w:r w:rsidRPr="00557062">
        <w:t>Residual LMO liquids and their relation to “KREEP”</w:t>
      </w:r>
      <w:bookmarkEnd w:id="271"/>
      <w:bookmarkEnd w:id="272"/>
      <w:bookmarkEnd w:id="273"/>
    </w:p>
    <w:p w14:paraId="3BE10028" w14:textId="110D2714" w:rsidR="007018D6" w:rsidRPr="00FB0787" w:rsidRDefault="004F5D3D" w:rsidP="00FB0787">
      <w:pPr>
        <w:spacing w:line="480" w:lineRule="auto"/>
        <w:ind w:firstLine="720"/>
        <w:rPr>
          <w:noProof/>
          <w:color w:val="000000" w:themeColor="text1"/>
        </w:rPr>
      </w:pPr>
      <w:r w:rsidRPr="00557062">
        <w:rPr>
          <w:noProof/>
          <w:color w:val="000000" w:themeColor="text1"/>
        </w:rPr>
        <w:t>The modeled residual LMO liquid evolution in this study is generally consistent with previous REE modeling studies (Snyder et al., 1992; Rapp and Draper, 2018), demonstrating that the late magma ocean liquids would be significantly REE enriched similar to KREEPy lunar samples (Warren and Wasson, 1979; Neal and Kramer, 2003; Hallis et al., 2014; Borg et al., 2019) (</w:t>
      </w:r>
      <w:r w:rsidRPr="004B473D">
        <w:rPr>
          <w:b/>
          <w:bCs/>
          <w:color w:val="000000" w:themeColor="text1"/>
        </w:rPr>
        <w:t xml:space="preserve">Figure </w:t>
      </w:r>
      <w:r w:rsidR="004B473D" w:rsidRPr="004B473D">
        <w:rPr>
          <w:b/>
          <w:bCs/>
          <w:color w:val="000000" w:themeColor="text1"/>
        </w:rPr>
        <w:t>2.</w:t>
      </w:r>
      <w:r w:rsidRPr="004B473D">
        <w:rPr>
          <w:b/>
          <w:bCs/>
          <w:color w:val="000000" w:themeColor="text1"/>
        </w:rPr>
        <w:t>2b</w:t>
      </w:r>
      <w:r w:rsidRPr="00557062">
        <w:rPr>
          <w:noProof/>
          <w:color w:val="000000" w:themeColor="text1"/>
        </w:rPr>
        <w:t>). Although the late residual liquids are significantly REE enriched, they are also too MREE and HREE-rich (i.e., they have flat REE patterns) (</w:t>
      </w:r>
      <w:r w:rsidRPr="009E0E91">
        <w:rPr>
          <w:b/>
          <w:bCs/>
          <w:color w:val="000000" w:themeColor="text1"/>
        </w:rPr>
        <w:t xml:space="preserve">Figures </w:t>
      </w:r>
      <w:r w:rsidR="009E0E91" w:rsidRPr="009E0E91">
        <w:rPr>
          <w:b/>
          <w:bCs/>
          <w:color w:val="000000" w:themeColor="text1"/>
        </w:rPr>
        <w:t>2.</w:t>
      </w:r>
      <w:r w:rsidRPr="009E0E91">
        <w:rPr>
          <w:b/>
          <w:bCs/>
          <w:color w:val="000000" w:themeColor="text1"/>
        </w:rPr>
        <w:t xml:space="preserve">2b and </w:t>
      </w:r>
      <w:r w:rsidR="009E0E91" w:rsidRPr="009E0E91">
        <w:rPr>
          <w:b/>
          <w:bCs/>
          <w:color w:val="000000" w:themeColor="text1"/>
        </w:rPr>
        <w:t>2.</w:t>
      </w:r>
      <w:r w:rsidRPr="009E0E91">
        <w:rPr>
          <w:b/>
          <w:bCs/>
          <w:color w:val="000000" w:themeColor="text1"/>
        </w:rPr>
        <w:t>3</w:t>
      </w:r>
      <w:r w:rsidRPr="00557062">
        <w:rPr>
          <w:noProof/>
          <w:color w:val="000000" w:themeColor="text1"/>
        </w:rPr>
        <w:t xml:space="preserve">) to be directly related to the KREEP basalts and other KREEPy lunar materials. In addition, the late LMO residual lquids are too Mg-poor </w:t>
      </w:r>
      <w:r w:rsidRPr="00557062">
        <w:rPr>
          <w:noProof/>
          <w:color w:val="000000" w:themeColor="text1"/>
        </w:rPr>
        <w:lastRenderedPageBreak/>
        <w:t>to be parental to KREEP basalts, or the KREEPiest lunar materials recovered (e.g., Warren and Wasson, 1979; Snyder et al., 1992; Lin et al., 2017; Rapp and Draper, 2018). Assimilation models are incapable of increasing ratios beyond those exhibited by mixing components. Instead, the late LMO KREEPy residual liquid signature is imparted on lunar basalts as a component in their mantle sources (</w:t>
      </w:r>
      <w:r w:rsidRPr="009E0E91">
        <w:rPr>
          <w:b/>
          <w:bCs/>
          <w:noProof/>
          <w:color w:val="000000" w:themeColor="text1"/>
        </w:rPr>
        <w:t xml:space="preserve">Figures </w:t>
      </w:r>
      <w:r w:rsidR="009E0E91" w:rsidRPr="009E0E91">
        <w:rPr>
          <w:b/>
          <w:bCs/>
          <w:noProof/>
          <w:color w:val="000000" w:themeColor="text1"/>
        </w:rPr>
        <w:t>2.</w:t>
      </w:r>
      <w:r w:rsidRPr="009E0E91">
        <w:rPr>
          <w:b/>
          <w:bCs/>
          <w:noProof/>
          <w:color w:val="000000" w:themeColor="text1"/>
        </w:rPr>
        <w:t xml:space="preserve">2 and </w:t>
      </w:r>
      <w:r w:rsidR="009E0E91" w:rsidRPr="009E0E91">
        <w:rPr>
          <w:b/>
          <w:bCs/>
          <w:noProof/>
          <w:color w:val="000000" w:themeColor="text1"/>
        </w:rPr>
        <w:t>2.</w:t>
      </w:r>
      <w:r w:rsidRPr="009E0E91">
        <w:rPr>
          <w:b/>
          <w:bCs/>
          <w:noProof/>
          <w:color w:val="000000" w:themeColor="text1"/>
        </w:rPr>
        <w:t>4</w:t>
      </w:r>
      <w:r w:rsidRPr="00557062">
        <w:rPr>
          <w:noProof/>
          <w:color w:val="000000" w:themeColor="text1"/>
        </w:rPr>
        <w:t xml:space="preserve">). KREEP basalts and lunar basalts have light-heavy REE ratios exceeding the late LMO residual liquid because partial melting increases the ratio in the hybridized source, as LREEs are incompatible relative to heavier REEs. </w:t>
      </w:r>
    </w:p>
    <w:p w14:paraId="187E873E" w14:textId="5EAD5D4B" w:rsidR="004F5D3D" w:rsidRPr="00557062" w:rsidRDefault="004F5D3D" w:rsidP="006E67B1">
      <w:pPr>
        <w:pStyle w:val="Heading3"/>
      </w:pPr>
      <w:bookmarkStart w:id="274" w:name="_Toc182995477"/>
      <w:bookmarkStart w:id="275" w:name="_Toc183536595"/>
      <w:bookmarkStart w:id="276" w:name="_Toc184727399"/>
      <w:bookmarkStart w:id="277" w:name="_Toc185325646"/>
      <w:r w:rsidRPr="00557062">
        <w:t>Partial Melting Models</w:t>
      </w:r>
      <w:bookmarkEnd w:id="274"/>
      <w:bookmarkEnd w:id="275"/>
      <w:bookmarkEnd w:id="276"/>
      <w:bookmarkEnd w:id="277"/>
    </w:p>
    <w:p w14:paraId="49171596" w14:textId="3D987DA7" w:rsidR="004F5D3D" w:rsidRPr="00557062" w:rsidRDefault="004F5D3D" w:rsidP="009E0E91">
      <w:pPr>
        <w:spacing w:line="480" w:lineRule="auto"/>
        <w:ind w:firstLine="720"/>
        <w:rPr>
          <w:rFonts w:eastAsiaTheme="minorEastAsia"/>
          <w:noProof/>
          <w:color w:val="000000" w:themeColor="text1"/>
        </w:rPr>
      </w:pPr>
      <w:r w:rsidRPr="00557062">
        <w:rPr>
          <w:noProof/>
          <w:color w:val="000000" w:themeColor="text1"/>
        </w:rPr>
        <w:t xml:space="preserve">To model the effect of partial melting on LMO cumulates and hybridized mantle sources, we use an aggregated fractional melting model Eq. </w:t>
      </w:r>
      <w:r w:rsidR="009E0E91">
        <w:rPr>
          <w:noProof/>
          <w:color w:val="000000" w:themeColor="text1"/>
        </w:rPr>
        <w:t>2.</w:t>
      </w:r>
      <w:r w:rsidR="007969AE">
        <w:rPr>
          <w:noProof/>
          <w:color w:val="000000" w:themeColor="text1"/>
        </w:rPr>
        <w:t>6</w:t>
      </w:r>
      <w:r w:rsidRPr="00557062">
        <w:rPr>
          <w:noProof/>
          <w:color w:val="000000" w:themeColor="text1"/>
        </w:rPr>
        <w:t>:</w:t>
      </w:r>
    </w:p>
    <w:p w14:paraId="15A400F3" w14:textId="4CEBFD77" w:rsidR="004F5D3D" w:rsidRPr="00557062" w:rsidRDefault="00000000" w:rsidP="00FA429F">
      <w:pPr>
        <w:spacing w:line="480" w:lineRule="auto"/>
        <w:jc w:val="right"/>
        <w:rPr>
          <w:noProof/>
          <w:color w:val="000000" w:themeColor="text1"/>
        </w:rPr>
      </w:pPr>
      <m:oMath>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l</m:t>
            </m:r>
          </m:sub>
          <m:sup>
            <m:r>
              <w:rPr>
                <w:rFonts w:ascii="Cambria Math" w:hAnsi="Cambria Math"/>
                <w:color w:val="000000" w:themeColor="text1"/>
              </w:rPr>
              <m:t>i</m:t>
            </m:r>
          </m:sup>
        </m:sSubSup>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C</m:t>
            </m:r>
          </m:e>
          <m:sub>
            <m:sSub>
              <m:sSubPr>
                <m:ctrlPr>
                  <w:rPr>
                    <w:rFonts w:ascii="Cambria Math" w:hAnsi="Cambria Math"/>
                    <w:i/>
                    <w:color w:val="000000" w:themeColor="text1"/>
                  </w:rPr>
                </m:ctrlPr>
              </m:sSubPr>
              <m:e>
                <m:r>
                  <w:rPr>
                    <w:rFonts w:ascii="Cambria Math" w:hAnsi="Cambria Math"/>
                    <w:color w:val="000000" w:themeColor="text1"/>
                  </w:rPr>
                  <m:t>S</m:t>
                </m:r>
              </m:e>
              <m:sub>
                <m:r>
                  <w:rPr>
                    <w:rFonts w:ascii="Cambria Math" w:hAnsi="Cambria Math"/>
                    <w:color w:val="000000" w:themeColor="text1"/>
                  </w:rPr>
                  <m:t>0</m:t>
                </m:r>
              </m:sub>
            </m:sSub>
          </m:sub>
          <m:sup>
            <m:r>
              <w:rPr>
                <w:rFonts w:ascii="Cambria Math" w:hAnsi="Cambria Math"/>
                <w:color w:val="000000" w:themeColor="text1"/>
              </w:rPr>
              <m:t>i</m:t>
            </m:r>
          </m:sup>
        </m:sSubSup>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m:t>
            </m:r>
            <m:sSup>
              <m:sSupPr>
                <m:ctrlPr>
                  <w:rPr>
                    <w:rFonts w:ascii="Cambria Math" w:hAnsi="Cambria Math"/>
                    <w:color w:val="000000" w:themeColor="text1"/>
                  </w:rPr>
                </m:ctrlPr>
              </m:sSupPr>
              <m:e>
                <m:r>
                  <m:rPr>
                    <m:sty m:val="p"/>
                  </m:rPr>
                  <w:rPr>
                    <w:rFonts w:ascii="Cambria Math" w:hAnsi="Cambria Math"/>
                    <w:color w:val="000000" w:themeColor="text1"/>
                  </w:rPr>
                  <m:t>(1-</m:t>
                </m:r>
                <m:r>
                  <w:rPr>
                    <w:rFonts w:ascii="Cambria Math" w:hAnsi="Cambria Math"/>
                    <w:color w:val="000000" w:themeColor="text1"/>
                  </w:rPr>
                  <m:t>F</m:t>
                </m:r>
                <m:r>
                  <m:rPr>
                    <m:sty m:val="p"/>
                  </m:rPr>
                  <w:rPr>
                    <w:rFonts w:ascii="Cambria Math" w:hAnsi="Cambria Math"/>
                    <w:color w:val="000000" w:themeColor="text1"/>
                  </w:rPr>
                  <m:t>)</m:t>
                </m:r>
              </m:e>
              <m:sup>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m:t>
                    </m:r>
                  </m:num>
                  <m:den>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den>
                </m:f>
                <m:r>
                  <m:rPr>
                    <m:sty m:val="p"/>
                  </m:rPr>
                  <w:rPr>
                    <w:rFonts w:ascii="Cambria Math" w:hAnsi="Cambria Math"/>
                    <w:color w:val="000000" w:themeColor="text1"/>
                  </w:rPr>
                  <m:t>)</m:t>
                </m:r>
              </m:sup>
            </m:sSup>
          </m:num>
          <m:den>
            <m:r>
              <w:rPr>
                <w:rFonts w:ascii="Cambria Math" w:hAnsi="Cambria Math"/>
                <w:color w:val="000000" w:themeColor="text1"/>
              </w:rPr>
              <m:t>F</m:t>
            </m:r>
          </m:den>
        </m:f>
        <m:r>
          <m:rPr>
            <m:sty m:val="p"/>
          </m:rPr>
          <w:rPr>
            <w:rFonts w:ascii="Cambria Math" w:hAnsi="Cambria Math"/>
            <w:color w:val="000000" w:themeColor="text1"/>
          </w:rPr>
          <m:t>)</m:t>
        </m:r>
      </m:oMath>
      <w:r w:rsidR="004F5D3D" w:rsidRPr="00557062">
        <w:rPr>
          <w:rFonts w:eastAsiaTheme="minorEastAsia"/>
          <w:color w:val="000000" w:themeColor="text1"/>
        </w:rPr>
        <w:t>,</w:t>
      </w:r>
      <w:r w:rsidR="004F5D3D" w:rsidRPr="00557062">
        <w:rPr>
          <w:rFonts w:eastAsiaTheme="minorEastAsia"/>
          <w:color w:val="000000" w:themeColor="text1"/>
        </w:rPr>
        <w:tab/>
      </w:r>
      <w:r w:rsidR="004F5D3D" w:rsidRPr="00557062">
        <w:rPr>
          <w:rFonts w:eastAsiaTheme="minorEastAsia"/>
          <w:color w:val="000000" w:themeColor="text1"/>
        </w:rPr>
        <w:tab/>
      </w:r>
      <w:r w:rsidR="004F5D3D" w:rsidRPr="00557062">
        <w:rPr>
          <w:rFonts w:eastAsiaTheme="minorEastAsia"/>
          <w:color w:val="000000" w:themeColor="text1"/>
        </w:rPr>
        <w:tab/>
      </w:r>
      <w:r w:rsidR="004F5D3D" w:rsidRPr="00557062">
        <w:rPr>
          <w:rFonts w:eastAsiaTheme="minorEastAsia"/>
          <w:color w:val="000000" w:themeColor="text1"/>
        </w:rPr>
        <w:tab/>
        <w:t>(</w:t>
      </w:r>
      <w:r w:rsidR="009E0E91">
        <w:rPr>
          <w:rFonts w:eastAsiaTheme="minorEastAsia"/>
          <w:color w:val="000000" w:themeColor="text1"/>
        </w:rPr>
        <w:t>2.</w:t>
      </w:r>
      <w:r w:rsidR="007969AE">
        <w:rPr>
          <w:rFonts w:eastAsiaTheme="minorEastAsia"/>
          <w:color w:val="000000" w:themeColor="text1"/>
        </w:rPr>
        <w:t>6</w:t>
      </w:r>
      <w:r w:rsidR="004F5D3D" w:rsidRPr="00557062">
        <w:rPr>
          <w:rFonts w:eastAsiaTheme="minorEastAsia"/>
          <w:color w:val="000000" w:themeColor="text1"/>
        </w:rPr>
        <w:t>)</w:t>
      </w:r>
    </w:p>
    <w:p w14:paraId="4FC51B81" w14:textId="0F468255" w:rsidR="001F27A1" w:rsidRDefault="004F5D3D" w:rsidP="004F5D3D">
      <w:pPr>
        <w:spacing w:line="480" w:lineRule="auto"/>
        <w:rPr>
          <w:color w:val="000000" w:themeColor="text1"/>
        </w:rPr>
      </w:pPr>
      <w:r w:rsidRPr="00557062">
        <w:rPr>
          <w:color w:val="000000" w:themeColor="text1"/>
        </w:rPr>
        <w:t xml:space="preserve">where </w:t>
      </w:r>
      <m:oMath>
        <m:sSubSup>
          <m:sSubSupPr>
            <m:ctrlPr>
              <w:rPr>
                <w:rFonts w:ascii="Cambria Math" w:hAnsi="Cambria Math"/>
                <w:color w:val="000000" w:themeColor="text1"/>
              </w:rPr>
            </m:ctrlPr>
          </m:sSubSupPr>
          <m:e>
            <m:r>
              <w:rPr>
                <w:rFonts w:ascii="Cambria Math" w:hAnsi="Cambria Math"/>
                <w:color w:val="000000" w:themeColor="text1"/>
              </w:rPr>
              <m:t>C</m:t>
            </m:r>
          </m:e>
          <m:sub>
            <m:sSub>
              <m:sSubPr>
                <m:ctrlPr>
                  <w:rPr>
                    <w:rFonts w:ascii="Cambria Math" w:hAnsi="Cambria Math"/>
                    <w:i/>
                    <w:color w:val="000000" w:themeColor="text1"/>
                  </w:rPr>
                </m:ctrlPr>
              </m:sSubPr>
              <m:e>
                <m:r>
                  <w:rPr>
                    <w:rFonts w:ascii="Cambria Math" w:hAnsi="Cambria Math"/>
                    <w:color w:val="000000" w:themeColor="text1"/>
                  </w:rPr>
                  <m:t>S</m:t>
                </m:r>
              </m:e>
              <m:sub>
                <m:r>
                  <w:rPr>
                    <w:rFonts w:ascii="Cambria Math" w:hAnsi="Cambria Math"/>
                    <w:color w:val="000000" w:themeColor="text1"/>
                  </w:rPr>
                  <m:t>0</m:t>
                </m:r>
              </m:sub>
            </m:sSub>
          </m:sub>
          <m:sup>
            <m:r>
              <w:rPr>
                <w:rFonts w:ascii="Cambria Math" w:hAnsi="Cambria Math"/>
                <w:color w:val="000000" w:themeColor="text1"/>
              </w:rPr>
              <m:t>i</m:t>
            </m:r>
          </m:sup>
        </m:sSubSup>
      </m:oMath>
      <w:r w:rsidRPr="00557062">
        <w:rPr>
          <w:color w:val="000000" w:themeColor="text1"/>
        </w:rPr>
        <w:t xml:space="preserve"> represents concentration of a given element </w:t>
      </w:r>
      <m:oMath>
        <m:r>
          <w:rPr>
            <w:rFonts w:ascii="Cambria Math" w:hAnsi="Cambria Math"/>
            <w:color w:val="000000" w:themeColor="text1"/>
          </w:rPr>
          <m:t>i</m:t>
        </m:r>
      </m:oMath>
      <w:r w:rsidRPr="00557062">
        <w:rPr>
          <w:color w:val="000000" w:themeColor="text1"/>
        </w:rPr>
        <w:t xml:space="preserve"> in the initial cumulate, </w:t>
      </w:r>
      <m:oMath>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l</m:t>
            </m:r>
          </m:sub>
          <m:sup>
            <m:r>
              <w:rPr>
                <w:rFonts w:ascii="Cambria Math" w:hAnsi="Cambria Math"/>
                <w:color w:val="000000" w:themeColor="text1"/>
              </w:rPr>
              <m:t>i</m:t>
            </m:r>
          </m:sup>
        </m:sSubSup>
      </m:oMath>
      <w:r w:rsidRPr="00557062">
        <w:rPr>
          <w:color w:val="000000" w:themeColor="text1"/>
        </w:rPr>
        <w:t xml:space="preserve"> is the concentration in the melt that forms, and </w:t>
      </w:r>
      <m:oMath>
        <m:r>
          <w:rPr>
            <w:rFonts w:ascii="Cambria Math" w:hAnsi="Cambria Math"/>
            <w:color w:val="000000" w:themeColor="text1"/>
          </w:rPr>
          <m:t>F</m:t>
        </m:r>
      </m:oMath>
      <w:r w:rsidRPr="00557062">
        <w:rPr>
          <w:color w:val="000000" w:themeColor="text1"/>
        </w:rPr>
        <w:t xml:space="preserve"> is the melt fraction. Given the current lack of information on source mineralogy and non-modal melting behavior, we assume modal melting for all partial melting calculations in this study. This avoids the application of non-modal melting models which are not lunar-relevant (Kinzler and Grove, 1992; Baker and Stolper, 1994; Walter, 1998; Presnall et al., 2002). The bulk partition coefficient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oMath>
      <w:r w:rsidRPr="00557062">
        <w:rPr>
          <w:color w:val="000000" w:themeColor="text1"/>
        </w:rPr>
        <w:t>)</w:t>
      </w:r>
      <w:r w:rsidRPr="00557062">
        <w:rPr>
          <w:rFonts w:eastAsiaTheme="minorEastAsia"/>
          <w:color w:val="000000" w:themeColor="text1"/>
        </w:rPr>
        <w:t xml:space="preserve"> values </w:t>
      </w:r>
      <w:r w:rsidRPr="00557062">
        <w:rPr>
          <w:color w:val="000000" w:themeColor="text1"/>
        </w:rPr>
        <w:t>for partial melting equations were calculated using estimated modal mineralogies of the LMO cumulates, downwelling cumulates, or hybridized sources (e.g., Charlier et al. 2018; Mallik et al., 2019).</w:t>
      </w:r>
    </w:p>
    <w:p w14:paraId="1F02B3CC" w14:textId="77777777" w:rsidR="001F27A1" w:rsidRDefault="001F27A1">
      <w:pPr>
        <w:rPr>
          <w:color w:val="000000" w:themeColor="text1"/>
        </w:rPr>
      </w:pPr>
      <w:r>
        <w:rPr>
          <w:color w:val="000000" w:themeColor="text1"/>
        </w:rPr>
        <w:br w:type="page"/>
      </w:r>
    </w:p>
    <w:p w14:paraId="61EE552D" w14:textId="4816007C" w:rsidR="004F5D3D" w:rsidRDefault="001F27A1" w:rsidP="004F5D3D">
      <w:pPr>
        <w:spacing w:line="480" w:lineRule="auto"/>
        <w:rPr>
          <w:color w:val="000000" w:themeColor="text1"/>
        </w:rPr>
      </w:pPr>
      <w:r>
        <w:rPr>
          <w:noProof/>
          <w:color w:val="000000" w:themeColor="text1"/>
        </w:rPr>
        <w:lastRenderedPageBreak/>
        <w:drawing>
          <wp:inline distT="0" distB="0" distL="0" distR="0" wp14:anchorId="0F1D6D77" wp14:editId="774A2DDD">
            <wp:extent cx="5486400" cy="3354070"/>
            <wp:effectExtent l="0" t="0" r="0" b="0"/>
            <wp:docPr id="1656909193" name="Picture 46" descr="A diagram of a sea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09193" name="Picture 46" descr="A diagram of a sea surface&#10;&#10;Description automatically generated with medium confidence"/>
                    <pic:cNvPicPr/>
                  </pic:nvPicPr>
                  <pic:blipFill>
                    <a:blip r:embed="rId194" cstate="print">
                      <a:extLst>
                        <a:ext uri="{28A0092B-C50C-407E-A947-70E740481C1C}">
                          <a14:useLocalDpi xmlns:a14="http://schemas.microsoft.com/office/drawing/2010/main" val="0"/>
                        </a:ext>
                      </a:extLst>
                    </a:blip>
                    <a:stretch>
                      <a:fillRect/>
                    </a:stretch>
                  </pic:blipFill>
                  <pic:spPr>
                    <a:xfrm>
                      <a:off x="0" y="0"/>
                      <a:ext cx="5486400" cy="3354070"/>
                    </a:xfrm>
                    <a:prstGeom prst="rect">
                      <a:avLst/>
                    </a:prstGeom>
                  </pic:spPr>
                </pic:pic>
              </a:graphicData>
            </a:graphic>
          </wp:inline>
        </w:drawing>
      </w:r>
    </w:p>
    <w:p w14:paraId="1171C410" w14:textId="7C9759AF" w:rsidR="001F27A1" w:rsidRPr="00557062" w:rsidRDefault="001F27A1" w:rsidP="001F27A1">
      <w:pPr>
        <w:pStyle w:val="FigureCaption"/>
      </w:pPr>
      <w:bookmarkStart w:id="278" w:name="_Toc185263421"/>
      <w:r w:rsidRPr="00D81BAA">
        <w:rPr>
          <w:b/>
          <w:bCs/>
        </w:rPr>
        <w:t>Figure 2.4.</w:t>
      </w:r>
      <w:r w:rsidRPr="00557062">
        <w:t xml:space="preserve"> </w:t>
      </w:r>
      <w:r w:rsidRPr="00DC31D4">
        <w:t>Models for partial melting of primary (i.e., unhybridized) LMO cumulates assuming 90% plagioclase floatation (Reference Scenario 0). Panel (a) shows the estimated mineralogy of LMO mantle cumulate layers, assuming 90% of the plagioclase was removed during crustal formation. Panels (b) and (c) show the effect of partial melting on the initial LMO cumulate layers if no hybridization occurred. The cumulate layer number is indicated by the texture and color of the partial melt line and the black numbers next to each cumulate source symbol. LMO cumulate source compositions are the average composition of each cumulate layer from the six stages of LMO solidification (Table 2.3). Modal partial melting of each LMO cumulate layer is modeled from 0.1-30%. (Lu/Hf)</w:t>
      </w:r>
      <w:r w:rsidRPr="00DC31D4">
        <w:rPr>
          <w:vertAlign w:val="subscript"/>
        </w:rPr>
        <w:t>N</w:t>
      </w:r>
      <w:r w:rsidRPr="00DC31D4">
        <w:t xml:space="preserve"> and (Sm/Nd)</w:t>
      </w:r>
      <w:r w:rsidRPr="00DC31D4">
        <w:rPr>
          <w:vertAlign w:val="subscript"/>
        </w:rPr>
        <w:t>N</w:t>
      </w:r>
      <w:r w:rsidRPr="00DC31D4">
        <w:t xml:space="preserve"> are chondrite normalized ratios. References for lunar sample compositions can be found in Figure 2.2. Low-Ti picritic glasses: VLT glass &amp; green glass groups. These models demonstrate that partial melting of unhybridized LMO cumulates would not reproduce the (Yb/Sm)</w:t>
      </w:r>
      <w:r w:rsidRPr="00DC31D4">
        <w:rPr>
          <w:vertAlign w:val="subscript"/>
        </w:rPr>
        <w:t>N</w:t>
      </w:r>
      <w:r w:rsidRPr="00DC31D4">
        <w:t xml:space="preserve"> and (Lu/Hf)</w:t>
      </w:r>
      <w:r w:rsidRPr="00DC31D4">
        <w:rPr>
          <w:vertAlign w:val="subscript"/>
        </w:rPr>
        <w:t>N</w:t>
      </w:r>
      <w:r w:rsidRPr="00DC31D4">
        <w:t xml:space="preserve"> ratios of intermediate to high-Ti lunar picritic glasses groups. The models also indicate that some low-Ti picritic glasses could be related to unhybridized cumulate melting.</w:t>
      </w:r>
      <w:bookmarkEnd w:id="278"/>
    </w:p>
    <w:p w14:paraId="2FC3CD49" w14:textId="77777777" w:rsidR="001F27A1" w:rsidRDefault="001F27A1">
      <w:pPr>
        <w:rPr>
          <w:b/>
          <w:bCs/>
          <w:iCs/>
          <w:szCs w:val="26"/>
        </w:rPr>
      </w:pPr>
      <w:bookmarkStart w:id="279" w:name="_Toc182995478"/>
      <w:bookmarkStart w:id="280" w:name="_Toc183536596"/>
      <w:bookmarkStart w:id="281" w:name="_Toc184727400"/>
      <w:r>
        <w:br w:type="page"/>
      </w:r>
    </w:p>
    <w:p w14:paraId="642B8D17" w14:textId="4F73FD28" w:rsidR="00C405C9" w:rsidRPr="00557062" w:rsidRDefault="00C405C9" w:rsidP="006E67B1">
      <w:pPr>
        <w:pStyle w:val="Heading3"/>
      </w:pPr>
      <w:bookmarkStart w:id="282" w:name="_Toc185325647"/>
      <w:r w:rsidRPr="00557062">
        <w:lastRenderedPageBreak/>
        <w:t>Partial Melting of Initial LMO Cumulates</w:t>
      </w:r>
      <w:bookmarkEnd w:id="279"/>
      <w:bookmarkEnd w:id="280"/>
      <w:bookmarkEnd w:id="281"/>
      <w:bookmarkEnd w:id="282"/>
    </w:p>
    <w:p w14:paraId="75D0A7A9" w14:textId="3207F1AE" w:rsidR="00C405C9" w:rsidRDefault="00C405C9" w:rsidP="00C405C9">
      <w:pPr>
        <w:spacing w:line="480" w:lineRule="auto"/>
        <w:ind w:firstLine="720"/>
        <w:rPr>
          <w:color w:val="000000" w:themeColor="text1"/>
        </w:rPr>
      </w:pPr>
      <w:r w:rsidRPr="00557062">
        <w:rPr>
          <w:color w:val="000000" w:themeColor="text1"/>
        </w:rPr>
        <w:t xml:space="preserve">Partial melting models are presented in a series of Scenarios with increasing complexity. Details of each scenario are summarized in </w:t>
      </w:r>
      <w:r w:rsidRPr="00C405C9">
        <w:rPr>
          <w:b/>
          <w:bCs/>
          <w:color w:val="000000" w:themeColor="text1"/>
        </w:rPr>
        <w:t>Table 2.4</w:t>
      </w:r>
      <w:r w:rsidRPr="00557062">
        <w:rPr>
          <w:color w:val="000000" w:themeColor="text1"/>
        </w:rPr>
        <w:t>. Reference Scenario 0 explores in-situ partial melting of each LMO cumulate layer, assuming 90% plag floatation (</w:t>
      </w:r>
      <w:r w:rsidRPr="00C405C9">
        <w:rPr>
          <w:b/>
          <w:bCs/>
          <w:color w:val="000000" w:themeColor="text1"/>
        </w:rPr>
        <w:t>Figure 2.4</w:t>
      </w:r>
      <w:r w:rsidRPr="00557062">
        <w:rPr>
          <w:color w:val="000000" w:themeColor="text1"/>
        </w:rPr>
        <w:t xml:space="preserve">, </w:t>
      </w:r>
      <w:r w:rsidRPr="00C405C9">
        <w:rPr>
          <w:b/>
          <w:bCs/>
          <w:color w:val="000000" w:themeColor="text1"/>
        </w:rPr>
        <w:t>Tables 2.3 and 2.4</w:t>
      </w:r>
      <w:r w:rsidRPr="00557062">
        <w:rPr>
          <w:color w:val="000000" w:themeColor="text1"/>
        </w:rPr>
        <w:t>). In the Figures, melting model results are compared to lunar glass compositions using chondrite normalized (Ce/Sm)</w:t>
      </w:r>
      <w:r w:rsidRPr="00557062">
        <w:rPr>
          <w:color w:val="000000" w:themeColor="text1"/>
          <w:vertAlign w:val="subscript"/>
        </w:rPr>
        <w:t>N</w:t>
      </w:r>
      <w:r w:rsidRPr="00557062">
        <w:rPr>
          <w:color w:val="000000" w:themeColor="text1"/>
        </w:rPr>
        <w:t>, (Yb/Sm)</w:t>
      </w:r>
      <w:r w:rsidRPr="00557062">
        <w:rPr>
          <w:color w:val="000000" w:themeColor="text1"/>
          <w:vertAlign w:val="subscript"/>
        </w:rPr>
        <w:t>N</w:t>
      </w:r>
      <w:r w:rsidRPr="00557062">
        <w:rPr>
          <w:color w:val="000000" w:themeColor="text1"/>
        </w:rPr>
        <w:t>, (Lu/Hf)</w:t>
      </w:r>
      <w:r w:rsidRPr="00557062">
        <w:rPr>
          <w:color w:val="000000" w:themeColor="text1"/>
          <w:vertAlign w:val="subscript"/>
        </w:rPr>
        <w:t>N</w:t>
      </w:r>
      <w:r w:rsidRPr="00557062">
        <w:rPr>
          <w:color w:val="000000" w:themeColor="text1"/>
        </w:rPr>
        <w:t>, and (Sm/Nd)</w:t>
      </w:r>
      <w:r w:rsidRPr="00557062">
        <w:rPr>
          <w:color w:val="000000" w:themeColor="text1"/>
          <w:vertAlign w:val="subscript"/>
        </w:rPr>
        <w:t>N</w:t>
      </w:r>
      <w:r w:rsidRPr="00557062">
        <w:rPr>
          <w:color w:val="000000" w:themeColor="text1"/>
        </w:rPr>
        <w:t xml:space="preserve"> ratios. The ratios are used as they reveal fractionation associated with lunar differentiation and partial melting while eliminating the dependence of the model results on the elemental concentrations assumed in the bulk Moon (i.e., the extent of refractory element enrichment, e.g., Taylor et al., 2006). The (Ce/Sm)</w:t>
      </w:r>
      <w:r w:rsidRPr="00557062">
        <w:rPr>
          <w:color w:val="000000" w:themeColor="text1"/>
          <w:vertAlign w:val="subscript"/>
        </w:rPr>
        <w:t>N</w:t>
      </w:r>
      <w:r w:rsidRPr="00557062">
        <w:rPr>
          <w:color w:val="000000" w:themeColor="text1"/>
        </w:rPr>
        <w:t xml:space="preserve"> and (Yb/Sm)</w:t>
      </w:r>
      <w:r w:rsidRPr="00557062">
        <w:rPr>
          <w:color w:val="000000" w:themeColor="text1"/>
          <w:vertAlign w:val="subscript"/>
        </w:rPr>
        <w:t>N</w:t>
      </w:r>
      <w:r w:rsidRPr="00557062">
        <w:rPr>
          <w:color w:val="000000" w:themeColor="text1"/>
        </w:rPr>
        <w:t xml:space="preserve"> ratios reveal the extent of light REE (LREE) and heavy REE (HREE) enrichment or depletion, respectively. The (Lu/Hf)</w:t>
      </w:r>
      <w:r w:rsidRPr="00557062">
        <w:rPr>
          <w:color w:val="000000" w:themeColor="text1"/>
          <w:vertAlign w:val="subscript"/>
        </w:rPr>
        <w:t>N</w:t>
      </w:r>
      <w:r w:rsidRPr="00557062">
        <w:rPr>
          <w:color w:val="000000" w:themeColor="text1"/>
        </w:rPr>
        <w:t xml:space="preserve"> and (Sm/Nd)</w:t>
      </w:r>
      <w:r w:rsidRPr="00557062">
        <w:rPr>
          <w:color w:val="000000" w:themeColor="text1"/>
          <w:vertAlign w:val="subscript"/>
        </w:rPr>
        <w:t>N</w:t>
      </w:r>
      <w:r w:rsidRPr="00557062">
        <w:rPr>
          <w:color w:val="000000" w:themeColor="text1"/>
        </w:rPr>
        <w:t xml:space="preserve"> ratios reveal how radiogenic parent and daughter isotopes are fractionated during lunar differentiation and subsequent melting.</w:t>
      </w:r>
    </w:p>
    <w:p w14:paraId="43DA8A24" w14:textId="31F269D6" w:rsidR="001F27A1" w:rsidRPr="00557062" w:rsidRDefault="001F27A1" w:rsidP="00C405C9">
      <w:pPr>
        <w:spacing w:line="480" w:lineRule="auto"/>
        <w:ind w:firstLine="720"/>
        <w:rPr>
          <w:color w:val="000000" w:themeColor="text1"/>
        </w:rPr>
      </w:pPr>
      <w:r w:rsidRPr="00557062">
        <w:rPr>
          <w:color w:val="000000" w:themeColor="text1"/>
        </w:rPr>
        <w:t>Scenario 0 simulations demonstrate that partial melting of primary LMO cumulates can account for the REE compositions of many low-Ti lunar picritic glasses. The models also indicate that aside from the extremely low degree melts (i.e., &lt;1%) from layer #1 (the first LMO cumulates), all of the primary LMO cumulate melts have (Lu/Hf)</w:t>
      </w:r>
      <w:r w:rsidRPr="00557062">
        <w:rPr>
          <w:color w:val="000000" w:themeColor="text1"/>
          <w:vertAlign w:val="subscript"/>
        </w:rPr>
        <w:t>N</w:t>
      </w:r>
      <w:r w:rsidRPr="00557062">
        <w:rPr>
          <w:color w:val="000000" w:themeColor="text1"/>
        </w:rPr>
        <w:t xml:space="preserve"> and (Sm/Nd)</w:t>
      </w:r>
      <w:r w:rsidRPr="00557062">
        <w:rPr>
          <w:color w:val="000000" w:themeColor="text1"/>
          <w:vertAlign w:val="subscript"/>
        </w:rPr>
        <w:t>N</w:t>
      </w:r>
      <w:r w:rsidRPr="00557062">
        <w:rPr>
          <w:color w:val="000000" w:themeColor="text1"/>
        </w:rPr>
        <w:t xml:space="preserve"> ratios that are too high to explain the intermediate- and high-Ti picritic glass compositions.</w:t>
      </w:r>
    </w:p>
    <w:p w14:paraId="7B1EB672" w14:textId="77777777" w:rsidR="00F118DB" w:rsidRDefault="00F118DB">
      <w:pPr>
        <w:rPr>
          <w:color w:val="000000" w:themeColor="text1"/>
        </w:rPr>
      </w:pPr>
      <w:r>
        <w:rPr>
          <w:color w:val="000000" w:themeColor="text1"/>
        </w:rPr>
        <w:br w:type="page"/>
      </w:r>
    </w:p>
    <w:p w14:paraId="35973A21" w14:textId="45EB4AEC" w:rsidR="008F5F1D" w:rsidRPr="00557062" w:rsidRDefault="008F5F1D" w:rsidP="003776DD">
      <w:pPr>
        <w:pStyle w:val="Tables"/>
      </w:pPr>
      <w:bookmarkStart w:id="283" w:name="_Toc185263594"/>
      <w:r w:rsidRPr="00557062">
        <w:rPr>
          <w:b/>
          <w:bCs/>
        </w:rPr>
        <w:lastRenderedPageBreak/>
        <w:t xml:space="preserve">Table </w:t>
      </w:r>
      <w:r w:rsidR="00664DDD">
        <w:rPr>
          <w:b/>
          <w:bCs/>
        </w:rPr>
        <w:t>2.</w:t>
      </w:r>
      <w:r w:rsidRPr="00557062">
        <w:rPr>
          <w:b/>
          <w:bCs/>
        </w:rPr>
        <w:t>4.</w:t>
      </w:r>
      <w:r w:rsidRPr="00557062">
        <w:t xml:space="preserve"> Model assumptions for mantle hybridization and partial melting scenarios and associated figures</w:t>
      </w:r>
      <w:r w:rsidR="00C40415">
        <w:t>.</w:t>
      </w:r>
      <w:bookmarkEnd w:id="283"/>
    </w:p>
    <w:tbl>
      <w:tblPr>
        <w:tblW w:w="8180" w:type="dxa"/>
        <w:tblLook w:val="04A0" w:firstRow="1" w:lastRow="0" w:firstColumn="1" w:lastColumn="0" w:noHBand="0" w:noVBand="1"/>
      </w:tblPr>
      <w:tblGrid>
        <w:gridCol w:w="2180"/>
        <w:gridCol w:w="2000"/>
        <w:gridCol w:w="2000"/>
        <w:gridCol w:w="2000"/>
      </w:tblGrid>
      <w:tr w:rsidR="008F5F1D" w:rsidRPr="00C7386F" w14:paraId="5A5BA90E" w14:textId="77777777" w:rsidTr="00381517">
        <w:trPr>
          <w:trHeight w:val="360"/>
        </w:trPr>
        <w:tc>
          <w:tcPr>
            <w:tcW w:w="2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9DE6D3" w14:textId="77777777" w:rsidR="008F5F1D" w:rsidRPr="00C7386F" w:rsidRDefault="008F5F1D" w:rsidP="00381517">
            <w:pPr>
              <w:jc w:val="center"/>
              <w:rPr>
                <w:color w:val="000000" w:themeColor="text1"/>
              </w:rPr>
            </w:pPr>
            <w:r w:rsidRPr="00C7386F">
              <w:rPr>
                <w:color w:val="000000" w:themeColor="text1"/>
              </w:rPr>
              <w:t> </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15ACD02C" w14:textId="77777777" w:rsidR="008F5F1D" w:rsidRPr="00C7386F" w:rsidRDefault="008F5F1D" w:rsidP="00381517">
            <w:pPr>
              <w:jc w:val="center"/>
              <w:rPr>
                <w:color w:val="000000" w:themeColor="text1"/>
              </w:rPr>
            </w:pPr>
            <w:r w:rsidRPr="00C7386F">
              <w:rPr>
                <w:color w:val="000000" w:themeColor="text1"/>
              </w:rPr>
              <w:t>Scenario 0</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21BADF35" w14:textId="77777777" w:rsidR="008F5F1D" w:rsidRPr="00C7386F" w:rsidRDefault="008F5F1D" w:rsidP="00381517">
            <w:pPr>
              <w:jc w:val="center"/>
              <w:rPr>
                <w:color w:val="000000" w:themeColor="text1"/>
              </w:rPr>
            </w:pPr>
            <w:r w:rsidRPr="00C7386F">
              <w:rPr>
                <w:color w:val="000000" w:themeColor="text1"/>
              </w:rPr>
              <w:t>Scenario #1</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1911C913" w14:textId="77777777" w:rsidR="008F5F1D" w:rsidRPr="00C7386F" w:rsidRDefault="008F5F1D" w:rsidP="00381517">
            <w:pPr>
              <w:jc w:val="center"/>
              <w:rPr>
                <w:color w:val="000000" w:themeColor="text1"/>
              </w:rPr>
            </w:pPr>
            <w:r w:rsidRPr="00C7386F">
              <w:rPr>
                <w:color w:val="000000" w:themeColor="text1"/>
              </w:rPr>
              <w:t>Scenario #2</w:t>
            </w:r>
          </w:p>
        </w:tc>
      </w:tr>
      <w:tr w:rsidR="008F5F1D" w:rsidRPr="00C7386F" w14:paraId="120D5E3E" w14:textId="77777777" w:rsidTr="00381517">
        <w:trPr>
          <w:trHeight w:val="70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9715F0C" w14:textId="77777777" w:rsidR="008F5F1D" w:rsidRPr="00C7386F" w:rsidRDefault="008F5F1D" w:rsidP="00381517">
            <w:pPr>
              <w:jc w:val="center"/>
              <w:rPr>
                <w:color w:val="000000" w:themeColor="text1"/>
              </w:rPr>
            </w:pPr>
            <w:r w:rsidRPr="00C7386F">
              <w:rPr>
                <w:color w:val="000000" w:themeColor="text1"/>
              </w:rPr>
              <w:t>Plagioclase Floatation Efficiency</w:t>
            </w:r>
          </w:p>
        </w:tc>
        <w:tc>
          <w:tcPr>
            <w:tcW w:w="2000" w:type="dxa"/>
            <w:tcBorders>
              <w:top w:val="nil"/>
              <w:left w:val="nil"/>
              <w:bottom w:val="single" w:sz="4" w:space="0" w:color="auto"/>
              <w:right w:val="single" w:sz="4" w:space="0" w:color="auto"/>
            </w:tcBorders>
            <w:shd w:val="clear" w:color="auto" w:fill="auto"/>
            <w:vAlign w:val="center"/>
            <w:hideMark/>
          </w:tcPr>
          <w:p w14:paraId="5D58047B" w14:textId="77777777" w:rsidR="008F5F1D" w:rsidRPr="00C7386F" w:rsidRDefault="008F5F1D" w:rsidP="00381517">
            <w:pPr>
              <w:jc w:val="center"/>
              <w:rPr>
                <w:color w:val="000000" w:themeColor="text1"/>
              </w:rPr>
            </w:pPr>
            <w:r w:rsidRPr="00C7386F">
              <w:rPr>
                <w:color w:val="000000" w:themeColor="text1"/>
              </w:rPr>
              <w:t>90%</w:t>
            </w:r>
          </w:p>
        </w:tc>
        <w:tc>
          <w:tcPr>
            <w:tcW w:w="2000" w:type="dxa"/>
            <w:tcBorders>
              <w:top w:val="nil"/>
              <w:left w:val="nil"/>
              <w:bottom w:val="single" w:sz="4" w:space="0" w:color="auto"/>
              <w:right w:val="single" w:sz="4" w:space="0" w:color="auto"/>
            </w:tcBorders>
            <w:shd w:val="clear" w:color="auto" w:fill="auto"/>
            <w:vAlign w:val="center"/>
            <w:hideMark/>
          </w:tcPr>
          <w:p w14:paraId="14B0DA92" w14:textId="77777777" w:rsidR="008F5F1D" w:rsidRPr="00C7386F" w:rsidRDefault="008F5F1D" w:rsidP="00381517">
            <w:pPr>
              <w:jc w:val="center"/>
              <w:rPr>
                <w:color w:val="000000" w:themeColor="text1"/>
              </w:rPr>
            </w:pPr>
            <w:r w:rsidRPr="00C7386F">
              <w:rPr>
                <w:color w:val="000000" w:themeColor="text1"/>
              </w:rPr>
              <w:t>90%</w:t>
            </w:r>
          </w:p>
        </w:tc>
        <w:tc>
          <w:tcPr>
            <w:tcW w:w="2000" w:type="dxa"/>
            <w:tcBorders>
              <w:top w:val="nil"/>
              <w:left w:val="nil"/>
              <w:bottom w:val="single" w:sz="4" w:space="0" w:color="auto"/>
              <w:right w:val="single" w:sz="4" w:space="0" w:color="auto"/>
            </w:tcBorders>
            <w:shd w:val="clear" w:color="auto" w:fill="auto"/>
            <w:vAlign w:val="center"/>
            <w:hideMark/>
          </w:tcPr>
          <w:p w14:paraId="5FBDDE7E" w14:textId="77777777" w:rsidR="008F5F1D" w:rsidRPr="00C7386F" w:rsidRDefault="008F5F1D" w:rsidP="00381517">
            <w:pPr>
              <w:jc w:val="center"/>
              <w:rPr>
                <w:color w:val="000000" w:themeColor="text1"/>
              </w:rPr>
            </w:pPr>
            <w:r w:rsidRPr="00C7386F">
              <w:rPr>
                <w:color w:val="000000" w:themeColor="text1"/>
              </w:rPr>
              <w:t>90%</w:t>
            </w:r>
          </w:p>
        </w:tc>
      </w:tr>
      <w:tr w:rsidR="008F5F1D" w:rsidRPr="00C7386F" w14:paraId="632ADC90" w14:textId="77777777" w:rsidTr="00381517">
        <w:trPr>
          <w:trHeight w:val="50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25E53B87" w14:textId="77777777" w:rsidR="008F5F1D" w:rsidRPr="00C7386F" w:rsidRDefault="008F5F1D" w:rsidP="00381517">
            <w:pPr>
              <w:jc w:val="center"/>
              <w:rPr>
                <w:color w:val="000000" w:themeColor="text1"/>
              </w:rPr>
            </w:pPr>
            <w:r w:rsidRPr="00C7386F">
              <w:rPr>
                <w:color w:val="000000" w:themeColor="text1"/>
              </w:rPr>
              <w:t>IBC Composition</w:t>
            </w:r>
          </w:p>
        </w:tc>
        <w:tc>
          <w:tcPr>
            <w:tcW w:w="2000" w:type="dxa"/>
            <w:tcBorders>
              <w:top w:val="nil"/>
              <w:left w:val="nil"/>
              <w:bottom w:val="single" w:sz="4" w:space="0" w:color="auto"/>
              <w:right w:val="single" w:sz="4" w:space="0" w:color="auto"/>
            </w:tcBorders>
            <w:shd w:val="clear" w:color="auto" w:fill="auto"/>
            <w:vAlign w:val="center"/>
            <w:hideMark/>
          </w:tcPr>
          <w:p w14:paraId="66297D10" w14:textId="77777777" w:rsidR="008F5F1D" w:rsidRPr="00C7386F" w:rsidRDefault="008F5F1D" w:rsidP="00381517">
            <w:pPr>
              <w:jc w:val="center"/>
              <w:rPr>
                <w:color w:val="000000" w:themeColor="text1"/>
              </w:rPr>
            </w:pPr>
            <w:r w:rsidRPr="00C7386F">
              <w:rPr>
                <w:color w:val="000000" w:themeColor="text1"/>
              </w:rPr>
              <w:t>From Charlier et al.</w:t>
            </w:r>
          </w:p>
        </w:tc>
        <w:tc>
          <w:tcPr>
            <w:tcW w:w="2000" w:type="dxa"/>
            <w:tcBorders>
              <w:top w:val="nil"/>
              <w:left w:val="nil"/>
              <w:bottom w:val="single" w:sz="4" w:space="0" w:color="auto"/>
              <w:right w:val="single" w:sz="4" w:space="0" w:color="auto"/>
            </w:tcBorders>
            <w:shd w:val="clear" w:color="auto" w:fill="auto"/>
            <w:vAlign w:val="center"/>
            <w:hideMark/>
          </w:tcPr>
          <w:p w14:paraId="60AFB28A" w14:textId="77777777" w:rsidR="008F5F1D" w:rsidRPr="00C7386F" w:rsidRDefault="008F5F1D" w:rsidP="00381517">
            <w:pPr>
              <w:jc w:val="center"/>
              <w:rPr>
                <w:color w:val="000000" w:themeColor="text1"/>
              </w:rPr>
            </w:pPr>
            <w:r w:rsidRPr="00C7386F">
              <w:rPr>
                <w:color w:val="000000" w:themeColor="text1"/>
              </w:rPr>
              <w:t>IBC #1</w:t>
            </w:r>
          </w:p>
        </w:tc>
        <w:tc>
          <w:tcPr>
            <w:tcW w:w="2000" w:type="dxa"/>
            <w:tcBorders>
              <w:top w:val="nil"/>
              <w:left w:val="nil"/>
              <w:bottom w:val="single" w:sz="4" w:space="0" w:color="auto"/>
              <w:right w:val="single" w:sz="4" w:space="0" w:color="auto"/>
            </w:tcBorders>
            <w:shd w:val="clear" w:color="auto" w:fill="auto"/>
            <w:vAlign w:val="center"/>
            <w:hideMark/>
          </w:tcPr>
          <w:p w14:paraId="4F614F45" w14:textId="77777777" w:rsidR="008F5F1D" w:rsidRPr="00C7386F" w:rsidRDefault="008F5F1D" w:rsidP="00381517">
            <w:pPr>
              <w:jc w:val="center"/>
              <w:rPr>
                <w:color w:val="000000" w:themeColor="text1"/>
              </w:rPr>
            </w:pPr>
            <w:r w:rsidRPr="00C7386F">
              <w:rPr>
                <w:color w:val="000000" w:themeColor="text1"/>
              </w:rPr>
              <w:t>IBC #1</w:t>
            </w:r>
          </w:p>
        </w:tc>
      </w:tr>
      <w:tr w:rsidR="008F5F1D" w:rsidRPr="00C7386F" w14:paraId="32401FD9" w14:textId="77777777" w:rsidTr="00381517">
        <w:trPr>
          <w:trHeight w:val="68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E5C59A0" w14:textId="77777777" w:rsidR="008F5F1D" w:rsidRPr="00C7386F" w:rsidRDefault="008F5F1D" w:rsidP="00381517">
            <w:pPr>
              <w:jc w:val="center"/>
              <w:rPr>
                <w:color w:val="000000" w:themeColor="text1"/>
              </w:rPr>
            </w:pPr>
            <w:r w:rsidRPr="00C7386F">
              <w:rPr>
                <w:color w:val="000000" w:themeColor="text1"/>
              </w:rPr>
              <w:t>Pre-Overturn Mixing</w:t>
            </w:r>
          </w:p>
        </w:tc>
        <w:tc>
          <w:tcPr>
            <w:tcW w:w="2000" w:type="dxa"/>
            <w:tcBorders>
              <w:top w:val="nil"/>
              <w:left w:val="nil"/>
              <w:bottom w:val="single" w:sz="4" w:space="0" w:color="auto"/>
              <w:right w:val="single" w:sz="4" w:space="0" w:color="auto"/>
            </w:tcBorders>
            <w:shd w:val="clear" w:color="auto" w:fill="auto"/>
            <w:vAlign w:val="center"/>
            <w:hideMark/>
          </w:tcPr>
          <w:p w14:paraId="37E73CBF" w14:textId="77777777" w:rsidR="008F5F1D" w:rsidRPr="00C7386F" w:rsidRDefault="008F5F1D" w:rsidP="00381517">
            <w:pPr>
              <w:jc w:val="center"/>
              <w:rPr>
                <w:color w:val="000000" w:themeColor="text1"/>
              </w:rPr>
            </w:pPr>
            <w:r w:rsidRPr="00C7386F">
              <w:rPr>
                <w:color w:val="000000" w:themeColor="text1"/>
              </w:rPr>
              <w:t>N/a</w:t>
            </w:r>
          </w:p>
        </w:tc>
        <w:tc>
          <w:tcPr>
            <w:tcW w:w="2000" w:type="dxa"/>
            <w:tcBorders>
              <w:top w:val="nil"/>
              <w:left w:val="nil"/>
              <w:bottom w:val="single" w:sz="4" w:space="0" w:color="auto"/>
              <w:right w:val="single" w:sz="4" w:space="0" w:color="auto"/>
            </w:tcBorders>
            <w:shd w:val="clear" w:color="auto" w:fill="auto"/>
            <w:vAlign w:val="center"/>
            <w:hideMark/>
          </w:tcPr>
          <w:p w14:paraId="3D123B56" w14:textId="77777777" w:rsidR="008F5F1D" w:rsidRPr="00C7386F" w:rsidRDefault="008F5F1D" w:rsidP="00381517">
            <w:pPr>
              <w:jc w:val="center"/>
              <w:rPr>
                <w:color w:val="000000" w:themeColor="text1"/>
              </w:rPr>
            </w:pPr>
            <w:r w:rsidRPr="00C7386F">
              <w:rPr>
                <w:color w:val="000000" w:themeColor="text1"/>
              </w:rPr>
              <w:t>None</w:t>
            </w:r>
          </w:p>
        </w:tc>
        <w:tc>
          <w:tcPr>
            <w:tcW w:w="2000" w:type="dxa"/>
            <w:tcBorders>
              <w:top w:val="nil"/>
              <w:left w:val="nil"/>
              <w:bottom w:val="single" w:sz="4" w:space="0" w:color="auto"/>
              <w:right w:val="single" w:sz="4" w:space="0" w:color="auto"/>
            </w:tcBorders>
            <w:shd w:val="clear" w:color="auto" w:fill="auto"/>
            <w:vAlign w:val="center"/>
            <w:hideMark/>
          </w:tcPr>
          <w:p w14:paraId="7F7B24CF" w14:textId="77777777" w:rsidR="008F5F1D" w:rsidRPr="00C7386F" w:rsidRDefault="008F5F1D" w:rsidP="00381517">
            <w:pPr>
              <w:jc w:val="center"/>
              <w:rPr>
                <w:color w:val="000000" w:themeColor="text1"/>
              </w:rPr>
            </w:pPr>
            <w:r w:rsidRPr="00C7386F">
              <w:rPr>
                <w:color w:val="000000" w:themeColor="text1"/>
              </w:rPr>
              <w:t>None</w:t>
            </w:r>
          </w:p>
        </w:tc>
      </w:tr>
      <w:tr w:rsidR="008F5F1D" w:rsidRPr="00C7386F" w14:paraId="39586EAF" w14:textId="77777777" w:rsidTr="00381517">
        <w:trPr>
          <w:trHeight w:val="46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1128B0B" w14:textId="77777777" w:rsidR="008F5F1D" w:rsidRPr="00C7386F" w:rsidRDefault="008F5F1D" w:rsidP="00381517">
            <w:pPr>
              <w:jc w:val="center"/>
              <w:rPr>
                <w:color w:val="000000" w:themeColor="text1"/>
              </w:rPr>
            </w:pPr>
            <w:r w:rsidRPr="00C7386F">
              <w:rPr>
                <w:color w:val="000000" w:themeColor="text1"/>
              </w:rPr>
              <w:t>IBC Mineralogy</w:t>
            </w:r>
          </w:p>
        </w:tc>
        <w:tc>
          <w:tcPr>
            <w:tcW w:w="2000" w:type="dxa"/>
            <w:tcBorders>
              <w:top w:val="nil"/>
              <w:left w:val="nil"/>
              <w:bottom w:val="single" w:sz="4" w:space="0" w:color="auto"/>
              <w:right w:val="single" w:sz="4" w:space="0" w:color="auto"/>
            </w:tcBorders>
            <w:shd w:val="clear" w:color="auto" w:fill="auto"/>
            <w:vAlign w:val="center"/>
            <w:hideMark/>
          </w:tcPr>
          <w:p w14:paraId="1F6CFC37" w14:textId="77777777" w:rsidR="008F5F1D" w:rsidRPr="00C7386F" w:rsidRDefault="008F5F1D" w:rsidP="00381517">
            <w:pPr>
              <w:jc w:val="center"/>
              <w:rPr>
                <w:color w:val="000000" w:themeColor="text1"/>
              </w:rPr>
            </w:pPr>
            <w:r w:rsidRPr="00C7386F">
              <w:rPr>
                <w:color w:val="000000" w:themeColor="text1"/>
              </w:rPr>
              <w:t>N/a</w:t>
            </w:r>
          </w:p>
        </w:tc>
        <w:tc>
          <w:tcPr>
            <w:tcW w:w="2000" w:type="dxa"/>
            <w:tcBorders>
              <w:top w:val="nil"/>
              <w:left w:val="nil"/>
              <w:bottom w:val="single" w:sz="4" w:space="0" w:color="auto"/>
              <w:right w:val="single" w:sz="4" w:space="0" w:color="auto"/>
            </w:tcBorders>
            <w:shd w:val="clear" w:color="auto" w:fill="auto"/>
            <w:vAlign w:val="center"/>
            <w:hideMark/>
          </w:tcPr>
          <w:p w14:paraId="33148DF1" w14:textId="77777777" w:rsidR="008F5F1D" w:rsidRPr="00C7386F" w:rsidRDefault="008F5F1D" w:rsidP="00381517">
            <w:pPr>
              <w:jc w:val="center"/>
              <w:rPr>
                <w:color w:val="000000" w:themeColor="text1"/>
              </w:rPr>
            </w:pPr>
            <w:r w:rsidRPr="00C7386F">
              <w:rPr>
                <w:color w:val="000000" w:themeColor="text1"/>
              </w:rPr>
              <w:t>Garnet-Free</w:t>
            </w:r>
          </w:p>
        </w:tc>
        <w:tc>
          <w:tcPr>
            <w:tcW w:w="2000" w:type="dxa"/>
            <w:tcBorders>
              <w:top w:val="nil"/>
              <w:left w:val="nil"/>
              <w:bottom w:val="single" w:sz="4" w:space="0" w:color="auto"/>
              <w:right w:val="single" w:sz="4" w:space="0" w:color="auto"/>
            </w:tcBorders>
            <w:shd w:val="clear" w:color="auto" w:fill="auto"/>
            <w:vAlign w:val="center"/>
            <w:hideMark/>
          </w:tcPr>
          <w:p w14:paraId="369626BA" w14:textId="77777777" w:rsidR="008F5F1D" w:rsidRPr="00C7386F" w:rsidRDefault="008F5F1D" w:rsidP="00381517">
            <w:pPr>
              <w:jc w:val="center"/>
              <w:rPr>
                <w:color w:val="000000" w:themeColor="text1"/>
              </w:rPr>
            </w:pPr>
            <w:r w:rsidRPr="00C7386F">
              <w:rPr>
                <w:color w:val="000000" w:themeColor="text1"/>
              </w:rPr>
              <w:t>Garnet-Free</w:t>
            </w:r>
          </w:p>
        </w:tc>
      </w:tr>
      <w:tr w:rsidR="008F5F1D" w:rsidRPr="00C7386F" w14:paraId="564E2E16" w14:textId="77777777" w:rsidTr="00381517">
        <w:trPr>
          <w:trHeight w:val="7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109B037F" w14:textId="77777777" w:rsidR="008F5F1D" w:rsidRPr="00C7386F" w:rsidRDefault="008F5F1D" w:rsidP="00381517">
            <w:pPr>
              <w:jc w:val="center"/>
              <w:rPr>
                <w:color w:val="000000" w:themeColor="text1"/>
              </w:rPr>
            </w:pPr>
            <w:r w:rsidRPr="00C7386F">
              <w:rPr>
                <w:color w:val="000000" w:themeColor="text1"/>
              </w:rPr>
              <w:t xml:space="preserve">IBC Mixing Component </w:t>
            </w:r>
          </w:p>
        </w:tc>
        <w:tc>
          <w:tcPr>
            <w:tcW w:w="2000" w:type="dxa"/>
            <w:tcBorders>
              <w:top w:val="nil"/>
              <w:left w:val="nil"/>
              <w:bottom w:val="single" w:sz="4" w:space="0" w:color="auto"/>
              <w:right w:val="single" w:sz="4" w:space="0" w:color="auto"/>
            </w:tcBorders>
            <w:shd w:val="clear" w:color="auto" w:fill="auto"/>
            <w:vAlign w:val="center"/>
            <w:hideMark/>
          </w:tcPr>
          <w:p w14:paraId="25E1E366" w14:textId="77777777" w:rsidR="008F5F1D" w:rsidRPr="00C7386F" w:rsidRDefault="008F5F1D" w:rsidP="00381517">
            <w:pPr>
              <w:jc w:val="center"/>
              <w:rPr>
                <w:color w:val="000000" w:themeColor="text1"/>
              </w:rPr>
            </w:pPr>
            <w:r w:rsidRPr="00C7386F">
              <w:rPr>
                <w:color w:val="000000" w:themeColor="text1"/>
              </w:rPr>
              <w:t>N/a</w:t>
            </w:r>
          </w:p>
        </w:tc>
        <w:tc>
          <w:tcPr>
            <w:tcW w:w="2000" w:type="dxa"/>
            <w:tcBorders>
              <w:top w:val="nil"/>
              <w:left w:val="nil"/>
              <w:bottom w:val="single" w:sz="4" w:space="0" w:color="auto"/>
              <w:right w:val="single" w:sz="4" w:space="0" w:color="auto"/>
            </w:tcBorders>
            <w:shd w:val="clear" w:color="auto" w:fill="auto"/>
            <w:vAlign w:val="center"/>
            <w:hideMark/>
          </w:tcPr>
          <w:p w14:paraId="65DD85BC" w14:textId="77777777" w:rsidR="008F5F1D" w:rsidRPr="00C7386F" w:rsidRDefault="008F5F1D" w:rsidP="00381517">
            <w:pPr>
              <w:jc w:val="center"/>
              <w:rPr>
                <w:color w:val="000000" w:themeColor="text1"/>
              </w:rPr>
            </w:pPr>
            <w:r w:rsidRPr="00C7386F">
              <w:rPr>
                <w:color w:val="000000" w:themeColor="text1"/>
              </w:rPr>
              <w:t>Solid IBC Material</w:t>
            </w:r>
          </w:p>
        </w:tc>
        <w:tc>
          <w:tcPr>
            <w:tcW w:w="2000" w:type="dxa"/>
            <w:tcBorders>
              <w:top w:val="nil"/>
              <w:left w:val="nil"/>
              <w:bottom w:val="single" w:sz="4" w:space="0" w:color="auto"/>
              <w:right w:val="single" w:sz="4" w:space="0" w:color="auto"/>
            </w:tcBorders>
            <w:shd w:val="clear" w:color="auto" w:fill="auto"/>
            <w:vAlign w:val="center"/>
            <w:hideMark/>
          </w:tcPr>
          <w:p w14:paraId="7E607AA6" w14:textId="77777777" w:rsidR="008F5F1D" w:rsidRPr="00C7386F" w:rsidRDefault="008F5F1D" w:rsidP="00381517">
            <w:pPr>
              <w:jc w:val="center"/>
              <w:rPr>
                <w:color w:val="000000" w:themeColor="text1"/>
              </w:rPr>
            </w:pPr>
            <w:r w:rsidRPr="00C7386F">
              <w:rPr>
                <w:color w:val="000000" w:themeColor="text1"/>
              </w:rPr>
              <w:t>Solid IBC Material</w:t>
            </w:r>
          </w:p>
        </w:tc>
      </w:tr>
      <w:tr w:rsidR="008F5F1D" w:rsidRPr="00C7386F" w14:paraId="57A2C3E0" w14:textId="77777777" w:rsidTr="00381517">
        <w:trPr>
          <w:trHeight w:val="7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104ADE88" w14:textId="77777777" w:rsidR="008F5F1D" w:rsidRPr="00C7386F" w:rsidRDefault="008F5F1D" w:rsidP="00381517">
            <w:pPr>
              <w:jc w:val="center"/>
              <w:rPr>
                <w:color w:val="000000" w:themeColor="text1"/>
              </w:rPr>
            </w:pPr>
            <w:r w:rsidRPr="00C7386F">
              <w:rPr>
                <w:color w:val="000000" w:themeColor="text1"/>
              </w:rPr>
              <w:t>IBC Partial Melting P-T Conditions</w:t>
            </w:r>
          </w:p>
        </w:tc>
        <w:tc>
          <w:tcPr>
            <w:tcW w:w="2000" w:type="dxa"/>
            <w:tcBorders>
              <w:top w:val="nil"/>
              <w:left w:val="nil"/>
              <w:bottom w:val="single" w:sz="4" w:space="0" w:color="auto"/>
              <w:right w:val="single" w:sz="4" w:space="0" w:color="auto"/>
            </w:tcBorders>
            <w:shd w:val="clear" w:color="auto" w:fill="auto"/>
            <w:vAlign w:val="center"/>
            <w:hideMark/>
          </w:tcPr>
          <w:p w14:paraId="2347C766" w14:textId="77777777" w:rsidR="008F5F1D" w:rsidRPr="00C7386F" w:rsidRDefault="008F5F1D" w:rsidP="00381517">
            <w:pPr>
              <w:jc w:val="center"/>
              <w:rPr>
                <w:color w:val="000000" w:themeColor="text1"/>
              </w:rPr>
            </w:pPr>
            <w:r w:rsidRPr="00C7386F">
              <w:rPr>
                <w:color w:val="000000" w:themeColor="text1"/>
              </w:rPr>
              <w:t>N/a</w:t>
            </w:r>
          </w:p>
        </w:tc>
        <w:tc>
          <w:tcPr>
            <w:tcW w:w="2000" w:type="dxa"/>
            <w:tcBorders>
              <w:top w:val="nil"/>
              <w:left w:val="nil"/>
              <w:bottom w:val="single" w:sz="4" w:space="0" w:color="auto"/>
              <w:right w:val="single" w:sz="4" w:space="0" w:color="auto"/>
            </w:tcBorders>
            <w:shd w:val="clear" w:color="auto" w:fill="auto"/>
            <w:vAlign w:val="center"/>
            <w:hideMark/>
          </w:tcPr>
          <w:p w14:paraId="13B94C2E" w14:textId="77777777" w:rsidR="008F5F1D" w:rsidRPr="00C7386F" w:rsidRDefault="008F5F1D" w:rsidP="00381517">
            <w:pPr>
              <w:jc w:val="center"/>
              <w:rPr>
                <w:color w:val="000000" w:themeColor="text1"/>
              </w:rPr>
            </w:pPr>
            <w:r w:rsidRPr="00C7386F">
              <w:rPr>
                <w:color w:val="000000" w:themeColor="text1"/>
              </w:rPr>
              <w:t>IBC Material Never Melts</w:t>
            </w:r>
          </w:p>
        </w:tc>
        <w:tc>
          <w:tcPr>
            <w:tcW w:w="2000" w:type="dxa"/>
            <w:tcBorders>
              <w:top w:val="nil"/>
              <w:left w:val="nil"/>
              <w:bottom w:val="single" w:sz="4" w:space="0" w:color="auto"/>
              <w:right w:val="single" w:sz="4" w:space="0" w:color="auto"/>
            </w:tcBorders>
            <w:shd w:val="clear" w:color="auto" w:fill="auto"/>
            <w:vAlign w:val="center"/>
            <w:hideMark/>
          </w:tcPr>
          <w:p w14:paraId="46AC360F" w14:textId="77777777" w:rsidR="008F5F1D" w:rsidRPr="00C7386F" w:rsidRDefault="008F5F1D" w:rsidP="00381517">
            <w:pPr>
              <w:jc w:val="center"/>
              <w:rPr>
                <w:color w:val="000000" w:themeColor="text1"/>
              </w:rPr>
            </w:pPr>
            <w:r w:rsidRPr="00C7386F">
              <w:rPr>
                <w:color w:val="000000" w:themeColor="text1"/>
              </w:rPr>
              <w:t>IBC Material Never Melts</w:t>
            </w:r>
          </w:p>
        </w:tc>
      </w:tr>
      <w:tr w:rsidR="008F5F1D" w:rsidRPr="00C7386F" w14:paraId="5F01E4CB" w14:textId="77777777" w:rsidTr="00381517">
        <w:trPr>
          <w:trHeight w:val="10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1A414DD5" w14:textId="77777777" w:rsidR="008F5F1D" w:rsidRPr="00C7386F" w:rsidRDefault="008F5F1D" w:rsidP="00381517">
            <w:pPr>
              <w:jc w:val="center"/>
              <w:rPr>
                <w:color w:val="000000" w:themeColor="text1"/>
              </w:rPr>
            </w:pPr>
            <w:r w:rsidRPr="00C7386F">
              <w:rPr>
                <w:color w:val="000000" w:themeColor="text1"/>
              </w:rPr>
              <w:t>EMOC Mixing Component</w:t>
            </w:r>
          </w:p>
        </w:tc>
        <w:tc>
          <w:tcPr>
            <w:tcW w:w="2000" w:type="dxa"/>
            <w:tcBorders>
              <w:top w:val="nil"/>
              <w:left w:val="nil"/>
              <w:bottom w:val="single" w:sz="4" w:space="0" w:color="auto"/>
              <w:right w:val="single" w:sz="4" w:space="0" w:color="auto"/>
            </w:tcBorders>
            <w:shd w:val="clear" w:color="auto" w:fill="auto"/>
            <w:vAlign w:val="center"/>
            <w:hideMark/>
          </w:tcPr>
          <w:p w14:paraId="5653959B" w14:textId="77777777" w:rsidR="008F5F1D" w:rsidRPr="00C7386F" w:rsidRDefault="008F5F1D" w:rsidP="00381517">
            <w:pPr>
              <w:jc w:val="center"/>
              <w:rPr>
                <w:color w:val="000000" w:themeColor="text1"/>
              </w:rPr>
            </w:pPr>
            <w:r w:rsidRPr="00C7386F">
              <w:rPr>
                <w:color w:val="000000" w:themeColor="text1"/>
              </w:rPr>
              <w:t>N/a</w:t>
            </w:r>
          </w:p>
        </w:tc>
        <w:tc>
          <w:tcPr>
            <w:tcW w:w="2000" w:type="dxa"/>
            <w:tcBorders>
              <w:top w:val="nil"/>
              <w:left w:val="nil"/>
              <w:bottom w:val="single" w:sz="4" w:space="0" w:color="auto"/>
              <w:right w:val="single" w:sz="4" w:space="0" w:color="auto"/>
            </w:tcBorders>
            <w:shd w:val="clear" w:color="auto" w:fill="auto"/>
            <w:vAlign w:val="center"/>
            <w:hideMark/>
          </w:tcPr>
          <w:p w14:paraId="5F9F421C" w14:textId="77777777" w:rsidR="008F5F1D" w:rsidRPr="00C7386F" w:rsidRDefault="008F5F1D" w:rsidP="00381517">
            <w:pPr>
              <w:jc w:val="center"/>
              <w:rPr>
                <w:color w:val="000000" w:themeColor="text1"/>
              </w:rPr>
            </w:pPr>
            <w:r w:rsidRPr="00C7386F">
              <w:rPr>
                <w:color w:val="000000" w:themeColor="text1"/>
              </w:rPr>
              <w:t>Dunite from 0.1 to 51% LMO Solidification</w:t>
            </w:r>
          </w:p>
        </w:tc>
        <w:tc>
          <w:tcPr>
            <w:tcW w:w="2000" w:type="dxa"/>
            <w:tcBorders>
              <w:top w:val="nil"/>
              <w:left w:val="nil"/>
              <w:bottom w:val="single" w:sz="4" w:space="0" w:color="auto"/>
              <w:right w:val="single" w:sz="4" w:space="0" w:color="auto"/>
            </w:tcBorders>
            <w:shd w:val="clear" w:color="auto" w:fill="auto"/>
            <w:vAlign w:val="center"/>
            <w:hideMark/>
          </w:tcPr>
          <w:p w14:paraId="7BB80E1A" w14:textId="77777777" w:rsidR="008F5F1D" w:rsidRPr="00C7386F" w:rsidRDefault="008F5F1D" w:rsidP="00381517">
            <w:pPr>
              <w:jc w:val="center"/>
              <w:rPr>
                <w:color w:val="000000" w:themeColor="text1"/>
              </w:rPr>
            </w:pPr>
            <w:r w:rsidRPr="00C7386F">
              <w:rPr>
                <w:color w:val="000000" w:themeColor="text1"/>
              </w:rPr>
              <w:t>Dunite from 0.1 to 51% LMO Solidification</w:t>
            </w:r>
          </w:p>
        </w:tc>
      </w:tr>
      <w:tr w:rsidR="008F5F1D" w:rsidRPr="00C7386F" w14:paraId="433FE4F6" w14:textId="77777777" w:rsidTr="00381517">
        <w:trPr>
          <w:trHeight w:val="102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6B32892" w14:textId="77777777" w:rsidR="008F5F1D" w:rsidRPr="00C7386F" w:rsidRDefault="008F5F1D" w:rsidP="00381517">
            <w:pPr>
              <w:jc w:val="center"/>
              <w:rPr>
                <w:color w:val="000000" w:themeColor="text1"/>
              </w:rPr>
            </w:pPr>
            <w:r w:rsidRPr="00C7386F">
              <w:rPr>
                <w:color w:val="000000" w:themeColor="text1"/>
              </w:rPr>
              <w:t>Hybridized Source Composition</w:t>
            </w:r>
          </w:p>
        </w:tc>
        <w:tc>
          <w:tcPr>
            <w:tcW w:w="2000" w:type="dxa"/>
            <w:tcBorders>
              <w:top w:val="nil"/>
              <w:left w:val="nil"/>
              <w:bottom w:val="single" w:sz="4" w:space="0" w:color="auto"/>
              <w:right w:val="single" w:sz="4" w:space="0" w:color="auto"/>
            </w:tcBorders>
            <w:shd w:val="clear" w:color="auto" w:fill="auto"/>
            <w:vAlign w:val="center"/>
            <w:hideMark/>
          </w:tcPr>
          <w:p w14:paraId="0228474E" w14:textId="77777777" w:rsidR="008F5F1D" w:rsidRPr="00C7386F" w:rsidRDefault="008F5F1D" w:rsidP="00381517">
            <w:pPr>
              <w:jc w:val="center"/>
              <w:rPr>
                <w:color w:val="000000" w:themeColor="text1"/>
              </w:rPr>
            </w:pPr>
            <w:r w:rsidRPr="00C7386F">
              <w:rPr>
                <w:color w:val="000000" w:themeColor="text1"/>
              </w:rPr>
              <w:t>100% Unmixed Cumulates</w:t>
            </w:r>
          </w:p>
        </w:tc>
        <w:tc>
          <w:tcPr>
            <w:tcW w:w="2000" w:type="dxa"/>
            <w:tcBorders>
              <w:top w:val="nil"/>
              <w:left w:val="nil"/>
              <w:bottom w:val="single" w:sz="4" w:space="0" w:color="auto"/>
              <w:right w:val="single" w:sz="4" w:space="0" w:color="auto"/>
            </w:tcBorders>
            <w:shd w:val="clear" w:color="auto" w:fill="auto"/>
            <w:vAlign w:val="center"/>
            <w:hideMark/>
          </w:tcPr>
          <w:p w14:paraId="5E441BC7" w14:textId="77777777" w:rsidR="008F5F1D" w:rsidRPr="00C7386F" w:rsidRDefault="008F5F1D" w:rsidP="00381517">
            <w:pPr>
              <w:jc w:val="center"/>
              <w:rPr>
                <w:color w:val="000000" w:themeColor="text1"/>
              </w:rPr>
            </w:pPr>
            <w:r w:rsidRPr="00C7386F">
              <w:rPr>
                <w:color w:val="000000" w:themeColor="text1"/>
              </w:rPr>
              <w:t>80% to 98% EMOC and 20% to 2% IBC</w:t>
            </w:r>
          </w:p>
        </w:tc>
        <w:tc>
          <w:tcPr>
            <w:tcW w:w="2000" w:type="dxa"/>
            <w:tcBorders>
              <w:top w:val="nil"/>
              <w:left w:val="nil"/>
              <w:bottom w:val="single" w:sz="4" w:space="0" w:color="auto"/>
              <w:right w:val="single" w:sz="4" w:space="0" w:color="auto"/>
            </w:tcBorders>
            <w:shd w:val="clear" w:color="auto" w:fill="auto"/>
            <w:vAlign w:val="center"/>
            <w:hideMark/>
          </w:tcPr>
          <w:p w14:paraId="75EA9415" w14:textId="77777777" w:rsidR="008F5F1D" w:rsidRPr="00C7386F" w:rsidRDefault="008F5F1D" w:rsidP="00381517">
            <w:pPr>
              <w:jc w:val="center"/>
              <w:rPr>
                <w:color w:val="000000" w:themeColor="text1"/>
              </w:rPr>
            </w:pPr>
            <w:r w:rsidRPr="00C7386F">
              <w:rPr>
                <w:color w:val="000000" w:themeColor="text1"/>
              </w:rPr>
              <w:t>80% EMOC to 20% IBC</w:t>
            </w:r>
          </w:p>
        </w:tc>
      </w:tr>
      <w:tr w:rsidR="008F5F1D" w:rsidRPr="00C7386F" w14:paraId="3E536CE3" w14:textId="77777777" w:rsidTr="00381517">
        <w:trPr>
          <w:trHeight w:val="72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53F8A9C" w14:textId="77777777" w:rsidR="008F5F1D" w:rsidRPr="00C7386F" w:rsidRDefault="008F5F1D" w:rsidP="00381517">
            <w:pPr>
              <w:jc w:val="center"/>
              <w:rPr>
                <w:color w:val="000000" w:themeColor="text1"/>
              </w:rPr>
            </w:pPr>
            <w:r w:rsidRPr="00C7386F">
              <w:rPr>
                <w:color w:val="000000" w:themeColor="text1"/>
              </w:rPr>
              <w:t>Hybridized Source Mineralogy</w:t>
            </w:r>
          </w:p>
        </w:tc>
        <w:tc>
          <w:tcPr>
            <w:tcW w:w="2000" w:type="dxa"/>
            <w:tcBorders>
              <w:top w:val="nil"/>
              <w:left w:val="nil"/>
              <w:bottom w:val="single" w:sz="4" w:space="0" w:color="auto"/>
              <w:right w:val="single" w:sz="4" w:space="0" w:color="auto"/>
            </w:tcBorders>
            <w:shd w:val="clear" w:color="auto" w:fill="auto"/>
            <w:vAlign w:val="center"/>
            <w:hideMark/>
          </w:tcPr>
          <w:p w14:paraId="71B542F5" w14:textId="77777777" w:rsidR="008F5F1D" w:rsidRPr="00C7386F" w:rsidRDefault="008F5F1D" w:rsidP="00381517">
            <w:pPr>
              <w:jc w:val="center"/>
              <w:rPr>
                <w:color w:val="000000" w:themeColor="text1"/>
              </w:rPr>
            </w:pPr>
            <w:r w:rsidRPr="00C7386F">
              <w:rPr>
                <w:color w:val="000000" w:themeColor="text1"/>
              </w:rPr>
              <w:t>Garnet-Free</w:t>
            </w:r>
          </w:p>
        </w:tc>
        <w:tc>
          <w:tcPr>
            <w:tcW w:w="2000" w:type="dxa"/>
            <w:tcBorders>
              <w:top w:val="nil"/>
              <w:left w:val="nil"/>
              <w:bottom w:val="single" w:sz="4" w:space="0" w:color="auto"/>
              <w:right w:val="single" w:sz="4" w:space="0" w:color="auto"/>
            </w:tcBorders>
            <w:shd w:val="clear" w:color="auto" w:fill="auto"/>
            <w:vAlign w:val="center"/>
            <w:hideMark/>
          </w:tcPr>
          <w:p w14:paraId="51D6AB5C" w14:textId="77777777" w:rsidR="008F5F1D" w:rsidRPr="00C7386F" w:rsidRDefault="008F5F1D" w:rsidP="00381517">
            <w:pPr>
              <w:jc w:val="center"/>
              <w:rPr>
                <w:color w:val="000000" w:themeColor="text1"/>
              </w:rPr>
            </w:pPr>
            <w:r w:rsidRPr="00C7386F">
              <w:rPr>
                <w:color w:val="000000" w:themeColor="text1"/>
              </w:rPr>
              <w:t>Garnet-Free</w:t>
            </w:r>
          </w:p>
        </w:tc>
        <w:tc>
          <w:tcPr>
            <w:tcW w:w="2000" w:type="dxa"/>
            <w:tcBorders>
              <w:top w:val="nil"/>
              <w:left w:val="nil"/>
              <w:bottom w:val="single" w:sz="4" w:space="0" w:color="auto"/>
              <w:right w:val="single" w:sz="4" w:space="0" w:color="auto"/>
            </w:tcBorders>
            <w:shd w:val="clear" w:color="auto" w:fill="auto"/>
            <w:vAlign w:val="center"/>
            <w:hideMark/>
          </w:tcPr>
          <w:p w14:paraId="3378DA17" w14:textId="77777777" w:rsidR="008F5F1D" w:rsidRPr="00C7386F" w:rsidRDefault="008F5F1D" w:rsidP="00381517">
            <w:pPr>
              <w:jc w:val="center"/>
              <w:rPr>
                <w:color w:val="000000" w:themeColor="text1"/>
              </w:rPr>
            </w:pPr>
            <w:r w:rsidRPr="00C7386F">
              <w:rPr>
                <w:color w:val="000000" w:themeColor="text1"/>
              </w:rPr>
              <w:t>Garnet-Bearing</w:t>
            </w:r>
          </w:p>
        </w:tc>
      </w:tr>
      <w:tr w:rsidR="008F5F1D" w:rsidRPr="00C7386F" w14:paraId="050A21E9" w14:textId="77777777" w:rsidTr="00381517">
        <w:trPr>
          <w:trHeight w:val="98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218513B6" w14:textId="77777777" w:rsidR="008F5F1D" w:rsidRPr="00C7386F" w:rsidRDefault="008F5F1D" w:rsidP="00381517">
            <w:pPr>
              <w:jc w:val="center"/>
              <w:rPr>
                <w:color w:val="000000" w:themeColor="text1"/>
              </w:rPr>
            </w:pPr>
            <w:r w:rsidRPr="00C7386F">
              <w:rPr>
                <w:color w:val="000000" w:themeColor="text1"/>
              </w:rPr>
              <w:t xml:space="preserve">Garnet Abundance in IBC or Hybridized Mantle Source  </w:t>
            </w:r>
          </w:p>
        </w:tc>
        <w:tc>
          <w:tcPr>
            <w:tcW w:w="2000" w:type="dxa"/>
            <w:tcBorders>
              <w:top w:val="nil"/>
              <w:left w:val="nil"/>
              <w:bottom w:val="single" w:sz="4" w:space="0" w:color="auto"/>
              <w:right w:val="single" w:sz="4" w:space="0" w:color="auto"/>
            </w:tcBorders>
            <w:shd w:val="clear" w:color="auto" w:fill="auto"/>
            <w:vAlign w:val="center"/>
            <w:hideMark/>
          </w:tcPr>
          <w:p w14:paraId="0951FF64" w14:textId="77777777" w:rsidR="008F5F1D" w:rsidRPr="00C7386F" w:rsidRDefault="008F5F1D" w:rsidP="00381517">
            <w:pPr>
              <w:jc w:val="center"/>
              <w:rPr>
                <w:color w:val="000000" w:themeColor="text1"/>
              </w:rPr>
            </w:pPr>
            <w:r w:rsidRPr="00C7386F">
              <w:rPr>
                <w:color w:val="000000" w:themeColor="text1"/>
              </w:rPr>
              <w:t>0%</w:t>
            </w:r>
          </w:p>
        </w:tc>
        <w:tc>
          <w:tcPr>
            <w:tcW w:w="2000" w:type="dxa"/>
            <w:tcBorders>
              <w:top w:val="nil"/>
              <w:left w:val="nil"/>
              <w:bottom w:val="single" w:sz="4" w:space="0" w:color="auto"/>
              <w:right w:val="single" w:sz="4" w:space="0" w:color="auto"/>
            </w:tcBorders>
            <w:shd w:val="clear" w:color="auto" w:fill="auto"/>
            <w:vAlign w:val="center"/>
            <w:hideMark/>
          </w:tcPr>
          <w:p w14:paraId="29BF63BD" w14:textId="77777777" w:rsidR="008F5F1D" w:rsidRPr="00C7386F" w:rsidRDefault="008F5F1D" w:rsidP="00381517">
            <w:pPr>
              <w:jc w:val="center"/>
              <w:rPr>
                <w:color w:val="000000" w:themeColor="text1"/>
              </w:rPr>
            </w:pPr>
            <w:r w:rsidRPr="00C7386F">
              <w:rPr>
                <w:color w:val="000000" w:themeColor="text1"/>
              </w:rPr>
              <w:t>0%</w:t>
            </w:r>
          </w:p>
        </w:tc>
        <w:tc>
          <w:tcPr>
            <w:tcW w:w="2000" w:type="dxa"/>
            <w:tcBorders>
              <w:top w:val="nil"/>
              <w:left w:val="nil"/>
              <w:bottom w:val="single" w:sz="4" w:space="0" w:color="auto"/>
              <w:right w:val="single" w:sz="4" w:space="0" w:color="auto"/>
            </w:tcBorders>
            <w:shd w:val="clear" w:color="auto" w:fill="auto"/>
            <w:vAlign w:val="center"/>
            <w:hideMark/>
          </w:tcPr>
          <w:p w14:paraId="2E621D48" w14:textId="77777777" w:rsidR="008F5F1D" w:rsidRPr="00C7386F" w:rsidRDefault="008F5F1D" w:rsidP="00381517">
            <w:pPr>
              <w:jc w:val="center"/>
              <w:rPr>
                <w:color w:val="000000" w:themeColor="text1"/>
              </w:rPr>
            </w:pPr>
            <w:r w:rsidRPr="00C7386F">
              <w:rPr>
                <w:color w:val="000000" w:themeColor="text1"/>
              </w:rPr>
              <w:t>0.25% to 5%</w:t>
            </w:r>
          </w:p>
        </w:tc>
      </w:tr>
      <w:tr w:rsidR="008F5F1D" w:rsidRPr="00C7386F" w14:paraId="684C9CD0" w14:textId="77777777" w:rsidTr="00381517">
        <w:trPr>
          <w:trHeight w:val="98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0C39772" w14:textId="77777777" w:rsidR="008F5F1D" w:rsidRPr="00C7386F" w:rsidRDefault="008F5F1D" w:rsidP="00381517">
            <w:pPr>
              <w:jc w:val="center"/>
              <w:rPr>
                <w:color w:val="000000" w:themeColor="text1"/>
              </w:rPr>
            </w:pPr>
            <w:r w:rsidRPr="00C7386F">
              <w:rPr>
                <w:color w:val="000000" w:themeColor="text1"/>
              </w:rPr>
              <w:t>Hybridized Source Partial Melting P-T Conditions</w:t>
            </w:r>
          </w:p>
        </w:tc>
        <w:tc>
          <w:tcPr>
            <w:tcW w:w="2000" w:type="dxa"/>
            <w:tcBorders>
              <w:top w:val="nil"/>
              <w:left w:val="nil"/>
              <w:bottom w:val="single" w:sz="4" w:space="0" w:color="auto"/>
              <w:right w:val="single" w:sz="4" w:space="0" w:color="auto"/>
            </w:tcBorders>
            <w:shd w:val="clear" w:color="auto" w:fill="auto"/>
            <w:vAlign w:val="center"/>
            <w:hideMark/>
          </w:tcPr>
          <w:p w14:paraId="1A95EC46" w14:textId="77777777" w:rsidR="008F5F1D" w:rsidRPr="00C7386F" w:rsidRDefault="008F5F1D" w:rsidP="00381517">
            <w:pPr>
              <w:jc w:val="center"/>
              <w:rPr>
                <w:color w:val="000000" w:themeColor="text1"/>
              </w:rPr>
            </w:pPr>
            <w:r w:rsidRPr="00C7386F">
              <w:rPr>
                <w:color w:val="000000" w:themeColor="text1"/>
              </w:rPr>
              <w:t>Dependent on the depth of the Cumulate Layer</w:t>
            </w:r>
          </w:p>
        </w:tc>
        <w:tc>
          <w:tcPr>
            <w:tcW w:w="2000" w:type="dxa"/>
            <w:tcBorders>
              <w:top w:val="nil"/>
              <w:left w:val="nil"/>
              <w:bottom w:val="single" w:sz="4" w:space="0" w:color="auto"/>
              <w:right w:val="single" w:sz="4" w:space="0" w:color="auto"/>
            </w:tcBorders>
            <w:shd w:val="clear" w:color="auto" w:fill="auto"/>
            <w:vAlign w:val="center"/>
            <w:hideMark/>
          </w:tcPr>
          <w:p w14:paraId="0495F6A6" w14:textId="77777777" w:rsidR="008F5F1D" w:rsidRPr="00C7386F" w:rsidRDefault="008F5F1D" w:rsidP="00381517">
            <w:pPr>
              <w:jc w:val="center"/>
              <w:rPr>
                <w:color w:val="000000" w:themeColor="text1"/>
              </w:rPr>
            </w:pPr>
            <w:r w:rsidRPr="00C7386F">
              <w:rPr>
                <w:color w:val="000000" w:themeColor="text1"/>
              </w:rPr>
              <w:t>2 GPa and 1350ºC</w:t>
            </w:r>
          </w:p>
        </w:tc>
        <w:tc>
          <w:tcPr>
            <w:tcW w:w="2000" w:type="dxa"/>
            <w:tcBorders>
              <w:top w:val="nil"/>
              <w:left w:val="nil"/>
              <w:bottom w:val="single" w:sz="4" w:space="0" w:color="auto"/>
              <w:right w:val="single" w:sz="4" w:space="0" w:color="auto"/>
            </w:tcBorders>
            <w:shd w:val="clear" w:color="auto" w:fill="auto"/>
            <w:vAlign w:val="center"/>
            <w:hideMark/>
          </w:tcPr>
          <w:p w14:paraId="08240125" w14:textId="77777777" w:rsidR="008F5F1D" w:rsidRPr="00C7386F" w:rsidRDefault="008F5F1D" w:rsidP="00381517">
            <w:pPr>
              <w:jc w:val="center"/>
              <w:rPr>
                <w:color w:val="000000" w:themeColor="text1"/>
              </w:rPr>
            </w:pPr>
            <w:r w:rsidRPr="00C7386F">
              <w:rPr>
                <w:color w:val="000000" w:themeColor="text1"/>
              </w:rPr>
              <w:t>2 GPa and 1350ºC</w:t>
            </w:r>
          </w:p>
        </w:tc>
      </w:tr>
      <w:tr w:rsidR="008F5F1D" w:rsidRPr="00C7386F" w14:paraId="384E0471" w14:textId="77777777" w:rsidTr="00381517">
        <w:trPr>
          <w:trHeight w:val="70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5E28D67D" w14:textId="77777777" w:rsidR="008F5F1D" w:rsidRPr="00C7386F" w:rsidRDefault="008F5F1D" w:rsidP="00381517">
            <w:pPr>
              <w:jc w:val="center"/>
              <w:rPr>
                <w:color w:val="000000" w:themeColor="text1"/>
              </w:rPr>
            </w:pPr>
            <w:r w:rsidRPr="00C7386F">
              <w:rPr>
                <w:color w:val="000000" w:themeColor="text1"/>
              </w:rPr>
              <w:t>Partial Melting of The Source</w:t>
            </w:r>
          </w:p>
        </w:tc>
        <w:tc>
          <w:tcPr>
            <w:tcW w:w="2000" w:type="dxa"/>
            <w:tcBorders>
              <w:top w:val="nil"/>
              <w:left w:val="nil"/>
              <w:bottom w:val="single" w:sz="4" w:space="0" w:color="auto"/>
              <w:right w:val="single" w:sz="4" w:space="0" w:color="auto"/>
            </w:tcBorders>
            <w:shd w:val="clear" w:color="auto" w:fill="auto"/>
            <w:vAlign w:val="center"/>
            <w:hideMark/>
          </w:tcPr>
          <w:p w14:paraId="5FB96E12" w14:textId="77777777" w:rsidR="008F5F1D" w:rsidRPr="00C7386F" w:rsidRDefault="008F5F1D" w:rsidP="00381517">
            <w:pPr>
              <w:jc w:val="center"/>
              <w:rPr>
                <w:color w:val="000000" w:themeColor="text1"/>
              </w:rPr>
            </w:pPr>
            <w:r w:rsidRPr="00C7386F">
              <w:rPr>
                <w:color w:val="000000" w:themeColor="text1"/>
              </w:rPr>
              <w:t>0.01% to 30%</w:t>
            </w:r>
          </w:p>
        </w:tc>
        <w:tc>
          <w:tcPr>
            <w:tcW w:w="2000" w:type="dxa"/>
            <w:tcBorders>
              <w:top w:val="nil"/>
              <w:left w:val="nil"/>
              <w:bottom w:val="single" w:sz="4" w:space="0" w:color="auto"/>
              <w:right w:val="single" w:sz="4" w:space="0" w:color="auto"/>
            </w:tcBorders>
            <w:shd w:val="clear" w:color="auto" w:fill="auto"/>
            <w:vAlign w:val="center"/>
            <w:hideMark/>
          </w:tcPr>
          <w:p w14:paraId="67C0A19F" w14:textId="77777777" w:rsidR="008F5F1D" w:rsidRPr="00C7386F" w:rsidRDefault="008F5F1D" w:rsidP="00381517">
            <w:pPr>
              <w:jc w:val="center"/>
              <w:rPr>
                <w:color w:val="000000" w:themeColor="text1"/>
              </w:rPr>
            </w:pPr>
            <w:r w:rsidRPr="00C7386F">
              <w:rPr>
                <w:color w:val="000000" w:themeColor="text1"/>
              </w:rPr>
              <w:t>0.01% to 30%</w:t>
            </w:r>
          </w:p>
        </w:tc>
        <w:tc>
          <w:tcPr>
            <w:tcW w:w="2000" w:type="dxa"/>
            <w:tcBorders>
              <w:top w:val="nil"/>
              <w:left w:val="nil"/>
              <w:bottom w:val="single" w:sz="4" w:space="0" w:color="auto"/>
              <w:right w:val="single" w:sz="4" w:space="0" w:color="auto"/>
            </w:tcBorders>
            <w:shd w:val="clear" w:color="auto" w:fill="auto"/>
            <w:vAlign w:val="center"/>
            <w:hideMark/>
          </w:tcPr>
          <w:p w14:paraId="64053EFB" w14:textId="77777777" w:rsidR="008F5F1D" w:rsidRPr="00C7386F" w:rsidRDefault="008F5F1D" w:rsidP="00381517">
            <w:pPr>
              <w:jc w:val="center"/>
              <w:rPr>
                <w:color w:val="000000" w:themeColor="text1"/>
              </w:rPr>
            </w:pPr>
            <w:r w:rsidRPr="00C7386F">
              <w:rPr>
                <w:color w:val="000000" w:themeColor="text1"/>
              </w:rPr>
              <w:t>0.01% to 30%</w:t>
            </w:r>
          </w:p>
        </w:tc>
      </w:tr>
      <w:tr w:rsidR="008F5F1D" w:rsidRPr="00C7386F" w14:paraId="42FF7B72" w14:textId="77777777" w:rsidTr="00381517">
        <w:trPr>
          <w:trHeight w:val="4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240D340D" w14:textId="77777777" w:rsidR="008F5F1D" w:rsidRPr="00C7386F" w:rsidRDefault="008F5F1D" w:rsidP="00381517">
            <w:pPr>
              <w:jc w:val="center"/>
              <w:rPr>
                <w:color w:val="000000" w:themeColor="text1"/>
              </w:rPr>
            </w:pPr>
            <w:r w:rsidRPr="00C7386F">
              <w:rPr>
                <w:color w:val="000000" w:themeColor="text1"/>
              </w:rPr>
              <w:t>Associated Figures</w:t>
            </w:r>
          </w:p>
        </w:tc>
        <w:tc>
          <w:tcPr>
            <w:tcW w:w="2000" w:type="dxa"/>
            <w:tcBorders>
              <w:top w:val="nil"/>
              <w:left w:val="nil"/>
              <w:bottom w:val="single" w:sz="4" w:space="0" w:color="auto"/>
              <w:right w:val="single" w:sz="4" w:space="0" w:color="auto"/>
            </w:tcBorders>
            <w:shd w:val="clear" w:color="auto" w:fill="auto"/>
            <w:vAlign w:val="center"/>
            <w:hideMark/>
          </w:tcPr>
          <w:p w14:paraId="299297C3" w14:textId="5A4ED3AD" w:rsidR="008F5F1D" w:rsidRPr="00C7386F" w:rsidRDefault="008F5F1D" w:rsidP="00381517">
            <w:pPr>
              <w:jc w:val="center"/>
              <w:rPr>
                <w:color w:val="000000" w:themeColor="text1"/>
              </w:rPr>
            </w:pPr>
            <w:r w:rsidRPr="00C7386F">
              <w:rPr>
                <w:color w:val="000000" w:themeColor="text1"/>
              </w:rPr>
              <w:t xml:space="preserve">Figure </w:t>
            </w:r>
            <w:r w:rsidR="00400389">
              <w:rPr>
                <w:color w:val="000000" w:themeColor="text1"/>
              </w:rPr>
              <w:t>2.</w:t>
            </w:r>
            <w:r w:rsidRPr="00C7386F">
              <w:rPr>
                <w:color w:val="000000" w:themeColor="text1"/>
              </w:rPr>
              <w:t>4b-c</w:t>
            </w:r>
          </w:p>
        </w:tc>
        <w:tc>
          <w:tcPr>
            <w:tcW w:w="2000" w:type="dxa"/>
            <w:tcBorders>
              <w:top w:val="nil"/>
              <w:left w:val="nil"/>
              <w:bottom w:val="single" w:sz="4" w:space="0" w:color="auto"/>
              <w:right w:val="single" w:sz="4" w:space="0" w:color="auto"/>
            </w:tcBorders>
            <w:shd w:val="clear" w:color="auto" w:fill="auto"/>
            <w:vAlign w:val="center"/>
            <w:hideMark/>
          </w:tcPr>
          <w:p w14:paraId="77D4E0CA" w14:textId="4176BD29" w:rsidR="008F5F1D" w:rsidRPr="00C7386F" w:rsidRDefault="008F5F1D" w:rsidP="00381517">
            <w:pPr>
              <w:jc w:val="center"/>
              <w:rPr>
                <w:color w:val="000000" w:themeColor="text1"/>
              </w:rPr>
            </w:pPr>
            <w:r w:rsidRPr="00C7386F">
              <w:rPr>
                <w:color w:val="000000" w:themeColor="text1"/>
              </w:rPr>
              <w:t xml:space="preserve">Figure </w:t>
            </w:r>
            <w:r w:rsidR="00400389">
              <w:rPr>
                <w:color w:val="000000" w:themeColor="text1"/>
              </w:rPr>
              <w:t>2.</w:t>
            </w:r>
            <w:r w:rsidRPr="00C7386F">
              <w:rPr>
                <w:color w:val="000000" w:themeColor="text1"/>
              </w:rPr>
              <w:t>8a-c</w:t>
            </w:r>
          </w:p>
        </w:tc>
        <w:tc>
          <w:tcPr>
            <w:tcW w:w="2000" w:type="dxa"/>
            <w:tcBorders>
              <w:top w:val="nil"/>
              <w:left w:val="nil"/>
              <w:bottom w:val="single" w:sz="4" w:space="0" w:color="auto"/>
              <w:right w:val="single" w:sz="4" w:space="0" w:color="auto"/>
            </w:tcBorders>
            <w:shd w:val="clear" w:color="auto" w:fill="auto"/>
            <w:vAlign w:val="center"/>
            <w:hideMark/>
          </w:tcPr>
          <w:p w14:paraId="3CC09421" w14:textId="54787520" w:rsidR="008F5F1D" w:rsidRPr="00C7386F" w:rsidRDefault="008F5F1D" w:rsidP="00381517">
            <w:pPr>
              <w:jc w:val="center"/>
              <w:rPr>
                <w:color w:val="000000" w:themeColor="text1"/>
              </w:rPr>
            </w:pPr>
            <w:r w:rsidRPr="00C7386F">
              <w:rPr>
                <w:color w:val="000000" w:themeColor="text1"/>
              </w:rPr>
              <w:t xml:space="preserve">Figure </w:t>
            </w:r>
            <w:r w:rsidR="00400389">
              <w:rPr>
                <w:color w:val="000000" w:themeColor="text1"/>
              </w:rPr>
              <w:t>2.</w:t>
            </w:r>
            <w:r w:rsidRPr="00C7386F">
              <w:rPr>
                <w:color w:val="000000" w:themeColor="text1"/>
              </w:rPr>
              <w:t>8d-f</w:t>
            </w:r>
          </w:p>
        </w:tc>
      </w:tr>
    </w:tbl>
    <w:p w14:paraId="5E2FACDD" w14:textId="77777777" w:rsidR="008F5F1D" w:rsidRPr="00557062" w:rsidRDefault="008F5F1D" w:rsidP="008F5F1D">
      <w:pPr>
        <w:rPr>
          <w:color w:val="000000" w:themeColor="text1"/>
        </w:rPr>
      </w:pPr>
    </w:p>
    <w:p w14:paraId="66077C11" w14:textId="77777777" w:rsidR="008F5F1D" w:rsidRPr="00557062" w:rsidRDefault="008F5F1D" w:rsidP="008F5F1D">
      <w:pPr>
        <w:rPr>
          <w:color w:val="000000" w:themeColor="text1"/>
        </w:rPr>
      </w:pPr>
      <w:r w:rsidRPr="00557062">
        <w:rPr>
          <w:color w:val="000000" w:themeColor="text1"/>
        </w:rPr>
        <w:br w:type="page"/>
      </w:r>
    </w:p>
    <w:p w14:paraId="482F7397" w14:textId="58EAE1F5" w:rsidR="008F5F1D" w:rsidRPr="00557062" w:rsidRDefault="008F5F1D" w:rsidP="008F5F1D">
      <w:r w:rsidRPr="00557062">
        <w:rPr>
          <w:b/>
          <w:bCs/>
        </w:rPr>
        <w:lastRenderedPageBreak/>
        <w:t xml:space="preserve">Table </w:t>
      </w:r>
      <w:r w:rsidR="00664DDD">
        <w:rPr>
          <w:b/>
          <w:bCs/>
        </w:rPr>
        <w:t>2.</w:t>
      </w:r>
      <w:r w:rsidRPr="00557062">
        <w:rPr>
          <w:b/>
          <w:bCs/>
        </w:rPr>
        <w:t>4.</w:t>
      </w:r>
      <w:r w:rsidRPr="00557062">
        <w:t xml:space="preserve"> Continue</w:t>
      </w:r>
      <w:r>
        <w:t>d</w:t>
      </w:r>
      <w:r w:rsidR="00C40415">
        <w:t>.</w:t>
      </w:r>
    </w:p>
    <w:tbl>
      <w:tblPr>
        <w:tblW w:w="8180" w:type="dxa"/>
        <w:tblLook w:val="04A0" w:firstRow="1" w:lastRow="0" w:firstColumn="1" w:lastColumn="0" w:noHBand="0" w:noVBand="1"/>
      </w:tblPr>
      <w:tblGrid>
        <w:gridCol w:w="2180"/>
        <w:gridCol w:w="2000"/>
        <w:gridCol w:w="2000"/>
        <w:gridCol w:w="2000"/>
      </w:tblGrid>
      <w:tr w:rsidR="008F5F1D" w:rsidRPr="00C7386F" w14:paraId="7C1EEFBD" w14:textId="77777777" w:rsidTr="00381517">
        <w:trPr>
          <w:trHeight w:val="360"/>
        </w:trPr>
        <w:tc>
          <w:tcPr>
            <w:tcW w:w="2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723268" w14:textId="77777777" w:rsidR="008F5F1D" w:rsidRPr="00C7386F" w:rsidRDefault="008F5F1D" w:rsidP="00381517">
            <w:pPr>
              <w:jc w:val="center"/>
              <w:rPr>
                <w:color w:val="000000" w:themeColor="text1"/>
              </w:rPr>
            </w:pPr>
            <w:r w:rsidRPr="00C7386F">
              <w:rPr>
                <w:color w:val="000000" w:themeColor="text1"/>
              </w:rPr>
              <w:t> </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3B04B5B8" w14:textId="77777777" w:rsidR="008F5F1D" w:rsidRPr="00C7386F" w:rsidRDefault="008F5F1D" w:rsidP="00381517">
            <w:pPr>
              <w:jc w:val="center"/>
              <w:rPr>
                <w:color w:val="000000" w:themeColor="text1"/>
              </w:rPr>
            </w:pPr>
            <w:r w:rsidRPr="00C7386F">
              <w:rPr>
                <w:color w:val="000000" w:themeColor="text1"/>
              </w:rPr>
              <w:t>Scenario #3</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3EBC29F0" w14:textId="77777777" w:rsidR="008F5F1D" w:rsidRPr="00C7386F" w:rsidRDefault="008F5F1D" w:rsidP="00381517">
            <w:pPr>
              <w:jc w:val="center"/>
              <w:rPr>
                <w:color w:val="000000" w:themeColor="text1"/>
              </w:rPr>
            </w:pPr>
            <w:r w:rsidRPr="00C7386F">
              <w:rPr>
                <w:color w:val="000000" w:themeColor="text1"/>
              </w:rPr>
              <w:t>Scenario #4</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53A1AAB6" w14:textId="77777777" w:rsidR="008F5F1D" w:rsidRPr="00C7386F" w:rsidRDefault="008F5F1D" w:rsidP="00381517">
            <w:pPr>
              <w:jc w:val="center"/>
              <w:rPr>
                <w:color w:val="000000" w:themeColor="text1"/>
              </w:rPr>
            </w:pPr>
            <w:r w:rsidRPr="00C7386F">
              <w:rPr>
                <w:color w:val="000000" w:themeColor="text1"/>
              </w:rPr>
              <w:t>Scenario #5</w:t>
            </w:r>
          </w:p>
        </w:tc>
      </w:tr>
      <w:tr w:rsidR="008F5F1D" w:rsidRPr="00C7386F" w14:paraId="4D81C816" w14:textId="77777777" w:rsidTr="00381517">
        <w:trPr>
          <w:trHeight w:val="70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49E02DE1" w14:textId="77777777" w:rsidR="008F5F1D" w:rsidRPr="00C7386F" w:rsidRDefault="008F5F1D" w:rsidP="00381517">
            <w:pPr>
              <w:jc w:val="center"/>
              <w:rPr>
                <w:color w:val="000000" w:themeColor="text1"/>
              </w:rPr>
            </w:pPr>
            <w:r w:rsidRPr="00C7386F">
              <w:rPr>
                <w:color w:val="000000" w:themeColor="text1"/>
              </w:rPr>
              <w:t>Plagioclase Floatation Efficiency</w:t>
            </w:r>
          </w:p>
        </w:tc>
        <w:tc>
          <w:tcPr>
            <w:tcW w:w="2000" w:type="dxa"/>
            <w:tcBorders>
              <w:top w:val="nil"/>
              <w:left w:val="nil"/>
              <w:bottom w:val="single" w:sz="4" w:space="0" w:color="auto"/>
              <w:right w:val="single" w:sz="4" w:space="0" w:color="auto"/>
            </w:tcBorders>
            <w:shd w:val="clear" w:color="auto" w:fill="auto"/>
            <w:vAlign w:val="center"/>
            <w:hideMark/>
          </w:tcPr>
          <w:p w14:paraId="384CF345" w14:textId="77777777" w:rsidR="008F5F1D" w:rsidRPr="00C7386F" w:rsidRDefault="008F5F1D" w:rsidP="00381517">
            <w:pPr>
              <w:jc w:val="center"/>
              <w:rPr>
                <w:color w:val="000000" w:themeColor="text1"/>
              </w:rPr>
            </w:pPr>
            <w:r w:rsidRPr="00C7386F">
              <w:rPr>
                <w:color w:val="000000" w:themeColor="text1"/>
              </w:rPr>
              <w:t>90%</w:t>
            </w:r>
          </w:p>
        </w:tc>
        <w:tc>
          <w:tcPr>
            <w:tcW w:w="2000" w:type="dxa"/>
            <w:tcBorders>
              <w:top w:val="nil"/>
              <w:left w:val="nil"/>
              <w:bottom w:val="single" w:sz="4" w:space="0" w:color="auto"/>
              <w:right w:val="single" w:sz="4" w:space="0" w:color="auto"/>
            </w:tcBorders>
            <w:shd w:val="clear" w:color="auto" w:fill="auto"/>
            <w:vAlign w:val="center"/>
            <w:hideMark/>
          </w:tcPr>
          <w:p w14:paraId="7B1D726F" w14:textId="77777777" w:rsidR="008F5F1D" w:rsidRPr="00C7386F" w:rsidRDefault="008F5F1D" w:rsidP="00381517">
            <w:pPr>
              <w:jc w:val="center"/>
              <w:rPr>
                <w:color w:val="000000" w:themeColor="text1"/>
              </w:rPr>
            </w:pPr>
            <w:r w:rsidRPr="00C7386F">
              <w:rPr>
                <w:color w:val="000000" w:themeColor="text1"/>
              </w:rPr>
              <w:t>90%</w:t>
            </w:r>
          </w:p>
        </w:tc>
        <w:tc>
          <w:tcPr>
            <w:tcW w:w="2000" w:type="dxa"/>
            <w:tcBorders>
              <w:top w:val="nil"/>
              <w:left w:val="nil"/>
              <w:bottom w:val="single" w:sz="4" w:space="0" w:color="auto"/>
              <w:right w:val="single" w:sz="4" w:space="0" w:color="auto"/>
            </w:tcBorders>
            <w:shd w:val="clear" w:color="auto" w:fill="auto"/>
            <w:vAlign w:val="center"/>
            <w:hideMark/>
          </w:tcPr>
          <w:p w14:paraId="33BBFA65" w14:textId="77777777" w:rsidR="008F5F1D" w:rsidRPr="00C7386F" w:rsidRDefault="008F5F1D" w:rsidP="00381517">
            <w:pPr>
              <w:jc w:val="center"/>
              <w:rPr>
                <w:color w:val="000000" w:themeColor="text1"/>
              </w:rPr>
            </w:pPr>
            <w:r w:rsidRPr="00C7386F">
              <w:rPr>
                <w:color w:val="000000" w:themeColor="text1"/>
              </w:rPr>
              <w:t>90%</w:t>
            </w:r>
          </w:p>
        </w:tc>
      </w:tr>
      <w:tr w:rsidR="008F5F1D" w:rsidRPr="00C7386F" w14:paraId="08498EF6" w14:textId="77777777" w:rsidTr="00381517">
        <w:trPr>
          <w:trHeight w:val="50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6E5D434" w14:textId="77777777" w:rsidR="008F5F1D" w:rsidRPr="00C7386F" w:rsidRDefault="008F5F1D" w:rsidP="00381517">
            <w:pPr>
              <w:jc w:val="center"/>
              <w:rPr>
                <w:color w:val="000000" w:themeColor="text1"/>
              </w:rPr>
            </w:pPr>
            <w:r w:rsidRPr="00C7386F">
              <w:rPr>
                <w:color w:val="000000" w:themeColor="text1"/>
              </w:rPr>
              <w:t>IBC Composition</w:t>
            </w:r>
          </w:p>
        </w:tc>
        <w:tc>
          <w:tcPr>
            <w:tcW w:w="2000" w:type="dxa"/>
            <w:tcBorders>
              <w:top w:val="nil"/>
              <w:left w:val="nil"/>
              <w:bottom w:val="single" w:sz="4" w:space="0" w:color="auto"/>
              <w:right w:val="single" w:sz="4" w:space="0" w:color="auto"/>
            </w:tcBorders>
            <w:shd w:val="clear" w:color="auto" w:fill="auto"/>
            <w:vAlign w:val="center"/>
            <w:hideMark/>
          </w:tcPr>
          <w:p w14:paraId="3A0A8B0F" w14:textId="77777777" w:rsidR="008F5F1D" w:rsidRPr="00C7386F" w:rsidRDefault="008F5F1D" w:rsidP="00381517">
            <w:pPr>
              <w:jc w:val="center"/>
              <w:rPr>
                <w:color w:val="000000" w:themeColor="text1"/>
              </w:rPr>
            </w:pPr>
            <w:r w:rsidRPr="00C7386F">
              <w:rPr>
                <w:color w:val="000000" w:themeColor="text1"/>
              </w:rPr>
              <w:t>IBC #1</w:t>
            </w:r>
          </w:p>
        </w:tc>
        <w:tc>
          <w:tcPr>
            <w:tcW w:w="2000" w:type="dxa"/>
            <w:tcBorders>
              <w:top w:val="nil"/>
              <w:left w:val="nil"/>
              <w:bottom w:val="single" w:sz="4" w:space="0" w:color="auto"/>
              <w:right w:val="single" w:sz="4" w:space="0" w:color="auto"/>
            </w:tcBorders>
            <w:shd w:val="clear" w:color="auto" w:fill="auto"/>
            <w:vAlign w:val="center"/>
            <w:hideMark/>
          </w:tcPr>
          <w:p w14:paraId="418592D2" w14:textId="77777777" w:rsidR="008F5F1D" w:rsidRPr="00C7386F" w:rsidRDefault="008F5F1D" w:rsidP="00381517">
            <w:pPr>
              <w:jc w:val="center"/>
              <w:rPr>
                <w:color w:val="000000" w:themeColor="text1"/>
              </w:rPr>
            </w:pPr>
            <w:r w:rsidRPr="00C7386F">
              <w:rPr>
                <w:color w:val="000000" w:themeColor="text1"/>
              </w:rPr>
              <w:t>IBC #1</w:t>
            </w:r>
          </w:p>
        </w:tc>
        <w:tc>
          <w:tcPr>
            <w:tcW w:w="2000" w:type="dxa"/>
            <w:tcBorders>
              <w:top w:val="nil"/>
              <w:left w:val="nil"/>
              <w:bottom w:val="single" w:sz="4" w:space="0" w:color="auto"/>
              <w:right w:val="single" w:sz="4" w:space="0" w:color="auto"/>
            </w:tcBorders>
            <w:shd w:val="clear" w:color="auto" w:fill="auto"/>
            <w:vAlign w:val="center"/>
            <w:hideMark/>
          </w:tcPr>
          <w:p w14:paraId="3C5E49FF" w14:textId="77777777" w:rsidR="008F5F1D" w:rsidRPr="00C7386F" w:rsidRDefault="008F5F1D" w:rsidP="00381517">
            <w:pPr>
              <w:jc w:val="center"/>
              <w:rPr>
                <w:color w:val="000000" w:themeColor="text1"/>
              </w:rPr>
            </w:pPr>
            <w:r w:rsidRPr="00C7386F">
              <w:rPr>
                <w:color w:val="000000" w:themeColor="text1"/>
              </w:rPr>
              <w:t>IBC #1</w:t>
            </w:r>
          </w:p>
        </w:tc>
      </w:tr>
      <w:tr w:rsidR="008F5F1D" w:rsidRPr="00C7386F" w14:paraId="0B6C3218" w14:textId="77777777" w:rsidTr="00381517">
        <w:trPr>
          <w:trHeight w:val="68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8FE263F" w14:textId="77777777" w:rsidR="008F5F1D" w:rsidRPr="00C7386F" w:rsidRDefault="008F5F1D" w:rsidP="00381517">
            <w:pPr>
              <w:jc w:val="center"/>
              <w:rPr>
                <w:color w:val="000000" w:themeColor="text1"/>
              </w:rPr>
            </w:pPr>
            <w:r w:rsidRPr="00C7386F">
              <w:rPr>
                <w:color w:val="000000" w:themeColor="text1"/>
              </w:rPr>
              <w:t>Pre-Overturn Mixing</w:t>
            </w:r>
          </w:p>
        </w:tc>
        <w:tc>
          <w:tcPr>
            <w:tcW w:w="2000" w:type="dxa"/>
            <w:tcBorders>
              <w:top w:val="nil"/>
              <w:left w:val="nil"/>
              <w:bottom w:val="single" w:sz="4" w:space="0" w:color="auto"/>
              <w:right w:val="single" w:sz="4" w:space="0" w:color="auto"/>
            </w:tcBorders>
            <w:shd w:val="clear" w:color="auto" w:fill="auto"/>
            <w:vAlign w:val="center"/>
            <w:hideMark/>
          </w:tcPr>
          <w:p w14:paraId="190DFF2E" w14:textId="77777777" w:rsidR="008F5F1D" w:rsidRPr="00C7386F" w:rsidRDefault="008F5F1D" w:rsidP="00381517">
            <w:pPr>
              <w:jc w:val="center"/>
              <w:rPr>
                <w:color w:val="000000" w:themeColor="text1"/>
              </w:rPr>
            </w:pPr>
            <w:r w:rsidRPr="00C7386F">
              <w:rPr>
                <w:color w:val="000000" w:themeColor="text1"/>
              </w:rPr>
              <w:t>None</w:t>
            </w:r>
          </w:p>
        </w:tc>
        <w:tc>
          <w:tcPr>
            <w:tcW w:w="2000" w:type="dxa"/>
            <w:tcBorders>
              <w:top w:val="nil"/>
              <w:left w:val="nil"/>
              <w:bottom w:val="single" w:sz="4" w:space="0" w:color="auto"/>
              <w:right w:val="single" w:sz="4" w:space="0" w:color="auto"/>
            </w:tcBorders>
            <w:shd w:val="clear" w:color="auto" w:fill="auto"/>
            <w:vAlign w:val="center"/>
            <w:hideMark/>
          </w:tcPr>
          <w:p w14:paraId="49033558" w14:textId="77777777" w:rsidR="008F5F1D" w:rsidRPr="00C7386F" w:rsidRDefault="008F5F1D" w:rsidP="00381517">
            <w:pPr>
              <w:jc w:val="center"/>
              <w:rPr>
                <w:color w:val="000000" w:themeColor="text1"/>
              </w:rPr>
            </w:pPr>
            <w:r w:rsidRPr="00C7386F">
              <w:rPr>
                <w:color w:val="000000" w:themeColor="text1"/>
              </w:rPr>
              <w:t>None</w:t>
            </w:r>
          </w:p>
        </w:tc>
        <w:tc>
          <w:tcPr>
            <w:tcW w:w="2000" w:type="dxa"/>
            <w:tcBorders>
              <w:top w:val="nil"/>
              <w:left w:val="nil"/>
              <w:bottom w:val="single" w:sz="4" w:space="0" w:color="auto"/>
              <w:right w:val="single" w:sz="4" w:space="0" w:color="auto"/>
            </w:tcBorders>
            <w:shd w:val="clear" w:color="auto" w:fill="auto"/>
            <w:vAlign w:val="center"/>
            <w:hideMark/>
          </w:tcPr>
          <w:p w14:paraId="1B223C33" w14:textId="77777777" w:rsidR="008F5F1D" w:rsidRPr="00C7386F" w:rsidRDefault="008F5F1D" w:rsidP="00381517">
            <w:pPr>
              <w:jc w:val="center"/>
              <w:rPr>
                <w:color w:val="000000" w:themeColor="text1"/>
              </w:rPr>
            </w:pPr>
            <w:r w:rsidRPr="00C7386F">
              <w:rPr>
                <w:color w:val="000000" w:themeColor="text1"/>
              </w:rPr>
              <w:t>None</w:t>
            </w:r>
          </w:p>
        </w:tc>
      </w:tr>
      <w:tr w:rsidR="008F5F1D" w:rsidRPr="00C7386F" w14:paraId="3FB13F58" w14:textId="77777777" w:rsidTr="00381517">
        <w:trPr>
          <w:trHeight w:val="46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50CA73B9" w14:textId="77777777" w:rsidR="008F5F1D" w:rsidRPr="00C7386F" w:rsidRDefault="008F5F1D" w:rsidP="00381517">
            <w:pPr>
              <w:jc w:val="center"/>
              <w:rPr>
                <w:color w:val="000000" w:themeColor="text1"/>
              </w:rPr>
            </w:pPr>
            <w:r w:rsidRPr="00C7386F">
              <w:rPr>
                <w:color w:val="000000" w:themeColor="text1"/>
              </w:rPr>
              <w:t>IBC Mineralogy</w:t>
            </w:r>
          </w:p>
        </w:tc>
        <w:tc>
          <w:tcPr>
            <w:tcW w:w="2000" w:type="dxa"/>
            <w:tcBorders>
              <w:top w:val="nil"/>
              <w:left w:val="nil"/>
              <w:bottom w:val="single" w:sz="4" w:space="0" w:color="auto"/>
              <w:right w:val="single" w:sz="4" w:space="0" w:color="auto"/>
            </w:tcBorders>
            <w:shd w:val="clear" w:color="auto" w:fill="auto"/>
            <w:vAlign w:val="center"/>
            <w:hideMark/>
          </w:tcPr>
          <w:p w14:paraId="01C6521C" w14:textId="77777777" w:rsidR="008F5F1D" w:rsidRPr="00C7386F" w:rsidRDefault="008F5F1D" w:rsidP="00381517">
            <w:pPr>
              <w:jc w:val="center"/>
              <w:rPr>
                <w:color w:val="000000" w:themeColor="text1"/>
              </w:rPr>
            </w:pPr>
            <w:r w:rsidRPr="00C7386F">
              <w:rPr>
                <w:color w:val="000000" w:themeColor="text1"/>
              </w:rPr>
              <w:t>Garnet-Free</w:t>
            </w:r>
          </w:p>
        </w:tc>
        <w:tc>
          <w:tcPr>
            <w:tcW w:w="2000" w:type="dxa"/>
            <w:tcBorders>
              <w:top w:val="nil"/>
              <w:left w:val="nil"/>
              <w:bottom w:val="single" w:sz="4" w:space="0" w:color="auto"/>
              <w:right w:val="single" w:sz="4" w:space="0" w:color="auto"/>
            </w:tcBorders>
            <w:shd w:val="clear" w:color="auto" w:fill="auto"/>
            <w:vAlign w:val="center"/>
            <w:hideMark/>
          </w:tcPr>
          <w:p w14:paraId="30489DBE" w14:textId="77777777" w:rsidR="008F5F1D" w:rsidRPr="00C7386F" w:rsidRDefault="008F5F1D" w:rsidP="00381517">
            <w:pPr>
              <w:jc w:val="center"/>
              <w:rPr>
                <w:color w:val="000000" w:themeColor="text1"/>
              </w:rPr>
            </w:pPr>
            <w:r w:rsidRPr="00C7386F">
              <w:rPr>
                <w:color w:val="000000" w:themeColor="text1"/>
              </w:rPr>
              <w:t>Garnet-Free</w:t>
            </w:r>
          </w:p>
        </w:tc>
        <w:tc>
          <w:tcPr>
            <w:tcW w:w="2000" w:type="dxa"/>
            <w:tcBorders>
              <w:top w:val="nil"/>
              <w:left w:val="nil"/>
              <w:bottom w:val="single" w:sz="4" w:space="0" w:color="auto"/>
              <w:right w:val="single" w:sz="4" w:space="0" w:color="auto"/>
            </w:tcBorders>
            <w:shd w:val="clear" w:color="auto" w:fill="auto"/>
            <w:vAlign w:val="center"/>
            <w:hideMark/>
          </w:tcPr>
          <w:p w14:paraId="6CD843E3" w14:textId="77777777" w:rsidR="008F5F1D" w:rsidRPr="00C7386F" w:rsidRDefault="008F5F1D" w:rsidP="00381517">
            <w:pPr>
              <w:jc w:val="center"/>
              <w:rPr>
                <w:color w:val="000000" w:themeColor="text1"/>
              </w:rPr>
            </w:pPr>
            <w:r w:rsidRPr="00C7386F">
              <w:rPr>
                <w:color w:val="000000" w:themeColor="text1"/>
              </w:rPr>
              <w:t>Garnet-Bearing</w:t>
            </w:r>
          </w:p>
        </w:tc>
      </w:tr>
      <w:tr w:rsidR="008F5F1D" w:rsidRPr="00C7386F" w14:paraId="6CBB730C" w14:textId="77777777" w:rsidTr="00381517">
        <w:trPr>
          <w:trHeight w:val="7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DD7F1C2" w14:textId="77777777" w:rsidR="008F5F1D" w:rsidRPr="00C7386F" w:rsidRDefault="008F5F1D" w:rsidP="00381517">
            <w:pPr>
              <w:jc w:val="center"/>
              <w:rPr>
                <w:color w:val="000000" w:themeColor="text1"/>
              </w:rPr>
            </w:pPr>
            <w:r w:rsidRPr="00C7386F">
              <w:rPr>
                <w:color w:val="000000" w:themeColor="text1"/>
              </w:rPr>
              <w:t xml:space="preserve">IBC Mixing Component </w:t>
            </w:r>
          </w:p>
        </w:tc>
        <w:tc>
          <w:tcPr>
            <w:tcW w:w="2000" w:type="dxa"/>
            <w:tcBorders>
              <w:top w:val="nil"/>
              <w:left w:val="nil"/>
              <w:bottom w:val="single" w:sz="4" w:space="0" w:color="auto"/>
              <w:right w:val="single" w:sz="4" w:space="0" w:color="auto"/>
            </w:tcBorders>
            <w:shd w:val="clear" w:color="auto" w:fill="auto"/>
            <w:vAlign w:val="center"/>
            <w:hideMark/>
          </w:tcPr>
          <w:p w14:paraId="30624A56" w14:textId="77777777" w:rsidR="008F5F1D" w:rsidRPr="00C7386F" w:rsidRDefault="008F5F1D" w:rsidP="00381517">
            <w:pPr>
              <w:jc w:val="center"/>
              <w:rPr>
                <w:color w:val="000000" w:themeColor="text1"/>
              </w:rPr>
            </w:pPr>
            <w:r w:rsidRPr="00C7386F">
              <w:rPr>
                <w:color w:val="000000" w:themeColor="text1"/>
              </w:rPr>
              <w:t xml:space="preserve">IBC Partial Melt @ 25% melting </w:t>
            </w:r>
          </w:p>
        </w:tc>
        <w:tc>
          <w:tcPr>
            <w:tcW w:w="2000" w:type="dxa"/>
            <w:tcBorders>
              <w:top w:val="nil"/>
              <w:left w:val="nil"/>
              <w:bottom w:val="single" w:sz="4" w:space="0" w:color="auto"/>
              <w:right w:val="single" w:sz="4" w:space="0" w:color="auto"/>
            </w:tcBorders>
            <w:shd w:val="clear" w:color="auto" w:fill="auto"/>
            <w:vAlign w:val="center"/>
            <w:hideMark/>
          </w:tcPr>
          <w:p w14:paraId="45CA9B2F" w14:textId="77777777" w:rsidR="008F5F1D" w:rsidRPr="00C7386F" w:rsidRDefault="008F5F1D" w:rsidP="00381517">
            <w:pPr>
              <w:jc w:val="center"/>
              <w:rPr>
                <w:color w:val="000000" w:themeColor="text1"/>
              </w:rPr>
            </w:pPr>
            <w:r w:rsidRPr="00C7386F">
              <w:rPr>
                <w:color w:val="000000" w:themeColor="text1"/>
              </w:rPr>
              <w:t xml:space="preserve">IBC Partial Melt @ 25% melting </w:t>
            </w:r>
          </w:p>
        </w:tc>
        <w:tc>
          <w:tcPr>
            <w:tcW w:w="2000" w:type="dxa"/>
            <w:tcBorders>
              <w:top w:val="nil"/>
              <w:left w:val="nil"/>
              <w:bottom w:val="single" w:sz="4" w:space="0" w:color="auto"/>
              <w:right w:val="single" w:sz="4" w:space="0" w:color="auto"/>
            </w:tcBorders>
            <w:shd w:val="clear" w:color="auto" w:fill="auto"/>
            <w:vAlign w:val="center"/>
            <w:hideMark/>
          </w:tcPr>
          <w:p w14:paraId="08B04108" w14:textId="77777777" w:rsidR="008F5F1D" w:rsidRPr="00C7386F" w:rsidRDefault="008F5F1D" w:rsidP="00381517">
            <w:pPr>
              <w:jc w:val="center"/>
              <w:rPr>
                <w:color w:val="000000" w:themeColor="text1"/>
              </w:rPr>
            </w:pPr>
            <w:r w:rsidRPr="00C7386F">
              <w:rPr>
                <w:color w:val="000000" w:themeColor="text1"/>
              </w:rPr>
              <w:t xml:space="preserve">IBC Partial Melt @ 25% melting </w:t>
            </w:r>
          </w:p>
        </w:tc>
      </w:tr>
      <w:tr w:rsidR="008F5F1D" w:rsidRPr="00C7386F" w14:paraId="313DFF05" w14:textId="77777777" w:rsidTr="00381517">
        <w:trPr>
          <w:trHeight w:val="7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E397477" w14:textId="77777777" w:rsidR="008F5F1D" w:rsidRPr="00C7386F" w:rsidRDefault="008F5F1D" w:rsidP="00381517">
            <w:pPr>
              <w:jc w:val="center"/>
              <w:rPr>
                <w:color w:val="000000" w:themeColor="text1"/>
              </w:rPr>
            </w:pPr>
            <w:r w:rsidRPr="00C7386F">
              <w:rPr>
                <w:color w:val="000000" w:themeColor="text1"/>
              </w:rPr>
              <w:t>IBC Partial Melting P-T Conditions</w:t>
            </w:r>
          </w:p>
        </w:tc>
        <w:tc>
          <w:tcPr>
            <w:tcW w:w="2000" w:type="dxa"/>
            <w:tcBorders>
              <w:top w:val="nil"/>
              <w:left w:val="nil"/>
              <w:bottom w:val="single" w:sz="4" w:space="0" w:color="auto"/>
              <w:right w:val="single" w:sz="4" w:space="0" w:color="auto"/>
            </w:tcBorders>
            <w:shd w:val="clear" w:color="auto" w:fill="auto"/>
            <w:vAlign w:val="center"/>
            <w:hideMark/>
          </w:tcPr>
          <w:p w14:paraId="2D35E2A8" w14:textId="77777777" w:rsidR="008F5F1D" w:rsidRPr="00C7386F" w:rsidRDefault="008F5F1D" w:rsidP="00381517">
            <w:pPr>
              <w:jc w:val="center"/>
              <w:rPr>
                <w:color w:val="000000" w:themeColor="text1"/>
              </w:rPr>
            </w:pPr>
            <w:r w:rsidRPr="00C7386F">
              <w:rPr>
                <w:color w:val="000000" w:themeColor="text1"/>
              </w:rPr>
              <w:t>2 GPa and 1300ºC</w:t>
            </w:r>
          </w:p>
        </w:tc>
        <w:tc>
          <w:tcPr>
            <w:tcW w:w="2000" w:type="dxa"/>
            <w:tcBorders>
              <w:top w:val="nil"/>
              <w:left w:val="nil"/>
              <w:bottom w:val="single" w:sz="4" w:space="0" w:color="auto"/>
              <w:right w:val="single" w:sz="4" w:space="0" w:color="auto"/>
            </w:tcBorders>
            <w:shd w:val="clear" w:color="auto" w:fill="auto"/>
            <w:vAlign w:val="center"/>
            <w:hideMark/>
          </w:tcPr>
          <w:p w14:paraId="07451064" w14:textId="77777777" w:rsidR="008F5F1D" w:rsidRPr="00C7386F" w:rsidRDefault="008F5F1D" w:rsidP="00381517">
            <w:pPr>
              <w:jc w:val="center"/>
              <w:rPr>
                <w:color w:val="000000" w:themeColor="text1"/>
              </w:rPr>
            </w:pPr>
            <w:r w:rsidRPr="00C7386F">
              <w:rPr>
                <w:color w:val="000000" w:themeColor="text1"/>
              </w:rPr>
              <w:t>2 GPa and 1300ºC</w:t>
            </w:r>
          </w:p>
        </w:tc>
        <w:tc>
          <w:tcPr>
            <w:tcW w:w="2000" w:type="dxa"/>
            <w:tcBorders>
              <w:top w:val="nil"/>
              <w:left w:val="nil"/>
              <w:bottom w:val="single" w:sz="4" w:space="0" w:color="auto"/>
              <w:right w:val="single" w:sz="4" w:space="0" w:color="auto"/>
            </w:tcBorders>
            <w:shd w:val="clear" w:color="auto" w:fill="auto"/>
            <w:vAlign w:val="center"/>
            <w:hideMark/>
          </w:tcPr>
          <w:p w14:paraId="7F927922" w14:textId="77777777" w:rsidR="008F5F1D" w:rsidRPr="00C7386F" w:rsidRDefault="008F5F1D" w:rsidP="00381517">
            <w:pPr>
              <w:jc w:val="center"/>
              <w:rPr>
                <w:color w:val="000000" w:themeColor="text1"/>
              </w:rPr>
            </w:pPr>
            <w:r w:rsidRPr="00C7386F">
              <w:rPr>
                <w:color w:val="000000" w:themeColor="text1"/>
              </w:rPr>
              <w:t>2 GPa and 1300ºC</w:t>
            </w:r>
          </w:p>
        </w:tc>
      </w:tr>
      <w:tr w:rsidR="008F5F1D" w:rsidRPr="00C7386F" w14:paraId="7368ECFB" w14:textId="77777777" w:rsidTr="00381517">
        <w:trPr>
          <w:trHeight w:val="10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326D2B6C" w14:textId="77777777" w:rsidR="008F5F1D" w:rsidRPr="00C7386F" w:rsidRDefault="008F5F1D" w:rsidP="00381517">
            <w:pPr>
              <w:jc w:val="center"/>
              <w:rPr>
                <w:color w:val="000000" w:themeColor="text1"/>
              </w:rPr>
            </w:pPr>
            <w:r w:rsidRPr="00C7386F">
              <w:rPr>
                <w:color w:val="000000" w:themeColor="text1"/>
              </w:rPr>
              <w:t>EMOC Mixing Component</w:t>
            </w:r>
          </w:p>
        </w:tc>
        <w:tc>
          <w:tcPr>
            <w:tcW w:w="2000" w:type="dxa"/>
            <w:tcBorders>
              <w:top w:val="nil"/>
              <w:left w:val="nil"/>
              <w:bottom w:val="single" w:sz="4" w:space="0" w:color="auto"/>
              <w:right w:val="single" w:sz="4" w:space="0" w:color="auto"/>
            </w:tcBorders>
            <w:shd w:val="clear" w:color="auto" w:fill="auto"/>
            <w:vAlign w:val="center"/>
            <w:hideMark/>
          </w:tcPr>
          <w:p w14:paraId="2127A873" w14:textId="77777777" w:rsidR="008F5F1D" w:rsidRPr="00C7386F" w:rsidRDefault="008F5F1D" w:rsidP="00381517">
            <w:pPr>
              <w:jc w:val="center"/>
              <w:rPr>
                <w:color w:val="000000" w:themeColor="text1"/>
              </w:rPr>
            </w:pPr>
            <w:r w:rsidRPr="00C7386F">
              <w:rPr>
                <w:color w:val="000000" w:themeColor="text1"/>
              </w:rPr>
              <w:t>Dunite from 0.1 to 51% LMO Solidification</w:t>
            </w:r>
          </w:p>
        </w:tc>
        <w:tc>
          <w:tcPr>
            <w:tcW w:w="2000" w:type="dxa"/>
            <w:tcBorders>
              <w:top w:val="nil"/>
              <w:left w:val="nil"/>
              <w:bottom w:val="single" w:sz="4" w:space="0" w:color="auto"/>
              <w:right w:val="single" w:sz="4" w:space="0" w:color="auto"/>
            </w:tcBorders>
            <w:shd w:val="clear" w:color="auto" w:fill="auto"/>
            <w:vAlign w:val="center"/>
            <w:hideMark/>
          </w:tcPr>
          <w:p w14:paraId="097611EE" w14:textId="77777777" w:rsidR="008F5F1D" w:rsidRPr="00C7386F" w:rsidRDefault="008F5F1D" w:rsidP="00381517">
            <w:pPr>
              <w:jc w:val="center"/>
              <w:rPr>
                <w:color w:val="000000" w:themeColor="text1"/>
              </w:rPr>
            </w:pPr>
            <w:r w:rsidRPr="00C7386F">
              <w:rPr>
                <w:color w:val="000000" w:themeColor="text1"/>
              </w:rPr>
              <w:t>Dunite from 0.1 to 51% LMO Solidification</w:t>
            </w:r>
          </w:p>
        </w:tc>
        <w:tc>
          <w:tcPr>
            <w:tcW w:w="2000" w:type="dxa"/>
            <w:tcBorders>
              <w:top w:val="nil"/>
              <w:left w:val="nil"/>
              <w:bottom w:val="single" w:sz="4" w:space="0" w:color="auto"/>
              <w:right w:val="single" w:sz="4" w:space="0" w:color="auto"/>
            </w:tcBorders>
            <w:shd w:val="clear" w:color="auto" w:fill="auto"/>
            <w:vAlign w:val="center"/>
            <w:hideMark/>
          </w:tcPr>
          <w:p w14:paraId="119A9C40" w14:textId="77777777" w:rsidR="008F5F1D" w:rsidRPr="00C7386F" w:rsidRDefault="008F5F1D" w:rsidP="00381517">
            <w:pPr>
              <w:jc w:val="center"/>
              <w:rPr>
                <w:color w:val="000000" w:themeColor="text1"/>
              </w:rPr>
            </w:pPr>
            <w:r w:rsidRPr="00C7386F">
              <w:rPr>
                <w:color w:val="000000" w:themeColor="text1"/>
              </w:rPr>
              <w:t>Dunite from 0.1 to 51% LMO Solidification</w:t>
            </w:r>
          </w:p>
        </w:tc>
      </w:tr>
      <w:tr w:rsidR="008F5F1D" w:rsidRPr="00C7386F" w14:paraId="7336FD6F" w14:textId="77777777" w:rsidTr="00381517">
        <w:trPr>
          <w:trHeight w:val="102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1B58600F" w14:textId="77777777" w:rsidR="008F5F1D" w:rsidRPr="00C7386F" w:rsidRDefault="008F5F1D" w:rsidP="00381517">
            <w:pPr>
              <w:jc w:val="center"/>
              <w:rPr>
                <w:color w:val="000000" w:themeColor="text1"/>
              </w:rPr>
            </w:pPr>
            <w:r w:rsidRPr="00C7386F">
              <w:rPr>
                <w:color w:val="000000" w:themeColor="text1"/>
              </w:rPr>
              <w:t>Hybridized Source Composition</w:t>
            </w:r>
          </w:p>
        </w:tc>
        <w:tc>
          <w:tcPr>
            <w:tcW w:w="2000" w:type="dxa"/>
            <w:tcBorders>
              <w:top w:val="nil"/>
              <w:left w:val="nil"/>
              <w:bottom w:val="single" w:sz="4" w:space="0" w:color="auto"/>
              <w:right w:val="single" w:sz="4" w:space="0" w:color="auto"/>
            </w:tcBorders>
            <w:shd w:val="clear" w:color="auto" w:fill="auto"/>
            <w:vAlign w:val="center"/>
            <w:hideMark/>
          </w:tcPr>
          <w:p w14:paraId="2869D121" w14:textId="77777777" w:rsidR="008F5F1D" w:rsidRPr="00C7386F" w:rsidRDefault="008F5F1D" w:rsidP="00381517">
            <w:pPr>
              <w:jc w:val="center"/>
              <w:rPr>
                <w:color w:val="000000" w:themeColor="text1"/>
              </w:rPr>
            </w:pPr>
            <w:r w:rsidRPr="00C7386F">
              <w:rPr>
                <w:color w:val="000000" w:themeColor="text1"/>
              </w:rPr>
              <w:t>80% to 98% EMOC and 20% to 2% IBC</w:t>
            </w:r>
          </w:p>
        </w:tc>
        <w:tc>
          <w:tcPr>
            <w:tcW w:w="2000" w:type="dxa"/>
            <w:tcBorders>
              <w:top w:val="nil"/>
              <w:left w:val="nil"/>
              <w:bottom w:val="single" w:sz="4" w:space="0" w:color="auto"/>
              <w:right w:val="single" w:sz="4" w:space="0" w:color="auto"/>
            </w:tcBorders>
            <w:shd w:val="clear" w:color="auto" w:fill="auto"/>
            <w:vAlign w:val="center"/>
            <w:hideMark/>
          </w:tcPr>
          <w:p w14:paraId="7E88A2DF" w14:textId="77777777" w:rsidR="008F5F1D" w:rsidRPr="00C7386F" w:rsidRDefault="008F5F1D" w:rsidP="00381517">
            <w:pPr>
              <w:jc w:val="center"/>
              <w:rPr>
                <w:color w:val="000000" w:themeColor="text1"/>
              </w:rPr>
            </w:pPr>
            <w:r w:rsidRPr="00C7386F">
              <w:rPr>
                <w:color w:val="000000" w:themeColor="text1"/>
              </w:rPr>
              <w:t>90% EMOC to 10% IBC</w:t>
            </w:r>
          </w:p>
        </w:tc>
        <w:tc>
          <w:tcPr>
            <w:tcW w:w="2000" w:type="dxa"/>
            <w:tcBorders>
              <w:top w:val="nil"/>
              <w:left w:val="nil"/>
              <w:bottom w:val="single" w:sz="4" w:space="0" w:color="auto"/>
              <w:right w:val="single" w:sz="4" w:space="0" w:color="auto"/>
            </w:tcBorders>
            <w:shd w:val="clear" w:color="auto" w:fill="auto"/>
            <w:vAlign w:val="center"/>
            <w:hideMark/>
          </w:tcPr>
          <w:p w14:paraId="5ADD3494" w14:textId="77777777" w:rsidR="008F5F1D" w:rsidRPr="00C7386F" w:rsidRDefault="008F5F1D" w:rsidP="00381517">
            <w:pPr>
              <w:jc w:val="center"/>
              <w:rPr>
                <w:color w:val="000000" w:themeColor="text1"/>
              </w:rPr>
            </w:pPr>
            <w:r w:rsidRPr="00C7386F">
              <w:rPr>
                <w:color w:val="000000" w:themeColor="text1"/>
              </w:rPr>
              <w:t>90% EMOC to 10% IBC</w:t>
            </w:r>
          </w:p>
        </w:tc>
      </w:tr>
      <w:tr w:rsidR="008F5F1D" w:rsidRPr="00C7386F" w14:paraId="29A61B3C" w14:textId="77777777" w:rsidTr="00381517">
        <w:trPr>
          <w:trHeight w:val="72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1FA58C34" w14:textId="77777777" w:rsidR="008F5F1D" w:rsidRPr="00C7386F" w:rsidRDefault="008F5F1D" w:rsidP="00381517">
            <w:pPr>
              <w:jc w:val="center"/>
              <w:rPr>
                <w:color w:val="000000" w:themeColor="text1"/>
              </w:rPr>
            </w:pPr>
            <w:r w:rsidRPr="00C7386F">
              <w:rPr>
                <w:color w:val="000000" w:themeColor="text1"/>
              </w:rPr>
              <w:t>Hybridized Source Mineralogy</w:t>
            </w:r>
          </w:p>
        </w:tc>
        <w:tc>
          <w:tcPr>
            <w:tcW w:w="2000" w:type="dxa"/>
            <w:tcBorders>
              <w:top w:val="nil"/>
              <w:left w:val="nil"/>
              <w:bottom w:val="single" w:sz="4" w:space="0" w:color="auto"/>
              <w:right w:val="single" w:sz="4" w:space="0" w:color="auto"/>
            </w:tcBorders>
            <w:shd w:val="clear" w:color="auto" w:fill="auto"/>
            <w:vAlign w:val="center"/>
            <w:hideMark/>
          </w:tcPr>
          <w:p w14:paraId="2D006A8D" w14:textId="77777777" w:rsidR="008F5F1D" w:rsidRPr="00C7386F" w:rsidRDefault="008F5F1D" w:rsidP="00381517">
            <w:pPr>
              <w:jc w:val="center"/>
              <w:rPr>
                <w:color w:val="000000" w:themeColor="text1"/>
              </w:rPr>
            </w:pPr>
            <w:r w:rsidRPr="00C7386F">
              <w:rPr>
                <w:color w:val="000000" w:themeColor="text1"/>
              </w:rPr>
              <w:t>Garnet-Free</w:t>
            </w:r>
          </w:p>
        </w:tc>
        <w:tc>
          <w:tcPr>
            <w:tcW w:w="2000" w:type="dxa"/>
            <w:tcBorders>
              <w:top w:val="nil"/>
              <w:left w:val="nil"/>
              <w:bottom w:val="single" w:sz="4" w:space="0" w:color="auto"/>
              <w:right w:val="single" w:sz="4" w:space="0" w:color="auto"/>
            </w:tcBorders>
            <w:shd w:val="clear" w:color="auto" w:fill="auto"/>
            <w:vAlign w:val="center"/>
            <w:hideMark/>
          </w:tcPr>
          <w:p w14:paraId="04047DE4" w14:textId="77777777" w:rsidR="008F5F1D" w:rsidRPr="00C7386F" w:rsidRDefault="008F5F1D" w:rsidP="00381517">
            <w:pPr>
              <w:jc w:val="center"/>
              <w:rPr>
                <w:color w:val="000000" w:themeColor="text1"/>
              </w:rPr>
            </w:pPr>
            <w:r w:rsidRPr="00C7386F">
              <w:rPr>
                <w:color w:val="000000" w:themeColor="text1"/>
              </w:rPr>
              <w:t>Garnet-Bearing</w:t>
            </w:r>
          </w:p>
        </w:tc>
        <w:tc>
          <w:tcPr>
            <w:tcW w:w="2000" w:type="dxa"/>
            <w:tcBorders>
              <w:top w:val="nil"/>
              <w:left w:val="nil"/>
              <w:bottom w:val="single" w:sz="4" w:space="0" w:color="auto"/>
              <w:right w:val="single" w:sz="4" w:space="0" w:color="auto"/>
            </w:tcBorders>
            <w:shd w:val="clear" w:color="auto" w:fill="auto"/>
            <w:vAlign w:val="center"/>
            <w:hideMark/>
          </w:tcPr>
          <w:p w14:paraId="3B5E3F10" w14:textId="77777777" w:rsidR="008F5F1D" w:rsidRPr="00C7386F" w:rsidRDefault="008F5F1D" w:rsidP="00381517">
            <w:pPr>
              <w:jc w:val="center"/>
              <w:rPr>
                <w:color w:val="000000" w:themeColor="text1"/>
              </w:rPr>
            </w:pPr>
            <w:r w:rsidRPr="00C7386F">
              <w:rPr>
                <w:color w:val="000000" w:themeColor="text1"/>
              </w:rPr>
              <w:t>Garnet-Free</w:t>
            </w:r>
          </w:p>
        </w:tc>
      </w:tr>
      <w:tr w:rsidR="008F5F1D" w:rsidRPr="00C7386F" w14:paraId="6292CDDF" w14:textId="77777777" w:rsidTr="00381517">
        <w:trPr>
          <w:trHeight w:val="98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46F9F24" w14:textId="77777777" w:rsidR="008F5F1D" w:rsidRPr="00C7386F" w:rsidRDefault="008F5F1D" w:rsidP="00381517">
            <w:pPr>
              <w:jc w:val="center"/>
              <w:rPr>
                <w:color w:val="000000" w:themeColor="text1"/>
              </w:rPr>
            </w:pPr>
            <w:r w:rsidRPr="00C7386F">
              <w:rPr>
                <w:color w:val="000000" w:themeColor="text1"/>
              </w:rPr>
              <w:t xml:space="preserve">Garnet Abundance in IBC or Hybridized Mantle Source  </w:t>
            </w:r>
          </w:p>
        </w:tc>
        <w:tc>
          <w:tcPr>
            <w:tcW w:w="2000" w:type="dxa"/>
            <w:tcBorders>
              <w:top w:val="nil"/>
              <w:left w:val="nil"/>
              <w:bottom w:val="single" w:sz="4" w:space="0" w:color="auto"/>
              <w:right w:val="single" w:sz="4" w:space="0" w:color="auto"/>
            </w:tcBorders>
            <w:shd w:val="clear" w:color="auto" w:fill="auto"/>
            <w:vAlign w:val="center"/>
            <w:hideMark/>
          </w:tcPr>
          <w:p w14:paraId="293919D2" w14:textId="77777777" w:rsidR="008F5F1D" w:rsidRPr="00C7386F" w:rsidRDefault="008F5F1D" w:rsidP="00381517">
            <w:pPr>
              <w:jc w:val="center"/>
              <w:rPr>
                <w:color w:val="000000" w:themeColor="text1"/>
              </w:rPr>
            </w:pPr>
            <w:r w:rsidRPr="00C7386F">
              <w:rPr>
                <w:color w:val="000000" w:themeColor="text1"/>
              </w:rPr>
              <w:t>0%</w:t>
            </w:r>
          </w:p>
        </w:tc>
        <w:tc>
          <w:tcPr>
            <w:tcW w:w="2000" w:type="dxa"/>
            <w:tcBorders>
              <w:top w:val="nil"/>
              <w:left w:val="nil"/>
              <w:bottom w:val="single" w:sz="4" w:space="0" w:color="auto"/>
              <w:right w:val="single" w:sz="4" w:space="0" w:color="auto"/>
            </w:tcBorders>
            <w:shd w:val="clear" w:color="auto" w:fill="auto"/>
            <w:vAlign w:val="center"/>
            <w:hideMark/>
          </w:tcPr>
          <w:p w14:paraId="0EA05CCB" w14:textId="77777777" w:rsidR="008F5F1D" w:rsidRPr="00C7386F" w:rsidRDefault="008F5F1D" w:rsidP="00381517">
            <w:pPr>
              <w:jc w:val="center"/>
              <w:rPr>
                <w:color w:val="000000" w:themeColor="text1"/>
              </w:rPr>
            </w:pPr>
            <w:r w:rsidRPr="00C7386F">
              <w:rPr>
                <w:color w:val="000000" w:themeColor="text1"/>
              </w:rPr>
              <w:t>0.25% to 5%</w:t>
            </w:r>
          </w:p>
        </w:tc>
        <w:tc>
          <w:tcPr>
            <w:tcW w:w="2000" w:type="dxa"/>
            <w:tcBorders>
              <w:top w:val="nil"/>
              <w:left w:val="nil"/>
              <w:bottom w:val="single" w:sz="4" w:space="0" w:color="auto"/>
              <w:right w:val="single" w:sz="4" w:space="0" w:color="auto"/>
            </w:tcBorders>
            <w:shd w:val="clear" w:color="auto" w:fill="auto"/>
            <w:vAlign w:val="center"/>
            <w:hideMark/>
          </w:tcPr>
          <w:p w14:paraId="39148082" w14:textId="77777777" w:rsidR="008F5F1D" w:rsidRPr="00C7386F" w:rsidRDefault="008F5F1D" w:rsidP="00381517">
            <w:pPr>
              <w:jc w:val="center"/>
              <w:rPr>
                <w:color w:val="000000" w:themeColor="text1"/>
              </w:rPr>
            </w:pPr>
            <w:r w:rsidRPr="00C7386F">
              <w:rPr>
                <w:color w:val="000000" w:themeColor="text1"/>
              </w:rPr>
              <w:t>0.25% to 5%</w:t>
            </w:r>
          </w:p>
        </w:tc>
      </w:tr>
      <w:tr w:rsidR="008F5F1D" w:rsidRPr="00C7386F" w14:paraId="6FF89AB9" w14:textId="77777777" w:rsidTr="00381517">
        <w:trPr>
          <w:trHeight w:val="98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34F0CB44" w14:textId="77777777" w:rsidR="008F5F1D" w:rsidRPr="00C7386F" w:rsidRDefault="008F5F1D" w:rsidP="00381517">
            <w:pPr>
              <w:jc w:val="center"/>
              <w:rPr>
                <w:color w:val="000000" w:themeColor="text1"/>
              </w:rPr>
            </w:pPr>
            <w:r w:rsidRPr="00C7386F">
              <w:rPr>
                <w:color w:val="000000" w:themeColor="text1"/>
              </w:rPr>
              <w:t>Hybridized Source Partial Melting P-T Conditions</w:t>
            </w:r>
          </w:p>
        </w:tc>
        <w:tc>
          <w:tcPr>
            <w:tcW w:w="2000" w:type="dxa"/>
            <w:tcBorders>
              <w:top w:val="nil"/>
              <w:left w:val="nil"/>
              <w:bottom w:val="single" w:sz="4" w:space="0" w:color="auto"/>
              <w:right w:val="single" w:sz="4" w:space="0" w:color="auto"/>
            </w:tcBorders>
            <w:shd w:val="clear" w:color="auto" w:fill="auto"/>
            <w:vAlign w:val="center"/>
            <w:hideMark/>
          </w:tcPr>
          <w:p w14:paraId="14B2AEB9" w14:textId="77777777" w:rsidR="008F5F1D" w:rsidRPr="00C7386F" w:rsidRDefault="008F5F1D" w:rsidP="00381517">
            <w:pPr>
              <w:jc w:val="center"/>
              <w:rPr>
                <w:color w:val="000000" w:themeColor="text1"/>
              </w:rPr>
            </w:pPr>
            <w:r w:rsidRPr="00C7386F">
              <w:rPr>
                <w:color w:val="000000" w:themeColor="text1"/>
              </w:rPr>
              <w:t>2 GPa and 1350ºC</w:t>
            </w:r>
          </w:p>
        </w:tc>
        <w:tc>
          <w:tcPr>
            <w:tcW w:w="2000" w:type="dxa"/>
            <w:tcBorders>
              <w:top w:val="nil"/>
              <w:left w:val="nil"/>
              <w:bottom w:val="single" w:sz="4" w:space="0" w:color="auto"/>
              <w:right w:val="single" w:sz="4" w:space="0" w:color="auto"/>
            </w:tcBorders>
            <w:shd w:val="clear" w:color="auto" w:fill="auto"/>
            <w:vAlign w:val="center"/>
            <w:hideMark/>
          </w:tcPr>
          <w:p w14:paraId="25E59978" w14:textId="77777777" w:rsidR="008F5F1D" w:rsidRPr="00C7386F" w:rsidRDefault="008F5F1D" w:rsidP="00381517">
            <w:pPr>
              <w:jc w:val="center"/>
              <w:rPr>
                <w:color w:val="000000" w:themeColor="text1"/>
              </w:rPr>
            </w:pPr>
            <w:r w:rsidRPr="00C7386F">
              <w:rPr>
                <w:color w:val="000000" w:themeColor="text1"/>
              </w:rPr>
              <w:t>2 GPa and 1350ºC</w:t>
            </w:r>
          </w:p>
        </w:tc>
        <w:tc>
          <w:tcPr>
            <w:tcW w:w="2000" w:type="dxa"/>
            <w:tcBorders>
              <w:top w:val="nil"/>
              <w:left w:val="nil"/>
              <w:bottom w:val="single" w:sz="4" w:space="0" w:color="auto"/>
              <w:right w:val="single" w:sz="4" w:space="0" w:color="auto"/>
            </w:tcBorders>
            <w:shd w:val="clear" w:color="auto" w:fill="auto"/>
            <w:vAlign w:val="center"/>
            <w:hideMark/>
          </w:tcPr>
          <w:p w14:paraId="743D5526" w14:textId="77777777" w:rsidR="008F5F1D" w:rsidRPr="00C7386F" w:rsidRDefault="008F5F1D" w:rsidP="00381517">
            <w:pPr>
              <w:jc w:val="center"/>
              <w:rPr>
                <w:color w:val="000000" w:themeColor="text1"/>
              </w:rPr>
            </w:pPr>
            <w:r w:rsidRPr="00C7386F">
              <w:rPr>
                <w:color w:val="000000" w:themeColor="text1"/>
              </w:rPr>
              <w:t>2 GPa and 1350ºC</w:t>
            </w:r>
          </w:p>
        </w:tc>
      </w:tr>
      <w:tr w:rsidR="008F5F1D" w:rsidRPr="00C7386F" w14:paraId="31807029" w14:textId="77777777" w:rsidTr="00381517">
        <w:trPr>
          <w:trHeight w:val="70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2F54983B" w14:textId="77777777" w:rsidR="008F5F1D" w:rsidRPr="00C7386F" w:rsidRDefault="008F5F1D" w:rsidP="00381517">
            <w:pPr>
              <w:jc w:val="center"/>
              <w:rPr>
                <w:color w:val="000000" w:themeColor="text1"/>
              </w:rPr>
            </w:pPr>
            <w:r w:rsidRPr="00C7386F">
              <w:rPr>
                <w:color w:val="000000" w:themeColor="text1"/>
              </w:rPr>
              <w:t>Partial Melting of The Source</w:t>
            </w:r>
          </w:p>
        </w:tc>
        <w:tc>
          <w:tcPr>
            <w:tcW w:w="2000" w:type="dxa"/>
            <w:tcBorders>
              <w:top w:val="nil"/>
              <w:left w:val="nil"/>
              <w:bottom w:val="single" w:sz="4" w:space="0" w:color="auto"/>
              <w:right w:val="single" w:sz="4" w:space="0" w:color="auto"/>
            </w:tcBorders>
            <w:shd w:val="clear" w:color="auto" w:fill="auto"/>
            <w:vAlign w:val="center"/>
            <w:hideMark/>
          </w:tcPr>
          <w:p w14:paraId="5B60CDFF" w14:textId="77777777" w:rsidR="008F5F1D" w:rsidRPr="00C7386F" w:rsidRDefault="008F5F1D" w:rsidP="00381517">
            <w:pPr>
              <w:jc w:val="center"/>
              <w:rPr>
                <w:color w:val="000000" w:themeColor="text1"/>
              </w:rPr>
            </w:pPr>
            <w:r w:rsidRPr="00C7386F">
              <w:rPr>
                <w:color w:val="000000" w:themeColor="text1"/>
              </w:rPr>
              <w:t>0.01% to 30%</w:t>
            </w:r>
          </w:p>
        </w:tc>
        <w:tc>
          <w:tcPr>
            <w:tcW w:w="2000" w:type="dxa"/>
            <w:tcBorders>
              <w:top w:val="nil"/>
              <w:left w:val="nil"/>
              <w:bottom w:val="single" w:sz="4" w:space="0" w:color="auto"/>
              <w:right w:val="single" w:sz="4" w:space="0" w:color="auto"/>
            </w:tcBorders>
            <w:shd w:val="clear" w:color="auto" w:fill="auto"/>
            <w:vAlign w:val="center"/>
            <w:hideMark/>
          </w:tcPr>
          <w:p w14:paraId="2BCBA32D" w14:textId="77777777" w:rsidR="008F5F1D" w:rsidRPr="00C7386F" w:rsidRDefault="008F5F1D" w:rsidP="00381517">
            <w:pPr>
              <w:jc w:val="center"/>
              <w:rPr>
                <w:color w:val="000000" w:themeColor="text1"/>
              </w:rPr>
            </w:pPr>
            <w:r w:rsidRPr="00C7386F">
              <w:rPr>
                <w:color w:val="000000" w:themeColor="text1"/>
              </w:rPr>
              <w:t>0.01% to 30%</w:t>
            </w:r>
          </w:p>
        </w:tc>
        <w:tc>
          <w:tcPr>
            <w:tcW w:w="2000" w:type="dxa"/>
            <w:tcBorders>
              <w:top w:val="nil"/>
              <w:left w:val="nil"/>
              <w:bottom w:val="single" w:sz="4" w:space="0" w:color="auto"/>
              <w:right w:val="single" w:sz="4" w:space="0" w:color="auto"/>
            </w:tcBorders>
            <w:shd w:val="clear" w:color="auto" w:fill="auto"/>
            <w:vAlign w:val="center"/>
            <w:hideMark/>
          </w:tcPr>
          <w:p w14:paraId="3E3FD2A2" w14:textId="77777777" w:rsidR="008F5F1D" w:rsidRPr="00C7386F" w:rsidRDefault="008F5F1D" w:rsidP="00381517">
            <w:pPr>
              <w:jc w:val="center"/>
              <w:rPr>
                <w:color w:val="000000" w:themeColor="text1"/>
              </w:rPr>
            </w:pPr>
            <w:r w:rsidRPr="00C7386F">
              <w:rPr>
                <w:color w:val="000000" w:themeColor="text1"/>
              </w:rPr>
              <w:t>0.01% to 30%</w:t>
            </w:r>
          </w:p>
        </w:tc>
      </w:tr>
      <w:tr w:rsidR="008F5F1D" w:rsidRPr="00C7386F" w14:paraId="1A0FCB0A" w14:textId="77777777" w:rsidTr="00381517">
        <w:trPr>
          <w:trHeight w:val="4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275BB089" w14:textId="77777777" w:rsidR="008F5F1D" w:rsidRPr="00C7386F" w:rsidRDefault="008F5F1D" w:rsidP="00381517">
            <w:pPr>
              <w:jc w:val="center"/>
              <w:rPr>
                <w:color w:val="000000" w:themeColor="text1"/>
              </w:rPr>
            </w:pPr>
            <w:r w:rsidRPr="00C7386F">
              <w:rPr>
                <w:color w:val="000000" w:themeColor="text1"/>
              </w:rPr>
              <w:t>Associated Figures</w:t>
            </w:r>
          </w:p>
        </w:tc>
        <w:tc>
          <w:tcPr>
            <w:tcW w:w="2000" w:type="dxa"/>
            <w:tcBorders>
              <w:top w:val="nil"/>
              <w:left w:val="nil"/>
              <w:bottom w:val="single" w:sz="4" w:space="0" w:color="auto"/>
              <w:right w:val="single" w:sz="4" w:space="0" w:color="auto"/>
            </w:tcBorders>
            <w:shd w:val="clear" w:color="auto" w:fill="auto"/>
            <w:vAlign w:val="center"/>
            <w:hideMark/>
          </w:tcPr>
          <w:p w14:paraId="039030DE" w14:textId="0F9A9185" w:rsidR="008F5F1D" w:rsidRPr="00C7386F" w:rsidRDefault="008F5F1D" w:rsidP="00381517">
            <w:pPr>
              <w:jc w:val="center"/>
              <w:rPr>
                <w:color w:val="000000" w:themeColor="text1"/>
              </w:rPr>
            </w:pPr>
            <w:r w:rsidRPr="00C7386F">
              <w:rPr>
                <w:color w:val="000000" w:themeColor="text1"/>
              </w:rPr>
              <w:t xml:space="preserve">Figure </w:t>
            </w:r>
            <w:r w:rsidR="00400389">
              <w:rPr>
                <w:color w:val="000000" w:themeColor="text1"/>
              </w:rPr>
              <w:t>2.</w:t>
            </w:r>
            <w:r w:rsidRPr="00C7386F">
              <w:rPr>
                <w:color w:val="000000" w:themeColor="text1"/>
              </w:rPr>
              <w:t>9a-c</w:t>
            </w:r>
          </w:p>
        </w:tc>
        <w:tc>
          <w:tcPr>
            <w:tcW w:w="2000" w:type="dxa"/>
            <w:tcBorders>
              <w:top w:val="nil"/>
              <w:left w:val="nil"/>
              <w:bottom w:val="single" w:sz="4" w:space="0" w:color="auto"/>
              <w:right w:val="single" w:sz="4" w:space="0" w:color="auto"/>
            </w:tcBorders>
            <w:shd w:val="clear" w:color="auto" w:fill="auto"/>
            <w:vAlign w:val="center"/>
            <w:hideMark/>
          </w:tcPr>
          <w:p w14:paraId="4DAF77DC" w14:textId="4AA35FB8" w:rsidR="008F5F1D" w:rsidRPr="00C7386F" w:rsidRDefault="008F5F1D" w:rsidP="00381517">
            <w:pPr>
              <w:jc w:val="center"/>
              <w:rPr>
                <w:color w:val="000000" w:themeColor="text1"/>
              </w:rPr>
            </w:pPr>
            <w:r w:rsidRPr="00C7386F">
              <w:rPr>
                <w:color w:val="000000" w:themeColor="text1"/>
              </w:rPr>
              <w:t xml:space="preserve">Figure </w:t>
            </w:r>
            <w:r w:rsidR="00400389">
              <w:rPr>
                <w:color w:val="000000" w:themeColor="text1"/>
              </w:rPr>
              <w:t>2.</w:t>
            </w:r>
            <w:r w:rsidRPr="00C7386F">
              <w:rPr>
                <w:color w:val="000000" w:themeColor="text1"/>
              </w:rPr>
              <w:t>9d-f</w:t>
            </w:r>
          </w:p>
        </w:tc>
        <w:tc>
          <w:tcPr>
            <w:tcW w:w="2000" w:type="dxa"/>
            <w:tcBorders>
              <w:top w:val="nil"/>
              <w:left w:val="nil"/>
              <w:bottom w:val="single" w:sz="4" w:space="0" w:color="auto"/>
              <w:right w:val="single" w:sz="4" w:space="0" w:color="auto"/>
            </w:tcBorders>
            <w:shd w:val="clear" w:color="auto" w:fill="auto"/>
            <w:vAlign w:val="center"/>
            <w:hideMark/>
          </w:tcPr>
          <w:p w14:paraId="5F960A23" w14:textId="7E1236FE" w:rsidR="008F5F1D" w:rsidRPr="00C7386F" w:rsidRDefault="008F5F1D" w:rsidP="00381517">
            <w:pPr>
              <w:jc w:val="center"/>
              <w:rPr>
                <w:color w:val="000000" w:themeColor="text1"/>
              </w:rPr>
            </w:pPr>
            <w:r w:rsidRPr="00C7386F">
              <w:rPr>
                <w:color w:val="000000" w:themeColor="text1"/>
              </w:rPr>
              <w:t xml:space="preserve">Figure </w:t>
            </w:r>
            <w:r w:rsidR="00400389">
              <w:rPr>
                <w:color w:val="000000" w:themeColor="text1"/>
              </w:rPr>
              <w:t>2.</w:t>
            </w:r>
            <w:r w:rsidRPr="00C7386F">
              <w:rPr>
                <w:color w:val="000000" w:themeColor="text1"/>
              </w:rPr>
              <w:t>10a-c</w:t>
            </w:r>
          </w:p>
        </w:tc>
      </w:tr>
    </w:tbl>
    <w:p w14:paraId="6AED0ECE" w14:textId="77777777" w:rsidR="008F5F1D" w:rsidRPr="00557062" w:rsidRDefault="008F5F1D" w:rsidP="008F5F1D">
      <w:pPr>
        <w:rPr>
          <w:color w:val="000000" w:themeColor="text1"/>
        </w:rPr>
      </w:pPr>
    </w:p>
    <w:p w14:paraId="235DDC50" w14:textId="77777777" w:rsidR="008F5F1D" w:rsidRPr="00557062" w:rsidRDefault="008F5F1D" w:rsidP="008F5F1D">
      <w:pPr>
        <w:rPr>
          <w:color w:val="000000" w:themeColor="text1"/>
        </w:rPr>
      </w:pPr>
      <w:r w:rsidRPr="00557062">
        <w:rPr>
          <w:color w:val="000000" w:themeColor="text1"/>
        </w:rPr>
        <w:br w:type="page"/>
      </w:r>
    </w:p>
    <w:p w14:paraId="62D9BD0E" w14:textId="5C558C0E" w:rsidR="008F5F1D" w:rsidRPr="00557062" w:rsidRDefault="008F5F1D" w:rsidP="008F5F1D">
      <w:r w:rsidRPr="00557062">
        <w:rPr>
          <w:b/>
          <w:bCs/>
        </w:rPr>
        <w:lastRenderedPageBreak/>
        <w:t xml:space="preserve">Table </w:t>
      </w:r>
      <w:r w:rsidR="00664DDD">
        <w:rPr>
          <w:b/>
          <w:bCs/>
        </w:rPr>
        <w:t>2.</w:t>
      </w:r>
      <w:r w:rsidRPr="00557062">
        <w:rPr>
          <w:b/>
          <w:bCs/>
        </w:rPr>
        <w:t>4.</w:t>
      </w:r>
      <w:r w:rsidRPr="00557062">
        <w:t xml:space="preserve"> Continue</w:t>
      </w:r>
      <w:r w:rsidR="003776DD">
        <w:t>d</w:t>
      </w:r>
      <w:r w:rsidR="00C40415">
        <w:t>.</w:t>
      </w:r>
    </w:p>
    <w:tbl>
      <w:tblPr>
        <w:tblW w:w="6180" w:type="dxa"/>
        <w:tblLook w:val="04A0" w:firstRow="1" w:lastRow="0" w:firstColumn="1" w:lastColumn="0" w:noHBand="0" w:noVBand="1"/>
      </w:tblPr>
      <w:tblGrid>
        <w:gridCol w:w="2180"/>
        <w:gridCol w:w="2000"/>
        <w:gridCol w:w="2000"/>
      </w:tblGrid>
      <w:tr w:rsidR="008F5F1D" w:rsidRPr="00C7386F" w14:paraId="64E5BF81" w14:textId="77777777" w:rsidTr="00381517">
        <w:trPr>
          <w:trHeight w:val="360"/>
        </w:trPr>
        <w:tc>
          <w:tcPr>
            <w:tcW w:w="2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6B3AD" w14:textId="77777777" w:rsidR="008F5F1D" w:rsidRPr="00C7386F" w:rsidRDefault="008F5F1D" w:rsidP="00381517">
            <w:pPr>
              <w:jc w:val="center"/>
              <w:rPr>
                <w:color w:val="000000" w:themeColor="text1"/>
              </w:rPr>
            </w:pPr>
            <w:r w:rsidRPr="00C7386F">
              <w:rPr>
                <w:color w:val="000000" w:themeColor="text1"/>
              </w:rPr>
              <w:t> </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0B97DBC7" w14:textId="77777777" w:rsidR="008F5F1D" w:rsidRPr="00C7386F" w:rsidRDefault="008F5F1D" w:rsidP="00381517">
            <w:pPr>
              <w:jc w:val="center"/>
              <w:rPr>
                <w:color w:val="000000" w:themeColor="text1"/>
              </w:rPr>
            </w:pPr>
            <w:r w:rsidRPr="00C7386F">
              <w:rPr>
                <w:color w:val="000000" w:themeColor="text1"/>
              </w:rPr>
              <w:t>Scenario #6</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5BD7124B" w14:textId="77777777" w:rsidR="008F5F1D" w:rsidRPr="00C7386F" w:rsidRDefault="008F5F1D" w:rsidP="00381517">
            <w:pPr>
              <w:jc w:val="center"/>
              <w:rPr>
                <w:color w:val="000000" w:themeColor="text1"/>
              </w:rPr>
            </w:pPr>
            <w:r w:rsidRPr="00C7386F">
              <w:rPr>
                <w:color w:val="000000" w:themeColor="text1"/>
              </w:rPr>
              <w:t>Scenario #7</w:t>
            </w:r>
          </w:p>
        </w:tc>
      </w:tr>
      <w:tr w:rsidR="008F5F1D" w:rsidRPr="00C7386F" w14:paraId="24723B79" w14:textId="77777777" w:rsidTr="00381517">
        <w:trPr>
          <w:trHeight w:val="70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5CF0A628" w14:textId="77777777" w:rsidR="008F5F1D" w:rsidRPr="00C7386F" w:rsidRDefault="008F5F1D" w:rsidP="00381517">
            <w:pPr>
              <w:jc w:val="center"/>
              <w:rPr>
                <w:color w:val="000000" w:themeColor="text1"/>
              </w:rPr>
            </w:pPr>
            <w:r w:rsidRPr="00C7386F">
              <w:rPr>
                <w:color w:val="000000" w:themeColor="text1"/>
              </w:rPr>
              <w:t>Plagioclase Floatation Efficiency</w:t>
            </w:r>
          </w:p>
        </w:tc>
        <w:tc>
          <w:tcPr>
            <w:tcW w:w="2000" w:type="dxa"/>
            <w:tcBorders>
              <w:top w:val="nil"/>
              <w:left w:val="nil"/>
              <w:bottom w:val="single" w:sz="4" w:space="0" w:color="auto"/>
              <w:right w:val="single" w:sz="4" w:space="0" w:color="auto"/>
            </w:tcBorders>
            <w:shd w:val="clear" w:color="auto" w:fill="auto"/>
            <w:vAlign w:val="center"/>
            <w:hideMark/>
          </w:tcPr>
          <w:p w14:paraId="172334C2" w14:textId="77777777" w:rsidR="008F5F1D" w:rsidRPr="00C7386F" w:rsidRDefault="008F5F1D" w:rsidP="00381517">
            <w:pPr>
              <w:jc w:val="center"/>
              <w:rPr>
                <w:color w:val="000000" w:themeColor="text1"/>
              </w:rPr>
            </w:pPr>
            <w:r w:rsidRPr="00C7386F">
              <w:rPr>
                <w:color w:val="000000" w:themeColor="text1"/>
              </w:rPr>
              <w:t>90%</w:t>
            </w:r>
          </w:p>
        </w:tc>
        <w:tc>
          <w:tcPr>
            <w:tcW w:w="2000" w:type="dxa"/>
            <w:tcBorders>
              <w:top w:val="nil"/>
              <w:left w:val="nil"/>
              <w:bottom w:val="single" w:sz="4" w:space="0" w:color="auto"/>
              <w:right w:val="single" w:sz="4" w:space="0" w:color="auto"/>
            </w:tcBorders>
            <w:shd w:val="clear" w:color="auto" w:fill="auto"/>
            <w:vAlign w:val="center"/>
            <w:hideMark/>
          </w:tcPr>
          <w:p w14:paraId="3CABC35B" w14:textId="77777777" w:rsidR="008F5F1D" w:rsidRPr="00C7386F" w:rsidRDefault="008F5F1D" w:rsidP="00381517">
            <w:pPr>
              <w:jc w:val="center"/>
              <w:rPr>
                <w:color w:val="000000" w:themeColor="text1"/>
              </w:rPr>
            </w:pPr>
            <w:r w:rsidRPr="00C7386F">
              <w:rPr>
                <w:color w:val="000000" w:themeColor="text1"/>
              </w:rPr>
              <w:t>90%</w:t>
            </w:r>
          </w:p>
        </w:tc>
      </w:tr>
      <w:tr w:rsidR="008F5F1D" w:rsidRPr="00C7386F" w14:paraId="705A152D" w14:textId="77777777" w:rsidTr="00381517">
        <w:trPr>
          <w:trHeight w:val="50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4D605A63" w14:textId="77777777" w:rsidR="008F5F1D" w:rsidRPr="00C7386F" w:rsidRDefault="008F5F1D" w:rsidP="00381517">
            <w:pPr>
              <w:jc w:val="center"/>
              <w:rPr>
                <w:color w:val="000000" w:themeColor="text1"/>
              </w:rPr>
            </w:pPr>
            <w:r w:rsidRPr="00C7386F">
              <w:rPr>
                <w:color w:val="000000" w:themeColor="text1"/>
              </w:rPr>
              <w:t>IBC Composition</w:t>
            </w:r>
          </w:p>
        </w:tc>
        <w:tc>
          <w:tcPr>
            <w:tcW w:w="2000" w:type="dxa"/>
            <w:tcBorders>
              <w:top w:val="nil"/>
              <w:left w:val="nil"/>
              <w:bottom w:val="single" w:sz="4" w:space="0" w:color="auto"/>
              <w:right w:val="single" w:sz="4" w:space="0" w:color="auto"/>
            </w:tcBorders>
            <w:shd w:val="clear" w:color="auto" w:fill="auto"/>
            <w:vAlign w:val="center"/>
            <w:hideMark/>
          </w:tcPr>
          <w:p w14:paraId="0478621C" w14:textId="77777777" w:rsidR="008F5F1D" w:rsidRPr="00C7386F" w:rsidRDefault="008F5F1D" w:rsidP="00381517">
            <w:pPr>
              <w:jc w:val="center"/>
              <w:rPr>
                <w:color w:val="000000" w:themeColor="text1"/>
              </w:rPr>
            </w:pPr>
            <w:r w:rsidRPr="00C7386F">
              <w:rPr>
                <w:color w:val="000000" w:themeColor="text1"/>
              </w:rPr>
              <w:t>IBC #2</w:t>
            </w:r>
          </w:p>
        </w:tc>
        <w:tc>
          <w:tcPr>
            <w:tcW w:w="2000" w:type="dxa"/>
            <w:tcBorders>
              <w:top w:val="nil"/>
              <w:left w:val="nil"/>
              <w:bottom w:val="single" w:sz="4" w:space="0" w:color="auto"/>
              <w:right w:val="single" w:sz="4" w:space="0" w:color="auto"/>
            </w:tcBorders>
            <w:shd w:val="clear" w:color="auto" w:fill="auto"/>
            <w:vAlign w:val="center"/>
            <w:hideMark/>
          </w:tcPr>
          <w:p w14:paraId="19586CFE" w14:textId="77777777" w:rsidR="008F5F1D" w:rsidRPr="00C7386F" w:rsidRDefault="008F5F1D" w:rsidP="00381517">
            <w:pPr>
              <w:jc w:val="center"/>
              <w:rPr>
                <w:color w:val="000000" w:themeColor="text1"/>
              </w:rPr>
            </w:pPr>
            <w:r w:rsidRPr="00C7386F">
              <w:rPr>
                <w:color w:val="000000" w:themeColor="text1"/>
              </w:rPr>
              <w:t>IBC #2</w:t>
            </w:r>
          </w:p>
        </w:tc>
      </w:tr>
      <w:tr w:rsidR="008F5F1D" w:rsidRPr="00C7386F" w14:paraId="4F64F5FB" w14:textId="77777777" w:rsidTr="00381517">
        <w:trPr>
          <w:trHeight w:val="68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4AEB556F" w14:textId="77777777" w:rsidR="008F5F1D" w:rsidRPr="00C7386F" w:rsidRDefault="008F5F1D" w:rsidP="00381517">
            <w:pPr>
              <w:jc w:val="center"/>
              <w:rPr>
                <w:color w:val="000000" w:themeColor="text1"/>
              </w:rPr>
            </w:pPr>
            <w:r w:rsidRPr="00C7386F">
              <w:rPr>
                <w:color w:val="000000" w:themeColor="text1"/>
              </w:rPr>
              <w:t>Pre-Overturn Mixing</w:t>
            </w:r>
          </w:p>
        </w:tc>
        <w:tc>
          <w:tcPr>
            <w:tcW w:w="2000" w:type="dxa"/>
            <w:tcBorders>
              <w:top w:val="nil"/>
              <w:left w:val="nil"/>
              <w:bottom w:val="single" w:sz="4" w:space="0" w:color="auto"/>
              <w:right w:val="single" w:sz="4" w:space="0" w:color="auto"/>
            </w:tcBorders>
            <w:shd w:val="clear" w:color="auto" w:fill="auto"/>
            <w:vAlign w:val="center"/>
            <w:hideMark/>
          </w:tcPr>
          <w:p w14:paraId="4139675B" w14:textId="77777777" w:rsidR="008F5F1D" w:rsidRPr="00C7386F" w:rsidRDefault="008F5F1D" w:rsidP="00381517">
            <w:pPr>
              <w:jc w:val="center"/>
              <w:rPr>
                <w:color w:val="000000" w:themeColor="text1"/>
              </w:rPr>
            </w:pPr>
            <w:r w:rsidRPr="00C7386F">
              <w:rPr>
                <w:color w:val="000000" w:themeColor="text1"/>
              </w:rPr>
              <w:t xml:space="preserve">Upper 100 km Of The Lunar Mantle </w:t>
            </w:r>
          </w:p>
        </w:tc>
        <w:tc>
          <w:tcPr>
            <w:tcW w:w="2000" w:type="dxa"/>
            <w:tcBorders>
              <w:top w:val="nil"/>
              <w:left w:val="nil"/>
              <w:bottom w:val="single" w:sz="4" w:space="0" w:color="auto"/>
              <w:right w:val="single" w:sz="4" w:space="0" w:color="auto"/>
            </w:tcBorders>
            <w:shd w:val="clear" w:color="auto" w:fill="auto"/>
            <w:vAlign w:val="center"/>
            <w:hideMark/>
          </w:tcPr>
          <w:p w14:paraId="523ED457" w14:textId="77777777" w:rsidR="008F5F1D" w:rsidRPr="00C7386F" w:rsidRDefault="008F5F1D" w:rsidP="00381517">
            <w:pPr>
              <w:jc w:val="center"/>
              <w:rPr>
                <w:color w:val="000000" w:themeColor="text1"/>
              </w:rPr>
            </w:pPr>
            <w:r w:rsidRPr="00C7386F">
              <w:rPr>
                <w:color w:val="000000" w:themeColor="text1"/>
              </w:rPr>
              <w:t xml:space="preserve">Upper 100 km Of The Lunar Mantle </w:t>
            </w:r>
          </w:p>
        </w:tc>
      </w:tr>
      <w:tr w:rsidR="008F5F1D" w:rsidRPr="00C7386F" w14:paraId="67FA3639" w14:textId="77777777" w:rsidTr="00381517">
        <w:trPr>
          <w:trHeight w:val="46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F3D78FE" w14:textId="77777777" w:rsidR="008F5F1D" w:rsidRPr="00C7386F" w:rsidRDefault="008F5F1D" w:rsidP="00381517">
            <w:pPr>
              <w:jc w:val="center"/>
              <w:rPr>
                <w:color w:val="000000" w:themeColor="text1"/>
              </w:rPr>
            </w:pPr>
            <w:r w:rsidRPr="00C7386F">
              <w:rPr>
                <w:color w:val="000000" w:themeColor="text1"/>
              </w:rPr>
              <w:t>IBC Mineralogy</w:t>
            </w:r>
          </w:p>
        </w:tc>
        <w:tc>
          <w:tcPr>
            <w:tcW w:w="2000" w:type="dxa"/>
            <w:tcBorders>
              <w:top w:val="nil"/>
              <w:left w:val="nil"/>
              <w:bottom w:val="single" w:sz="4" w:space="0" w:color="auto"/>
              <w:right w:val="single" w:sz="4" w:space="0" w:color="auto"/>
            </w:tcBorders>
            <w:shd w:val="clear" w:color="auto" w:fill="auto"/>
            <w:vAlign w:val="center"/>
            <w:hideMark/>
          </w:tcPr>
          <w:p w14:paraId="2457AE2C" w14:textId="77777777" w:rsidR="008F5F1D" w:rsidRPr="00C7386F" w:rsidRDefault="008F5F1D" w:rsidP="00381517">
            <w:pPr>
              <w:jc w:val="center"/>
              <w:rPr>
                <w:color w:val="000000" w:themeColor="text1"/>
              </w:rPr>
            </w:pPr>
            <w:r w:rsidRPr="00C7386F">
              <w:rPr>
                <w:color w:val="000000" w:themeColor="text1"/>
              </w:rPr>
              <w:t>Garnet-Bearing</w:t>
            </w:r>
          </w:p>
        </w:tc>
        <w:tc>
          <w:tcPr>
            <w:tcW w:w="2000" w:type="dxa"/>
            <w:tcBorders>
              <w:top w:val="nil"/>
              <w:left w:val="nil"/>
              <w:bottom w:val="single" w:sz="4" w:space="0" w:color="auto"/>
              <w:right w:val="single" w:sz="4" w:space="0" w:color="auto"/>
            </w:tcBorders>
            <w:shd w:val="clear" w:color="auto" w:fill="auto"/>
            <w:vAlign w:val="center"/>
            <w:hideMark/>
          </w:tcPr>
          <w:p w14:paraId="52C1983D" w14:textId="77777777" w:rsidR="008F5F1D" w:rsidRPr="00C7386F" w:rsidRDefault="008F5F1D" w:rsidP="00381517">
            <w:pPr>
              <w:jc w:val="center"/>
              <w:rPr>
                <w:color w:val="000000" w:themeColor="text1"/>
              </w:rPr>
            </w:pPr>
            <w:r w:rsidRPr="00C7386F">
              <w:rPr>
                <w:color w:val="000000" w:themeColor="text1"/>
              </w:rPr>
              <w:t>Garnet-Free</w:t>
            </w:r>
          </w:p>
        </w:tc>
      </w:tr>
      <w:tr w:rsidR="008F5F1D" w:rsidRPr="00C7386F" w14:paraId="0336EACF" w14:textId="77777777" w:rsidTr="00381517">
        <w:trPr>
          <w:trHeight w:val="7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4FF0F4A" w14:textId="77777777" w:rsidR="008F5F1D" w:rsidRPr="00C7386F" w:rsidRDefault="008F5F1D" w:rsidP="00381517">
            <w:pPr>
              <w:jc w:val="center"/>
              <w:rPr>
                <w:color w:val="000000" w:themeColor="text1"/>
              </w:rPr>
            </w:pPr>
            <w:r w:rsidRPr="00C7386F">
              <w:rPr>
                <w:color w:val="000000" w:themeColor="text1"/>
              </w:rPr>
              <w:t xml:space="preserve">IBC Mixing Component </w:t>
            </w:r>
          </w:p>
        </w:tc>
        <w:tc>
          <w:tcPr>
            <w:tcW w:w="2000" w:type="dxa"/>
            <w:tcBorders>
              <w:top w:val="nil"/>
              <w:left w:val="nil"/>
              <w:bottom w:val="single" w:sz="4" w:space="0" w:color="auto"/>
              <w:right w:val="single" w:sz="4" w:space="0" w:color="auto"/>
            </w:tcBorders>
            <w:shd w:val="clear" w:color="auto" w:fill="auto"/>
            <w:vAlign w:val="center"/>
            <w:hideMark/>
          </w:tcPr>
          <w:p w14:paraId="47FA308C" w14:textId="77777777" w:rsidR="008F5F1D" w:rsidRPr="00C7386F" w:rsidRDefault="008F5F1D" w:rsidP="00381517">
            <w:pPr>
              <w:jc w:val="center"/>
              <w:rPr>
                <w:color w:val="000000" w:themeColor="text1"/>
              </w:rPr>
            </w:pPr>
            <w:r w:rsidRPr="00C7386F">
              <w:rPr>
                <w:color w:val="000000" w:themeColor="text1"/>
              </w:rPr>
              <w:t>Solid IBC Material</w:t>
            </w:r>
          </w:p>
        </w:tc>
        <w:tc>
          <w:tcPr>
            <w:tcW w:w="2000" w:type="dxa"/>
            <w:tcBorders>
              <w:top w:val="nil"/>
              <w:left w:val="nil"/>
              <w:bottom w:val="single" w:sz="4" w:space="0" w:color="auto"/>
              <w:right w:val="single" w:sz="4" w:space="0" w:color="auto"/>
            </w:tcBorders>
            <w:shd w:val="clear" w:color="auto" w:fill="auto"/>
            <w:vAlign w:val="center"/>
            <w:hideMark/>
          </w:tcPr>
          <w:p w14:paraId="64253A35" w14:textId="77777777" w:rsidR="008F5F1D" w:rsidRPr="00C7386F" w:rsidRDefault="008F5F1D" w:rsidP="00381517">
            <w:pPr>
              <w:jc w:val="center"/>
              <w:rPr>
                <w:color w:val="000000" w:themeColor="text1"/>
              </w:rPr>
            </w:pPr>
            <w:r w:rsidRPr="00C7386F">
              <w:rPr>
                <w:color w:val="000000" w:themeColor="text1"/>
              </w:rPr>
              <w:t>Solid IBC Material</w:t>
            </w:r>
          </w:p>
        </w:tc>
      </w:tr>
      <w:tr w:rsidR="008F5F1D" w:rsidRPr="00C7386F" w14:paraId="0282C3FD" w14:textId="77777777" w:rsidTr="00381517">
        <w:trPr>
          <w:trHeight w:val="7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CDABBB9" w14:textId="77777777" w:rsidR="008F5F1D" w:rsidRPr="00C7386F" w:rsidRDefault="008F5F1D" w:rsidP="00381517">
            <w:pPr>
              <w:jc w:val="center"/>
              <w:rPr>
                <w:color w:val="000000" w:themeColor="text1"/>
              </w:rPr>
            </w:pPr>
            <w:r w:rsidRPr="00C7386F">
              <w:rPr>
                <w:color w:val="000000" w:themeColor="text1"/>
              </w:rPr>
              <w:t>IBC Partial Melting P-T Conditions</w:t>
            </w:r>
          </w:p>
        </w:tc>
        <w:tc>
          <w:tcPr>
            <w:tcW w:w="2000" w:type="dxa"/>
            <w:tcBorders>
              <w:top w:val="nil"/>
              <w:left w:val="nil"/>
              <w:bottom w:val="single" w:sz="4" w:space="0" w:color="auto"/>
              <w:right w:val="single" w:sz="4" w:space="0" w:color="auto"/>
            </w:tcBorders>
            <w:shd w:val="clear" w:color="auto" w:fill="auto"/>
            <w:vAlign w:val="center"/>
            <w:hideMark/>
          </w:tcPr>
          <w:p w14:paraId="1E608EB7" w14:textId="77777777" w:rsidR="008F5F1D" w:rsidRPr="00C7386F" w:rsidRDefault="008F5F1D" w:rsidP="00381517">
            <w:pPr>
              <w:jc w:val="center"/>
              <w:rPr>
                <w:color w:val="000000" w:themeColor="text1"/>
              </w:rPr>
            </w:pPr>
            <w:r w:rsidRPr="00C7386F">
              <w:rPr>
                <w:color w:val="000000" w:themeColor="text1"/>
              </w:rPr>
              <w:t>2 GPa and 1300ºC</w:t>
            </w:r>
          </w:p>
        </w:tc>
        <w:tc>
          <w:tcPr>
            <w:tcW w:w="2000" w:type="dxa"/>
            <w:tcBorders>
              <w:top w:val="nil"/>
              <w:left w:val="nil"/>
              <w:bottom w:val="single" w:sz="4" w:space="0" w:color="auto"/>
              <w:right w:val="single" w:sz="4" w:space="0" w:color="auto"/>
            </w:tcBorders>
            <w:shd w:val="clear" w:color="auto" w:fill="auto"/>
            <w:vAlign w:val="center"/>
            <w:hideMark/>
          </w:tcPr>
          <w:p w14:paraId="794FB940" w14:textId="77777777" w:rsidR="008F5F1D" w:rsidRPr="00C7386F" w:rsidRDefault="008F5F1D" w:rsidP="00381517">
            <w:pPr>
              <w:jc w:val="center"/>
              <w:rPr>
                <w:color w:val="000000" w:themeColor="text1"/>
              </w:rPr>
            </w:pPr>
            <w:r w:rsidRPr="00C7386F">
              <w:rPr>
                <w:color w:val="000000" w:themeColor="text1"/>
              </w:rPr>
              <w:t>IBC Material Never Melts</w:t>
            </w:r>
          </w:p>
        </w:tc>
      </w:tr>
      <w:tr w:rsidR="008F5F1D" w:rsidRPr="00C7386F" w14:paraId="12EECD48" w14:textId="77777777" w:rsidTr="00381517">
        <w:trPr>
          <w:trHeight w:val="10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DA57E93" w14:textId="77777777" w:rsidR="008F5F1D" w:rsidRPr="00C7386F" w:rsidRDefault="008F5F1D" w:rsidP="00381517">
            <w:pPr>
              <w:jc w:val="center"/>
              <w:rPr>
                <w:color w:val="000000" w:themeColor="text1"/>
              </w:rPr>
            </w:pPr>
            <w:r w:rsidRPr="00C7386F">
              <w:rPr>
                <w:color w:val="000000" w:themeColor="text1"/>
              </w:rPr>
              <w:t>EMOC Mixing Component</w:t>
            </w:r>
          </w:p>
        </w:tc>
        <w:tc>
          <w:tcPr>
            <w:tcW w:w="2000" w:type="dxa"/>
            <w:tcBorders>
              <w:top w:val="nil"/>
              <w:left w:val="nil"/>
              <w:bottom w:val="single" w:sz="4" w:space="0" w:color="auto"/>
              <w:right w:val="single" w:sz="4" w:space="0" w:color="auto"/>
            </w:tcBorders>
            <w:shd w:val="clear" w:color="auto" w:fill="auto"/>
            <w:vAlign w:val="center"/>
            <w:hideMark/>
          </w:tcPr>
          <w:p w14:paraId="00F5BA0E" w14:textId="77777777" w:rsidR="008F5F1D" w:rsidRPr="00C7386F" w:rsidRDefault="008F5F1D" w:rsidP="00381517">
            <w:pPr>
              <w:jc w:val="center"/>
              <w:rPr>
                <w:color w:val="000000" w:themeColor="text1"/>
              </w:rPr>
            </w:pPr>
            <w:r w:rsidRPr="00C7386F">
              <w:rPr>
                <w:color w:val="000000" w:themeColor="text1"/>
              </w:rPr>
              <w:t>N/a</w:t>
            </w:r>
          </w:p>
        </w:tc>
        <w:tc>
          <w:tcPr>
            <w:tcW w:w="2000" w:type="dxa"/>
            <w:tcBorders>
              <w:top w:val="nil"/>
              <w:left w:val="nil"/>
              <w:bottom w:val="single" w:sz="4" w:space="0" w:color="auto"/>
              <w:right w:val="single" w:sz="4" w:space="0" w:color="auto"/>
            </w:tcBorders>
            <w:shd w:val="clear" w:color="auto" w:fill="auto"/>
            <w:vAlign w:val="center"/>
            <w:hideMark/>
          </w:tcPr>
          <w:p w14:paraId="6DEF5DCF" w14:textId="77777777" w:rsidR="008F5F1D" w:rsidRPr="00C7386F" w:rsidRDefault="008F5F1D" w:rsidP="00381517">
            <w:pPr>
              <w:jc w:val="center"/>
              <w:rPr>
                <w:color w:val="000000" w:themeColor="text1"/>
              </w:rPr>
            </w:pPr>
            <w:r w:rsidRPr="00C7386F">
              <w:rPr>
                <w:color w:val="000000" w:themeColor="text1"/>
              </w:rPr>
              <w:t>Dunite from 0.1 to 51% LMO Solidification</w:t>
            </w:r>
          </w:p>
        </w:tc>
      </w:tr>
      <w:tr w:rsidR="008F5F1D" w:rsidRPr="00C7386F" w14:paraId="6B31E27A" w14:textId="77777777" w:rsidTr="00381517">
        <w:trPr>
          <w:trHeight w:val="68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E460491" w14:textId="77777777" w:rsidR="008F5F1D" w:rsidRPr="00C7386F" w:rsidRDefault="008F5F1D" w:rsidP="00381517">
            <w:pPr>
              <w:jc w:val="center"/>
              <w:rPr>
                <w:color w:val="000000" w:themeColor="text1"/>
              </w:rPr>
            </w:pPr>
            <w:r w:rsidRPr="00C7386F">
              <w:rPr>
                <w:color w:val="000000" w:themeColor="text1"/>
              </w:rPr>
              <w:t>Hybridized Source Composition</w:t>
            </w:r>
          </w:p>
        </w:tc>
        <w:tc>
          <w:tcPr>
            <w:tcW w:w="2000" w:type="dxa"/>
            <w:tcBorders>
              <w:top w:val="nil"/>
              <w:left w:val="nil"/>
              <w:bottom w:val="single" w:sz="4" w:space="0" w:color="auto"/>
              <w:right w:val="single" w:sz="4" w:space="0" w:color="auto"/>
            </w:tcBorders>
            <w:shd w:val="clear" w:color="auto" w:fill="auto"/>
            <w:vAlign w:val="center"/>
            <w:hideMark/>
          </w:tcPr>
          <w:p w14:paraId="0F2A1E79" w14:textId="77777777" w:rsidR="008F5F1D" w:rsidRPr="00C7386F" w:rsidRDefault="008F5F1D" w:rsidP="00381517">
            <w:pPr>
              <w:jc w:val="center"/>
              <w:rPr>
                <w:color w:val="000000" w:themeColor="text1"/>
              </w:rPr>
            </w:pPr>
            <w:r w:rsidRPr="00C7386F">
              <w:rPr>
                <w:color w:val="000000" w:themeColor="text1"/>
              </w:rPr>
              <w:t>N/a</w:t>
            </w:r>
          </w:p>
        </w:tc>
        <w:tc>
          <w:tcPr>
            <w:tcW w:w="2000" w:type="dxa"/>
            <w:tcBorders>
              <w:top w:val="nil"/>
              <w:left w:val="nil"/>
              <w:bottom w:val="single" w:sz="4" w:space="0" w:color="auto"/>
              <w:right w:val="single" w:sz="4" w:space="0" w:color="auto"/>
            </w:tcBorders>
            <w:shd w:val="clear" w:color="auto" w:fill="auto"/>
            <w:vAlign w:val="center"/>
            <w:hideMark/>
          </w:tcPr>
          <w:p w14:paraId="5DDFBBBB" w14:textId="77777777" w:rsidR="008F5F1D" w:rsidRPr="00C7386F" w:rsidRDefault="008F5F1D" w:rsidP="00381517">
            <w:pPr>
              <w:jc w:val="center"/>
              <w:rPr>
                <w:color w:val="000000" w:themeColor="text1"/>
              </w:rPr>
            </w:pPr>
            <w:r w:rsidRPr="00C7386F">
              <w:rPr>
                <w:color w:val="000000" w:themeColor="text1"/>
              </w:rPr>
              <w:t>55% EMOC to 45% IBC</w:t>
            </w:r>
          </w:p>
        </w:tc>
      </w:tr>
      <w:tr w:rsidR="008F5F1D" w:rsidRPr="00C7386F" w14:paraId="37765428" w14:textId="77777777" w:rsidTr="00381517">
        <w:trPr>
          <w:trHeight w:val="72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3CA5196" w14:textId="77777777" w:rsidR="008F5F1D" w:rsidRPr="00C7386F" w:rsidRDefault="008F5F1D" w:rsidP="00381517">
            <w:pPr>
              <w:jc w:val="center"/>
              <w:rPr>
                <w:color w:val="000000" w:themeColor="text1"/>
              </w:rPr>
            </w:pPr>
            <w:r w:rsidRPr="00C7386F">
              <w:rPr>
                <w:color w:val="000000" w:themeColor="text1"/>
              </w:rPr>
              <w:t>Hybridized Source Mineralogy</w:t>
            </w:r>
          </w:p>
        </w:tc>
        <w:tc>
          <w:tcPr>
            <w:tcW w:w="2000" w:type="dxa"/>
            <w:tcBorders>
              <w:top w:val="nil"/>
              <w:left w:val="nil"/>
              <w:bottom w:val="single" w:sz="4" w:space="0" w:color="auto"/>
              <w:right w:val="single" w:sz="4" w:space="0" w:color="auto"/>
            </w:tcBorders>
            <w:shd w:val="clear" w:color="auto" w:fill="auto"/>
            <w:vAlign w:val="center"/>
            <w:hideMark/>
          </w:tcPr>
          <w:p w14:paraId="33A8DDA8" w14:textId="77777777" w:rsidR="008F5F1D" w:rsidRPr="00C7386F" w:rsidRDefault="008F5F1D" w:rsidP="00381517">
            <w:pPr>
              <w:jc w:val="center"/>
              <w:rPr>
                <w:color w:val="000000" w:themeColor="text1"/>
              </w:rPr>
            </w:pPr>
            <w:r w:rsidRPr="00C7386F">
              <w:rPr>
                <w:color w:val="000000" w:themeColor="text1"/>
              </w:rPr>
              <w:t>Garnet-Bearing</w:t>
            </w:r>
          </w:p>
        </w:tc>
        <w:tc>
          <w:tcPr>
            <w:tcW w:w="2000" w:type="dxa"/>
            <w:tcBorders>
              <w:top w:val="nil"/>
              <w:left w:val="nil"/>
              <w:bottom w:val="single" w:sz="4" w:space="0" w:color="auto"/>
              <w:right w:val="single" w:sz="4" w:space="0" w:color="auto"/>
            </w:tcBorders>
            <w:shd w:val="clear" w:color="auto" w:fill="auto"/>
            <w:vAlign w:val="center"/>
            <w:hideMark/>
          </w:tcPr>
          <w:p w14:paraId="704C3ABD" w14:textId="77777777" w:rsidR="008F5F1D" w:rsidRPr="00C7386F" w:rsidRDefault="008F5F1D" w:rsidP="00381517">
            <w:pPr>
              <w:jc w:val="center"/>
              <w:rPr>
                <w:color w:val="000000" w:themeColor="text1"/>
              </w:rPr>
            </w:pPr>
            <w:r w:rsidRPr="00C7386F">
              <w:rPr>
                <w:color w:val="000000" w:themeColor="text1"/>
              </w:rPr>
              <w:t>Garnet-Bearing</w:t>
            </w:r>
          </w:p>
        </w:tc>
      </w:tr>
      <w:tr w:rsidR="008F5F1D" w:rsidRPr="00C7386F" w14:paraId="0695F6D7" w14:textId="77777777" w:rsidTr="00381517">
        <w:trPr>
          <w:trHeight w:val="98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518740CC" w14:textId="77777777" w:rsidR="008F5F1D" w:rsidRPr="00C7386F" w:rsidRDefault="008F5F1D" w:rsidP="00381517">
            <w:pPr>
              <w:jc w:val="center"/>
              <w:rPr>
                <w:color w:val="000000" w:themeColor="text1"/>
              </w:rPr>
            </w:pPr>
            <w:r w:rsidRPr="00C7386F">
              <w:rPr>
                <w:color w:val="000000" w:themeColor="text1"/>
              </w:rPr>
              <w:t xml:space="preserve">Garnet Abundance in IBC or Hybridized Mantle Source  </w:t>
            </w:r>
          </w:p>
        </w:tc>
        <w:tc>
          <w:tcPr>
            <w:tcW w:w="2000" w:type="dxa"/>
            <w:tcBorders>
              <w:top w:val="nil"/>
              <w:left w:val="nil"/>
              <w:bottom w:val="single" w:sz="4" w:space="0" w:color="auto"/>
              <w:right w:val="single" w:sz="4" w:space="0" w:color="auto"/>
            </w:tcBorders>
            <w:shd w:val="clear" w:color="auto" w:fill="auto"/>
            <w:vAlign w:val="center"/>
            <w:hideMark/>
          </w:tcPr>
          <w:p w14:paraId="4CCDA9C6" w14:textId="77777777" w:rsidR="008F5F1D" w:rsidRPr="00C7386F" w:rsidRDefault="008F5F1D" w:rsidP="00381517">
            <w:pPr>
              <w:jc w:val="center"/>
              <w:rPr>
                <w:color w:val="000000" w:themeColor="text1"/>
              </w:rPr>
            </w:pPr>
            <w:r w:rsidRPr="00C7386F">
              <w:rPr>
                <w:color w:val="000000" w:themeColor="text1"/>
              </w:rPr>
              <w:t>0% to 5%</w:t>
            </w:r>
          </w:p>
        </w:tc>
        <w:tc>
          <w:tcPr>
            <w:tcW w:w="2000" w:type="dxa"/>
            <w:tcBorders>
              <w:top w:val="nil"/>
              <w:left w:val="nil"/>
              <w:bottom w:val="single" w:sz="4" w:space="0" w:color="auto"/>
              <w:right w:val="single" w:sz="4" w:space="0" w:color="auto"/>
            </w:tcBorders>
            <w:shd w:val="clear" w:color="auto" w:fill="auto"/>
            <w:vAlign w:val="center"/>
            <w:hideMark/>
          </w:tcPr>
          <w:p w14:paraId="08F6FEB4" w14:textId="77777777" w:rsidR="008F5F1D" w:rsidRPr="00C7386F" w:rsidRDefault="008F5F1D" w:rsidP="00381517">
            <w:pPr>
              <w:jc w:val="center"/>
              <w:rPr>
                <w:color w:val="000000" w:themeColor="text1"/>
              </w:rPr>
            </w:pPr>
            <w:r w:rsidRPr="00C7386F">
              <w:rPr>
                <w:color w:val="000000" w:themeColor="text1"/>
              </w:rPr>
              <w:t>0% to 5%</w:t>
            </w:r>
          </w:p>
        </w:tc>
      </w:tr>
      <w:tr w:rsidR="008F5F1D" w:rsidRPr="00C7386F" w14:paraId="4F837E7F" w14:textId="77777777" w:rsidTr="00381517">
        <w:trPr>
          <w:trHeight w:val="98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422B5977" w14:textId="77777777" w:rsidR="008F5F1D" w:rsidRPr="00C7386F" w:rsidRDefault="008F5F1D" w:rsidP="00381517">
            <w:pPr>
              <w:jc w:val="center"/>
              <w:rPr>
                <w:color w:val="000000" w:themeColor="text1"/>
              </w:rPr>
            </w:pPr>
            <w:r w:rsidRPr="00C7386F">
              <w:rPr>
                <w:color w:val="000000" w:themeColor="text1"/>
              </w:rPr>
              <w:t>Hybridized Source Partial Melting P-T Conditions</w:t>
            </w:r>
          </w:p>
        </w:tc>
        <w:tc>
          <w:tcPr>
            <w:tcW w:w="2000" w:type="dxa"/>
            <w:tcBorders>
              <w:top w:val="nil"/>
              <w:left w:val="nil"/>
              <w:bottom w:val="single" w:sz="4" w:space="0" w:color="auto"/>
              <w:right w:val="single" w:sz="4" w:space="0" w:color="auto"/>
            </w:tcBorders>
            <w:shd w:val="clear" w:color="auto" w:fill="auto"/>
            <w:vAlign w:val="center"/>
            <w:hideMark/>
          </w:tcPr>
          <w:p w14:paraId="14140F63" w14:textId="77777777" w:rsidR="008F5F1D" w:rsidRPr="00C7386F" w:rsidRDefault="008F5F1D" w:rsidP="00381517">
            <w:pPr>
              <w:jc w:val="center"/>
              <w:rPr>
                <w:color w:val="000000" w:themeColor="text1"/>
              </w:rPr>
            </w:pPr>
            <w:r w:rsidRPr="00C7386F">
              <w:rPr>
                <w:color w:val="000000" w:themeColor="text1"/>
              </w:rPr>
              <w:t>N/a</w:t>
            </w:r>
          </w:p>
        </w:tc>
        <w:tc>
          <w:tcPr>
            <w:tcW w:w="2000" w:type="dxa"/>
            <w:tcBorders>
              <w:top w:val="nil"/>
              <w:left w:val="nil"/>
              <w:bottom w:val="single" w:sz="4" w:space="0" w:color="auto"/>
              <w:right w:val="single" w:sz="4" w:space="0" w:color="auto"/>
            </w:tcBorders>
            <w:shd w:val="clear" w:color="auto" w:fill="auto"/>
            <w:vAlign w:val="center"/>
            <w:hideMark/>
          </w:tcPr>
          <w:p w14:paraId="609F04AE" w14:textId="77777777" w:rsidR="008F5F1D" w:rsidRPr="00C7386F" w:rsidRDefault="008F5F1D" w:rsidP="00381517">
            <w:pPr>
              <w:jc w:val="center"/>
              <w:rPr>
                <w:color w:val="000000" w:themeColor="text1"/>
              </w:rPr>
            </w:pPr>
            <w:r w:rsidRPr="00C7386F">
              <w:rPr>
                <w:color w:val="000000" w:themeColor="text1"/>
              </w:rPr>
              <w:t>2 GPa and 1350ºC</w:t>
            </w:r>
          </w:p>
        </w:tc>
      </w:tr>
      <w:tr w:rsidR="008F5F1D" w:rsidRPr="00C7386F" w14:paraId="73AD7C54" w14:textId="77777777" w:rsidTr="00381517">
        <w:trPr>
          <w:trHeight w:val="70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298AE93" w14:textId="77777777" w:rsidR="008F5F1D" w:rsidRPr="00C7386F" w:rsidRDefault="008F5F1D" w:rsidP="00381517">
            <w:pPr>
              <w:jc w:val="center"/>
              <w:rPr>
                <w:color w:val="000000" w:themeColor="text1"/>
              </w:rPr>
            </w:pPr>
            <w:r w:rsidRPr="00C7386F">
              <w:rPr>
                <w:color w:val="000000" w:themeColor="text1"/>
              </w:rPr>
              <w:t>Partial Melting of The Source</w:t>
            </w:r>
          </w:p>
        </w:tc>
        <w:tc>
          <w:tcPr>
            <w:tcW w:w="2000" w:type="dxa"/>
            <w:tcBorders>
              <w:top w:val="nil"/>
              <w:left w:val="nil"/>
              <w:bottom w:val="single" w:sz="4" w:space="0" w:color="auto"/>
              <w:right w:val="single" w:sz="4" w:space="0" w:color="auto"/>
            </w:tcBorders>
            <w:shd w:val="clear" w:color="auto" w:fill="auto"/>
            <w:vAlign w:val="center"/>
            <w:hideMark/>
          </w:tcPr>
          <w:p w14:paraId="366DE81D" w14:textId="77777777" w:rsidR="008F5F1D" w:rsidRPr="00C7386F" w:rsidRDefault="008F5F1D" w:rsidP="00381517">
            <w:pPr>
              <w:jc w:val="center"/>
              <w:rPr>
                <w:color w:val="000000" w:themeColor="text1"/>
              </w:rPr>
            </w:pPr>
            <w:r w:rsidRPr="00C7386F">
              <w:rPr>
                <w:color w:val="000000" w:themeColor="text1"/>
              </w:rPr>
              <w:t>0.01% to 30%</w:t>
            </w:r>
          </w:p>
        </w:tc>
        <w:tc>
          <w:tcPr>
            <w:tcW w:w="2000" w:type="dxa"/>
            <w:tcBorders>
              <w:top w:val="nil"/>
              <w:left w:val="nil"/>
              <w:bottom w:val="single" w:sz="4" w:space="0" w:color="auto"/>
              <w:right w:val="single" w:sz="4" w:space="0" w:color="auto"/>
            </w:tcBorders>
            <w:shd w:val="clear" w:color="auto" w:fill="auto"/>
            <w:vAlign w:val="center"/>
            <w:hideMark/>
          </w:tcPr>
          <w:p w14:paraId="316E688B" w14:textId="77777777" w:rsidR="008F5F1D" w:rsidRPr="00C7386F" w:rsidRDefault="008F5F1D" w:rsidP="00381517">
            <w:pPr>
              <w:jc w:val="center"/>
              <w:rPr>
                <w:color w:val="000000" w:themeColor="text1"/>
              </w:rPr>
            </w:pPr>
            <w:r w:rsidRPr="00C7386F">
              <w:rPr>
                <w:color w:val="000000" w:themeColor="text1"/>
              </w:rPr>
              <w:t>0.01% to 30%</w:t>
            </w:r>
          </w:p>
        </w:tc>
      </w:tr>
      <w:tr w:rsidR="008F5F1D" w:rsidRPr="00C7386F" w14:paraId="501EA636" w14:textId="77777777" w:rsidTr="00381517">
        <w:trPr>
          <w:trHeight w:val="4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1878891" w14:textId="77777777" w:rsidR="008F5F1D" w:rsidRPr="00C7386F" w:rsidRDefault="008F5F1D" w:rsidP="00381517">
            <w:pPr>
              <w:jc w:val="center"/>
              <w:rPr>
                <w:color w:val="000000" w:themeColor="text1"/>
              </w:rPr>
            </w:pPr>
            <w:r w:rsidRPr="00C7386F">
              <w:rPr>
                <w:color w:val="000000" w:themeColor="text1"/>
              </w:rPr>
              <w:t>Associated Figures</w:t>
            </w:r>
          </w:p>
        </w:tc>
        <w:tc>
          <w:tcPr>
            <w:tcW w:w="2000" w:type="dxa"/>
            <w:tcBorders>
              <w:top w:val="nil"/>
              <w:left w:val="nil"/>
              <w:bottom w:val="single" w:sz="4" w:space="0" w:color="auto"/>
              <w:right w:val="single" w:sz="4" w:space="0" w:color="auto"/>
            </w:tcBorders>
            <w:shd w:val="clear" w:color="auto" w:fill="auto"/>
            <w:vAlign w:val="center"/>
            <w:hideMark/>
          </w:tcPr>
          <w:p w14:paraId="278F0BCD" w14:textId="4B6D6723" w:rsidR="008F5F1D" w:rsidRPr="00C7386F" w:rsidRDefault="008F5F1D" w:rsidP="00381517">
            <w:pPr>
              <w:jc w:val="center"/>
              <w:rPr>
                <w:color w:val="000000" w:themeColor="text1"/>
              </w:rPr>
            </w:pPr>
            <w:r w:rsidRPr="00C7386F">
              <w:rPr>
                <w:color w:val="000000" w:themeColor="text1"/>
              </w:rPr>
              <w:t xml:space="preserve">Figure </w:t>
            </w:r>
            <w:r w:rsidR="00400389">
              <w:rPr>
                <w:color w:val="000000" w:themeColor="text1"/>
              </w:rPr>
              <w:t>2.</w:t>
            </w:r>
            <w:r w:rsidRPr="00C7386F">
              <w:rPr>
                <w:color w:val="000000" w:themeColor="text1"/>
              </w:rPr>
              <w:t>11a-c</w:t>
            </w:r>
          </w:p>
        </w:tc>
        <w:tc>
          <w:tcPr>
            <w:tcW w:w="2000" w:type="dxa"/>
            <w:tcBorders>
              <w:top w:val="nil"/>
              <w:left w:val="nil"/>
              <w:bottom w:val="single" w:sz="4" w:space="0" w:color="auto"/>
              <w:right w:val="single" w:sz="4" w:space="0" w:color="auto"/>
            </w:tcBorders>
            <w:shd w:val="clear" w:color="auto" w:fill="auto"/>
            <w:vAlign w:val="center"/>
            <w:hideMark/>
          </w:tcPr>
          <w:p w14:paraId="35C48B3E" w14:textId="789FDFF6" w:rsidR="008F5F1D" w:rsidRPr="00C7386F" w:rsidRDefault="008F5F1D" w:rsidP="00381517">
            <w:pPr>
              <w:jc w:val="center"/>
              <w:rPr>
                <w:color w:val="000000" w:themeColor="text1"/>
              </w:rPr>
            </w:pPr>
            <w:r w:rsidRPr="00C7386F">
              <w:rPr>
                <w:color w:val="000000" w:themeColor="text1"/>
              </w:rPr>
              <w:t xml:space="preserve">Figure </w:t>
            </w:r>
            <w:r w:rsidR="00400389">
              <w:rPr>
                <w:color w:val="000000" w:themeColor="text1"/>
              </w:rPr>
              <w:t>2.</w:t>
            </w:r>
            <w:r w:rsidRPr="00C7386F">
              <w:rPr>
                <w:color w:val="000000" w:themeColor="text1"/>
              </w:rPr>
              <w:t>11d-f</w:t>
            </w:r>
          </w:p>
        </w:tc>
      </w:tr>
    </w:tbl>
    <w:p w14:paraId="6F1C8E97" w14:textId="77777777" w:rsidR="008F5F1D" w:rsidRDefault="008F5F1D">
      <w:pPr>
        <w:rPr>
          <w:color w:val="000000" w:themeColor="text1"/>
        </w:rPr>
      </w:pPr>
      <w:r>
        <w:rPr>
          <w:color w:val="000000" w:themeColor="text1"/>
        </w:rPr>
        <w:br w:type="page"/>
      </w:r>
    </w:p>
    <w:p w14:paraId="5AC621FF" w14:textId="35C4CDB1" w:rsidR="00C57C16" w:rsidRDefault="00C57C16" w:rsidP="00877872">
      <w:pPr>
        <w:spacing w:line="480" w:lineRule="auto"/>
        <w:rPr>
          <w:color w:val="000000" w:themeColor="text1"/>
        </w:rPr>
      </w:pPr>
      <w:r w:rsidRPr="00557062">
        <w:rPr>
          <w:color w:val="000000" w:themeColor="text1"/>
        </w:rPr>
        <w:lastRenderedPageBreak/>
        <w:t>The primary cumulate melts never achieve (Lu/Hf)</w:t>
      </w:r>
      <w:r w:rsidRPr="00557062">
        <w:rPr>
          <w:color w:val="000000" w:themeColor="text1"/>
          <w:vertAlign w:val="subscript"/>
        </w:rPr>
        <w:t>N</w:t>
      </w:r>
      <w:r w:rsidRPr="00557062">
        <w:rPr>
          <w:color w:val="000000" w:themeColor="text1"/>
        </w:rPr>
        <w:t xml:space="preserve"> ratios as low as those of the orange picritic glasses. Melts of layer #1 would be too Ti- and REE-poor to explain the major and trace element compositions of the yellow, red, and black picritic glasses. This suggests that some secondary mantle source hybridization process is required to explain the low (Lu/Hf)</w:t>
      </w:r>
      <w:r w:rsidRPr="00557062">
        <w:rPr>
          <w:color w:val="000000" w:themeColor="text1"/>
          <w:vertAlign w:val="subscript"/>
        </w:rPr>
        <w:t>N</w:t>
      </w:r>
      <w:r w:rsidRPr="00557062">
        <w:rPr>
          <w:color w:val="000000" w:themeColor="text1"/>
        </w:rPr>
        <w:t xml:space="preserve"> of at least the orange picritic glasses and most intermediate- and high-Ti lunar picritic glasses.</w:t>
      </w:r>
    </w:p>
    <w:p w14:paraId="5C5E6B95" w14:textId="64C0FD66" w:rsidR="0079480A" w:rsidRPr="00557062" w:rsidRDefault="0079480A" w:rsidP="0079480A">
      <w:pPr>
        <w:spacing w:line="480" w:lineRule="auto"/>
        <w:ind w:firstLine="720"/>
        <w:rPr>
          <w:color w:val="000000" w:themeColor="text1"/>
        </w:rPr>
      </w:pPr>
      <w:r w:rsidRPr="00557062">
        <w:rPr>
          <w:color w:val="000000" w:themeColor="text1"/>
        </w:rPr>
        <w:t>It should also be noted that while the scenario 0 simulations demonstrate that partial melting of primary LMO cumulates can account for the REE ratios of many low-Ti lunar picritic glasses, this doesn’t mean these partial melts could account for the major element compositions or the scale of the Eu anomaly observed in low-Ti picritic glasses (</w:t>
      </w:r>
      <w:r w:rsidRPr="0079480A">
        <w:rPr>
          <w:b/>
          <w:bCs/>
          <w:color w:val="000000" w:themeColor="text1"/>
        </w:rPr>
        <w:t>Figure 2.2b</w:t>
      </w:r>
      <w:r w:rsidRPr="00557062">
        <w:rPr>
          <w:color w:val="000000" w:themeColor="text1"/>
        </w:rPr>
        <w:t>). If we consider the minimum estimated mantle source Mg#s of low-Ti picritic glasses (~78; calculated using the methods of Scholpp and Dygert, 2024</w:t>
      </w:r>
      <w:r>
        <w:rPr>
          <w:color w:val="000000" w:themeColor="text1"/>
        </w:rPr>
        <w:t>a</w:t>
      </w:r>
      <w:r w:rsidRPr="00557062">
        <w:rPr>
          <w:color w:val="000000" w:themeColor="text1"/>
        </w:rPr>
        <w:t xml:space="preserve"> and references therein), we can rule out primary melts of cumulate layers #4-#6 as the Mg#s of these cumulates likely fall between 16 and 63 based on the experimental mineral compositions and estimated cumulate proportions of Charlier et al. (2018). If we consider the trace element composition of the low-Ti glasses, it is also unlikely that partial melts of cumulate layer #1 (the first 51% of LMO cumulates in this study) could account for the low-Ti glass trace element compositions due to this layer’s low overall trace element abundance and lack of a Eu anomaly (</w:t>
      </w:r>
      <w:r w:rsidRPr="0079480A">
        <w:rPr>
          <w:b/>
          <w:bCs/>
          <w:color w:val="000000" w:themeColor="text1"/>
        </w:rPr>
        <w:t>Figure 2.2a</w:t>
      </w:r>
      <w:r w:rsidRPr="00557062">
        <w:rPr>
          <w:color w:val="000000" w:themeColor="text1"/>
        </w:rPr>
        <w:t>).</w:t>
      </w:r>
    </w:p>
    <w:p w14:paraId="2D522120" w14:textId="187EF586" w:rsidR="0079480A" w:rsidRPr="00557062" w:rsidRDefault="0079480A" w:rsidP="0079480A">
      <w:pPr>
        <w:spacing w:line="480" w:lineRule="auto"/>
        <w:ind w:firstLine="720"/>
        <w:rPr>
          <w:color w:val="000000" w:themeColor="text1"/>
        </w:rPr>
      </w:pPr>
      <w:r w:rsidRPr="00557062">
        <w:rPr>
          <w:color w:val="000000" w:themeColor="text1"/>
        </w:rPr>
        <w:t xml:space="preserve">While we can reasonably rule out cumulate layers #1, #4, #5, and #6 as the source of low-Ti lunar picritic melts, it is difficult to rule out layers #2 and #3 (cumulates that form between 52% and 82% LMO solidification) based on their estimated major element </w:t>
      </w:r>
      <w:r w:rsidRPr="00557062">
        <w:rPr>
          <w:color w:val="000000" w:themeColor="text1"/>
        </w:rPr>
        <w:lastRenderedPageBreak/>
        <w:t xml:space="preserve">chemistry. Each of these layers should have Mg#s </w:t>
      </w:r>
      <m:oMath>
        <m:r>
          <w:rPr>
            <w:rFonts w:ascii="Cambria Math" w:hAnsi="Cambria Math"/>
            <w:color w:val="000000" w:themeColor="text1"/>
          </w:rPr>
          <m:t>≥</m:t>
        </m:r>
      </m:oMath>
      <w:r w:rsidRPr="00557062">
        <w:rPr>
          <w:color w:val="000000" w:themeColor="text1"/>
        </w:rPr>
        <w:t>80; however, layer #2 is the only layer that could realistically recreate the Eu anomaly (Eu/Eu*: the measured concentration of Eu divided by the interpolated concentration Eu if Eu followed the 3+ REE partitioning trends) observed in the low-Ti lunar picritic glasses without some amount of hybridization (</w:t>
      </w:r>
      <w:r w:rsidRPr="0079480A">
        <w:rPr>
          <w:b/>
          <w:bCs/>
          <w:color w:val="000000" w:themeColor="text1"/>
        </w:rPr>
        <w:t>Figure 2.5</w:t>
      </w:r>
      <w:r w:rsidRPr="00557062">
        <w:rPr>
          <w:color w:val="000000" w:themeColor="text1"/>
        </w:rPr>
        <w:t>). Melting models for layer #3 indicate that plagioclase floatation efficiency would need to be &gt;99% to produce an Eu/Eu* within the upper range of low-Ti picritic glasses at ƒO</w:t>
      </w:r>
      <w:r w:rsidRPr="00557062">
        <w:rPr>
          <w:color w:val="000000" w:themeColor="text1"/>
          <w:vertAlign w:val="subscript"/>
        </w:rPr>
        <w:t>2</w:t>
      </w:r>
      <w:r w:rsidRPr="00557062">
        <w:rPr>
          <w:color w:val="000000" w:themeColor="text1"/>
        </w:rPr>
        <w:t>s from IW-2 to IW+2 (i.e., two log units above or below the IW redox buffer) (</w:t>
      </w:r>
      <w:r w:rsidRPr="0079480A">
        <w:rPr>
          <w:b/>
          <w:bCs/>
          <w:color w:val="000000" w:themeColor="text1"/>
        </w:rPr>
        <w:t>Figure 2.5</w:t>
      </w:r>
      <w:r w:rsidRPr="00557062">
        <w:rPr>
          <w:color w:val="000000" w:themeColor="text1"/>
        </w:rPr>
        <w:t>). This holds for models that assume residual plagioclase remained in these cumulate layers (</w:t>
      </w:r>
      <w:r w:rsidRPr="0079480A">
        <w:rPr>
          <w:b/>
          <w:bCs/>
          <w:color w:val="000000" w:themeColor="text1"/>
        </w:rPr>
        <w:t>Figure 2.5a</w:t>
      </w:r>
      <w:r w:rsidRPr="00557062">
        <w:rPr>
          <w:color w:val="000000" w:themeColor="text1"/>
        </w:rPr>
        <w:t>) and models that assume the cumulate plagioclase metamorphose to Cpx following cumulate compaction (</w:t>
      </w:r>
      <w:r w:rsidRPr="0079480A">
        <w:rPr>
          <w:b/>
          <w:bCs/>
          <w:color w:val="000000" w:themeColor="text1"/>
        </w:rPr>
        <w:t>Figure 2.5b</w:t>
      </w:r>
      <w:r w:rsidRPr="00557062">
        <w:rPr>
          <w:color w:val="000000" w:themeColor="text1"/>
        </w:rPr>
        <w:t>). Partial melts of layer #2 are unaffected by the floatation efficiency of plagioclase because models from this study assume plagioclase would be absent in this layer (</w:t>
      </w:r>
      <w:r w:rsidRPr="0079480A">
        <w:rPr>
          <w:b/>
          <w:bCs/>
          <w:color w:val="000000" w:themeColor="text1"/>
        </w:rPr>
        <w:t>Figures 2.4a and 2.5b</w:t>
      </w:r>
      <w:r w:rsidRPr="00557062">
        <w:rPr>
          <w:color w:val="000000" w:themeColor="text1"/>
        </w:rPr>
        <w:t xml:space="preserve">). </w:t>
      </w:r>
    </w:p>
    <w:p w14:paraId="7DE05524" w14:textId="7EB5E0C6" w:rsidR="00F118DB" w:rsidRDefault="00ED396B" w:rsidP="00ED396B">
      <w:pPr>
        <w:spacing w:line="480" w:lineRule="auto"/>
        <w:ind w:firstLine="720"/>
        <w:rPr>
          <w:color w:val="000000" w:themeColor="text1"/>
        </w:rPr>
      </w:pPr>
      <w:r w:rsidRPr="00557062">
        <w:rPr>
          <w:color w:val="000000" w:themeColor="text1"/>
        </w:rPr>
        <w:t>We propose that low-Ti picritic melts could be sourced directly from LMO cumulate layer #2. While some of the low-Ti picritic melts could theoretically be produced by hybridized sources not explored in this study, partial melts of cumulate layer #2 could account for the REE ratios, REE abundances (</w:t>
      </w:r>
      <w:r w:rsidRPr="0079480A">
        <w:rPr>
          <w:b/>
          <w:bCs/>
          <w:color w:val="000000" w:themeColor="text1"/>
        </w:rPr>
        <w:t>Figure B6</w:t>
      </w:r>
      <w:r w:rsidRPr="00557062">
        <w:rPr>
          <w:color w:val="000000" w:themeColor="text1"/>
        </w:rPr>
        <w:t>), the elevated Mg#s of the lunar low-Ti glass sources, and their low-Ti compositions. Thus, mantle hybridization is not necessarily required to account for the compositions of all low-Ti glasses.</w:t>
      </w:r>
    </w:p>
    <w:p w14:paraId="5CDD7875" w14:textId="56E57237" w:rsidR="002834A9" w:rsidRDefault="00F118DB" w:rsidP="00F118DB">
      <w:pPr>
        <w:rPr>
          <w:color w:val="000000" w:themeColor="text1"/>
        </w:rPr>
      </w:pPr>
      <w:r>
        <w:rPr>
          <w:color w:val="000000" w:themeColor="text1"/>
        </w:rPr>
        <w:br w:type="page"/>
      </w:r>
      <w:r w:rsidR="002834A9">
        <w:rPr>
          <w:noProof/>
          <w:color w:val="000000" w:themeColor="text1"/>
        </w:rPr>
        <w:lastRenderedPageBreak/>
        <w:drawing>
          <wp:inline distT="0" distB="0" distL="0" distR="0" wp14:anchorId="7CAD2D84" wp14:editId="4AF16077">
            <wp:extent cx="5486400" cy="2274570"/>
            <wp:effectExtent l="0" t="0" r="0" b="0"/>
            <wp:docPr id="268317348" name="Picture 45" descr="A graph of different types of mel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317348" name="Picture 45" descr="A graph of different types of melting&#10;&#10;Description automatically generated with medium confidence"/>
                    <pic:cNvPicPr/>
                  </pic:nvPicPr>
                  <pic:blipFill>
                    <a:blip r:embed="rId195" cstate="print">
                      <a:extLst>
                        <a:ext uri="{28A0092B-C50C-407E-A947-70E740481C1C}">
                          <a14:useLocalDpi xmlns:a14="http://schemas.microsoft.com/office/drawing/2010/main" val="0"/>
                        </a:ext>
                      </a:extLst>
                    </a:blip>
                    <a:stretch>
                      <a:fillRect/>
                    </a:stretch>
                  </pic:blipFill>
                  <pic:spPr>
                    <a:xfrm>
                      <a:off x="0" y="0"/>
                      <a:ext cx="5486400" cy="2274570"/>
                    </a:xfrm>
                    <a:prstGeom prst="rect">
                      <a:avLst/>
                    </a:prstGeom>
                  </pic:spPr>
                </pic:pic>
              </a:graphicData>
            </a:graphic>
          </wp:inline>
        </w:drawing>
      </w:r>
    </w:p>
    <w:p w14:paraId="16BAB1A4" w14:textId="73A8D767" w:rsidR="002834A9" w:rsidRDefault="002834A9" w:rsidP="00083B85">
      <w:pPr>
        <w:pStyle w:val="FigureCaption"/>
      </w:pPr>
      <w:bookmarkStart w:id="284" w:name="_Toc182944865"/>
      <w:bookmarkStart w:id="285" w:name="_Toc183019412"/>
      <w:bookmarkStart w:id="286" w:name="_Toc185263422"/>
      <w:r w:rsidRPr="00083B85">
        <w:rPr>
          <w:b/>
          <w:bCs/>
        </w:rPr>
        <w:t xml:space="preserve">Figure </w:t>
      </w:r>
      <w:r w:rsidR="008628F5" w:rsidRPr="00083B85">
        <w:rPr>
          <w:b/>
          <w:bCs/>
        </w:rPr>
        <w:t>2.</w:t>
      </w:r>
      <w:r w:rsidR="00F118DB" w:rsidRPr="00083B85">
        <w:rPr>
          <w:b/>
          <w:bCs/>
        </w:rPr>
        <w:t>5</w:t>
      </w:r>
      <w:r w:rsidRPr="00083B85">
        <w:rPr>
          <w:b/>
          <w:bCs/>
        </w:rPr>
        <w:t>.</w:t>
      </w:r>
      <w:r w:rsidRPr="00557062">
        <w:t xml:space="preserve"> </w:t>
      </w:r>
      <w:r w:rsidRPr="0063358A">
        <w:t>Models demonstrating the effect of plagioclase floatation and ƒO</w:t>
      </w:r>
      <w:r w:rsidRPr="0063358A">
        <w:rPr>
          <w:vertAlign w:val="subscript"/>
        </w:rPr>
        <w:t>2</w:t>
      </w:r>
      <w:r w:rsidRPr="0063358A">
        <w:t xml:space="preserve"> on Eu anomaly (Eu/Eu*) formation in partial melts of LMO cumulates. Dashed lines are melts of magma ocean cumulates; the gray bar shows the mean Eu/Eu* of low-Ti picritic glasses and its standard deviation </w:t>
      </w:r>
      <w:r w:rsidR="00B90501" w:rsidRPr="00B90501">
        <w:t>(i.e., 0.6147</w:t>
      </w:r>
      <w:r w:rsidR="00B90501" w:rsidRPr="00B90501">
        <w:sym w:font="Symbol" w:char="F0B1"/>
      </w:r>
      <w:r w:rsidR="00B90501" w:rsidRPr="00B90501">
        <w:t>0.2754 (n=43))</w:t>
      </w:r>
      <w:r w:rsidRPr="0063358A">
        <w:t>. (a) Modeled Eu/Eu* for partial melts of cumulate layer #3, assuming plagioclase is residual during melting. (b) modeled Eu/Eu* for partial melts of cumulate layers #2 and #3, assuming the plagioclase in layer #3 metamorphosed to Cpx. All models in this figure show the Eu/Eu* at 5%-25% partial melting for the cumulate layer. Eu* is interpolated using the chondrite normalized concentrations of Sm and Gd (i.e., Sm</w:t>
      </w:r>
      <w:r w:rsidRPr="0063358A">
        <w:rPr>
          <w:vertAlign w:val="subscript"/>
        </w:rPr>
        <w:t>N</w:t>
      </w:r>
      <w:r w:rsidRPr="0063358A">
        <w:t xml:space="preserve"> and Gd</w:t>
      </w:r>
      <w:r w:rsidRPr="0063358A">
        <w:rPr>
          <w:vertAlign w:val="subscript"/>
        </w:rPr>
        <w:t>N</w:t>
      </w:r>
      <w:r w:rsidRPr="0063358A">
        <w:t>) (</w:t>
      </w:r>
      <m:oMath>
        <m:sSup>
          <m:sSupPr>
            <m:ctrlPr>
              <w:rPr>
                <w:rFonts w:ascii="Cambria Math" w:eastAsiaTheme="minorHAnsi" w:hAnsi="Cambria Math"/>
                <w:i/>
              </w:rPr>
            </m:ctrlPr>
          </m:sSupPr>
          <m:e>
            <m:r>
              <m:rPr>
                <m:nor/>
              </m:rPr>
              <w:rPr>
                <w:rFonts w:ascii="Cambria Math" w:hAnsi="Cambria Math"/>
              </w:rPr>
              <m:t>Eu</m:t>
            </m:r>
          </m:e>
          <m:sup>
            <m:r>
              <m:rPr>
                <m:nor/>
              </m:rPr>
              <w:rPr>
                <w:rFonts w:ascii="Cambria Math" w:hAnsi="Cambria Math"/>
              </w:rPr>
              <m:t>*</m:t>
            </m:r>
          </m:sup>
        </m:sSup>
        <m:r>
          <w:rPr>
            <w:rFonts w:ascii="Cambria Math" w:hAnsi="Cambria Math"/>
          </w:rPr>
          <m:t>=</m:t>
        </m:r>
        <m:rad>
          <m:radPr>
            <m:degHide m:val="1"/>
            <m:ctrlPr>
              <w:rPr>
                <w:rFonts w:ascii="Cambria Math" w:eastAsiaTheme="minorHAnsi" w:hAnsi="Cambria Math"/>
                <w:i/>
              </w:rPr>
            </m:ctrlPr>
          </m:radPr>
          <m:deg/>
          <m:e>
            <m:sSub>
              <m:sSubPr>
                <m:ctrlPr>
                  <w:rPr>
                    <w:rFonts w:ascii="Cambria Math" w:eastAsiaTheme="minorHAnsi" w:hAnsi="Cambria Math"/>
                    <w:i/>
                  </w:rPr>
                </m:ctrlPr>
              </m:sSubPr>
              <m:e>
                <m:r>
                  <m:rPr>
                    <m:nor/>
                  </m:rPr>
                  <w:rPr>
                    <w:rFonts w:ascii="Cambria Math" w:hAnsi="Cambria Math"/>
                  </w:rPr>
                  <m:t>Sm</m:t>
                </m:r>
              </m:e>
              <m:sub>
                <m:r>
                  <m:rPr>
                    <m:nor/>
                  </m:rPr>
                  <w:rPr>
                    <w:rFonts w:ascii="Cambria Math" w:hAnsi="Cambria Math"/>
                  </w:rPr>
                  <m:t>N</m:t>
                </m:r>
              </m:sub>
            </m:sSub>
            <m:r>
              <w:rPr>
                <w:rFonts w:ascii="Cambria Math" w:hAnsi="Cambria Math"/>
              </w:rPr>
              <m:t>×</m:t>
            </m:r>
            <m:sSub>
              <m:sSubPr>
                <m:ctrlPr>
                  <w:rPr>
                    <w:rFonts w:ascii="Cambria Math" w:eastAsiaTheme="minorHAnsi" w:hAnsi="Cambria Math"/>
                    <w:i/>
                  </w:rPr>
                </m:ctrlPr>
              </m:sSubPr>
              <m:e>
                <m:r>
                  <m:rPr>
                    <m:nor/>
                  </m:rPr>
                  <w:rPr>
                    <w:rFonts w:ascii="Cambria Math" w:hAnsi="Cambria Math"/>
                  </w:rPr>
                  <m:t>Gd</m:t>
                </m:r>
              </m:e>
              <m:sub>
                <m:r>
                  <m:rPr>
                    <m:nor/>
                  </m:rPr>
                  <w:rPr>
                    <w:rFonts w:ascii="Cambria Math" w:hAnsi="Cambria Math"/>
                  </w:rPr>
                  <m:t>N</m:t>
                </m:r>
              </m:sub>
            </m:sSub>
          </m:e>
        </m:rad>
      </m:oMath>
      <w:r w:rsidRPr="0063358A">
        <w:rPr>
          <w:rFonts w:eastAsiaTheme="minorEastAsia"/>
        </w:rPr>
        <w:t>)</w:t>
      </w:r>
      <w:r w:rsidRPr="0063358A">
        <w:t>. The initial mineralogy of each layer can be found in Figure 2.4a. Without invoking a secondary mantle hybridization process, LMO cumulate layer #2 from this study is the only one that can reasonably account for the major element chemistry and Eu/Eu* observed in lunar low-Ti picritic glasses.</w:t>
      </w:r>
      <w:bookmarkEnd w:id="284"/>
      <w:bookmarkEnd w:id="285"/>
      <w:bookmarkEnd w:id="286"/>
      <w:r>
        <w:br w:type="page"/>
      </w:r>
    </w:p>
    <w:p w14:paraId="2559D0D9" w14:textId="77777777" w:rsidR="00C02DBF" w:rsidRPr="00557062" w:rsidRDefault="00C02DBF" w:rsidP="00C02DBF">
      <w:pPr>
        <w:pStyle w:val="Heading2"/>
      </w:pPr>
      <w:bookmarkStart w:id="287" w:name="_Toc182995479"/>
      <w:bookmarkStart w:id="288" w:name="_Toc183536597"/>
      <w:bookmarkStart w:id="289" w:name="_Toc184727401"/>
      <w:bookmarkStart w:id="290" w:name="_Toc185325648"/>
      <w:r w:rsidRPr="00557062">
        <w:lastRenderedPageBreak/>
        <w:t>Mantle Hybridization After Cumulate Mantle Overturn</w:t>
      </w:r>
      <w:bookmarkEnd w:id="287"/>
      <w:bookmarkEnd w:id="288"/>
      <w:bookmarkEnd w:id="289"/>
      <w:bookmarkEnd w:id="290"/>
    </w:p>
    <w:p w14:paraId="5E635F83" w14:textId="01ADCBD5" w:rsidR="00C02DBF" w:rsidRDefault="00C02DBF" w:rsidP="00C02DBF">
      <w:pPr>
        <w:spacing w:line="480" w:lineRule="auto"/>
        <w:ind w:firstLine="720"/>
        <w:rPr>
          <w:color w:val="000000" w:themeColor="text1"/>
        </w:rPr>
      </w:pPr>
      <w:r w:rsidRPr="00557062">
        <w:rPr>
          <w:color w:val="000000" w:themeColor="text1"/>
        </w:rPr>
        <w:t>Simple melting of LMO cumulates described in the previous section failed to reproduce the compositions of most intermediate- and high-Ti lunar picritic glasses. As mentioned in the introduction, LMO solidification would produce a gravitationally unstable density stratification that was relieved by cumulate mantle overturn or sinking of late magma ocean cumulates (the IBC) into early magma ocean cumulates (Hess and Parmentier, 1995; Zhang et al., 2017; Li et al., 2019) (</w:t>
      </w:r>
      <w:r w:rsidRPr="00963DC3">
        <w:rPr>
          <w:b/>
          <w:bCs/>
          <w:color w:val="000000" w:themeColor="text1"/>
        </w:rPr>
        <w:t>Figure 2.1</w:t>
      </w:r>
      <w:r w:rsidRPr="00557062">
        <w:rPr>
          <w:color w:val="000000" w:themeColor="text1"/>
        </w:rPr>
        <w:t>). This sinking would produce mixing and the formation of hybridized mantle sources (Ringwood and Kesson, 1976)</w:t>
      </w:r>
      <w:r>
        <w:rPr>
          <w:color w:val="000000" w:themeColor="text1"/>
        </w:rPr>
        <w:t>.</w:t>
      </w:r>
    </w:p>
    <w:p w14:paraId="4DA4B194" w14:textId="49CF6788" w:rsidR="006409FA" w:rsidRPr="00557062" w:rsidRDefault="006409FA" w:rsidP="006409FA">
      <w:pPr>
        <w:spacing w:line="480" w:lineRule="auto"/>
        <w:ind w:firstLine="720"/>
        <w:rPr>
          <w:color w:val="000000" w:themeColor="text1"/>
        </w:rPr>
      </w:pPr>
      <w:r w:rsidRPr="00557062">
        <w:rPr>
          <w:color w:val="000000" w:themeColor="text1"/>
        </w:rPr>
        <w:t xml:space="preserve">In the following seven Scenarios, we evaluate elemental fractionation after partial melting of sources hybridized by cumulate mantle overturn. The model assumptions for these scenarios are described below and summarized in </w:t>
      </w:r>
      <w:r w:rsidRPr="006409FA">
        <w:rPr>
          <w:b/>
          <w:bCs/>
          <w:color w:val="000000" w:themeColor="text1"/>
        </w:rPr>
        <w:t>Table 2.4</w:t>
      </w:r>
      <w:r w:rsidRPr="00557062">
        <w:rPr>
          <w:color w:val="000000" w:themeColor="text1"/>
        </w:rPr>
        <w:t>. Five of the seven hybridization models focus on the effects of melting and mixing between EMOC material and a downwelling IBC layer. A sixth model considers the effect of partial melting alone (i.e., no mixing with EMOC material) on a downwelling “thickened” IBC layer that consists of mixed cumulates from the upper 100 km of the magma ocean, produced by small-scale localized sinking of the IBC precipitated from the LMO residual liquid (e.g., Hess and Parmentier, 1995; Parmentier et al., 2002; Li et al., 2019). A seventh model focuses on the effects of mixing between EMOC material and the downwelling “thickened” IBC layer comprising mixed cumulates from the upper 100 km of the magma ocean. Cartoons illustrating the model assumptions are shown in the figures summarizing the results.</w:t>
      </w:r>
    </w:p>
    <w:p w14:paraId="423D4E89" w14:textId="77777777" w:rsidR="006409FA" w:rsidRPr="00557062" w:rsidRDefault="006409FA" w:rsidP="006E67B1">
      <w:pPr>
        <w:pStyle w:val="Heading3"/>
      </w:pPr>
      <w:r w:rsidRPr="00557062">
        <w:lastRenderedPageBreak/>
        <w:t xml:space="preserve"> </w:t>
      </w:r>
      <w:bookmarkStart w:id="291" w:name="_Toc182995480"/>
      <w:bookmarkStart w:id="292" w:name="_Toc183536598"/>
      <w:bookmarkStart w:id="293" w:name="_Toc184727402"/>
      <w:bookmarkStart w:id="294" w:name="_Toc185325649"/>
      <w:r w:rsidRPr="00557062">
        <w:t>Mineralogy of the Downwelling IBC Material</w:t>
      </w:r>
      <w:bookmarkEnd w:id="291"/>
      <w:bookmarkEnd w:id="292"/>
      <w:bookmarkEnd w:id="293"/>
      <w:bookmarkEnd w:id="294"/>
    </w:p>
    <w:p w14:paraId="44FABA75" w14:textId="37B3A8BE" w:rsidR="006409FA" w:rsidRPr="00557062" w:rsidRDefault="006409FA" w:rsidP="006409FA">
      <w:pPr>
        <w:spacing w:line="480" w:lineRule="auto"/>
        <w:ind w:firstLine="720"/>
        <w:rPr>
          <w:color w:val="000000" w:themeColor="text1"/>
        </w:rPr>
      </w:pPr>
      <w:r w:rsidRPr="00557062">
        <w:rPr>
          <w:color w:val="000000" w:themeColor="text1"/>
        </w:rPr>
        <w:t>The recent work of Scholpp and Dygert (2024</w:t>
      </w:r>
      <w:r>
        <w:rPr>
          <w:color w:val="000000" w:themeColor="text1"/>
        </w:rPr>
        <w:t>a</w:t>
      </w:r>
      <w:r w:rsidRPr="00557062">
        <w:rPr>
          <w:color w:val="000000" w:themeColor="text1"/>
        </w:rPr>
        <w:t>) indicates that garnet should stabilize in late-crystallizing LMO cumulates during and after hypothesized cumulate overturn events. To test this experimental model and the effect of plagioclase floatation on the mineralogy of IBC brought to higher pressures by overturn, we ran thermodynamic models using the pMELTS algorithm (Ghiorso and Sack, 1995; Ghiorso et al., 2002). The major element composition of the IBC material was estimated using the modal mineral proportions from models in this study (</w:t>
      </w:r>
      <w:r w:rsidRPr="006409FA">
        <w:rPr>
          <w:b/>
          <w:bCs/>
          <w:color w:val="000000" w:themeColor="text1"/>
        </w:rPr>
        <w:t>Tables B1-B3</w:t>
      </w:r>
      <w:r w:rsidRPr="00557062">
        <w:rPr>
          <w:color w:val="000000" w:themeColor="text1"/>
        </w:rPr>
        <w:t>) and experimental mineral compositions from Charlier et al. (2018). We tested two IBC compositions: IBC #1, which assumes fractional crystallization of the LMO, and IBC #2, an IBC composition that was affected by late LMO cumulate mixing in the upper 100 km of the lunar mantle which occurred during LMO solidification, and before a larger-scale overturn event (</w:t>
      </w:r>
      <w:r w:rsidRPr="006409FA">
        <w:rPr>
          <w:b/>
          <w:bCs/>
          <w:color w:val="000000" w:themeColor="text1"/>
        </w:rPr>
        <w:t>Tables 2.3 and 2.5</w:t>
      </w:r>
      <w:r w:rsidRPr="00557062">
        <w:rPr>
          <w:color w:val="000000" w:themeColor="text1"/>
        </w:rPr>
        <w:t>). For each model, we set the ƒO</w:t>
      </w:r>
      <w:r w:rsidRPr="00557062">
        <w:rPr>
          <w:color w:val="000000" w:themeColor="text1"/>
          <w:vertAlign w:val="subscript"/>
        </w:rPr>
        <w:t>2</w:t>
      </w:r>
      <w:r w:rsidRPr="00557062">
        <w:rPr>
          <w:color w:val="000000" w:themeColor="text1"/>
        </w:rPr>
        <w:t xml:space="preserve"> conditions to IW and the P-T conditions to 2 GPa and 1150</w:t>
      </w:r>
      <w:r w:rsidRPr="00557062">
        <w:rPr>
          <w:color w:val="000000" w:themeColor="text1"/>
        </w:rPr>
        <w:sym w:font="Symbol" w:char="F0B0"/>
      </w:r>
      <w:r w:rsidRPr="00557062">
        <w:rPr>
          <w:color w:val="000000" w:themeColor="text1"/>
        </w:rPr>
        <w:t xml:space="preserve">C as our goals were to evaluate whether garnet would stabilize in IBC in the lunar mid mantle, and how the floatation efficiency of plagioclase might affect the abundance of garnet. </w:t>
      </w:r>
    </w:p>
    <w:p w14:paraId="310796C4" w14:textId="34B15A71" w:rsidR="00C02DBF" w:rsidRPr="00C02DBF" w:rsidRDefault="006409FA" w:rsidP="004A5EFA">
      <w:pPr>
        <w:spacing w:line="480" w:lineRule="auto"/>
        <w:ind w:firstLine="720"/>
        <w:rPr>
          <w:color w:val="000000" w:themeColor="text1"/>
        </w:rPr>
      </w:pPr>
      <w:r w:rsidRPr="00557062">
        <w:rPr>
          <w:color w:val="000000" w:themeColor="text1"/>
        </w:rPr>
        <w:t>The pMELTS models indicate that the abundance of garnet in the IBC material is highly dependent on the floatation of plagioclase during LMO solidification (</w:t>
      </w:r>
      <w:r w:rsidRPr="006409FA">
        <w:rPr>
          <w:b/>
          <w:bCs/>
          <w:color w:val="000000" w:themeColor="text1"/>
        </w:rPr>
        <w:t>Figure 2.6</w:t>
      </w:r>
      <w:r w:rsidRPr="00557062">
        <w:rPr>
          <w:color w:val="000000" w:themeColor="text1"/>
        </w:rPr>
        <w:t>). While both IBC compositions stabilize garnet under the model conditions, IBC #1 produced significantly less garnet, and the models indicate garnet would be absent from the downwelling cumulate if plagioclase floatation efficiencies were above ~95% (</w:t>
      </w:r>
      <w:r w:rsidRPr="006409FA">
        <w:rPr>
          <w:b/>
          <w:bCs/>
          <w:color w:val="000000" w:themeColor="text1"/>
        </w:rPr>
        <w:t>Figure 2.6a</w:t>
      </w:r>
      <w:r w:rsidRPr="00557062">
        <w:rPr>
          <w:color w:val="000000" w:themeColor="text1"/>
        </w:rPr>
        <w:t>).</w:t>
      </w:r>
      <w:r w:rsidR="00C02DBF">
        <w:rPr>
          <w:b/>
          <w:bCs/>
        </w:rPr>
        <w:br w:type="page"/>
      </w:r>
    </w:p>
    <w:p w14:paraId="4EFDDA98" w14:textId="03716A4C" w:rsidR="004F0473" w:rsidRPr="00557062" w:rsidRDefault="004F0473" w:rsidP="004F0473">
      <w:pPr>
        <w:pStyle w:val="Tables"/>
      </w:pPr>
      <w:bookmarkStart w:id="295" w:name="_Toc185263595"/>
      <w:r w:rsidRPr="004F0473">
        <w:rPr>
          <w:b/>
          <w:bCs/>
        </w:rPr>
        <w:lastRenderedPageBreak/>
        <w:t>Table 2.5.</w:t>
      </w:r>
      <w:r w:rsidRPr="00557062">
        <w:t xml:space="preserve"> Estimated major element compositions of IBC material for plagioclase floatation efficiencies of 80%, 90%, and 98%.</w:t>
      </w:r>
      <w:bookmarkEnd w:id="295"/>
      <w:r w:rsidRPr="00557062">
        <w:t xml:space="preserve"> </w:t>
      </w:r>
    </w:p>
    <w:tbl>
      <w:tblPr>
        <w:tblW w:w="7100" w:type="dxa"/>
        <w:tblLook w:val="04A0" w:firstRow="1" w:lastRow="0" w:firstColumn="1" w:lastColumn="0" w:noHBand="0" w:noVBand="1"/>
      </w:tblPr>
      <w:tblGrid>
        <w:gridCol w:w="1460"/>
        <w:gridCol w:w="940"/>
        <w:gridCol w:w="940"/>
        <w:gridCol w:w="940"/>
        <w:gridCol w:w="940"/>
        <w:gridCol w:w="940"/>
        <w:gridCol w:w="940"/>
      </w:tblGrid>
      <w:tr w:rsidR="004F0473" w:rsidRPr="00C6170B" w14:paraId="768A61BF" w14:textId="77777777" w:rsidTr="00381517">
        <w:trPr>
          <w:trHeight w:val="340"/>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B7D2AE" w14:textId="77777777" w:rsidR="004F0473" w:rsidRPr="00C6170B" w:rsidRDefault="004F0473" w:rsidP="00381517">
            <w:pPr>
              <w:jc w:val="center"/>
              <w:rPr>
                <w:color w:val="000000" w:themeColor="text1"/>
              </w:rPr>
            </w:pPr>
            <w:r w:rsidRPr="00C6170B">
              <w:rPr>
                <w:color w:val="000000" w:themeColor="text1"/>
              </w:rPr>
              <w:t> </w:t>
            </w:r>
          </w:p>
        </w:tc>
        <w:tc>
          <w:tcPr>
            <w:tcW w:w="2820" w:type="dxa"/>
            <w:gridSpan w:val="3"/>
            <w:tcBorders>
              <w:top w:val="single" w:sz="4" w:space="0" w:color="auto"/>
              <w:left w:val="nil"/>
              <w:bottom w:val="single" w:sz="4" w:space="0" w:color="auto"/>
              <w:right w:val="single" w:sz="4" w:space="0" w:color="auto"/>
            </w:tcBorders>
            <w:shd w:val="clear" w:color="auto" w:fill="auto"/>
            <w:vAlign w:val="center"/>
            <w:hideMark/>
          </w:tcPr>
          <w:p w14:paraId="561A58C4" w14:textId="77777777" w:rsidR="004F0473" w:rsidRPr="00C6170B" w:rsidRDefault="004F0473" w:rsidP="00381517">
            <w:pPr>
              <w:jc w:val="center"/>
              <w:rPr>
                <w:color w:val="000000" w:themeColor="text1"/>
              </w:rPr>
            </w:pPr>
            <w:r w:rsidRPr="00C6170B">
              <w:rPr>
                <w:color w:val="000000" w:themeColor="text1"/>
              </w:rPr>
              <w:t>IBC #1</w:t>
            </w:r>
          </w:p>
        </w:tc>
        <w:tc>
          <w:tcPr>
            <w:tcW w:w="2820" w:type="dxa"/>
            <w:gridSpan w:val="3"/>
            <w:tcBorders>
              <w:top w:val="single" w:sz="4" w:space="0" w:color="auto"/>
              <w:left w:val="nil"/>
              <w:bottom w:val="single" w:sz="4" w:space="0" w:color="auto"/>
              <w:right w:val="single" w:sz="4" w:space="0" w:color="auto"/>
            </w:tcBorders>
            <w:shd w:val="clear" w:color="auto" w:fill="auto"/>
            <w:vAlign w:val="center"/>
            <w:hideMark/>
          </w:tcPr>
          <w:p w14:paraId="4BCC4546" w14:textId="77777777" w:rsidR="004F0473" w:rsidRPr="00C6170B" w:rsidRDefault="004F0473" w:rsidP="00381517">
            <w:pPr>
              <w:jc w:val="center"/>
              <w:rPr>
                <w:color w:val="000000" w:themeColor="text1"/>
              </w:rPr>
            </w:pPr>
            <w:r w:rsidRPr="00C6170B">
              <w:rPr>
                <w:color w:val="000000" w:themeColor="text1"/>
              </w:rPr>
              <w:t>IBC #2</w:t>
            </w:r>
          </w:p>
        </w:tc>
      </w:tr>
      <w:tr w:rsidR="004F0473" w:rsidRPr="00C6170B" w14:paraId="11903791" w14:textId="77777777" w:rsidTr="00381517">
        <w:trPr>
          <w:trHeight w:val="680"/>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35D4DBFE" w14:textId="77777777" w:rsidR="004F0473" w:rsidRPr="00C6170B" w:rsidRDefault="004F0473" w:rsidP="00381517">
            <w:pPr>
              <w:jc w:val="center"/>
              <w:rPr>
                <w:color w:val="000000" w:themeColor="text1"/>
              </w:rPr>
            </w:pPr>
            <w:r w:rsidRPr="00C6170B">
              <w:rPr>
                <w:color w:val="000000" w:themeColor="text1"/>
              </w:rPr>
              <w:t>Floatation Efficiency</w:t>
            </w:r>
          </w:p>
        </w:tc>
        <w:tc>
          <w:tcPr>
            <w:tcW w:w="940" w:type="dxa"/>
            <w:tcBorders>
              <w:top w:val="nil"/>
              <w:left w:val="nil"/>
              <w:bottom w:val="single" w:sz="4" w:space="0" w:color="auto"/>
              <w:right w:val="single" w:sz="4" w:space="0" w:color="auto"/>
            </w:tcBorders>
            <w:shd w:val="clear" w:color="auto" w:fill="auto"/>
            <w:noWrap/>
            <w:vAlign w:val="center"/>
            <w:hideMark/>
          </w:tcPr>
          <w:p w14:paraId="42085FA3" w14:textId="77777777" w:rsidR="004F0473" w:rsidRPr="00C6170B" w:rsidRDefault="004F0473" w:rsidP="00381517">
            <w:pPr>
              <w:jc w:val="center"/>
              <w:rPr>
                <w:color w:val="000000" w:themeColor="text1"/>
              </w:rPr>
            </w:pPr>
            <w:r w:rsidRPr="00C6170B">
              <w:rPr>
                <w:color w:val="000000" w:themeColor="text1"/>
              </w:rPr>
              <w:t>80%</w:t>
            </w:r>
          </w:p>
        </w:tc>
        <w:tc>
          <w:tcPr>
            <w:tcW w:w="940" w:type="dxa"/>
            <w:tcBorders>
              <w:top w:val="nil"/>
              <w:left w:val="nil"/>
              <w:bottom w:val="single" w:sz="4" w:space="0" w:color="auto"/>
              <w:right w:val="single" w:sz="4" w:space="0" w:color="auto"/>
            </w:tcBorders>
            <w:shd w:val="clear" w:color="auto" w:fill="auto"/>
            <w:noWrap/>
            <w:vAlign w:val="center"/>
            <w:hideMark/>
          </w:tcPr>
          <w:p w14:paraId="5649CB2D" w14:textId="77777777" w:rsidR="004F0473" w:rsidRPr="00C6170B" w:rsidRDefault="004F0473" w:rsidP="00381517">
            <w:pPr>
              <w:jc w:val="center"/>
              <w:rPr>
                <w:color w:val="000000" w:themeColor="text1"/>
              </w:rPr>
            </w:pPr>
            <w:r w:rsidRPr="00C6170B">
              <w:rPr>
                <w:color w:val="000000" w:themeColor="text1"/>
              </w:rPr>
              <w:t>90%</w:t>
            </w:r>
          </w:p>
        </w:tc>
        <w:tc>
          <w:tcPr>
            <w:tcW w:w="940" w:type="dxa"/>
            <w:tcBorders>
              <w:top w:val="nil"/>
              <w:left w:val="nil"/>
              <w:bottom w:val="single" w:sz="4" w:space="0" w:color="auto"/>
              <w:right w:val="single" w:sz="4" w:space="0" w:color="auto"/>
            </w:tcBorders>
            <w:shd w:val="clear" w:color="auto" w:fill="auto"/>
            <w:noWrap/>
            <w:vAlign w:val="center"/>
            <w:hideMark/>
          </w:tcPr>
          <w:p w14:paraId="68046AD1" w14:textId="77777777" w:rsidR="004F0473" w:rsidRPr="00C6170B" w:rsidRDefault="004F0473" w:rsidP="00381517">
            <w:pPr>
              <w:jc w:val="center"/>
              <w:rPr>
                <w:color w:val="000000" w:themeColor="text1"/>
              </w:rPr>
            </w:pPr>
            <w:r w:rsidRPr="00C6170B">
              <w:rPr>
                <w:color w:val="000000" w:themeColor="text1"/>
              </w:rPr>
              <w:t>98%</w:t>
            </w:r>
          </w:p>
        </w:tc>
        <w:tc>
          <w:tcPr>
            <w:tcW w:w="940" w:type="dxa"/>
            <w:tcBorders>
              <w:top w:val="nil"/>
              <w:left w:val="nil"/>
              <w:bottom w:val="single" w:sz="4" w:space="0" w:color="auto"/>
              <w:right w:val="single" w:sz="4" w:space="0" w:color="auto"/>
            </w:tcBorders>
            <w:shd w:val="clear" w:color="auto" w:fill="auto"/>
            <w:noWrap/>
            <w:vAlign w:val="center"/>
            <w:hideMark/>
          </w:tcPr>
          <w:p w14:paraId="0C82BC3B" w14:textId="77777777" w:rsidR="004F0473" w:rsidRPr="00C6170B" w:rsidRDefault="004F0473" w:rsidP="00381517">
            <w:pPr>
              <w:jc w:val="center"/>
              <w:rPr>
                <w:color w:val="000000" w:themeColor="text1"/>
              </w:rPr>
            </w:pPr>
            <w:r w:rsidRPr="00C6170B">
              <w:rPr>
                <w:color w:val="000000" w:themeColor="text1"/>
              </w:rPr>
              <w:t>80%</w:t>
            </w:r>
          </w:p>
        </w:tc>
        <w:tc>
          <w:tcPr>
            <w:tcW w:w="940" w:type="dxa"/>
            <w:tcBorders>
              <w:top w:val="nil"/>
              <w:left w:val="nil"/>
              <w:bottom w:val="single" w:sz="4" w:space="0" w:color="auto"/>
              <w:right w:val="single" w:sz="4" w:space="0" w:color="auto"/>
            </w:tcBorders>
            <w:shd w:val="clear" w:color="auto" w:fill="auto"/>
            <w:noWrap/>
            <w:vAlign w:val="center"/>
            <w:hideMark/>
          </w:tcPr>
          <w:p w14:paraId="0E7BD0EB" w14:textId="77777777" w:rsidR="004F0473" w:rsidRPr="00C6170B" w:rsidRDefault="004F0473" w:rsidP="00381517">
            <w:pPr>
              <w:jc w:val="center"/>
              <w:rPr>
                <w:color w:val="000000" w:themeColor="text1"/>
              </w:rPr>
            </w:pPr>
            <w:r w:rsidRPr="00C6170B">
              <w:rPr>
                <w:color w:val="000000" w:themeColor="text1"/>
              </w:rPr>
              <w:t>90%</w:t>
            </w:r>
          </w:p>
        </w:tc>
        <w:tc>
          <w:tcPr>
            <w:tcW w:w="940" w:type="dxa"/>
            <w:tcBorders>
              <w:top w:val="nil"/>
              <w:left w:val="nil"/>
              <w:bottom w:val="single" w:sz="4" w:space="0" w:color="auto"/>
              <w:right w:val="single" w:sz="4" w:space="0" w:color="auto"/>
            </w:tcBorders>
            <w:shd w:val="clear" w:color="auto" w:fill="auto"/>
            <w:noWrap/>
            <w:vAlign w:val="center"/>
            <w:hideMark/>
          </w:tcPr>
          <w:p w14:paraId="3F0A84AA" w14:textId="77777777" w:rsidR="004F0473" w:rsidRPr="00C6170B" w:rsidRDefault="004F0473" w:rsidP="00381517">
            <w:pPr>
              <w:jc w:val="center"/>
              <w:rPr>
                <w:color w:val="000000" w:themeColor="text1"/>
              </w:rPr>
            </w:pPr>
            <w:r w:rsidRPr="00C6170B">
              <w:rPr>
                <w:color w:val="000000" w:themeColor="text1"/>
              </w:rPr>
              <w:t>98%</w:t>
            </w:r>
          </w:p>
        </w:tc>
      </w:tr>
      <w:tr w:rsidR="004F0473" w:rsidRPr="00C6170B" w14:paraId="43B9CAE9" w14:textId="77777777" w:rsidTr="00381517">
        <w:trPr>
          <w:trHeight w:val="32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64B065ED" w14:textId="77777777" w:rsidR="004F0473" w:rsidRPr="00C6170B" w:rsidRDefault="004F0473" w:rsidP="00381517">
            <w:pPr>
              <w:jc w:val="center"/>
              <w:rPr>
                <w:color w:val="000000" w:themeColor="text1"/>
              </w:rPr>
            </w:pPr>
            <w:r w:rsidRPr="00C6170B">
              <w:rPr>
                <w:color w:val="000000" w:themeColor="text1"/>
              </w:rPr>
              <w:t>(wt%)</w:t>
            </w:r>
          </w:p>
        </w:tc>
        <w:tc>
          <w:tcPr>
            <w:tcW w:w="940" w:type="dxa"/>
            <w:tcBorders>
              <w:top w:val="nil"/>
              <w:left w:val="nil"/>
              <w:bottom w:val="single" w:sz="4" w:space="0" w:color="auto"/>
              <w:right w:val="single" w:sz="4" w:space="0" w:color="auto"/>
            </w:tcBorders>
            <w:shd w:val="clear" w:color="auto" w:fill="auto"/>
            <w:noWrap/>
            <w:vAlign w:val="center"/>
            <w:hideMark/>
          </w:tcPr>
          <w:p w14:paraId="5E433466" w14:textId="77777777" w:rsidR="004F0473" w:rsidRPr="00C6170B" w:rsidRDefault="004F0473" w:rsidP="00381517">
            <w:pPr>
              <w:jc w:val="center"/>
              <w:rPr>
                <w:color w:val="000000" w:themeColor="text1"/>
              </w:rPr>
            </w:pPr>
            <w:r w:rsidRPr="00C6170B">
              <w:rPr>
                <w:color w:val="000000" w:themeColor="text1"/>
              </w:rPr>
              <w:t> </w:t>
            </w:r>
          </w:p>
        </w:tc>
        <w:tc>
          <w:tcPr>
            <w:tcW w:w="940" w:type="dxa"/>
            <w:tcBorders>
              <w:top w:val="nil"/>
              <w:left w:val="nil"/>
              <w:bottom w:val="single" w:sz="4" w:space="0" w:color="auto"/>
              <w:right w:val="single" w:sz="4" w:space="0" w:color="auto"/>
            </w:tcBorders>
            <w:shd w:val="clear" w:color="auto" w:fill="auto"/>
            <w:noWrap/>
            <w:vAlign w:val="center"/>
            <w:hideMark/>
          </w:tcPr>
          <w:p w14:paraId="533E1E32" w14:textId="77777777" w:rsidR="004F0473" w:rsidRPr="00C6170B" w:rsidRDefault="004F0473" w:rsidP="00381517">
            <w:pPr>
              <w:jc w:val="center"/>
              <w:rPr>
                <w:color w:val="000000" w:themeColor="text1"/>
              </w:rPr>
            </w:pPr>
            <w:r w:rsidRPr="00C6170B">
              <w:rPr>
                <w:color w:val="000000" w:themeColor="text1"/>
              </w:rPr>
              <w:t> </w:t>
            </w:r>
          </w:p>
        </w:tc>
        <w:tc>
          <w:tcPr>
            <w:tcW w:w="940" w:type="dxa"/>
            <w:tcBorders>
              <w:top w:val="nil"/>
              <w:left w:val="nil"/>
              <w:bottom w:val="single" w:sz="4" w:space="0" w:color="auto"/>
              <w:right w:val="single" w:sz="4" w:space="0" w:color="auto"/>
            </w:tcBorders>
            <w:shd w:val="clear" w:color="auto" w:fill="auto"/>
            <w:noWrap/>
            <w:vAlign w:val="center"/>
            <w:hideMark/>
          </w:tcPr>
          <w:p w14:paraId="111948A5" w14:textId="77777777" w:rsidR="004F0473" w:rsidRPr="00C6170B" w:rsidRDefault="004F0473" w:rsidP="00381517">
            <w:pPr>
              <w:jc w:val="center"/>
              <w:rPr>
                <w:color w:val="000000" w:themeColor="text1"/>
              </w:rPr>
            </w:pPr>
            <w:r w:rsidRPr="00C6170B">
              <w:rPr>
                <w:color w:val="000000" w:themeColor="text1"/>
              </w:rPr>
              <w:t> </w:t>
            </w:r>
          </w:p>
        </w:tc>
        <w:tc>
          <w:tcPr>
            <w:tcW w:w="940" w:type="dxa"/>
            <w:tcBorders>
              <w:top w:val="nil"/>
              <w:left w:val="nil"/>
              <w:bottom w:val="single" w:sz="4" w:space="0" w:color="auto"/>
              <w:right w:val="single" w:sz="4" w:space="0" w:color="auto"/>
            </w:tcBorders>
            <w:shd w:val="clear" w:color="auto" w:fill="auto"/>
            <w:noWrap/>
            <w:vAlign w:val="center"/>
            <w:hideMark/>
          </w:tcPr>
          <w:p w14:paraId="1204ABAD" w14:textId="77777777" w:rsidR="004F0473" w:rsidRPr="00C6170B" w:rsidRDefault="004F0473" w:rsidP="00381517">
            <w:pPr>
              <w:jc w:val="center"/>
              <w:rPr>
                <w:color w:val="000000" w:themeColor="text1"/>
              </w:rPr>
            </w:pPr>
            <w:r w:rsidRPr="00C6170B">
              <w:rPr>
                <w:color w:val="000000" w:themeColor="text1"/>
              </w:rPr>
              <w:t> </w:t>
            </w:r>
          </w:p>
        </w:tc>
        <w:tc>
          <w:tcPr>
            <w:tcW w:w="940" w:type="dxa"/>
            <w:tcBorders>
              <w:top w:val="nil"/>
              <w:left w:val="nil"/>
              <w:bottom w:val="single" w:sz="4" w:space="0" w:color="auto"/>
              <w:right w:val="single" w:sz="4" w:space="0" w:color="auto"/>
            </w:tcBorders>
            <w:shd w:val="clear" w:color="auto" w:fill="auto"/>
            <w:noWrap/>
            <w:vAlign w:val="center"/>
            <w:hideMark/>
          </w:tcPr>
          <w:p w14:paraId="583AB522" w14:textId="77777777" w:rsidR="004F0473" w:rsidRPr="00C6170B" w:rsidRDefault="004F0473" w:rsidP="00381517">
            <w:pPr>
              <w:jc w:val="center"/>
              <w:rPr>
                <w:color w:val="000000" w:themeColor="text1"/>
              </w:rPr>
            </w:pPr>
            <w:r w:rsidRPr="00C6170B">
              <w:rPr>
                <w:color w:val="000000" w:themeColor="text1"/>
              </w:rPr>
              <w:t> </w:t>
            </w:r>
          </w:p>
        </w:tc>
        <w:tc>
          <w:tcPr>
            <w:tcW w:w="940" w:type="dxa"/>
            <w:tcBorders>
              <w:top w:val="nil"/>
              <w:left w:val="nil"/>
              <w:bottom w:val="single" w:sz="4" w:space="0" w:color="auto"/>
              <w:right w:val="single" w:sz="4" w:space="0" w:color="auto"/>
            </w:tcBorders>
            <w:shd w:val="clear" w:color="auto" w:fill="auto"/>
            <w:noWrap/>
            <w:vAlign w:val="center"/>
            <w:hideMark/>
          </w:tcPr>
          <w:p w14:paraId="5F43B669" w14:textId="77777777" w:rsidR="004F0473" w:rsidRPr="00C6170B" w:rsidRDefault="004F0473" w:rsidP="00381517">
            <w:pPr>
              <w:jc w:val="center"/>
              <w:rPr>
                <w:color w:val="000000" w:themeColor="text1"/>
              </w:rPr>
            </w:pPr>
            <w:r w:rsidRPr="00C6170B">
              <w:rPr>
                <w:color w:val="000000" w:themeColor="text1"/>
              </w:rPr>
              <w:t> </w:t>
            </w:r>
          </w:p>
        </w:tc>
      </w:tr>
      <w:tr w:rsidR="004F0473" w:rsidRPr="00C6170B" w14:paraId="6B58440B" w14:textId="77777777" w:rsidTr="00381517">
        <w:trPr>
          <w:trHeight w:val="36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49AA34A5" w14:textId="77777777" w:rsidR="004F0473" w:rsidRPr="00C6170B" w:rsidRDefault="004F0473" w:rsidP="00381517">
            <w:pPr>
              <w:jc w:val="center"/>
              <w:rPr>
                <w:color w:val="000000" w:themeColor="text1"/>
              </w:rPr>
            </w:pPr>
            <w:r w:rsidRPr="00C6170B">
              <w:rPr>
                <w:color w:val="000000" w:themeColor="text1"/>
              </w:rPr>
              <w:t>SiO</w:t>
            </w:r>
            <w:r w:rsidRPr="00C6170B">
              <w:rPr>
                <w:color w:val="000000" w:themeColor="text1"/>
                <w:vertAlign w:val="subscript"/>
              </w:rPr>
              <w:t>2</w:t>
            </w:r>
          </w:p>
        </w:tc>
        <w:tc>
          <w:tcPr>
            <w:tcW w:w="940" w:type="dxa"/>
            <w:tcBorders>
              <w:top w:val="nil"/>
              <w:left w:val="nil"/>
              <w:bottom w:val="single" w:sz="4" w:space="0" w:color="auto"/>
              <w:right w:val="single" w:sz="4" w:space="0" w:color="auto"/>
            </w:tcBorders>
            <w:shd w:val="clear" w:color="auto" w:fill="auto"/>
            <w:noWrap/>
            <w:vAlign w:val="center"/>
            <w:hideMark/>
          </w:tcPr>
          <w:p w14:paraId="21B27C47" w14:textId="77777777" w:rsidR="004F0473" w:rsidRPr="00C6170B" w:rsidRDefault="004F0473" w:rsidP="00381517">
            <w:pPr>
              <w:jc w:val="center"/>
              <w:rPr>
                <w:color w:val="000000" w:themeColor="text1"/>
              </w:rPr>
            </w:pPr>
            <w:r w:rsidRPr="00C6170B">
              <w:rPr>
                <w:color w:val="000000" w:themeColor="text1"/>
              </w:rPr>
              <w:t>31.24</w:t>
            </w:r>
          </w:p>
        </w:tc>
        <w:tc>
          <w:tcPr>
            <w:tcW w:w="940" w:type="dxa"/>
            <w:tcBorders>
              <w:top w:val="nil"/>
              <w:left w:val="nil"/>
              <w:bottom w:val="single" w:sz="4" w:space="0" w:color="auto"/>
              <w:right w:val="single" w:sz="4" w:space="0" w:color="auto"/>
            </w:tcBorders>
            <w:shd w:val="clear" w:color="auto" w:fill="auto"/>
            <w:noWrap/>
            <w:vAlign w:val="center"/>
            <w:hideMark/>
          </w:tcPr>
          <w:p w14:paraId="57567D91" w14:textId="77777777" w:rsidR="004F0473" w:rsidRPr="00C6170B" w:rsidRDefault="004F0473" w:rsidP="00381517">
            <w:pPr>
              <w:jc w:val="center"/>
              <w:rPr>
                <w:color w:val="000000" w:themeColor="text1"/>
              </w:rPr>
            </w:pPr>
            <w:r w:rsidRPr="00C6170B">
              <w:rPr>
                <w:color w:val="000000" w:themeColor="text1"/>
              </w:rPr>
              <w:t>29.55</w:t>
            </w:r>
          </w:p>
        </w:tc>
        <w:tc>
          <w:tcPr>
            <w:tcW w:w="940" w:type="dxa"/>
            <w:tcBorders>
              <w:top w:val="nil"/>
              <w:left w:val="nil"/>
              <w:bottom w:val="single" w:sz="4" w:space="0" w:color="auto"/>
              <w:right w:val="single" w:sz="4" w:space="0" w:color="auto"/>
            </w:tcBorders>
            <w:shd w:val="clear" w:color="auto" w:fill="auto"/>
            <w:noWrap/>
            <w:vAlign w:val="center"/>
            <w:hideMark/>
          </w:tcPr>
          <w:p w14:paraId="2C1C1259" w14:textId="77777777" w:rsidR="004F0473" w:rsidRPr="00C6170B" w:rsidRDefault="004F0473" w:rsidP="00381517">
            <w:pPr>
              <w:jc w:val="center"/>
              <w:rPr>
                <w:color w:val="000000" w:themeColor="text1"/>
              </w:rPr>
            </w:pPr>
            <w:r w:rsidRPr="00C6170B">
              <w:rPr>
                <w:color w:val="000000" w:themeColor="text1"/>
              </w:rPr>
              <w:t>27.87</w:t>
            </w:r>
          </w:p>
        </w:tc>
        <w:tc>
          <w:tcPr>
            <w:tcW w:w="940" w:type="dxa"/>
            <w:tcBorders>
              <w:top w:val="nil"/>
              <w:left w:val="nil"/>
              <w:bottom w:val="single" w:sz="4" w:space="0" w:color="auto"/>
              <w:right w:val="single" w:sz="4" w:space="0" w:color="auto"/>
            </w:tcBorders>
            <w:shd w:val="clear" w:color="auto" w:fill="auto"/>
            <w:noWrap/>
            <w:vAlign w:val="center"/>
            <w:hideMark/>
          </w:tcPr>
          <w:p w14:paraId="4BF89EAC" w14:textId="77777777" w:rsidR="004F0473" w:rsidRPr="00C6170B" w:rsidRDefault="004F0473" w:rsidP="00381517">
            <w:pPr>
              <w:jc w:val="center"/>
              <w:rPr>
                <w:color w:val="000000" w:themeColor="text1"/>
              </w:rPr>
            </w:pPr>
            <w:r w:rsidRPr="00C6170B">
              <w:rPr>
                <w:color w:val="000000" w:themeColor="text1"/>
              </w:rPr>
              <w:t>48.37</w:t>
            </w:r>
          </w:p>
        </w:tc>
        <w:tc>
          <w:tcPr>
            <w:tcW w:w="940" w:type="dxa"/>
            <w:tcBorders>
              <w:top w:val="nil"/>
              <w:left w:val="nil"/>
              <w:bottom w:val="single" w:sz="4" w:space="0" w:color="auto"/>
              <w:right w:val="single" w:sz="4" w:space="0" w:color="auto"/>
            </w:tcBorders>
            <w:shd w:val="clear" w:color="auto" w:fill="auto"/>
            <w:noWrap/>
            <w:vAlign w:val="center"/>
            <w:hideMark/>
          </w:tcPr>
          <w:p w14:paraId="1BEC0B1F" w14:textId="77777777" w:rsidR="004F0473" w:rsidRPr="00C6170B" w:rsidRDefault="004F0473" w:rsidP="00381517">
            <w:pPr>
              <w:jc w:val="center"/>
              <w:rPr>
                <w:color w:val="000000" w:themeColor="text1"/>
              </w:rPr>
            </w:pPr>
            <w:r w:rsidRPr="00C6170B">
              <w:rPr>
                <w:color w:val="000000" w:themeColor="text1"/>
              </w:rPr>
              <w:t>48.46</w:t>
            </w:r>
          </w:p>
        </w:tc>
        <w:tc>
          <w:tcPr>
            <w:tcW w:w="940" w:type="dxa"/>
            <w:tcBorders>
              <w:top w:val="nil"/>
              <w:left w:val="nil"/>
              <w:bottom w:val="single" w:sz="4" w:space="0" w:color="auto"/>
              <w:right w:val="single" w:sz="4" w:space="0" w:color="auto"/>
            </w:tcBorders>
            <w:shd w:val="clear" w:color="auto" w:fill="auto"/>
            <w:noWrap/>
            <w:vAlign w:val="center"/>
            <w:hideMark/>
          </w:tcPr>
          <w:p w14:paraId="4973678C" w14:textId="77777777" w:rsidR="004F0473" w:rsidRPr="00C6170B" w:rsidRDefault="004F0473" w:rsidP="00381517">
            <w:pPr>
              <w:jc w:val="center"/>
              <w:rPr>
                <w:color w:val="000000" w:themeColor="text1"/>
              </w:rPr>
            </w:pPr>
            <w:r w:rsidRPr="00C6170B">
              <w:rPr>
                <w:color w:val="000000" w:themeColor="text1"/>
              </w:rPr>
              <w:t>48.54</w:t>
            </w:r>
          </w:p>
        </w:tc>
      </w:tr>
      <w:tr w:rsidR="004F0473" w:rsidRPr="00C6170B" w14:paraId="3D90EC6C" w14:textId="77777777" w:rsidTr="00381517">
        <w:trPr>
          <w:trHeight w:val="36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34374033" w14:textId="77777777" w:rsidR="004F0473" w:rsidRPr="00C6170B" w:rsidRDefault="004F0473" w:rsidP="00381517">
            <w:pPr>
              <w:jc w:val="center"/>
              <w:rPr>
                <w:color w:val="000000" w:themeColor="text1"/>
              </w:rPr>
            </w:pPr>
            <w:r w:rsidRPr="00C6170B">
              <w:rPr>
                <w:color w:val="000000" w:themeColor="text1"/>
              </w:rPr>
              <w:t>TiO</w:t>
            </w:r>
            <w:r w:rsidRPr="00C6170B">
              <w:rPr>
                <w:color w:val="000000" w:themeColor="text1"/>
                <w:vertAlign w:val="subscript"/>
              </w:rPr>
              <w:t>2</w:t>
            </w:r>
          </w:p>
        </w:tc>
        <w:tc>
          <w:tcPr>
            <w:tcW w:w="940" w:type="dxa"/>
            <w:tcBorders>
              <w:top w:val="nil"/>
              <w:left w:val="nil"/>
              <w:bottom w:val="single" w:sz="4" w:space="0" w:color="auto"/>
              <w:right w:val="single" w:sz="4" w:space="0" w:color="auto"/>
            </w:tcBorders>
            <w:shd w:val="clear" w:color="auto" w:fill="auto"/>
            <w:noWrap/>
            <w:vAlign w:val="center"/>
            <w:hideMark/>
          </w:tcPr>
          <w:p w14:paraId="46A6B513" w14:textId="77777777" w:rsidR="004F0473" w:rsidRPr="00C6170B" w:rsidRDefault="004F0473" w:rsidP="00381517">
            <w:pPr>
              <w:jc w:val="center"/>
              <w:rPr>
                <w:color w:val="000000" w:themeColor="text1"/>
              </w:rPr>
            </w:pPr>
            <w:r w:rsidRPr="00C6170B">
              <w:rPr>
                <w:color w:val="000000" w:themeColor="text1"/>
              </w:rPr>
              <w:t>13.02</w:t>
            </w:r>
          </w:p>
        </w:tc>
        <w:tc>
          <w:tcPr>
            <w:tcW w:w="940" w:type="dxa"/>
            <w:tcBorders>
              <w:top w:val="nil"/>
              <w:left w:val="nil"/>
              <w:bottom w:val="single" w:sz="4" w:space="0" w:color="auto"/>
              <w:right w:val="single" w:sz="4" w:space="0" w:color="auto"/>
            </w:tcBorders>
            <w:shd w:val="clear" w:color="auto" w:fill="auto"/>
            <w:noWrap/>
            <w:vAlign w:val="center"/>
            <w:hideMark/>
          </w:tcPr>
          <w:p w14:paraId="047D7DDC" w14:textId="77777777" w:rsidR="004F0473" w:rsidRPr="00C6170B" w:rsidRDefault="004F0473" w:rsidP="00381517">
            <w:pPr>
              <w:jc w:val="center"/>
              <w:rPr>
                <w:color w:val="000000" w:themeColor="text1"/>
              </w:rPr>
            </w:pPr>
            <w:r w:rsidRPr="00C6170B">
              <w:rPr>
                <w:color w:val="000000" w:themeColor="text1"/>
              </w:rPr>
              <w:t>14.09</w:t>
            </w:r>
          </w:p>
        </w:tc>
        <w:tc>
          <w:tcPr>
            <w:tcW w:w="940" w:type="dxa"/>
            <w:tcBorders>
              <w:top w:val="nil"/>
              <w:left w:val="nil"/>
              <w:bottom w:val="single" w:sz="4" w:space="0" w:color="auto"/>
              <w:right w:val="single" w:sz="4" w:space="0" w:color="auto"/>
            </w:tcBorders>
            <w:shd w:val="clear" w:color="auto" w:fill="auto"/>
            <w:noWrap/>
            <w:vAlign w:val="center"/>
            <w:hideMark/>
          </w:tcPr>
          <w:p w14:paraId="5D52203C" w14:textId="77777777" w:rsidR="004F0473" w:rsidRPr="00C6170B" w:rsidRDefault="004F0473" w:rsidP="00381517">
            <w:pPr>
              <w:jc w:val="center"/>
              <w:rPr>
                <w:color w:val="000000" w:themeColor="text1"/>
              </w:rPr>
            </w:pPr>
            <w:r w:rsidRPr="00C6170B">
              <w:rPr>
                <w:color w:val="000000" w:themeColor="text1"/>
              </w:rPr>
              <w:t>15.08</w:t>
            </w:r>
          </w:p>
        </w:tc>
        <w:tc>
          <w:tcPr>
            <w:tcW w:w="940" w:type="dxa"/>
            <w:tcBorders>
              <w:top w:val="nil"/>
              <w:left w:val="nil"/>
              <w:bottom w:val="single" w:sz="4" w:space="0" w:color="auto"/>
              <w:right w:val="single" w:sz="4" w:space="0" w:color="auto"/>
            </w:tcBorders>
            <w:shd w:val="clear" w:color="auto" w:fill="auto"/>
            <w:noWrap/>
            <w:vAlign w:val="center"/>
            <w:hideMark/>
          </w:tcPr>
          <w:p w14:paraId="32AB8A4B" w14:textId="77777777" w:rsidR="004F0473" w:rsidRPr="00C6170B" w:rsidRDefault="004F0473" w:rsidP="00381517">
            <w:pPr>
              <w:jc w:val="center"/>
              <w:rPr>
                <w:color w:val="000000" w:themeColor="text1"/>
              </w:rPr>
            </w:pPr>
            <w:r w:rsidRPr="00C6170B">
              <w:rPr>
                <w:color w:val="000000" w:themeColor="text1"/>
              </w:rPr>
              <w:t>1.83</w:t>
            </w:r>
          </w:p>
        </w:tc>
        <w:tc>
          <w:tcPr>
            <w:tcW w:w="940" w:type="dxa"/>
            <w:tcBorders>
              <w:top w:val="nil"/>
              <w:left w:val="nil"/>
              <w:bottom w:val="single" w:sz="4" w:space="0" w:color="auto"/>
              <w:right w:val="single" w:sz="4" w:space="0" w:color="auto"/>
            </w:tcBorders>
            <w:shd w:val="clear" w:color="auto" w:fill="auto"/>
            <w:noWrap/>
            <w:vAlign w:val="center"/>
            <w:hideMark/>
          </w:tcPr>
          <w:p w14:paraId="79E539AE" w14:textId="77777777" w:rsidR="004F0473" w:rsidRPr="00C6170B" w:rsidRDefault="004F0473" w:rsidP="00381517">
            <w:pPr>
              <w:jc w:val="center"/>
              <w:rPr>
                <w:color w:val="000000" w:themeColor="text1"/>
              </w:rPr>
            </w:pPr>
            <w:r w:rsidRPr="00C6170B">
              <w:rPr>
                <w:color w:val="000000" w:themeColor="text1"/>
              </w:rPr>
              <w:t>1.99</w:t>
            </w:r>
          </w:p>
        </w:tc>
        <w:tc>
          <w:tcPr>
            <w:tcW w:w="940" w:type="dxa"/>
            <w:tcBorders>
              <w:top w:val="nil"/>
              <w:left w:val="nil"/>
              <w:bottom w:val="single" w:sz="4" w:space="0" w:color="auto"/>
              <w:right w:val="single" w:sz="4" w:space="0" w:color="auto"/>
            </w:tcBorders>
            <w:shd w:val="clear" w:color="auto" w:fill="auto"/>
            <w:noWrap/>
            <w:vAlign w:val="center"/>
            <w:hideMark/>
          </w:tcPr>
          <w:p w14:paraId="69E2D1A1" w14:textId="77777777" w:rsidR="004F0473" w:rsidRPr="00C6170B" w:rsidRDefault="004F0473" w:rsidP="00381517">
            <w:pPr>
              <w:jc w:val="center"/>
              <w:rPr>
                <w:color w:val="000000" w:themeColor="text1"/>
              </w:rPr>
            </w:pPr>
            <w:r w:rsidRPr="00C6170B">
              <w:rPr>
                <w:color w:val="000000" w:themeColor="text1"/>
              </w:rPr>
              <w:t>2.14</w:t>
            </w:r>
          </w:p>
        </w:tc>
      </w:tr>
      <w:tr w:rsidR="004F0473" w:rsidRPr="00C6170B" w14:paraId="42A82D27" w14:textId="77777777" w:rsidTr="00381517">
        <w:trPr>
          <w:trHeight w:val="36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7BCACA64" w14:textId="77777777" w:rsidR="004F0473" w:rsidRPr="00C6170B" w:rsidRDefault="004F0473" w:rsidP="00381517">
            <w:pPr>
              <w:jc w:val="center"/>
              <w:rPr>
                <w:color w:val="000000" w:themeColor="text1"/>
              </w:rPr>
            </w:pPr>
            <w:r w:rsidRPr="00C6170B">
              <w:rPr>
                <w:color w:val="000000" w:themeColor="text1"/>
              </w:rPr>
              <w:t>Al</w:t>
            </w:r>
            <w:r w:rsidRPr="00C6170B">
              <w:rPr>
                <w:color w:val="000000" w:themeColor="text1"/>
                <w:vertAlign w:val="subscript"/>
              </w:rPr>
              <w:t>2</w:t>
            </w:r>
            <w:r w:rsidRPr="00C6170B">
              <w:rPr>
                <w:color w:val="000000" w:themeColor="text1"/>
              </w:rPr>
              <w:t>O</w:t>
            </w:r>
            <w:r w:rsidRPr="00C6170B">
              <w:rPr>
                <w:color w:val="000000" w:themeColor="text1"/>
                <w:vertAlign w:val="subscript"/>
              </w:rPr>
              <w:t>3</w:t>
            </w:r>
          </w:p>
        </w:tc>
        <w:tc>
          <w:tcPr>
            <w:tcW w:w="940" w:type="dxa"/>
            <w:tcBorders>
              <w:top w:val="nil"/>
              <w:left w:val="nil"/>
              <w:bottom w:val="single" w:sz="4" w:space="0" w:color="auto"/>
              <w:right w:val="single" w:sz="4" w:space="0" w:color="auto"/>
            </w:tcBorders>
            <w:shd w:val="clear" w:color="auto" w:fill="auto"/>
            <w:noWrap/>
            <w:vAlign w:val="center"/>
            <w:hideMark/>
          </w:tcPr>
          <w:p w14:paraId="2DC35265" w14:textId="77777777" w:rsidR="004F0473" w:rsidRPr="00C6170B" w:rsidRDefault="004F0473" w:rsidP="00381517">
            <w:pPr>
              <w:jc w:val="center"/>
              <w:rPr>
                <w:color w:val="000000" w:themeColor="text1"/>
              </w:rPr>
            </w:pPr>
            <w:r w:rsidRPr="00C6170B">
              <w:rPr>
                <w:color w:val="000000" w:themeColor="text1"/>
              </w:rPr>
              <w:t>4.91</w:t>
            </w:r>
          </w:p>
        </w:tc>
        <w:tc>
          <w:tcPr>
            <w:tcW w:w="940" w:type="dxa"/>
            <w:tcBorders>
              <w:top w:val="nil"/>
              <w:left w:val="nil"/>
              <w:bottom w:val="single" w:sz="4" w:space="0" w:color="auto"/>
              <w:right w:val="single" w:sz="4" w:space="0" w:color="auto"/>
            </w:tcBorders>
            <w:shd w:val="clear" w:color="auto" w:fill="auto"/>
            <w:noWrap/>
            <w:vAlign w:val="center"/>
            <w:hideMark/>
          </w:tcPr>
          <w:p w14:paraId="393CAE1B" w14:textId="77777777" w:rsidR="004F0473" w:rsidRPr="00C6170B" w:rsidRDefault="004F0473" w:rsidP="00381517">
            <w:pPr>
              <w:jc w:val="center"/>
              <w:rPr>
                <w:color w:val="000000" w:themeColor="text1"/>
              </w:rPr>
            </w:pPr>
            <w:r w:rsidRPr="00C6170B">
              <w:rPr>
                <w:color w:val="000000" w:themeColor="text1"/>
              </w:rPr>
              <w:t>2.90</w:t>
            </w:r>
          </w:p>
        </w:tc>
        <w:tc>
          <w:tcPr>
            <w:tcW w:w="940" w:type="dxa"/>
            <w:tcBorders>
              <w:top w:val="nil"/>
              <w:left w:val="nil"/>
              <w:bottom w:val="single" w:sz="4" w:space="0" w:color="auto"/>
              <w:right w:val="single" w:sz="4" w:space="0" w:color="auto"/>
            </w:tcBorders>
            <w:shd w:val="clear" w:color="auto" w:fill="auto"/>
            <w:noWrap/>
            <w:vAlign w:val="center"/>
            <w:hideMark/>
          </w:tcPr>
          <w:p w14:paraId="67F00B3C" w14:textId="77777777" w:rsidR="004F0473" w:rsidRPr="00C6170B" w:rsidRDefault="004F0473" w:rsidP="00381517">
            <w:pPr>
              <w:jc w:val="center"/>
              <w:rPr>
                <w:color w:val="000000" w:themeColor="text1"/>
              </w:rPr>
            </w:pPr>
            <w:r w:rsidRPr="00C6170B">
              <w:rPr>
                <w:color w:val="000000" w:themeColor="text1"/>
              </w:rPr>
              <w:t>1.13</w:t>
            </w:r>
          </w:p>
        </w:tc>
        <w:tc>
          <w:tcPr>
            <w:tcW w:w="940" w:type="dxa"/>
            <w:tcBorders>
              <w:top w:val="nil"/>
              <w:left w:val="nil"/>
              <w:bottom w:val="single" w:sz="4" w:space="0" w:color="auto"/>
              <w:right w:val="single" w:sz="4" w:space="0" w:color="auto"/>
            </w:tcBorders>
            <w:shd w:val="clear" w:color="auto" w:fill="auto"/>
            <w:noWrap/>
            <w:vAlign w:val="center"/>
            <w:hideMark/>
          </w:tcPr>
          <w:p w14:paraId="7EEBFD4C" w14:textId="77777777" w:rsidR="004F0473" w:rsidRPr="00C6170B" w:rsidRDefault="004F0473" w:rsidP="00381517">
            <w:pPr>
              <w:jc w:val="center"/>
              <w:rPr>
                <w:color w:val="000000" w:themeColor="text1"/>
              </w:rPr>
            </w:pPr>
            <w:r w:rsidRPr="00C6170B">
              <w:rPr>
                <w:color w:val="000000" w:themeColor="text1"/>
              </w:rPr>
              <w:t>7.21</w:t>
            </w:r>
          </w:p>
        </w:tc>
        <w:tc>
          <w:tcPr>
            <w:tcW w:w="940" w:type="dxa"/>
            <w:tcBorders>
              <w:top w:val="nil"/>
              <w:left w:val="nil"/>
              <w:bottom w:val="single" w:sz="4" w:space="0" w:color="auto"/>
              <w:right w:val="single" w:sz="4" w:space="0" w:color="auto"/>
            </w:tcBorders>
            <w:shd w:val="clear" w:color="auto" w:fill="auto"/>
            <w:noWrap/>
            <w:vAlign w:val="center"/>
            <w:hideMark/>
          </w:tcPr>
          <w:p w14:paraId="3E613A28" w14:textId="77777777" w:rsidR="004F0473" w:rsidRPr="00C6170B" w:rsidRDefault="004F0473" w:rsidP="00381517">
            <w:pPr>
              <w:jc w:val="center"/>
              <w:rPr>
                <w:color w:val="000000" w:themeColor="text1"/>
              </w:rPr>
            </w:pPr>
            <w:r w:rsidRPr="00C6170B">
              <w:rPr>
                <w:color w:val="000000" w:themeColor="text1"/>
              </w:rPr>
              <w:t>4.75</w:t>
            </w:r>
          </w:p>
        </w:tc>
        <w:tc>
          <w:tcPr>
            <w:tcW w:w="940" w:type="dxa"/>
            <w:tcBorders>
              <w:top w:val="nil"/>
              <w:left w:val="nil"/>
              <w:bottom w:val="single" w:sz="4" w:space="0" w:color="auto"/>
              <w:right w:val="single" w:sz="4" w:space="0" w:color="auto"/>
            </w:tcBorders>
            <w:shd w:val="clear" w:color="auto" w:fill="auto"/>
            <w:noWrap/>
            <w:vAlign w:val="center"/>
            <w:hideMark/>
          </w:tcPr>
          <w:p w14:paraId="3300D996" w14:textId="77777777" w:rsidR="004F0473" w:rsidRPr="00C6170B" w:rsidRDefault="004F0473" w:rsidP="00381517">
            <w:pPr>
              <w:jc w:val="center"/>
              <w:rPr>
                <w:color w:val="000000" w:themeColor="text1"/>
              </w:rPr>
            </w:pPr>
            <w:r w:rsidRPr="00C6170B">
              <w:rPr>
                <w:color w:val="000000" w:themeColor="text1"/>
              </w:rPr>
              <w:t>2.41</w:t>
            </w:r>
          </w:p>
        </w:tc>
      </w:tr>
      <w:tr w:rsidR="004F0473" w:rsidRPr="00C6170B" w14:paraId="40BB4292" w14:textId="77777777" w:rsidTr="00381517">
        <w:trPr>
          <w:trHeight w:val="36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48D90CF4" w14:textId="77777777" w:rsidR="004F0473" w:rsidRPr="00C6170B" w:rsidRDefault="004F0473" w:rsidP="00381517">
            <w:pPr>
              <w:jc w:val="center"/>
              <w:rPr>
                <w:color w:val="000000" w:themeColor="text1"/>
              </w:rPr>
            </w:pPr>
            <w:r w:rsidRPr="00C6170B">
              <w:rPr>
                <w:color w:val="000000" w:themeColor="text1"/>
              </w:rPr>
              <w:t>Cr</w:t>
            </w:r>
            <w:r w:rsidRPr="00C6170B">
              <w:rPr>
                <w:color w:val="000000" w:themeColor="text1"/>
                <w:vertAlign w:val="subscript"/>
              </w:rPr>
              <w:t>2</w:t>
            </w:r>
            <w:r w:rsidRPr="00C6170B">
              <w:rPr>
                <w:color w:val="000000" w:themeColor="text1"/>
              </w:rPr>
              <w:t>O</w:t>
            </w:r>
            <w:r w:rsidRPr="00C6170B">
              <w:rPr>
                <w:color w:val="000000" w:themeColor="text1"/>
                <w:vertAlign w:val="subscript"/>
              </w:rPr>
              <w:t>3</w:t>
            </w:r>
          </w:p>
        </w:tc>
        <w:tc>
          <w:tcPr>
            <w:tcW w:w="940" w:type="dxa"/>
            <w:tcBorders>
              <w:top w:val="nil"/>
              <w:left w:val="nil"/>
              <w:bottom w:val="single" w:sz="4" w:space="0" w:color="auto"/>
              <w:right w:val="single" w:sz="4" w:space="0" w:color="auto"/>
            </w:tcBorders>
            <w:shd w:val="clear" w:color="auto" w:fill="auto"/>
            <w:noWrap/>
            <w:vAlign w:val="center"/>
            <w:hideMark/>
          </w:tcPr>
          <w:p w14:paraId="49D2DA09" w14:textId="77777777" w:rsidR="004F0473" w:rsidRPr="00C6170B" w:rsidRDefault="004F0473" w:rsidP="00381517">
            <w:pPr>
              <w:jc w:val="center"/>
              <w:rPr>
                <w:color w:val="000000" w:themeColor="text1"/>
              </w:rPr>
            </w:pPr>
            <w:r w:rsidRPr="00C6170B">
              <w:rPr>
                <w:color w:val="000000" w:themeColor="text1"/>
              </w:rPr>
              <w:t>0.04</w:t>
            </w:r>
          </w:p>
        </w:tc>
        <w:tc>
          <w:tcPr>
            <w:tcW w:w="940" w:type="dxa"/>
            <w:tcBorders>
              <w:top w:val="nil"/>
              <w:left w:val="nil"/>
              <w:bottom w:val="single" w:sz="4" w:space="0" w:color="auto"/>
              <w:right w:val="single" w:sz="4" w:space="0" w:color="auto"/>
            </w:tcBorders>
            <w:shd w:val="clear" w:color="auto" w:fill="auto"/>
            <w:noWrap/>
            <w:vAlign w:val="center"/>
            <w:hideMark/>
          </w:tcPr>
          <w:p w14:paraId="39036C9A" w14:textId="77777777" w:rsidR="004F0473" w:rsidRPr="00C6170B" w:rsidRDefault="004F0473" w:rsidP="00381517">
            <w:pPr>
              <w:jc w:val="center"/>
              <w:rPr>
                <w:color w:val="000000" w:themeColor="text1"/>
              </w:rPr>
            </w:pPr>
            <w:r w:rsidRPr="00C6170B">
              <w:rPr>
                <w:color w:val="000000" w:themeColor="text1"/>
              </w:rPr>
              <w:t>0.04</w:t>
            </w:r>
          </w:p>
        </w:tc>
        <w:tc>
          <w:tcPr>
            <w:tcW w:w="940" w:type="dxa"/>
            <w:tcBorders>
              <w:top w:val="nil"/>
              <w:left w:val="nil"/>
              <w:bottom w:val="single" w:sz="4" w:space="0" w:color="auto"/>
              <w:right w:val="single" w:sz="4" w:space="0" w:color="auto"/>
            </w:tcBorders>
            <w:shd w:val="clear" w:color="auto" w:fill="auto"/>
            <w:noWrap/>
            <w:vAlign w:val="center"/>
            <w:hideMark/>
          </w:tcPr>
          <w:p w14:paraId="536A27E9" w14:textId="77777777" w:rsidR="004F0473" w:rsidRPr="00C6170B" w:rsidRDefault="004F0473" w:rsidP="00381517">
            <w:pPr>
              <w:jc w:val="center"/>
              <w:rPr>
                <w:color w:val="000000" w:themeColor="text1"/>
              </w:rPr>
            </w:pPr>
            <w:r w:rsidRPr="00C6170B">
              <w:rPr>
                <w:color w:val="000000" w:themeColor="text1"/>
              </w:rPr>
              <w:t>0.04</w:t>
            </w:r>
          </w:p>
        </w:tc>
        <w:tc>
          <w:tcPr>
            <w:tcW w:w="940" w:type="dxa"/>
            <w:tcBorders>
              <w:top w:val="nil"/>
              <w:left w:val="nil"/>
              <w:bottom w:val="single" w:sz="4" w:space="0" w:color="auto"/>
              <w:right w:val="single" w:sz="4" w:space="0" w:color="auto"/>
            </w:tcBorders>
            <w:shd w:val="clear" w:color="auto" w:fill="auto"/>
            <w:noWrap/>
            <w:vAlign w:val="center"/>
            <w:hideMark/>
          </w:tcPr>
          <w:p w14:paraId="2A89F8ED" w14:textId="77777777" w:rsidR="004F0473" w:rsidRPr="00C6170B" w:rsidRDefault="004F0473" w:rsidP="00381517">
            <w:pPr>
              <w:jc w:val="center"/>
              <w:rPr>
                <w:color w:val="000000" w:themeColor="text1"/>
              </w:rPr>
            </w:pPr>
            <w:r w:rsidRPr="00C6170B">
              <w:rPr>
                <w:color w:val="000000" w:themeColor="text1"/>
              </w:rPr>
              <w:t>0.13</w:t>
            </w:r>
          </w:p>
        </w:tc>
        <w:tc>
          <w:tcPr>
            <w:tcW w:w="940" w:type="dxa"/>
            <w:tcBorders>
              <w:top w:val="nil"/>
              <w:left w:val="nil"/>
              <w:bottom w:val="single" w:sz="4" w:space="0" w:color="auto"/>
              <w:right w:val="single" w:sz="4" w:space="0" w:color="auto"/>
            </w:tcBorders>
            <w:shd w:val="clear" w:color="auto" w:fill="auto"/>
            <w:noWrap/>
            <w:vAlign w:val="center"/>
            <w:hideMark/>
          </w:tcPr>
          <w:p w14:paraId="0A1F696D" w14:textId="77777777" w:rsidR="004F0473" w:rsidRPr="00C6170B" w:rsidRDefault="004F0473" w:rsidP="00381517">
            <w:pPr>
              <w:jc w:val="center"/>
              <w:rPr>
                <w:color w:val="000000" w:themeColor="text1"/>
              </w:rPr>
            </w:pPr>
            <w:r w:rsidRPr="00C6170B">
              <w:rPr>
                <w:color w:val="000000" w:themeColor="text1"/>
              </w:rPr>
              <w:t>0.14</w:t>
            </w:r>
          </w:p>
        </w:tc>
        <w:tc>
          <w:tcPr>
            <w:tcW w:w="940" w:type="dxa"/>
            <w:tcBorders>
              <w:top w:val="nil"/>
              <w:left w:val="nil"/>
              <w:bottom w:val="single" w:sz="4" w:space="0" w:color="auto"/>
              <w:right w:val="single" w:sz="4" w:space="0" w:color="auto"/>
            </w:tcBorders>
            <w:shd w:val="clear" w:color="auto" w:fill="auto"/>
            <w:noWrap/>
            <w:vAlign w:val="center"/>
            <w:hideMark/>
          </w:tcPr>
          <w:p w14:paraId="721C3F74" w14:textId="77777777" w:rsidR="004F0473" w:rsidRPr="00C6170B" w:rsidRDefault="004F0473" w:rsidP="00381517">
            <w:pPr>
              <w:jc w:val="center"/>
              <w:rPr>
                <w:color w:val="000000" w:themeColor="text1"/>
              </w:rPr>
            </w:pPr>
            <w:r w:rsidRPr="00C6170B">
              <w:rPr>
                <w:color w:val="000000" w:themeColor="text1"/>
              </w:rPr>
              <w:t>0.16</w:t>
            </w:r>
          </w:p>
        </w:tc>
      </w:tr>
      <w:tr w:rsidR="004F0473" w:rsidRPr="00C6170B" w14:paraId="6E97F50E" w14:textId="77777777" w:rsidTr="00381517">
        <w:trPr>
          <w:trHeight w:val="32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6AF5B793" w14:textId="77777777" w:rsidR="004F0473" w:rsidRPr="00C6170B" w:rsidRDefault="004F0473" w:rsidP="00381517">
            <w:pPr>
              <w:jc w:val="center"/>
              <w:rPr>
                <w:color w:val="000000" w:themeColor="text1"/>
              </w:rPr>
            </w:pPr>
            <w:r w:rsidRPr="00C6170B">
              <w:rPr>
                <w:color w:val="000000" w:themeColor="text1"/>
              </w:rPr>
              <w:t>FeO</w:t>
            </w:r>
          </w:p>
        </w:tc>
        <w:tc>
          <w:tcPr>
            <w:tcW w:w="940" w:type="dxa"/>
            <w:tcBorders>
              <w:top w:val="nil"/>
              <w:left w:val="nil"/>
              <w:bottom w:val="single" w:sz="4" w:space="0" w:color="auto"/>
              <w:right w:val="single" w:sz="4" w:space="0" w:color="auto"/>
            </w:tcBorders>
            <w:shd w:val="clear" w:color="auto" w:fill="auto"/>
            <w:noWrap/>
            <w:vAlign w:val="center"/>
            <w:hideMark/>
          </w:tcPr>
          <w:p w14:paraId="6F9068C0" w14:textId="77777777" w:rsidR="004F0473" w:rsidRPr="00C6170B" w:rsidRDefault="004F0473" w:rsidP="00381517">
            <w:pPr>
              <w:jc w:val="center"/>
              <w:rPr>
                <w:color w:val="000000" w:themeColor="text1"/>
              </w:rPr>
            </w:pPr>
            <w:r w:rsidRPr="00C6170B">
              <w:rPr>
                <w:color w:val="000000" w:themeColor="text1"/>
              </w:rPr>
              <w:t>40.53</w:t>
            </w:r>
          </w:p>
        </w:tc>
        <w:tc>
          <w:tcPr>
            <w:tcW w:w="940" w:type="dxa"/>
            <w:tcBorders>
              <w:top w:val="nil"/>
              <w:left w:val="nil"/>
              <w:bottom w:val="single" w:sz="4" w:space="0" w:color="auto"/>
              <w:right w:val="single" w:sz="4" w:space="0" w:color="auto"/>
            </w:tcBorders>
            <w:shd w:val="clear" w:color="auto" w:fill="auto"/>
            <w:noWrap/>
            <w:vAlign w:val="center"/>
            <w:hideMark/>
          </w:tcPr>
          <w:p w14:paraId="120F92C0" w14:textId="77777777" w:rsidR="004F0473" w:rsidRPr="00C6170B" w:rsidRDefault="004F0473" w:rsidP="00381517">
            <w:pPr>
              <w:jc w:val="center"/>
              <w:rPr>
                <w:color w:val="000000" w:themeColor="text1"/>
              </w:rPr>
            </w:pPr>
            <w:r w:rsidRPr="00C6170B">
              <w:rPr>
                <w:color w:val="000000" w:themeColor="text1"/>
              </w:rPr>
              <w:t>43.72</w:t>
            </w:r>
          </w:p>
        </w:tc>
        <w:tc>
          <w:tcPr>
            <w:tcW w:w="940" w:type="dxa"/>
            <w:tcBorders>
              <w:top w:val="nil"/>
              <w:left w:val="nil"/>
              <w:bottom w:val="single" w:sz="4" w:space="0" w:color="auto"/>
              <w:right w:val="single" w:sz="4" w:space="0" w:color="auto"/>
            </w:tcBorders>
            <w:shd w:val="clear" w:color="auto" w:fill="auto"/>
            <w:noWrap/>
            <w:vAlign w:val="center"/>
            <w:hideMark/>
          </w:tcPr>
          <w:p w14:paraId="7A7D931B" w14:textId="77777777" w:rsidR="004F0473" w:rsidRPr="00C6170B" w:rsidRDefault="004F0473" w:rsidP="00381517">
            <w:pPr>
              <w:jc w:val="center"/>
              <w:rPr>
                <w:color w:val="000000" w:themeColor="text1"/>
              </w:rPr>
            </w:pPr>
            <w:r w:rsidRPr="00C6170B">
              <w:rPr>
                <w:color w:val="000000" w:themeColor="text1"/>
              </w:rPr>
              <w:t>46.66</w:t>
            </w:r>
          </w:p>
        </w:tc>
        <w:tc>
          <w:tcPr>
            <w:tcW w:w="940" w:type="dxa"/>
            <w:tcBorders>
              <w:top w:val="nil"/>
              <w:left w:val="nil"/>
              <w:bottom w:val="single" w:sz="4" w:space="0" w:color="auto"/>
              <w:right w:val="single" w:sz="4" w:space="0" w:color="auto"/>
            </w:tcBorders>
            <w:shd w:val="clear" w:color="auto" w:fill="auto"/>
            <w:noWrap/>
            <w:vAlign w:val="center"/>
            <w:hideMark/>
          </w:tcPr>
          <w:p w14:paraId="3E817E53" w14:textId="77777777" w:rsidR="004F0473" w:rsidRPr="00C6170B" w:rsidRDefault="004F0473" w:rsidP="00381517">
            <w:pPr>
              <w:jc w:val="center"/>
              <w:rPr>
                <w:color w:val="000000" w:themeColor="text1"/>
              </w:rPr>
            </w:pPr>
            <w:r w:rsidRPr="00C6170B">
              <w:rPr>
                <w:color w:val="000000" w:themeColor="text1"/>
              </w:rPr>
              <w:t>19.61</w:t>
            </w:r>
          </w:p>
        </w:tc>
        <w:tc>
          <w:tcPr>
            <w:tcW w:w="940" w:type="dxa"/>
            <w:tcBorders>
              <w:top w:val="nil"/>
              <w:left w:val="nil"/>
              <w:bottom w:val="single" w:sz="4" w:space="0" w:color="auto"/>
              <w:right w:val="single" w:sz="4" w:space="0" w:color="auto"/>
            </w:tcBorders>
            <w:shd w:val="clear" w:color="auto" w:fill="auto"/>
            <w:noWrap/>
            <w:vAlign w:val="center"/>
            <w:hideMark/>
          </w:tcPr>
          <w:p w14:paraId="08D81863" w14:textId="77777777" w:rsidR="004F0473" w:rsidRPr="00C6170B" w:rsidRDefault="004F0473" w:rsidP="00381517">
            <w:pPr>
              <w:jc w:val="center"/>
              <w:rPr>
                <w:color w:val="000000" w:themeColor="text1"/>
              </w:rPr>
            </w:pPr>
            <w:r w:rsidRPr="00C6170B">
              <w:rPr>
                <w:color w:val="000000" w:themeColor="text1"/>
              </w:rPr>
              <w:t>21.41</w:t>
            </w:r>
          </w:p>
        </w:tc>
        <w:tc>
          <w:tcPr>
            <w:tcW w:w="940" w:type="dxa"/>
            <w:tcBorders>
              <w:top w:val="nil"/>
              <w:left w:val="nil"/>
              <w:bottom w:val="single" w:sz="4" w:space="0" w:color="auto"/>
              <w:right w:val="single" w:sz="4" w:space="0" w:color="auto"/>
            </w:tcBorders>
            <w:shd w:val="clear" w:color="auto" w:fill="auto"/>
            <w:noWrap/>
            <w:vAlign w:val="center"/>
            <w:hideMark/>
          </w:tcPr>
          <w:p w14:paraId="652C4675" w14:textId="77777777" w:rsidR="004F0473" w:rsidRPr="00C6170B" w:rsidRDefault="004F0473" w:rsidP="00381517">
            <w:pPr>
              <w:jc w:val="center"/>
              <w:rPr>
                <w:color w:val="000000" w:themeColor="text1"/>
              </w:rPr>
            </w:pPr>
            <w:r w:rsidRPr="00C6170B">
              <w:rPr>
                <w:color w:val="000000" w:themeColor="text1"/>
              </w:rPr>
              <w:t>23.14</w:t>
            </w:r>
          </w:p>
        </w:tc>
      </w:tr>
      <w:tr w:rsidR="004F0473" w:rsidRPr="00C6170B" w14:paraId="58F89371" w14:textId="77777777" w:rsidTr="00381517">
        <w:trPr>
          <w:trHeight w:val="32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56A11245" w14:textId="77777777" w:rsidR="004F0473" w:rsidRPr="00C6170B" w:rsidRDefault="004F0473" w:rsidP="00381517">
            <w:pPr>
              <w:jc w:val="center"/>
              <w:rPr>
                <w:color w:val="000000" w:themeColor="text1"/>
              </w:rPr>
            </w:pPr>
            <w:r w:rsidRPr="00C6170B">
              <w:rPr>
                <w:color w:val="000000" w:themeColor="text1"/>
              </w:rPr>
              <w:t>MnO</w:t>
            </w:r>
          </w:p>
        </w:tc>
        <w:tc>
          <w:tcPr>
            <w:tcW w:w="940" w:type="dxa"/>
            <w:tcBorders>
              <w:top w:val="nil"/>
              <w:left w:val="nil"/>
              <w:bottom w:val="single" w:sz="4" w:space="0" w:color="auto"/>
              <w:right w:val="single" w:sz="4" w:space="0" w:color="auto"/>
            </w:tcBorders>
            <w:shd w:val="clear" w:color="auto" w:fill="auto"/>
            <w:noWrap/>
            <w:vAlign w:val="center"/>
            <w:hideMark/>
          </w:tcPr>
          <w:p w14:paraId="7C46C864" w14:textId="77777777" w:rsidR="004F0473" w:rsidRPr="00C6170B" w:rsidRDefault="004F0473" w:rsidP="00381517">
            <w:pPr>
              <w:jc w:val="center"/>
              <w:rPr>
                <w:color w:val="000000" w:themeColor="text1"/>
              </w:rPr>
            </w:pPr>
            <w:r w:rsidRPr="00C6170B">
              <w:rPr>
                <w:color w:val="000000" w:themeColor="text1"/>
              </w:rPr>
              <w:t>0.42</w:t>
            </w:r>
          </w:p>
        </w:tc>
        <w:tc>
          <w:tcPr>
            <w:tcW w:w="940" w:type="dxa"/>
            <w:tcBorders>
              <w:top w:val="nil"/>
              <w:left w:val="nil"/>
              <w:bottom w:val="single" w:sz="4" w:space="0" w:color="auto"/>
              <w:right w:val="single" w:sz="4" w:space="0" w:color="auto"/>
            </w:tcBorders>
            <w:shd w:val="clear" w:color="auto" w:fill="auto"/>
            <w:noWrap/>
            <w:vAlign w:val="center"/>
            <w:hideMark/>
          </w:tcPr>
          <w:p w14:paraId="428290AD" w14:textId="77777777" w:rsidR="004F0473" w:rsidRPr="00C6170B" w:rsidRDefault="004F0473" w:rsidP="00381517">
            <w:pPr>
              <w:jc w:val="center"/>
              <w:rPr>
                <w:color w:val="000000" w:themeColor="text1"/>
              </w:rPr>
            </w:pPr>
            <w:r w:rsidRPr="00C6170B">
              <w:rPr>
                <w:color w:val="000000" w:themeColor="text1"/>
              </w:rPr>
              <w:t>0.45</w:t>
            </w:r>
          </w:p>
        </w:tc>
        <w:tc>
          <w:tcPr>
            <w:tcW w:w="940" w:type="dxa"/>
            <w:tcBorders>
              <w:top w:val="nil"/>
              <w:left w:val="nil"/>
              <w:bottom w:val="single" w:sz="4" w:space="0" w:color="auto"/>
              <w:right w:val="single" w:sz="4" w:space="0" w:color="auto"/>
            </w:tcBorders>
            <w:shd w:val="clear" w:color="auto" w:fill="auto"/>
            <w:noWrap/>
            <w:vAlign w:val="center"/>
            <w:hideMark/>
          </w:tcPr>
          <w:p w14:paraId="25F50980" w14:textId="77777777" w:rsidR="004F0473" w:rsidRPr="00C6170B" w:rsidRDefault="004F0473" w:rsidP="00381517">
            <w:pPr>
              <w:jc w:val="center"/>
              <w:rPr>
                <w:color w:val="000000" w:themeColor="text1"/>
              </w:rPr>
            </w:pPr>
            <w:r w:rsidRPr="00C6170B">
              <w:rPr>
                <w:color w:val="000000" w:themeColor="text1"/>
              </w:rPr>
              <w:t>0.49</w:t>
            </w:r>
          </w:p>
        </w:tc>
        <w:tc>
          <w:tcPr>
            <w:tcW w:w="940" w:type="dxa"/>
            <w:tcBorders>
              <w:top w:val="nil"/>
              <w:left w:val="nil"/>
              <w:bottom w:val="single" w:sz="4" w:space="0" w:color="auto"/>
              <w:right w:val="single" w:sz="4" w:space="0" w:color="auto"/>
            </w:tcBorders>
            <w:shd w:val="clear" w:color="auto" w:fill="auto"/>
            <w:noWrap/>
            <w:vAlign w:val="center"/>
            <w:hideMark/>
          </w:tcPr>
          <w:p w14:paraId="447A465F" w14:textId="77777777" w:rsidR="004F0473" w:rsidRPr="00C6170B" w:rsidRDefault="004F0473" w:rsidP="00381517">
            <w:pPr>
              <w:jc w:val="center"/>
              <w:rPr>
                <w:color w:val="000000" w:themeColor="text1"/>
              </w:rPr>
            </w:pPr>
            <w:r w:rsidRPr="00C6170B">
              <w:rPr>
                <w:color w:val="000000" w:themeColor="text1"/>
              </w:rPr>
              <w:t>0.23</w:t>
            </w:r>
          </w:p>
        </w:tc>
        <w:tc>
          <w:tcPr>
            <w:tcW w:w="940" w:type="dxa"/>
            <w:tcBorders>
              <w:top w:val="nil"/>
              <w:left w:val="nil"/>
              <w:bottom w:val="single" w:sz="4" w:space="0" w:color="auto"/>
              <w:right w:val="single" w:sz="4" w:space="0" w:color="auto"/>
            </w:tcBorders>
            <w:shd w:val="clear" w:color="auto" w:fill="auto"/>
            <w:noWrap/>
            <w:vAlign w:val="center"/>
            <w:hideMark/>
          </w:tcPr>
          <w:p w14:paraId="21EA804F" w14:textId="77777777" w:rsidR="004F0473" w:rsidRPr="00C6170B" w:rsidRDefault="004F0473" w:rsidP="00381517">
            <w:pPr>
              <w:jc w:val="center"/>
              <w:rPr>
                <w:color w:val="000000" w:themeColor="text1"/>
              </w:rPr>
            </w:pPr>
            <w:r w:rsidRPr="00C6170B">
              <w:rPr>
                <w:color w:val="000000" w:themeColor="text1"/>
              </w:rPr>
              <w:t>0.25</w:t>
            </w:r>
          </w:p>
        </w:tc>
        <w:tc>
          <w:tcPr>
            <w:tcW w:w="940" w:type="dxa"/>
            <w:tcBorders>
              <w:top w:val="nil"/>
              <w:left w:val="nil"/>
              <w:bottom w:val="single" w:sz="4" w:space="0" w:color="auto"/>
              <w:right w:val="single" w:sz="4" w:space="0" w:color="auto"/>
            </w:tcBorders>
            <w:shd w:val="clear" w:color="auto" w:fill="auto"/>
            <w:noWrap/>
            <w:vAlign w:val="center"/>
            <w:hideMark/>
          </w:tcPr>
          <w:p w14:paraId="3C49095A" w14:textId="77777777" w:rsidR="004F0473" w:rsidRPr="00C6170B" w:rsidRDefault="004F0473" w:rsidP="00381517">
            <w:pPr>
              <w:jc w:val="center"/>
              <w:rPr>
                <w:color w:val="000000" w:themeColor="text1"/>
              </w:rPr>
            </w:pPr>
            <w:r w:rsidRPr="00C6170B">
              <w:rPr>
                <w:color w:val="000000" w:themeColor="text1"/>
              </w:rPr>
              <w:t>0.27</w:t>
            </w:r>
          </w:p>
        </w:tc>
      </w:tr>
      <w:tr w:rsidR="004F0473" w:rsidRPr="00C6170B" w14:paraId="08103B6C" w14:textId="77777777" w:rsidTr="00381517">
        <w:trPr>
          <w:trHeight w:val="32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533D3668" w14:textId="77777777" w:rsidR="004F0473" w:rsidRPr="00C6170B" w:rsidRDefault="004F0473" w:rsidP="00381517">
            <w:pPr>
              <w:jc w:val="center"/>
              <w:rPr>
                <w:color w:val="000000" w:themeColor="text1"/>
              </w:rPr>
            </w:pPr>
            <w:r w:rsidRPr="00C6170B">
              <w:rPr>
                <w:color w:val="000000" w:themeColor="text1"/>
              </w:rPr>
              <w:t>MgO</w:t>
            </w:r>
          </w:p>
        </w:tc>
        <w:tc>
          <w:tcPr>
            <w:tcW w:w="940" w:type="dxa"/>
            <w:tcBorders>
              <w:top w:val="nil"/>
              <w:left w:val="nil"/>
              <w:bottom w:val="single" w:sz="4" w:space="0" w:color="auto"/>
              <w:right w:val="single" w:sz="4" w:space="0" w:color="auto"/>
            </w:tcBorders>
            <w:shd w:val="clear" w:color="auto" w:fill="auto"/>
            <w:noWrap/>
            <w:vAlign w:val="center"/>
            <w:hideMark/>
          </w:tcPr>
          <w:p w14:paraId="6E5D243F" w14:textId="77777777" w:rsidR="004F0473" w:rsidRPr="00C6170B" w:rsidRDefault="004F0473" w:rsidP="00381517">
            <w:pPr>
              <w:jc w:val="center"/>
              <w:rPr>
                <w:color w:val="000000" w:themeColor="text1"/>
              </w:rPr>
            </w:pPr>
            <w:r w:rsidRPr="00C6170B">
              <w:rPr>
                <w:color w:val="000000" w:themeColor="text1"/>
              </w:rPr>
              <w:t>4.48</w:t>
            </w:r>
          </w:p>
        </w:tc>
        <w:tc>
          <w:tcPr>
            <w:tcW w:w="940" w:type="dxa"/>
            <w:tcBorders>
              <w:top w:val="nil"/>
              <w:left w:val="nil"/>
              <w:bottom w:val="single" w:sz="4" w:space="0" w:color="auto"/>
              <w:right w:val="single" w:sz="4" w:space="0" w:color="auto"/>
            </w:tcBorders>
            <w:shd w:val="clear" w:color="auto" w:fill="auto"/>
            <w:noWrap/>
            <w:vAlign w:val="center"/>
            <w:hideMark/>
          </w:tcPr>
          <w:p w14:paraId="06447762" w14:textId="77777777" w:rsidR="004F0473" w:rsidRPr="00C6170B" w:rsidRDefault="004F0473" w:rsidP="00381517">
            <w:pPr>
              <w:jc w:val="center"/>
              <w:rPr>
                <w:color w:val="000000" w:themeColor="text1"/>
              </w:rPr>
            </w:pPr>
            <w:r w:rsidRPr="00C6170B">
              <w:rPr>
                <w:color w:val="000000" w:themeColor="text1"/>
              </w:rPr>
              <w:t>4.84</w:t>
            </w:r>
          </w:p>
        </w:tc>
        <w:tc>
          <w:tcPr>
            <w:tcW w:w="940" w:type="dxa"/>
            <w:tcBorders>
              <w:top w:val="nil"/>
              <w:left w:val="nil"/>
              <w:bottom w:val="single" w:sz="4" w:space="0" w:color="auto"/>
              <w:right w:val="single" w:sz="4" w:space="0" w:color="auto"/>
            </w:tcBorders>
            <w:shd w:val="clear" w:color="auto" w:fill="auto"/>
            <w:noWrap/>
            <w:vAlign w:val="center"/>
            <w:hideMark/>
          </w:tcPr>
          <w:p w14:paraId="0BA48CB3" w14:textId="77777777" w:rsidR="004F0473" w:rsidRPr="00C6170B" w:rsidRDefault="004F0473" w:rsidP="00381517">
            <w:pPr>
              <w:jc w:val="center"/>
              <w:rPr>
                <w:color w:val="000000" w:themeColor="text1"/>
              </w:rPr>
            </w:pPr>
            <w:r w:rsidRPr="00C6170B">
              <w:rPr>
                <w:color w:val="000000" w:themeColor="text1"/>
              </w:rPr>
              <w:t>5.18</w:t>
            </w:r>
          </w:p>
        </w:tc>
        <w:tc>
          <w:tcPr>
            <w:tcW w:w="940" w:type="dxa"/>
            <w:tcBorders>
              <w:top w:val="nil"/>
              <w:left w:val="nil"/>
              <w:bottom w:val="single" w:sz="4" w:space="0" w:color="auto"/>
              <w:right w:val="single" w:sz="4" w:space="0" w:color="auto"/>
            </w:tcBorders>
            <w:shd w:val="clear" w:color="auto" w:fill="auto"/>
            <w:noWrap/>
            <w:vAlign w:val="center"/>
            <w:hideMark/>
          </w:tcPr>
          <w:p w14:paraId="42B654F1" w14:textId="77777777" w:rsidR="004F0473" w:rsidRPr="00C6170B" w:rsidRDefault="004F0473" w:rsidP="00381517">
            <w:pPr>
              <w:jc w:val="center"/>
              <w:rPr>
                <w:color w:val="000000" w:themeColor="text1"/>
              </w:rPr>
            </w:pPr>
            <w:r w:rsidRPr="00C6170B">
              <w:rPr>
                <w:color w:val="000000" w:themeColor="text1"/>
              </w:rPr>
              <w:t>12.64</w:t>
            </w:r>
          </w:p>
        </w:tc>
        <w:tc>
          <w:tcPr>
            <w:tcW w:w="940" w:type="dxa"/>
            <w:tcBorders>
              <w:top w:val="nil"/>
              <w:left w:val="nil"/>
              <w:bottom w:val="single" w:sz="4" w:space="0" w:color="auto"/>
              <w:right w:val="single" w:sz="4" w:space="0" w:color="auto"/>
            </w:tcBorders>
            <w:shd w:val="clear" w:color="auto" w:fill="auto"/>
            <w:noWrap/>
            <w:vAlign w:val="center"/>
            <w:hideMark/>
          </w:tcPr>
          <w:p w14:paraId="67E577F1" w14:textId="77777777" w:rsidR="004F0473" w:rsidRPr="00C6170B" w:rsidRDefault="004F0473" w:rsidP="00381517">
            <w:pPr>
              <w:jc w:val="center"/>
              <w:rPr>
                <w:color w:val="000000" w:themeColor="text1"/>
              </w:rPr>
            </w:pPr>
            <w:r w:rsidRPr="00C6170B">
              <w:rPr>
                <w:color w:val="000000" w:themeColor="text1"/>
              </w:rPr>
              <w:t>13.87</w:t>
            </w:r>
          </w:p>
        </w:tc>
        <w:tc>
          <w:tcPr>
            <w:tcW w:w="940" w:type="dxa"/>
            <w:tcBorders>
              <w:top w:val="nil"/>
              <w:left w:val="nil"/>
              <w:bottom w:val="single" w:sz="4" w:space="0" w:color="auto"/>
              <w:right w:val="single" w:sz="4" w:space="0" w:color="auto"/>
            </w:tcBorders>
            <w:shd w:val="clear" w:color="auto" w:fill="auto"/>
            <w:noWrap/>
            <w:vAlign w:val="center"/>
            <w:hideMark/>
          </w:tcPr>
          <w:p w14:paraId="693742F2" w14:textId="77777777" w:rsidR="004F0473" w:rsidRPr="00C6170B" w:rsidRDefault="004F0473" w:rsidP="00381517">
            <w:pPr>
              <w:jc w:val="center"/>
              <w:rPr>
                <w:color w:val="000000" w:themeColor="text1"/>
              </w:rPr>
            </w:pPr>
            <w:r w:rsidRPr="00C6170B">
              <w:rPr>
                <w:color w:val="000000" w:themeColor="text1"/>
              </w:rPr>
              <w:t>15.05</w:t>
            </w:r>
          </w:p>
        </w:tc>
      </w:tr>
      <w:tr w:rsidR="004F0473" w:rsidRPr="00C6170B" w14:paraId="38B5815E" w14:textId="77777777" w:rsidTr="00381517">
        <w:trPr>
          <w:trHeight w:val="32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71C45B39" w14:textId="77777777" w:rsidR="004F0473" w:rsidRPr="00C6170B" w:rsidRDefault="004F0473" w:rsidP="00381517">
            <w:pPr>
              <w:jc w:val="center"/>
              <w:rPr>
                <w:color w:val="000000" w:themeColor="text1"/>
              </w:rPr>
            </w:pPr>
            <w:r w:rsidRPr="00C6170B">
              <w:rPr>
                <w:color w:val="000000" w:themeColor="text1"/>
              </w:rPr>
              <w:t>CaO</w:t>
            </w:r>
          </w:p>
        </w:tc>
        <w:tc>
          <w:tcPr>
            <w:tcW w:w="940" w:type="dxa"/>
            <w:tcBorders>
              <w:top w:val="nil"/>
              <w:left w:val="nil"/>
              <w:bottom w:val="single" w:sz="4" w:space="0" w:color="auto"/>
              <w:right w:val="single" w:sz="4" w:space="0" w:color="auto"/>
            </w:tcBorders>
            <w:shd w:val="clear" w:color="auto" w:fill="auto"/>
            <w:noWrap/>
            <w:vAlign w:val="center"/>
            <w:hideMark/>
          </w:tcPr>
          <w:p w14:paraId="14EC945E" w14:textId="77777777" w:rsidR="004F0473" w:rsidRPr="00C6170B" w:rsidRDefault="004F0473" w:rsidP="00381517">
            <w:pPr>
              <w:jc w:val="center"/>
              <w:rPr>
                <w:color w:val="000000" w:themeColor="text1"/>
              </w:rPr>
            </w:pPr>
            <w:r w:rsidRPr="00C6170B">
              <w:rPr>
                <w:color w:val="000000" w:themeColor="text1"/>
              </w:rPr>
              <w:t>4.94</w:t>
            </w:r>
          </w:p>
        </w:tc>
        <w:tc>
          <w:tcPr>
            <w:tcW w:w="940" w:type="dxa"/>
            <w:tcBorders>
              <w:top w:val="nil"/>
              <w:left w:val="nil"/>
              <w:bottom w:val="single" w:sz="4" w:space="0" w:color="auto"/>
              <w:right w:val="single" w:sz="4" w:space="0" w:color="auto"/>
            </w:tcBorders>
            <w:shd w:val="clear" w:color="auto" w:fill="auto"/>
            <w:noWrap/>
            <w:vAlign w:val="center"/>
            <w:hideMark/>
          </w:tcPr>
          <w:p w14:paraId="53049AF6" w14:textId="77777777" w:rsidR="004F0473" w:rsidRPr="00C6170B" w:rsidRDefault="004F0473" w:rsidP="00381517">
            <w:pPr>
              <w:jc w:val="center"/>
              <w:rPr>
                <w:color w:val="000000" w:themeColor="text1"/>
              </w:rPr>
            </w:pPr>
            <w:r w:rsidRPr="00C6170B">
              <w:rPr>
                <w:color w:val="000000" w:themeColor="text1"/>
              </w:rPr>
              <w:t>4.17</w:t>
            </w:r>
          </w:p>
        </w:tc>
        <w:tc>
          <w:tcPr>
            <w:tcW w:w="940" w:type="dxa"/>
            <w:tcBorders>
              <w:top w:val="nil"/>
              <w:left w:val="nil"/>
              <w:bottom w:val="single" w:sz="4" w:space="0" w:color="auto"/>
              <w:right w:val="single" w:sz="4" w:space="0" w:color="auto"/>
            </w:tcBorders>
            <w:shd w:val="clear" w:color="auto" w:fill="auto"/>
            <w:noWrap/>
            <w:vAlign w:val="center"/>
            <w:hideMark/>
          </w:tcPr>
          <w:p w14:paraId="72B9ADC6" w14:textId="77777777" w:rsidR="004F0473" w:rsidRPr="00C6170B" w:rsidRDefault="004F0473" w:rsidP="00381517">
            <w:pPr>
              <w:jc w:val="center"/>
              <w:rPr>
                <w:color w:val="000000" w:themeColor="text1"/>
              </w:rPr>
            </w:pPr>
            <w:r w:rsidRPr="00C6170B">
              <w:rPr>
                <w:color w:val="000000" w:themeColor="text1"/>
              </w:rPr>
              <w:t>3.54</w:t>
            </w:r>
          </w:p>
        </w:tc>
        <w:tc>
          <w:tcPr>
            <w:tcW w:w="940" w:type="dxa"/>
            <w:tcBorders>
              <w:top w:val="nil"/>
              <w:left w:val="nil"/>
              <w:bottom w:val="single" w:sz="4" w:space="0" w:color="auto"/>
              <w:right w:val="single" w:sz="4" w:space="0" w:color="auto"/>
            </w:tcBorders>
            <w:shd w:val="clear" w:color="auto" w:fill="auto"/>
            <w:noWrap/>
            <w:vAlign w:val="center"/>
            <w:hideMark/>
          </w:tcPr>
          <w:p w14:paraId="584C8009" w14:textId="77777777" w:rsidR="004F0473" w:rsidRPr="00C6170B" w:rsidRDefault="004F0473" w:rsidP="00381517">
            <w:pPr>
              <w:jc w:val="center"/>
              <w:rPr>
                <w:color w:val="000000" w:themeColor="text1"/>
              </w:rPr>
            </w:pPr>
            <w:r w:rsidRPr="00C6170B">
              <w:rPr>
                <w:color w:val="000000" w:themeColor="text1"/>
              </w:rPr>
              <w:t>9.69</w:t>
            </w:r>
          </w:p>
        </w:tc>
        <w:tc>
          <w:tcPr>
            <w:tcW w:w="940" w:type="dxa"/>
            <w:tcBorders>
              <w:top w:val="nil"/>
              <w:left w:val="nil"/>
              <w:bottom w:val="single" w:sz="4" w:space="0" w:color="auto"/>
              <w:right w:val="single" w:sz="4" w:space="0" w:color="auto"/>
            </w:tcBorders>
            <w:shd w:val="clear" w:color="auto" w:fill="auto"/>
            <w:noWrap/>
            <w:vAlign w:val="center"/>
            <w:hideMark/>
          </w:tcPr>
          <w:p w14:paraId="09D8C3E5" w14:textId="77777777" w:rsidR="004F0473" w:rsidRPr="00C6170B" w:rsidRDefault="004F0473" w:rsidP="00381517">
            <w:pPr>
              <w:jc w:val="center"/>
              <w:rPr>
                <w:color w:val="000000" w:themeColor="text1"/>
              </w:rPr>
            </w:pPr>
            <w:r w:rsidRPr="00C6170B">
              <w:rPr>
                <w:color w:val="000000" w:themeColor="text1"/>
              </w:rPr>
              <w:t>8.96</w:t>
            </w:r>
          </w:p>
        </w:tc>
        <w:tc>
          <w:tcPr>
            <w:tcW w:w="940" w:type="dxa"/>
            <w:tcBorders>
              <w:top w:val="nil"/>
              <w:left w:val="nil"/>
              <w:bottom w:val="single" w:sz="4" w:space="0" w:color="auto"/>
              <w:right w:val="single" w:sz="4" w:space="0" w:color="auto"/>
            </w:tcBorders>
            <w:shd w:val="clear" w:color="auto" w:fill="auto"/>
            <w:noWrap/>
            <w:vAlign w:val="center"/>
            <w:hideMark/>
          </w:tcPr>
          <w:p w14:paraId="5BDFEDE0" w14:textId="77777777" w:rsidR="004F0473" w:rsidRPr="00C6170B" w:rsidRDefault="004F0473" w:rsidP="00381517">
            <w:pPr>
              <w:jc w:val="center"/>
              <w:rPr>
                <w:color w:val="000000" w:themeColor="text1"/>
              </w:rPr>
            </w:pPr>
            <w:r w:rsidRPr="00C6170B">
              <w:rPr>
                <w:color w:val="000000" w:themeColor="text1"/>
              </w:rPr>
              <w:t>8.26</w:t>
            </w:r>
          </w:p>
        </w:tc>
      </w:tr>
      <w:tr w:rsidR="004F0473" w:rsidRPr="00C6170B" w14:paraId="421636D9" w14:textId="77777777" w:rsidTr="00381517">
        <w:trPr>
          <w:trHeight w:val="36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2630C892" w14:textId="77777777" w:rsidR="004F0473" w:rsidRPr="00C6170B" w:rsidRDefault="004F0473" w:rsidP="00381517">
            <w:pPr>
              <w:jc w:val="center"/>
              <w:rPr>
                <w:color w:val="000000" w:themeColor="text1"/>
              </w:rPr>
            </w:pPr>
            <w:r w:rsidRPr="00C6170B">
              <w:rPr>
                <w:color w:val="000000" w:themeColor="text1"/>
              </w:rPr>
              <w:t>Na</w:t>
            </w:r>
            <w:r w:rsidRPr="00C6170B">
              <w:rPr>
                <w:color w:val="000000" w:themeColor="text1"/>
                <w:vertAlign w:val="subscript"/>
              </w:rPr>
              <w:t>2</w:t>
            </w:r>
            <w:r w:rsidRPr="00C6170B">
              <w:rPr>
                <w:color w:val="000000" w:themeColor="text1"/>
              </w:rPr>
              <w:t>O</w:t>
            </w:r>
          </w:p>
        </w:tc>
        <w:tc>
          <w:tcPr>
            <w:tcW w:w="940" w:type="dxa"/>
            <w:tcBorders>
              <w:top w:val="nil"/>
              <w:left w:val="nil"/>
              <w:bottom w:val="single" w:sz="4" w:space="0" w:color="auto"/>
              <w:right w:val="single" w:sz="4" w:space="0" w:color="auto"/>
            </w:tcBorders>
            <w:shd w:val="clear" w:color="auto" w:fill="auto"/>
            <w:noWrap/>
            <w:vAlign w:val="center"/>
            <w:hideMark/>
          </w:tcPr>
          <w:p w14:paraId="388B3F37" w14:textId="77777777" w:rsidR="004F0473" w:rsidRPr="00C6170B" w:rsidRDefault="004F0473" w:rsidP="00381517">
            <w:pPr>
              <w:jc w:val="center"/>
              <w:rPr>
                <w:color w:val="000000" w:themeColor="text1"/>
              </w:rPr>
            </w:pPr>
            <w:r w:rsidRPr="00C6170B">
              <w:rPr>
                <w:color w:val="000000" w:themeColor="text1"/>
              </w:rPr>
              <w:t>0.39</w:t>
            </w:r>
          </w:p>
        </w:tc>
        <w:tc>
          <w:tcPr>
            <w:tcW w:w="940" w:type="dxa"/>
            <w:tcBorders>
              <w:top w:val="nil"/>
              <w:left w:val="nil"/>
              <w:bottom w:val="single" w:sz="4" w:space="0" w:color="auto"/>
              <w:right w:val="single" w:sz="4" w:space="0" w:color="auto"/>
            </w:tcBorders>
            <w:shd w:val="clear" w:color="auto" w:fill="auto"/>
            <w:noWrap/>
            <w:vAlign w:val="center"/>
            <w:hideMark/>
          </w:tcPr>
          <w:p w14:paraId="5104E0F8" w14:textId="77777777" w:rsidR="004F0473" w:rsidRPr="00C6170B" w:rsidRDefault="004F0473" w:rsidP="00381517">
            <w:pPr>
              <w:jc w:val="center"/>
              <w:rPr>
                <w:color w:val="000000" w:themeColor="text1"/>
              </w:rPr>
            </w:pPr>
            <w:r w:rsidRPr="00C6170B">
              <w:rPr>
                <w:color w:val="000000" w:themeColor="text1"/>
              </w:rPr>
              <w:t>0.21</w:t>
            </w:r>
          </w:p>
        </w:tc>
        <w:tc>
          <w:tcPr>
            <w:tcW w:w="940" w:type="dxa"/>
            <w:tcBorders>
              <w:top w:val="nil"/>
              <w:left w:val="nil"/>
              <w:bottom w:val="single" w:sz="4" w:space="0" w:color="auto"/>
              <w:right w:val="single" w:sz="4" w:space="0" w:color="auto"/>
            </w:tcBorders>
            <w:shd w:val="clear" w:color="auto" w:fill="auto"/>
            <w:noWrap/>
            <w:vAlign w:val="center"/>
            <w:hideMark/>
          </w:tcPr>
          <w:p w14:paraId="43376894" w14:textId="77777777" w:rsidR="004F0473" w:rsidRPr="00C6170B" w:rsidRDefault="004F0473" w:rsidP="00381517">
            <w:pPr>
              <w:jc w:val="center"/>
              <w:rPr>
                <w:color w:val="000000" w:themeColor="text1"/>
              </w:rPr>
            </w:pPr>
            <w:r w:rsidRPr="00C6170B">
              <w:rPr>
                <w:color w:val="000000" w:themeColor="text1"/>
              </w:rPr>
              <w:t>0.02</w:t>
            </w:r>
          </w:p>
        </w:tc>
        <w:tc>
          <w:tcPr>
            <w:tcW w:w="940" w:type="dxa"/>
            <w:tcBorders>
              <w:top w:val="nil"/>
              <w:left w:val="nil"/>
              <w:bottom w:val="single" w:sz="4" w:space="0" w:color="auto"/>
              <w:right w:val="single" w:sz="4" w:space="0" w:color="auto"/>
            </w:tcBorders>
            <w:shd w:val="clear" w:color="auto" w:fill="auto"/>
            <w:noWrap/>
            <w:vAlign w:val="center"/>
            <w:hideMark/>
          </w:tcPr>
          <w:p w14:paraId="3FB3D17A" w14:textId="77777777" w:rsidR="004F0473" w:rsidRPr="00C6170B" w:rsidRDefault="004F0473" w:rsidP="00381517">
            <w:pPr>
              <w:jc w:val="center"/>
              <w:rPr>
                <w:color w:val="000000" w:themeColor="text1"/>
              </w:rPr>
            </w:pPr>
            <w:r w:rsidRPr="00C6170B">
              <w:rPr>
                <w:color w:val="000000" w:themeColor="text1"/>
              </w:rPr>
              <w:t>0.29</w:t>
            </w:r>
          </w:p>
        </w:tc>
        <w:tc>
          <w:tcPr>
            <w:tcW w:w="940" w:type="dxa"/>
            <w:tcBorders>
              <w:top w:val="nil"/>
              <w:left w:val="nil"/>
              <w:bottom w:val="single" w:sz="4" w:space="0" w:color="auto"/>
              <w:right w:val="single" w:sz="4" w:space="0" w:color="auto"/>
            </w:tcBorders>
            <w:shd w:val="clear" w:color="auto" w:fill="auto"/>
            <w:noWrap/>
            <w:vAlign w:val="center"/>
            <w:hideMark/>
          </w:tcPr>
          <w:p w14:paraId="70781BBF" w14:textId="77777777" w:rsidR="004F0473" w:rsidRPr="00C6170B" w:rsidRDefault="004F0473" w:rsidP="00381517">
            <w:pPr>
              <w:jc w:val="center"/>
              <w:rPr>
                <w:color w:val="000000" w:themeColor="text1"/>
              </w:rPr>
            </w:pPr>
            <w:r w:rsidRPr="00C6170B">
              <w:rPr>
                <w:color w:val="000000" w:themeColor="text1"/>
              </w:rPr>
              <w:t>0.16</w:t>
            </w:r>
          </w:p>
        </w:tc>
        <w:tc>
          <w:tcPr>
            <w:tcW w:w="940" w:type="dxa"/>
            <w:tcBorders>
              <w:top w:val="nil"/>
              <w:left w:val="nil"/>
              <w:bottom w:val="single" w:sz="4" w:space="0" w:color="auto"/>
              <w:right w:val="single" w:sz="4" w:space="0" w:color="auto"/>
            </w:tcBorders>
            <w:shd w:val="clear" w:color="auto" w:fill="auto"/>
            <w:noWrap/>
            <w:vAlign w:val="center"/>
            <w:hideMark/>
          </w:tcPr>
          <w:p w14:paraId="4ACD53D7" w14:textId="77777777" w:rsidR="004F0473" w:rsidRPr="00C6170B" w:rsidRDefault="004F0473" w:rsidP="00381517">
            <w:pPr>
              <w:jc w:val="center"/>
              <w:rPr>
                <w:color w:val="000000" w:themeColor="text1"/>
              </w:rPr>
            </w:pPr>
            <w:r w:rsidRPr="00C6170B">
              <w:rPr>
                <w:color w:val="000000" w:themeColor="text1"/>
              </w:rPr>
              <w:t>0.03</w:t>
            </w:r>
          </w:p>
        </w:tc>
      </w:tr>
      <w:tr w:rsidR="004F0473" w:rsidRPr="00C6170B" w14:paraId="2E09A248" w14:textId="77777777" w:rsidTr="00381517">
        <w:trPr>
          <w:trHeight w:val="36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6942F134" w14:textId="77777777" w:rsidR="004F0473" w:rsidRPr="00C6170B" w:rsidRDefault="004F0473" w:rsidP="00381517">
            <w:pPr>
              <w:jc w:val="center"/>
              <w:rPr>
                <w:color w:val="000000" w:themeColor="text1"/>
              </w:rPr>
            </w:pPr>
            <w:r w:rsidRPr="00C6170B">
              <w:rPr>
                <w:color w:val="000000" w:themeColor="text1"/>
              </w:rPr>
              <w:t>K</w:t>
            </w:r>
            <w:r w:rsidRPr="00C6170B">
              <w:rPr>
                <w:color w:val="000000" w:themeColor="text1"/>
                <w:vertAlign w:val="subscript"/>
              </w:rPr>
              <w:t>2</w:t>
            </w:r>
            <w:r w:rsidRPr="00C6170B">
              <w:rPr>
                <w:color w:val="000000" w:themeColor="text1"/>
              </w:rPr>
              <w:t>O</w:t>
            </w:r>
          </w:p>
        </w:tc>
        <w:tc>
          <w:tcPr>
            <w:tcW w:w="940" w:type="dxa"/>
            <w:tcBorders>
              <w:top w:val="nil"/>
              <w:left w:val="nil"/>
              <w:bottom w:val="single" w:sz="4" w:space="0" w:color="auto"/>
              <w:right w:val="single" w:sz="4" w:space="0" w:color="auto"/>
            </w:tcBorders>
            <w:shd w:val="clear" w:color="auto" w:fill="auto"/>
            <w:noWrap/>
            <w:vAlign w:val="center"/>
            <w:hideMark/>
          </w:tcPr>
          <w:p w14:paraId="482C57F1" w14:textId="77777777" w:rsidR="004F0473" w:rsidRPr="00C6170B" w:rsidRDefault="004F0473" w:rsidP="00381517">
            <w:pPr>
              <w:jc w:val="center"/>
              <w:rPr>
                <w:color w:val="000000" w:themeColor="text1"/>
              </w:rPr>
            </w:pPr>
            <w:r w:rsidRPr="00C6170B">
              <w:rPr>
                <w:color w:val="000000" w:themeColor="text1"/>
              </w:rPr>
              <w:t>0.03</w:t>
            </w:r>
          </w:p>
        </w:tc>
        <w:tc>
          <w:tcPr>
            <w:tcW w:w="940" w:type="dxa"/>
            <w:tcBorders>
              <w:top w:val="nil"/>
              <w:left w:val="nil"/>
              <w:bottom w:val="single" w:sz="4" w:space="0" w:color="auto"/>
              <w:right w:val="single" w:sz="4" w:space="0" w:color="auto"/>
            </w:tcBorders>
            <w:shd w:val="clear" w:color="auto" w:fill="auto"/>
            <w:noWrap/>
            <w:vAlign w:val="center"/>
            <w:hideMark/>
          </w:tcPr>
          <w:p w14:paraId="6836A2A6" w14:textId="77777777" w:rsidR="004F0473" w:rsidRPr="00C6170B" w:rsidRDefault="004F0473" w:rsidP="00381517">
            <w:pPr>
              <w:jc w:val="center"/>
              <w:rPr>
                <w:color w:val="000000" w:themeColor="text1"/>
              </w:rPr>
            </w:pPr>
            <w:r w:rsidRPr="00C6170B">
              <w:rPr>
                <w:color w:val="000000" w:themeColor="text1"/>
              </w:rPr>
              <w:t>0.02</w:t>
            </w:r>
          </w:p>
        </w:tc>
        <w:tc>
          <w:tcPr>
            <w:tcW w:w="940" w:type="dxa"/>
            <w:tcBorders>
              <w:top w:val="nil"/>
              <w:left w:val="nil"/>
              <w:bottom w:val="single" w:sz="4" w:space="0" w:color="auto"/>
              <w:right w:val="single" w:sz="4" w:space="0" w:color="auto"/>
            </w:tcBorders>
            <w:shd w:val="clear" w:color="auto" w:fill="auto"/>
            <w:noWrap/>
            <w:vAlign w:val="center"/>
            <w:hideMark/>
          </w:tcPr>
          <w:p w14:paraId="130A9BF0" w14:textId="77777777" w:rsidR="004F0473" w:rsidRPr="00C6170B" w:rsidRDefault="004F0473" w:rsidP="00381517">
            <w:pPr>
              <w:jc w:val="center"/>
              <w:rPr>
                <w:color w:val="000000" w:themeColor="text1"/>
              </w:rPr>
            </w:pPr>
            <w:r w:rsidRPr="00C6170B">
              <w:rPr>
                <w:color w:val="000000" w:themeColor="text1"/>
              </w:rPr>
              <w:t>0.00</w:t>
            </w:r>
          </w:p>
        </w:tc>
        <w:tc>
          <w:tcPr>
            <w:tcW w:w="940" w:type="dxa"/>
            <w:tcBorders>
              <w:top w:val="nil"/>
              <w:left w:val="nil"/>
              <w:bottom w:val="single" w:sz="4" w:space="0" w:color="auto"/>
              <w:right w:val="single" w:sz="4" w:space="0" w:color="auto"/>
            </w:tcBorders>
            <w:shd w:val="clear" w:color="auto" w:fill="auto"/>
            <w:noWrap/>
            <w:vAlign w:val="center"/>
            <w:hideMark/>
          </w:tcPr>
          <w:p w14:paraId="190D13AB" w14:textId="77777777" w:rsidR="004F0473" w:rsidRPr="00C6170B" w:rsidRDefault="004F0473" w:rsidP="00381517">
            <w:pPr>
              <w:jc w:val="center"/>
              <w:rPr>
                <w:color w:val="000000" w:themeColor="text1"/>
              </w:rPr>
            </w:pPr>
            <w:r w:rsidRPr="00C6170B">
              <w:rPr>
                <w:color w:val="000000" w:themeColor="text1"/>
              </w:rPr>
              <w:t>0.01</w:t>
            </w:r>
          </w:p>
        </w:tc>
        <w:tc>
          <w:tcPr>
            <w:tcW w:w="940" w:type="dxa"/>
            <w:tcBorders>
              <w:top w:val="nil"/>
              <w:left w:val="nil"/>
              <w:bottom w:val="single" w:sz="4" w:space="0" w:color="auto"/>
              <w:right w:val="single" w:sz="4" w:space="0" w:color="auto"/>
            </w:tcBorders>
            <w:shd w:val="clear" w:color="auto" w:fill="auto"/>
            <w:noWrap/>
            <w:vAlign w:val="center"/>
            <w:hideMark/>
          </w:tcPr>
          <w:p w14:paraId="25B8338E" w14:textId="77777777" w:rsidR="004F0473" w:rsidRPr="00C6170B" w:rsidRDefault="004F0473" w:rsidP="00381517">
            <w:pPr>
              <w:jc w:val="center"/>
              <w:rPr>
                <w:color w:val="000000" w:themeColor="text1"/>
              </w:rPr>
            </w:pPr>
            <w:r w:rsidRPr="00C6170B">
              <w:rPr>
                <w:color w:val="000000" w:themeColor="text1"/>
              </w:rPr>
              <w:t>0.01</w:t>
            </w:r>
          </w:p>
        </w:tc>
        <w:tc>
          <w:tcPr>
            <w:tcW w:w="940" w:type="dxa"/>
            <w:tcBorders>
              <w:top w:val="nil"/>
              <w:left w:val="nil"/>
              <w:bottom w:val="single" w:sz="4" w:space="0" w:color="auto"/>
              <w:right w:val="single" w:sz="4" w:space="0" w:color="auto"/>
            </w:tcBorders>
            <w:shd w:val="clear" w:color="auto" w:fill="auto"/>
            <w:noWrap/>
            <w:vAlign w:val="center"/>
            <w:hideMark/>
          </w:tcPr>
          <w:p w14:paraId="269E9D6A" w14:textId="77777777" w:rsidR="004F0473" w:rsidRPr="00C6170B" w:rsidRDefault="004F0473" w:rsidP="00381517">
            <w:pPr>
              <w:jc w:val="center"/>
              <w:rPr>
                <w:color w:val="000000" w:themeColor="text1"/>
              </w:rPr>
            </w:pPr>
            <w:r w:rsidRPr="00C6170B">
              <w:rPr>
                <w:color w:val="000000" w:themeColor="text1"/>
              </w:rPr>
              <w:t>0.00</w:t>
            </w:r>
          </w:p>
        </w:tc>
      </w:tr>
      <w:tr w:rsidR="004F0473" w:rsidRPr="00C6170B" w14:paraId="79CFE003" w14:textId="77777777" w:rsidTr="00381517">
        <w:trPr>
          <w:trHeight w:val="32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42A37587" w14:textId="77777777" w:rsidR="004F0473" w:rsidRPr="00C6170B" w:rsidRDefault="004F0473" w:rsidP="00381517">
            <w:pPr>
              <w:jc w:val="center"/>
              <w:rPr>
                <w:color w:val="000000" w:themeColor="text1"/>
              </w:rPr>
            </w:pPr>
            <w:r w:rsidRPr="00C6170B">
              <w:rPr>
                <w:color w:val="000000" w:themeColor="text1"/>
              </w:rPr>
              <w:t>Total</w:t>
            </w:r>
          </w:p>
        </w:tc>
        <w:tc>
          <w:tcPr>
            <w:tcW w:w="940" w:type="dxa"/>
            <w:tcBorders>
              <w:top w:val="nil"/>
              <w:left w:val="nil"/>
              <w:bottom w:val="single" w:sz="4" w:space="0" w:color="auto"/>
              <w:right w:val="single" w:sz="4" w:space="0" w:color="auto"/>
            </w:tcBorders>
            <w:shd w:val="clear" w:color="auto" w:fill="auto"/>
            <w:noWrap/>
            <w:vAlign w:val="center"/>
            <w:hideMark/>
          </w:tcPr>
          <w:p w14:paraId="13E09FED" w14:textId="77777777" w:rsidR="004F0473" w:rsidRPr="00C6170B" w:rsidRDefault="004F0473" w:rsidP="00381517">
            <w:pPr>
              <w:jc w:val="center"/>
              <w:rPr>
                <w:color w:val="000000" w:themeColor="text1"/>
              </w:rPr>
            </w:pPr>
            <w:r w:rsidRPr="00C6170B">
              <w:rPr>
                <w:color w:val="000000" w:themeColor="text1"/>
              </w:rPr>
              <w:t>100.00</w:t>
            </w:r>
          </w:p>
        </w:tc>
        <w:tc>
          <w:tcPr>
            <w:tcW w:w="940" w:type="dxa"/>
            <w:tcBorders>
              <w:top w:val="nil"/>
              <w:left w:val="nil"/>
              <w:bottom w:val="single" w:sz="4" w:space="0" w:color="auto"/>
              <w:right w:val="single" w:sz="4" w:space="0" w:color="auto"/>
            </w:tcBorders>
            <w:shd w:val="clear" w:color="auto" w:fill="auto"/>
            <w:noWrap/>
            <w:vAlign w:val="center"/>
            <w:hideMark/>
          </w:tcPr>
          <w:p w14:paraId="2B63FF72" w14:textId="77777777" w:rsidR="004F0473" w:rsidRPr="00C6170B" w:rsidRDefault="004F0473" w:rsidP="00381517">
            <w:pPr>
              <w:jc w:val="center"/>
              <w:rPr>
                <w:color w:val="000000" w:themeColor="text1"/>
              </w:rPr>
            </w:pPr>
            <w:r w:rsidRPr="00C6170B">
              <w:rPr>
                <w:color w:val="000000" w:themeColor="text1"/>
              </w:rPr>
              <w:t>100.00</w:t>
            </w:r>
          </w:p>
        </w:tc>
        <w:tc>
          <w:tcPr>
            <w:tcW w:w="940" w:type="dxa"/>
            <w:tcBorders>
              <w:top w:val="nil"/>
              <w:left w:val="nil"/>
              <w:bottom w:val="single" w:sz="4" w:space="0" w:color="auto"/>
              <w:right w:val="single" w:sz="4" w:space="0" w:color="auto"/>
            </w:tcBorders>
            <w:shd w:val="clear" w:color="auto" w:fill="auto"/>
            <w:noWrap/>
            <w:vAlign w:val="center"/>
            <w:hideMark/>
          </w:tcPr>
          <w:p w14:paraId="364B82AB" w14:textId="77777777" w:rsidR="004F0473" w:rsidRPr="00C6170B" w:rsidRDefault="004F0473" w:rsidP="00381517">
            <w:pPr>
              <w:jc w:val="center"/>
              <w:rPr>
                <w:color w:val="000000" w:themeColor="text1"/>
              </w:rPr>
            </w:pPr>
            <w:r w:rsidRPr="00C6170B">
              <w:rPr>
                <w:color w:val="000000" w:themeColor="text1"/>
              </w:rPr>
              <w:t>100.00</w:t>
            </w:r>
          </w:p>
        </w:tc>
        <w:tc>
          <w:tcPr>
            <w:tcW w:w="940" w:type="dxa"/>
            <w:tcBorders>
              <w:top w:val="nil"/>
              <w:left w:val="nil"/>
              <w:bottom w:val="single" w:sz="4" w:space="0" w:color="auto"/>
              <w:right w:val="single" w:sz="4" w:space="0" w:color="auto"/>
            </w:tcBorders>
            <w:shd w:val="clear" w:color="auto" w:fill="auto"/>
            <w:noWrap/>
            <w:vAlign w:val="center"/>
            <w:hideMark/>
          </w:tcPr>
          <w:p w14:paraId="09E0B430" w14:textId="77777777" w:rsidR="004F0473" w:rsidRPr="00C6170B" w:rsidRDefault="004F0473" w:rsidP="00381517">
            <w:pPr>
              <w:jc w:val="center"/>
              <w:rPr>
                <w:color w:val="000000" w:themeColor="text1"/>
              </w:rPr>
            </w:pPr>
            <w:r w:rsidRPr="00C6170B">
              <w:rPr>
                <w:color w:val="000000" w:themeColor="text1"/>
              </w:rPr>
              <w:t>100.00</w:t>
            </w:r>
          </w:p>
        </w:tc>
        <w:tc>
          <w:tcPr>
            <w:tcW w:w="940" w:type="dxa"/>
            <w:tcBorders>
              <w:top w:val="nil"/>
              <w:left w:val="nil"/>
              <w:bottom w:val="single" w:sz="4" w:space="0" w:color="auto"/>
              <w:right w:val="single" w:sz="4" w:space="0" w:color="auto"/>
            </w:tcBorders>
            <w:shd w:val="clear" w:color="auto" w:fill="auto"/>
            <w:noWrap/>
            <w:vAlign w:val="center"/>
            <w:hideMark/>
          </w:tcPr>
          <w:p w14:paraId="0C6D55A8" w14:textId="77777777" w:rsidR="004F0473" w:rsidRPr="00C6170B" w:rsidRDefault="004F0473" w:rsidP="00381517">
            <w:pPr>
              <w:jc w:val="center"/>
              <w:rPr>
                <w:color w:val="000000" w:themeColor="text1"/>
              </w:rPr>
            </w:pPr>
            <w:r w:rsidRPr="00C6170B">
              <w:rPr>
                <w:color w:val="000000" w:themeColor="text1"/>
              </w:rPr>
              <w:t>100.00</w:t>
            </w:r>
          </w:p>
        </w:tc>
        <w:tc>
          <w:tcPr>
            <w:tcW w:w="940" w:type="dxa"/>
            <w:tcBorders>
              <w:top w:val="nil"/>
              <w:left w:val="nil"/>
              <w:bottom w:val="single" w:sz="4" w:space="0" w:color="auto"/>
              <w:right w:val="single" w:sz="4" w:space="0" w:color="auto"/>
            </w:tcBorders>
            <w:shd w:val="clear" w:color="auto" w:fill="auto"/>
            <w:noWrap/>
            <w:vAlign w:val="center"/>
            <w:hideMark/>
          </w:tcPr>
          <w:p w14:paraId="597BB4B1" w14:textId="77777777" w:rsidR="004F0473" w:rsidRPr="00C6170B" w:rsidRDefault="004F0473" w:rsidP="00381517">
            <w:pPr>
              <w:jc w:val="center"/>
              <w:rPr>
                <w:color w:val="000000" w:themeColor="text1"/>
              </w:rPr>
            </w:pPr>
            <w:r w:rsidRPr="00C6170B">
              <w:rPr>
                <w:color w:val="000000" w:themeColor="text1"/>
              </w:rPr>
              <w:t>100.00</w:t>
            </w:r>
          </w:p>
        </w:tc>
      </w:tr>
      <w:tr w:rsidR="004F0473" w:rsidRPr="00C6170B" w14:paraId="40DEEC2B" w14:textId="77777777" w:rsidTr="00381517">
        <w:trPr>
          <w:trHeight w:val="32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36D1BAA4" w14:textId="77777777" w:rsidR="004F0473" w:rsidRPr="00C6170B" w:rsidRDefault="004F0473" w:rsidP="00381517">
            <w:pPr>
              <w:jc w:val="center"/>
              <w:rPr>
                <w:color w:val="000000" w:themeColor="text1"/>
              </w:rPr>
            </w:pPr>
            <w:r w:rsidRPr="00C6170B">
              <w:rPr>
                <w:color w:val="000000" w:themeColor="text1"/>
              </w:rPr>
              <w:t>Mg#</w:t>
            </w:r>
          </w:p>
        </w:tc>
        <w:tc>
          <w:tcPr>
            <w:tcW w:w="940" w:type="dxa"/>
            <w:tcBorders>
              <w:top w:val="nil"/>
              <w:left w:val="nil"/>
              <w:bottom w:val="single" w:sz="4" w:space="0" w:color="auto"/>
              <w:right w:val="single" w:sz="4" w:space="0" w:color="auto"/>
            </w:tcBorders>
            <w:shd w:val="clear" w:color="auto" w:fill="auto"/>
            <w:noWrap/>
            <w:vAlign w:val="center"/>
            <w:hideMark/>
          </w:tcPr>
          <w:p w14:paraId="26F2009E" w14:textId="77777777" w:rsidR="004F0473" w:rsidRPr="00C6170B" w:rsidRDefault="004F0473" w:rsidP="00381517">
            <w:pPr>
              <w:jc w:val="center"/>
              <w:rPr>
                <w:color w:val="000000" w:themeColor="text1"/>
              </w:rPr>
            </w:pPr>
            <w:r w:rsidRPr="00C6170B">
              <w:rPr>
                <w:color w:val="000000" w:themeColor="text1"/>
              </w:rPr>
              <w:t>16.46</w:t>
            </w:r>
          </w:p>
        </w:tc>
        <w:tc>
          <w:tcPr>
            <w:tcW w:w="940" w:type="dxa"/>
            <w:tcBorders>
              <w:top w:val="nil"/>
              <w:left w:val="nil"/>
              <w:bottom w:val="single" w:sz="4" w:space="0" w:color="auto"/>
              <w:right w:val="single" w:sz="4" w:space="0" w:color="auto"/>
            </w:tcBorders>
            <w:shd w:val="clear" w:color="auto" w:fill="auto"/>
            <w:noWrap/>
            <w:vAlign w:val="center"/>
            <w:hideMark/>
          </w:tcPr>
          <w:p w14:paraId="2D0E7B7A" w14:textId="77777777" w:rsidR="004F0473" w:rsidRPr="00C6170B" w:rsidRDefault="004F0473" w:rsidP="00381517">
            <w:pPr>
              <w:jc w:val="center"/>
              <w:rPr>
                <w:color w:val="000000" w:themeColor="text1"/>
              </w:rPr>
            </w:pPr>
            <w:r w:rsidRPr="00C6170B">
              <w:rPr>
                <w:color w:val="000000" w:themeColor="text1"/>
              </w:rPr>
              <w:t>16.49</w:t>
            </w:r>
          </w:p>
        </w:tc>
        <w:tc>
          <w:tcPr>
            <w:tcW w:w="940" w:type="dxa"/>
            <w:tcBorders>
              <w:top w:val="nil"/>
              <w:left w:val="nil"/>
              <w:bottom w:val="single" w:sz="4" w:space="0" w:color="auto"/>
              <w:right w:val="single" w:sz="4" w:space="0" w:color="auto"/>
            </w:tcBorders>
            <w:shd w:val="clear" w:color="auto" w:fill="auto"/>
            <w:noWrap/>
            <w:vAlign w:val="center"/>
            <w:hideMark/>
          </w:tcPr>
          <w:p w14:paraId="1FA3B523" w14:textId="77777777" w:rsidR="004F0473" w:rsidRPr="00C6170B" w:rsidRDefault="004F0473" w:rsidP="00381517">
            <w:pPr>
              <w:jc w:val="center"/>
              <w:rPr>
                <w:color w:val="000000" w:themeColor="text1"/>
              </w:rPr>
            </w:pPr>
            <w:r w:rsidRPr="00C6170B">
              <w:rPr>
                <w:color w:val="000000" w:themeColor="text1"/>
              </w:rPr>
              <w:t>16.51</w:t>
            </w:r>
          </w:p>
        </w:tc>
        <w:tc>
          <w:tcPr>
            <w:tcW w:w="940" w:type="dxa"/>
            <w:tcBorders>
              <w:top w:val="nil"/>
              <w:left w:val="nil"/>
              <w:bottom w:val="single" w:sz="4" w:space="0" w:color="auto"/>
              <w:right w:val="single" w:sz="4" w:space="0" w:color="auto"/>
            </w:tcBorders>
            <w:shd w:val="clear" w:color="auto" w:fill="auto"/>
            <w:noWrap/>
            <w:vAlign w:val="center"/>
            <w:hideMark/>
          </w:tcPr>
          <w:p w14:paraId="6668D3EF" w14:textId="77777777" w:rsidR="004F0473" w:rsidRPr="00C6170B" w:rsidRDefault="004F0473" w:rsidP="00381517">
            <w:pPr>
              <w:jc w:val="center"/>
              <w:rPr>
                <w:color w:val="000000" w:themeColor="text1"/>
              </w:rPr>
            </w:pPr>
            <w:r w:rsidRPr="00C6170B">
              <w:rPr>
                <w:color w:val="000000" w:themeColor="text1"/>
              </w:rPr>
              <w:t>53.47</w:t>
            </w:r>
          </w:p>
        </w:tc>
        <w:tc>
          <w:tcPr>
            <w:tcW w:w="940" w:type="dxa"/>
            <w:tcBorders>
              <w:top w:val="nil"/>
              <w:left w:val="nil"/>
              <w:bottom w:val="single" w:sz="4" w:space="0" w:color="auto"/>
              <w:right w:val="single" w:sz="4" w:space="0" w:color="auto"/>
            </w:tcBorders>
            <w:shd w:val="clear" w:color="auto" w:fill="auto"/>
            <w:noWrap/>
            <w:vAlign w:val="center"/>
            <w:hideMark/>
          </w:tcPr>
          <w:p w14:paraId="5E9757F5" w14:textId="77777777" w:rsidR="004F0473" w:rsidRPr="00C6170B" w:rsidRDefault="004F0473" w:rsidP="00381517">
            <w:pPr>
              <w:jc w:val="center"/>
              <w:rPr>
                <w:color w:val="000000" w:themeColor="text1"/>
              </w:rPr>
            </w:pPr>
            <w:r w:rsidRPr="00C6170B">
              <w:rPr>
                <w:color w:val="000000" w:themeColor="text1"/>
              </w:rPr>
              <w:t>53.59</w:t>
            </w:r>
          </w:p>
        </w:tc>
        <w:tc>
          <w:tcPr>
            <w:tcW w:w="940" w:type="dxa"/>
            <w:tcBorders>
              <w:top w:val="nil"/>
              <w:left w:val="nil"/>
              <w:bottom w:val="single" w:sz="4" w:space="0" w:color="auto"/>
              <w:right w:val="single" w:sz="4" w:space="0" w:color="auto"/>
            </w:tcBorders>
            <w:shd w:val="clear" w:color="auto" w:fill="auto"/>
            <w:noWrap/>
            <w:vAlign w:val="center"/>
            <w:hideMark/>
          </w:tcPr>
          <w:p w14:paraId="6F162D90" w14:textId="77777777" w:rsidR="004F0473" w:rsidRPr="00C6170B" w:rsidRDefault="004F0473" w:rsidP="00381517">
            <w:pPr>
              <w:jc w:val="center"/>
              <w:rPr>
                <w:color w:val="000000" w:themeColor="text1"/>
              </w:rPr>
            </w:pPr>
            <w:r w:rsidRPr="00C6170B">
              <w:rPr>
                <w:color w:val="000000" w:themeColor="text1"/>
              </w:rPr>
              <w:t>53.69</w:t>
            </w:r>
          </w:p>
        </w:tc>
      </w:tr>
    </w:tbl>
    <w:p w14:paraId="4316F507" w14:textId="77777777" w:rsidR="004F0473" w:rsidRPr="00557062" w:rsidRDefault="004F0473" w:rsidP="004F0473">
      <w:pPr>
        <w:rPr>
          <w:color w:val="000000" w:themeColor="text1"/>
        </w:rPr>
      </w:pPr>
      <w:r w:rsidRPr="00C6170B">
        <w:rPr>
          <w:color w:val="000000" w:themeColor="text1"/>
        </w:rPr>
        <w:t>Major element compositions were estimated using the modal mineral proportions from models in this study and experimental mineral compositions from Charlier et al. (2018).</w:t>
      </w:r>
    </w:p>
    <w:p w14:paraId="62C2EB5A" w14:textId="77777777" w:rsidR="004F0473" w:rsidRPr="00557062" w:rsidRDefault="004F0473" w:rsidP="004F0473">
      <w:pPr>
        <w:rPr>
          <w:color w:val="000000" w:themeColor="text1"/>
        </w:rPr>
      </w:pPr>
      <w:r w:rsidRPr="00C6170B">
        <w:rPr>
          <w:color w:val="000000" w:themeColor="text1"/>
        </w:rPr>
        <w:t>IBC #1 represents the composition of IBC material if no pre-overturn mixing occurred.</w:t>
      </w:r>
    </w:p>
    <w:p w14:paraId="0EE5F750" w14:textId="6ACBC56B" w:rsidR="004F0473" w:rsidRDefault="004F0473" w:rsidP="004F0473">
      <w:pPr>
        <w:rPr>
          <w:color w:val="000000" w:themeColor="text1"/>
        </w:rPr>
      </w:pPr>
      <w:r w:rsidRPr="00C6170B">
        <w:rPr>
          <w:color w:val="000000" w:themeColor="text1"/>
        </w:rPr>
        <w:t>IBC #2 represents the composition of IBC material if pre-overturn mixing occurred in the upper 100 km of the lunar mantle.</w:t>
      </w:r>
      <w:r>
        <w:rPr>
          <w:color w:val="000000" w:themeColor="text1"/>
        </w:rPr>
        <w:br w:type="page"/>
      </w:r>
    </w:p>
    <w:p w14:paraId="5625DF11" w14:textId="05EB8052" w:rsidR="00A063DE" w:rsidRDefault="00A063DE" w:rsidP="00A063DE">
      <w:pPr>
        <w:spacing w:line="480" w:lineRule="auto"/>
        <w:rPr>
          <w:color w:val="000000" w:themeColor="text1"/>
        </w:rPr>
      </w:pPr>
      <w:r w:rsidRPr="00557062">
        <w:rPr>
          <w:color w:val="000000" w:themeColor="text1"/>
        </w:rPr>
        <w:lastRenderedPageBreak/>
        <w:t>In contrast, the models for IBC #2 indicate that garnet should be stable at all modeled floatation efficiencies (</w:t>
      </w:r>
      <w:r w:rsidRPr="006409FA">
        <w:rPr>
          <w:b/>
          <w:bCs/>
          <w:color w:val="000000" w:themeColor="text1"/>
        </w:rPr>
        <w:t>Figure 2.6b</w:t>
      </w:r>
      <w:r w:rsidRPr="00557062">
        <w:rPr>
          <w:color w:val="000000" w:themeColor="text1"/>
        </w:rPr>
        <w:t xml:space="preserve">). While garnet abundance differs between the two modeled IBC compositions, the overall mineralogy of these cumulates also differs remarkably. The models indicate IBC #1 would have a Fe-Ti oxide-rich clinopyroxenitic mineralogy </w:t>
      </w:r>
      <m:oMath>
        <m:r>
          <w:rPr>
            <w:rFonts w:ascii="Cambria Math" w:hAnsi="Cambria Math"/>
            <w:color w:val="000000" w:themeColor="text1"/>
          </w:rPr>
          <m:t>±</m:t>
        </m:r>
      </m:oMath>
      <w:r w:rsidRPr="00557062">
        <w:rPr>
          <w:color w:val="000000" w:themeColor="text1"/>
        </w:rPr>
        <w:t xml:space="preserve"> garnet (depending on the floatation efficiency). In contrast, IBC #2 would have a relatively Fe-Ti oxide-poor pyroxenitic composition with highly variable garnet abundances (</w:t>
      </w:r>
      <w:r w:rsidRPr="006409FA">
        <w:rPr>
          <w:b/>
          <w:bCs/>
          <w:color w:val="000000" w:themeColor="text1"/>
        </w:rPr>
        <w:t>Figure 2.6</w:t>
      </w:r>
      <w:r w:rsidRPr="00557062">
        <w:rPr>
          <w:color w:val="000000" w:themeColor="text1"/>
        </w:rPr>
        <w:t>). The difference in Fe-Ti oxide abundances may play an important role in the hybridization process as the melts produced by a hybridized source need to reach ~3-16 wt% TiO</w:t>
      </w:r>
      <w:r w:rsidRPr="00557062">
        <w:rPr>
          <w:color w:val="000000" w:themeColor="text1"/>
          <w:vertAlign w:val="subscript"/>
        </w:rPr>
        <w:t>2</w:t>
      </w:r>
      <w:r w:rsidRPr="00557062">
        <w:rPr>
          <w:color w:val="000000" w:themeColor="text1"/>
        </w:rPr>
        <w:t xml:space="preserve"> depending on the picritic glass group.</w:t>
      </w:r>
    </w:p>
    <w:p w14:paraId="0AAF969A" w14:textId="77777777" w:rsidR="00A063DE" w:rsidRPr="00557062" w:rsidRDefault="00A063DE" w:rsidP="00A063DE">
      <w:pPr>
        <w:pStyle w:val="Heading3"/>
      </w:pPr>
      <w:bookmarkStart w:id="296" w:name="_Toc182995481"/>
      <w:bookmarkStart w:id="297" w:name="_Toc183536599"/>
      <w:bookmarkStart w:id="298" w:name="_Toc184727403"/>
      <w:bookmarkStart w:id="299" w:name="_Toc185325650"/>
      <w:r w:rsidRPr="00557062">
        <w:t>Partial Melting of Downwelling IBC</w:t>
      </w:r>
      <w:bookmarkEnd w:id="296"/>
      <w:bookmarkEnd w:id="297"/>
      <w:bookmarkEnd w:id="298"/>
      <w:bookmarkEnd w:id="299"/>
    </w:p>
    <w:p w14:paraId="0D31553C" w14:textId="77777777" w:rsidR="00A063DE" w:rsidRDefault="00A063DE" w:rsidP="00A063DE">
      <w:pPr>
        <w:spacing w:line="480" w:lineRule="auto"/>
        <w:ind w:firstLine="720"/>
        <w:rPr>
          <w:color w:val="000000" w:themeColor="text1"/>
        </w:rPr>
      </w:pPr>
      <w:r w:rsidRPr="00557062">
        <w:rPr>
          <w:color w:val="000000" w:themeColor="text1"/>
        </w:rPr>
        <w:t>Three of the six models in this study assume partial melting of downwelling IBC occurs during cumulate mantle overturn at an assumed pressure of 2 GPa and temperature of 1300ºC. For partial melts of IBC, we assume the downwelling IBC underwent 25% partial melting to account for the LREE depletion exhibited by the picritic glass source. All partial melting models use LMO cumulate compositions from the 90% plagioclase floatation LMO solidification model for the reasons discussed below.</w:t>
      </w:r>
    </w:p>
    <w:p w14:paraId="14A14A64" w14:textId="164A117F" w:rsidR="00A063DE" w:rsidRDefault="00A063DE" w:rsidP="00A063DE">
      <w:pPr>
        <w:spacing w:line="480" w:lineRule="auto"/>
        <w:ind w:firstLine="720"/>
        <w:rPr>
          <w:color w:val="000000" w:themeColor="text1"/>
        </w:rPr>
      </w:pPr>
      <w:r w:rsidRPr="00557062">
        <w:rPr>
          <w:color w:val="000000" w:themeColor="text1"/>
        </w:rPr>
        <w:t>The minimum floatation efficiency possible during LMO solidification is likely close to 90% because, unlike the low-Ti picritic glasses, the high-Ti picritic glasses can’t form directly from partial melting of the early LMO cumulate layers due to their high-Ti content and elevated REE abundances.</w:t>
      </w:r>
    </w:p>
    <w:p w14:paraId="3CAB4AB9" w14:textId="2F6B4D77" w:rsidR="00A063DE" w:rsidRDefault="00A063DE" w:rsidP="00A063DE">
      <w:pPr>
        <w:rPr>
          <w:color w:val="000000" w:themeColor="text1"/>
        </w:rPr>
      </w:pPr>
      <w:r>
        <w:rPr>
          <w:color w:val="000000" w:themeColor="text1"/>
        </w:rPr>
        <w:br w:type="page"/>
      </w:r>
    </w:p>
    <w:p w14:paraId="258A24E5" w14:textId="3FB61BD1" w:rsidR="007F285B" w:rsidRDefault="007F285B" w:rsidP="007F285B">
      <w:pPr>
        <w:pStyle w:val="FigureCaption"/>
      </w:pPr>
      <w:bookmarkStart w:id="300" w:name="_Toc182944866"/>
      <w:bookmarkStart w:id="301" w:name="_Toc183019413"/>
      <w:bookmarkStart w:id="302" w:name="_Toc185263423"/>
      <w:r w:rsidRPr="006F51B7">
        <w:rPr>
          <w:b/>
          <w:bCs/>
        </w:rPr>
        <w:lastRenderedPageBreak/>
        <w:t>Figure 2.6.</w:t>
      </w:r>
      <w:r w:rsidRPr="00557062">
        <w:t xml:space="preserve"> </w:t>
      </w:r>
      <w:r w:rsidRPr="00A772F3">
        <w:t>IBC mineralogy at 1150</w:t>
      </w:r>
      <w:r w:rsidRPr="00A772F3">
        <w:sym w:font="Symbol" w:char="F0B0"/>
      </w:r>
      <w:r w:rsidRPr="00A772F3">
        <w:t>C and 2 GPa calculated using thermodynamic models assuming plagioclase floatation efficiencies of 80-98%. (a) Modal mineralogy of the downwelling IBC, assuming no pre-overturn mixing in the upper mantle (i.e., IBC #1). (b) Modal mineralogy of the downwelling IBC, assuming pre-overturn mixing in the upper 100 km of the lunar mantle (i.e., IBC #2). The composition of LMO cumulate material was estimated using the mineral compositions of LMO solidification experiments (Charlier et al., 2018: see Table 2.2 for referenced experiments) and the modal mineral proportions for the initial magma ocean cumulates (Tables B1-B3). Estimated IBC cumulate compositions can be found in Table 2.5. Olivine (Ol), Orthopyroxene (Opx), Clinopyroxene (Cpx), Garnet (Grnt), Ilmenite (Ilm), Ulvöspinel (Usp), Quartz (Qtz). These thermodynamic models demonstrate that plagioclase floatation significantly impacts the stability of garnet in downwelling cumulates at high pressures in the range of estimated lunar melt sources.</w:t>
      </w:r>
      <w:bookmarkEnd w:id="300"/>
      <w:bookmarkEnd w:id="301"/>
      <w:bookmarkEnd w:id="302"/>
    </w:p>
    <w:p w14:paraId="5F2F09CC" w14:textId="6A16D7B2" w:rsidR="004F0473" w:rsidRPr="007F285B" w:rsidRDefault="00FB1476" w:rsidP="007F285B">
      <w:pPr>
        <w:spacing w:line="480" w:lineRule="auto"/>
        <w:jc w:val="center"/>
        <w:rPr>
          <w:color w:val="000000" w:themeColor="text1"/>
        </w:rPr>
      </w:pPr>
      <w:r>
        <w:rPr>
          <w:noProof/>
          <w:color w:val="000000" w:themeColor="text1"/>
        </w:rPr>
        <w:lastRenderedPageBreak/>
        <w:drawing>
          <wp:inline distT="0" distB="0" distL="0" distR="0" wp14:anchorId="17DDE3C3" wp14:editId="7EF8B7CE">
            <wp:extent cx="5133066" cy="7719934"/>
            <wp:effectExtent l="0" t="0" r="0" b="1905"/>
            <wp:docPr id="113916012" name="Picture 47"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6012" name="Picture 47" descr="A diagram of a graph&#10;&#10;Description automatically generated with medium confidence"/>
                    <pic:cNvPicPr/>
                  </pic:nvPicPr>
                  <pic:blipFill>
                    <a:blip r:embed="rId196" cstate="print">
                      <a:extLst>
                        <a:ext uri="{28A0092B-C50C-407E-A947-70E740481C1C}">
                          <a14:useLocalDpi xmlns:a14="http://schemas.microsoft.com/office/drawing/2010/main" val="0"/>
                        </a:ext>
                      </a:extLst>
                    </a:blip>
                    <a:stretch>
                      <a:fillRect/>
                    </a:stretch>
                  </pic:blipFill>
                  <pic:spPr>
                    <a:xfrm>
                      <a:off x="0" y="0"/>
                      <a:ext cx="5135727" cy="7723936"/>
                    </a:xfrm>
                    <a:prstGeom prst="rect">
                      <a:avLst/>
                    </a:prstGeom>
                  </pic:spPr>
                </pic:pic>
              </a:graphicData>
            </a:graphic>
          </wp:inline>
        </w:drawing>
      </w:r>
      <w:r w:rsidR="004F0473">
        <w:br w:type="page"/>
      </w:r>
    </w:p>
    <w:p w14:paraId="623C72DE" w14:textId="5D621199" w:rsidR="00F45F47" w:rsidRDefault="00F45F47" w:rsidP="00A063DE">
      <w:pPr>
        <w:spacing w:line="480" w:lineRule="auto"/>
        <w:rPr>
          <w:color w:val="000000" w:themeColor="text1"/>
        </w:rPr>
      </w:pPr>
      <w:r w:rsidRPr="00557062">
        <w:rPr>
          <w:color w:val="000000" w:themeColor="text1"/>
        </w:rPr>
        <w:lastRenderedPageBreak/>
        <w:t xml:space="preserve">The high-Ti picritic glasses also can’t form directly from the late crystallizing IBC (i.e., cumulate Layer #6) because the estimated Mg# of this layer would be too low to produce the high-Ti picritic glasses (see section </w:t>
      </w:r>
      <w:r w:rsidR="006E3142">
        <w:rPr>
          <w:color w:val="000000" w:themeColor="text1"/>
        </w:rPr>
        <w:t>2.</w:t>
      </w:r>
      <w:r w:rsidRPr="00557062">
        <w:rPr>
          <w:color w:val="000000" w:themeColor="text1"/>
        </w:rPr>
        <w:t>3.3 for further discussion). This means that their source needs to be hybridized to some extent and contain some amount of material from late crystallizing mantle cumulate layers (cumulate layers #5 and #6) that would be significantly affected by the floatation efficiency plagioclase and early crystallizing Mg-rich material. Partial melting calculations for garnet-free IBC materials and garnet-free hybridized mantle sources indicate that floatation efficiencies &gt;90% would be required for melts to obtain Eu/Eu* values within the range of high-Ti picritic glasses even if the hybridized source is composed of 20% IBC material and 80% LMO cumulate layer #2 material (</w:t>
      </w:r>
      <w:r w:rsidRPr="006E3142">
        <w:rPr>
          <w:b/>
          <w:bCs/>
          <w:color w:val="000000" w:themeColor="text1"/>
        </w:rPr>
        <w:t xml:space="preserve">Figure </w:t>
      </w:r>
      <w:r w:rsidR="006E3142" w:rsidRPr="006E3142">
        <w:rPr>
          <w:b/>
          <w:bCs/>
          <w:color w:val="000000" w:themeColor="text1"/>
        </w:rPr>
        <w:t>2.</w:t>
      </w:r>
      <w:r w:rsidRPr="006E3142">
        <w:rPr>
          <w:b/>
          <w:bCs/>
          <w:color w:val="000000" w:themeColor="text1"/>
        </w:rPr>
        <w:t>7</w:t>
      </w:r>
      <w:r w:rsidRPr="00557062">
        <w:rPr>
          <w:color w:val="000000" w:themeColor="text1"/>
        </w:rPr>
        <w:t>).</w:t>
      </w:r>
    </w:p>
    <w:p w14:paraId="215AAAD4" w14:textId="7F629A0C" w:rsidR="006B3E20" w:rsidRDefault="006B3E20" w:rsidP="006B3E20">
      <w:pPr>
        <w:spacing w:line="480" w:lineRule="auto"/>
        <w:ind w:firstLine="720"/>
        <w:rPr>
          <w:color w:val="000000" w:themeColor="text1"/>
        </w:rPr>
      </w:pPr>
      <w:r w:rsidRPr="00557062">
        <w:rPr>
          <w:color w:val="000000" w:themeColor="text1"/>
        </w:rPr>
        <w:t>For partial melting of a garnet-free downwelling IBC, we make the simplifying assumption that the plagioclase in the IBC becomes Cpx during overturn. For a garnet-bearing downwelling IBC, we tested variable garnet abundances between 0.25-5%. Thermodynamic models described in section (</w:t>
      </w:r>
      <w:r>
        <w:rPr>
          <w:color w:val="000000" w:themeColor="text1"/>
        </w:rPr>
        <w:t>2.</w:t>
      </w:r>
      <w:r w:rsidRPr="00557062">
        <w:rPr>
          <w:color w:val="000000" w:themeColor="text1"/>
        </w:rPr>
        <w:t xml:space="preserve">3.1.) indicate that high-pressure decomposition of plagioclase does not form Cpx or garnet in equal proportions, and garnet abundances in IBC material could range from 0% to 9% for plagioclase floatation efficiencies </w:t>
      </w:r>
      <m:oMath>
        <m:r>
          <w:rPr>
            <w:rFonts w:ascii="Cambria Math" w:hAnsi="Cambria Math"/>
            <w:color w:val="000000" w:themeColor="text1"/>
          </w:rPr>
          <m:t>≥</m:t>
        </m:r>
      </m:oMath>
      <w:r w:rsidRPr="00557062">
        <w:rPr>
          <w:rFonts w:eastAsiaTheme="minorEastAsia"/>
          <w:color w:val="000000" w:themeColor="text1"/>
        </w:rPr>
        <w:t>90%</w:t>
      </w:r>
      <w:r w:rsidRPr="00557062">
        <w:rPr>
          <w:color w:val="000000" w:themeColor="text1"/>
        </w:rPr>
        <w:t>. Given the current goals of exploring elemental and isotopic fractionation produced by different hybridized lunar mantle sources and testing the effects of hybridization processes proposed by Schmidt and Kraettlli (2022) and Scholpp and Dygert (2024</w:t>
      </w:r>
      <w:r>
        <w:rPr>
          <w:color w:val="000000" w:themeColor="text1"/>
        </w:rPr>
        <w:t>a</w:t>
      </w:r>
      <w:r w:rsidRPr="00557062">
        <w:rPr>
          <w:color w:val="000000" w:themeColor="text1"/>
        </w:rPr>
        <w:t xml:space="preserve">), our assumptions are justified. </w:t>
      </w:r>
    </w:p>
    <w:p w14:paraId="7F90DEEA" w14:textId="48BBCB5D" w:rsidR="00A15118" w:rsidRDefault="00A15118">
      <w:pPr>
        <w:rPr>
          <w:color w:val="000000" w:themeColor="text1"/>
        </w:rPr>
      </w:pPr>
      <w:r>
        <w:rPr>
          <w:color w:val="000000" w:themeColor="text1"/>
        </w:rPr>
        <w:br w:type="page"/>
      </w:r>
    </w:p>
    <w:p w14:paraId="6315C28C" w14:textId="77777777" w:rsidR="00DB2E7D" w:rsidRDefault="00DB2E7D">
      <w:pPr>
        <w:rPr>
          <w:color w:val="000000" w:themeColor="text1"/>
        </w:rPr>
      </w:pPr>
      <w:r>
        <w:rPr>
          <w:noProof/>
          <w:color w:val="000000" w:themeColor="text1"/>
        </w:rPr>
        <w:lastRenderedPageBreak/>
        <w:drawing>
          <wp:inline distT="0" distB="0" distL="0" distR="0" wp14:anchorId="6D8CDCD1" wp14:editId="2EF3AEBE">
            <wp:extent cx="5486400" cy="2284730"/>
            <wp:effectExtent l="0" t="0" r="0" b="1270"/>
            <wp:docPr id="236230104" name="Picture 48" descr="A graph of different types of wa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230104" name="Picture 48" descr="A graph of different types of water&#10;&#10;Description automatically generated with medium confidence"/>
                    <pic:cNvPicPr/>
                  </pic:nvPicPr>
                  <pic:blipFill>
                    <a:blip r:embed="rId197" cstate="print">
                      <a:extLst>
                        <a:ext uri="{28A0092B-C50C-407E-A947-70E740481C1C}">
                          <a14:useLocalDpi xmlns:a14="http://schemas.microsoft.com/office/drawing/2010/main" val="0"/>
                        </a:ext>
                      </a:extLst>
                    </a:blip>
                    <a:stretch>
                      <a:fillRect/>
                    </a:stretch>
                  </pic:blipFill>
                  <pic:spPr>
                    <a:xfrm>
                      <a:off x="0" y="0"/>
                      <a:ext cx="5486400" cy="2284730"/>
                    </a:xfrm>
                    <a:prstGeom prst="rect">
                      <a:avLst/>
                    </a:prstGeom>
                  </pic:spPr>
                </pic:pic>
              </a:graphicData>
            </a:graphic>
          </wp:inline>
        </w:drawing>
      </w:r>
    </w:p>
    <w:p w14:paraId="34DE0544" w14:textId="365D5F55" w:rsidR="00DB2E7D" w:rsidRDefault="00DB2E7D" w:rsidP="00DE4EE0">
      <w:pPr>
        <w:pStyle w:val="FigureCaption"/>
      </w:pPr>
      <w:bookmarkStart w:id="303" w:name="_Toc182944867"/>
      <w:bookmarkStart w:id="304" w:name="_Toc183019414"/>
      <w:bookmarkStart w:id="305" w:name="_Toc185263424"/>
      <w:r w:rsidRPr="00DE4EE0">
        <w:rPr>
          <w:b/>
          <w:bCs/>
        </w:rPr>
        <w:t>Figure 2.7.</w:t>
      </w:r>
      <w:r w:rsidRPr="00557062">
        <w:t xml:space="preserve"> </w:t>
      </w:r>
      <w:r w:rsidRPr="004343CA">
        <w:t>Models demonstrating the effect of plagioclase floatation and ƒO</w:t>
      </w:r>
      <w:r w:rsidRPr="004343CA">
        <w:rPr>
          <w:vertAlign w:val="subscript"/>
        </w:rPr>
        <w:t>2</w:t>
      </w:r>
      <w:r w:rsidRPr="004343CA">
        <w:t xml:space="preserve"> on Eu anomaly (Eu/Eu*) formation in partial melts of garnet-free IBC material and garnet-free hybridized sources. (a) modeled Eu/Eu* for partial melts of overturned IBC material with and without IBC thickening during LMO solidification. The estimated compositions of IBC #1 (i.e., Thin IBC), IBC #2 (Thickened IBC), LMO cumulate layer #1 (i.e., EMOC), and LMO cumulate layer #2 are presented in Table 2.3. (b) modeled Eu/Eu* for partial melts of three hybridized mantle sources. All models in this figure show the Eu/Eu* at 5%-25% partial melting for the cumulate layer. Eu* is interpolated using the chondrite normalized concentrations of Sm and Gd (i.e., Sm</w:t>
      </w:r>
      <w:r w:rsidRPr="004343CA">
        <w:rPr>
          <w:vertAlign w:val="subscript"/>
        </w:rPr>
        <w:t>N</w:t>
      </w:r>
      <w:r w:rsidRPr="004343CA">
        <w:t xml:space="preserve"> and Gd</w:t>
      </w:r>
      <w:r w:rsidRPr="004343CA">
        <w:rPr>
          <w:vertAlign w:val="subscript"/>
        </w:rPr>
        <w:t>N</w:t>
      </w:r>
      <w:r w:rsidRPr="004343CA">
        <w:t>) (</w:t>
      </w:r>
      <m:oMath>
        <m:sSup>
          <m:sSupPr>
            <m:ctrlPr>
              <w:rPr>
                <w:rFonts w:ascii="Cambria Math" w:eastAsiaTheme="minorHAnsi" w:hAnsi="Cambria Math"/>
                <w:i/>
              </w:rPr>
            </m:ctrlPr>
          </m:sSupPr>
          <m:e>
            <m:r>
              <m:rPr>
                <m:nor/>
              </m:rPr>
              <w:rPr>
                <w:rFonts w:ascii="Cambria Math" w:hAnsi="Cambria Math"/>
              </w:rPr>
              <m:t>Eu</m:t>
            </m:r>
          </m:e>
          <m:sup>
            <m:r>
              <m:rPr>
                <m:nor/>
              </m:rPr>
              <w:rPr>
                <w:rFonts w:ascii="Cambria Math" w:hAnsi="Cambria Math"/>
              </w:rPr>
              <m:t>*</m:t>
            </m:r>
          </m:sup>
        </m:sSup>
        <m:r>
          <w:rPr>
            <w:rFonts w:ascii="Cambria Math" w:hAnsi="Cambria Math"/>
          </w:rPr>
          <m:t>=</m:t>
        </m:r>
        <m:rad>
          <m:radPr>
            <m:degHide m:val="1"/>
            <m:ctrlPr>
              <w:rPr>
                <w:rFonts w:ascii="Cambria Math" w:eastAsiaTheme="minorHAnsi" w:hAnsi="Cambria Math"/>
                <w:i/>
              </w:rPr>
            </m:ctrlPr>
          </m:radPr>
          <m:deg/>
          <m:e>
            <m:sSub>
              <m:sSubPr>
                <m:ctrlPr>
                  <w:rPr>
                    <w:rFonts w:ascii="Cambria Math" w:eastAsiaTheme="minorHAnsi" w:hAnsi="Cambria Math"/>
                    <w:i/>
                  </w:rPr>
                </m:ctrlPr>
              </m:sSubPr>
              <m:e>
                <m:r>
                  <m:rPr>
                    <m:nor/>
                  </m:rPr>
                  <w:rPr>
                    <w:rFonts w:ascii="Cambria Math" w:hAnsi="Cambria Math"/>
                  </w:rPr>
                  <m:t>Sm</m:t>
                </m:r>
              </m:e>
              <m:sub>
                <m:r>
                  <m:rPr>
                    <m:nor/>
                  </m:rPr>
                  <w:rPr>
                    <w:rFonts w:ascii="Cambria Math" w:hAnsi="Cambria Math"/>
                  </w:rPr>
                  <m:t>N</m:t>
                </m:r>
              </m:sub>
            </m:sSub>
            <m:r>
              <w:rPr>
                <w:rFonts w:ascii="Cambria Math" w:hAnsi="Cambria Math"/>
              </w:rPr>
              <m:t>×</m:t>
            </m:r>
            <m:sSub>
              <m:sSubPr>
                <m:ctrlPr>
                  <w:rPr>
                    <w:rFonts w:ascii="Cambria Math" w:eastAsiaTheme="minorHAnsi" w:hAnsi="Cambria Math"/>
                    <w:i/>
                  </w:rPr>
                </m:ctrlPr>
              </m:sSubPr>
              <m:e>
                <m:r>
                  <m:rPr>
                    <m:nor/>
                  </m:rPr>
                  <w:rPr>
                    <w:rFonts w:ascii="Cambria Math" w:hAnsi="Cambria Math"/>
                  </w:rPr>
                  <m:t>Gd</m:t>
                </m:r>
              </m:e>
              <m:sub>
                <m:r>
                  <m:rPr>
                    <m:nor/>
                  </m:rPr>
                  <w:rPr>
                    <w:rFonts w:ascii="Cambria Math" w:hAnsi="Cambria Math"/>
                  </w:rPr>
                  <m:t>N</m:t>
                </m:r>
              </m:sub>
            </m:sSub>
          </m:e>
        </m:rad>
      </m:oMath>
      <w:r w:rsidRPr="004343CA">
        <w:rPr>
          <w:rFonts w:eastAsiaTheme="minorEastAsia"/>
        </w:rPr>
        <w:t>)</w:t>
      </w:r>
      <w:r w:rsidRPr="004343CA">
        <w:t>. The grey shaded region represents the average Eu/Eu* of intermediate- and high-Ti picritic glasses (i.e., 0.7737</w:t>
      </w:r>
      <w:r w:rsidRPr="004343CA">
        <w:sym w:font="Symbol" w:char="F0B1"/>
      </w:r>
      <w:r w:rsidRPr="004343CA">
        <w:t>0.1390 (n=57)). Low-Ti picritic glasses: very low-Ti (VLT) glass &amp; green glass groups. These models demonstrate that regardless of the assumed IBC or hybridized source composition, plagioclase floatation efficiency needs to be &gt;90% efficient to ever produce melts with a Eu/Eu* in the uppermost range of high-Ti picritic glasses</w:t>
      </w:r>
      <w:r w:rsidRPr="00557062">
        <w:t>.</w:t>
      </w:r>
      <w:bookmarkEnd w:id="303"/>
      <w:bookmarkEnd w:id="304"/>
      <w:bookmarkEnd w:id="305"/>
    </w:p>
    <w:p w14:paraId="5931FD43" w14:textId="09F1322E" w:rsidR="007E1FF4" w:rsidRDefault="007E1FF4">
      <w:pPr>
        <w:rPr>
          <w:color w:val="000000" w:themeColor="text1"/>
        </w:rPr>
      </w:pPr>
      <w:r>
        <w:br w:type="page"/>
      </w:r>
    </w:p>
    <w:p w14:paraId="074BE5C7" w14:textId="77777777" w:rsidR="007E1FF4" w:rsidRDefault="007E1FF4" w:rsidP="007E1FF4">
      <w:pPr>
        <w:spacing w:line="480" w:lineRule="auto"/>
        <w:rPr>
          <w:color w:val="000000" w:themeColor="text1"/>
        </w:rPr>
      </w:pPr>
      <w:r w:rsidRPr="00557062">
        <w:rPr>
          <w:color w:val="000000" w:themeColor="text1"/>
        </w:rPr>
        <w:lastRenderedPageBreak/>
        <w:t xml:space="preserve">Making this assumption focuses the model evaluation on the effect of garnet mode and eliminates model dependence on uncertainty related to lunar bulk composition, LMO cumulate modal mineralogy, mineral chemistry, P-T conditions, and reaction stoichiometry. Mineral-melt partition coefficients for the hypothesized IBC are reported in </w:t>
      </w:r>
      <w:r w:rsidRPr="0073662B">
        <w:rPr>
          <w:b/>
          <w:bCs/>
          <w:color w:val="000000" w:themeColor="text1"/>
        </w:rPr>
        <w:t>Table 2.6</w:t>
      </w:r>
      <w:r w:rsidRPr="00557062">
        <w:rPr>
          <w:color w:val="000000" w:themeColor="text1"/>
        </w:rPr>
        <w:t>.</w:t>
      </w:r>
    </w:p>
    <w:p w14:paraId="6AA3905A" w14:textId="77777777" w:rsidR="00A15118" w:rsidRPr="00557062" w:rsidRDefault="00A15118" w:rsidP="00A15118">
      <w:pPr>
        <w:pStyle w:val="Heading3"/>
      </w:pPr>
      <w:bookmarkStart w:id="306" w:name="_Toc182995482"/>
      <w:bookmarkStart w:id="307" w:name="_Toc183536600"/>
      <w:bookmarkStart w:id="308" w:name="_Toc184727404"/>
      <w:bookmarkStart w:id="309" w:name="_Toc185325651"/>
      <w:r w:rsidRPr="00557062">
        <w:t>LMO Cumulate Hybridization</w:t>
      </w:r>
      <w:bookmarkEnd w:id="306"/>
      <w:bookmarkEnd w:id="307"/>
      <w:bookmarkEnd w:id="308"/>
      <w:bookmarkEnd w:id="309"/>
      <w:r w:rsidRPr="00557062">
        <w:t xml:space="preserve"> </w:t>
      </w:r>
    </w:p>
    <w:p w14:paraId="1FE5B0E0" w14:textId="77777777" w:rsidR="00A15118" w:rsidRPr="00557062" w:rsidRDefault="00A15118" w:rsidP="00A15118">
      <w:pPr>
        <w:spacing w:line="480" w:lineRule="auto"/>
        <w:ind w:firstLine="720"/>
        <w:rPr>
          <w:color w:val="000000" w:themeColor="text1"/>
        </w:rPr>
      </w:pPr>
      <w:r w:rsidRPr="00557062">
        <w:rPr>
          <w:color w:val="000000" w:themeColor="text1"/>
        </w:rPr>
        <w:t xml:space="preserve">Models from this study that invoke mantle hybridization treat the hybridized mantle source as a simple mixture between IBC partial melts or cumulates and EMOC, which is justified by dissolution-precipitation reactions observed in analog experiments (Scholpp and Dygert, 2024). Hybridization was modeled with a simple mass balance calculation Eq. </w:t>
      </w:r>
      <w:r>
        <w:rPr>
          <w:color w:val="000000" w:themeColor="text1"/>
        </w:rPr>
        <w:t>2.7</w:t>
      </w:r>
      <w:r w:rsidRPr="00557062">
        <w:rPr>
          <w:color w:val="000000" w:themeColor="text1"/>
        </w:rPr>
        <w:t>:</w:t>
      </w:r>
    </w:p>
    <w:p w14:paraId="49BF5598" w14:textId="77777777" w:rsidR="00A15118" w:rsidRPr="00557062" w:rsidRDefault="00000000" w:rsidP="00A15118">
      <w:pPr>
        <w:spacing w:line="480" w:lineRule="auto"/>
        <w:jc w:val="right"/>
        <w:rPr>
          <w:color w:val="000000" w:themeColor="text1"/>
        </w:rPr>
      </w:pPr>
      <m:oMath>
        <m:sSub>
          <m:sSubPr>
            <m:ctrlPr>
              <w:rPr>
                <w:rFonts w:ascii="Cambria Math" w:hAnsi="Cambria Math"/>
                <w:color w:val="000000" w:themeColor="text1"/>
              </w:rPr>
            </m:ctrlPr>
          </m:sSubPr>
          <m:e>
            <m:r>
              <w:rPr>
                <w:rFonts w:ascii="Cambria Math" w:hAnsi="Cambria Math"/>
                <w:color w:val="000000" w:themeColor="text1"/>
              </w:rPr>
              <m:t>Cs</m:t>
            </m:r>
          </m:e>
          <m:sub>
            <m:r>
              <w:rPr>
                <w:rFonts w:ascii="Cambria Math" w:hAnsi="Cambria Math"/>
                <w:color w:val="000000" w:themeColor="text1"/>
              </w:rPr>
              <m:t>Hybrid</m:t>
            </m:r>
          </m:sub>
        </m:sSub>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Cl</m:t>
            </m:r>
          </m:e>
          <m:sub>
            <m:r>
              <w:rPr>
                <w:rFonts w:ascii="Cambria Math" w:hAnsi="Cambria Math"/>
                <w:color w:val="000000" w:themeColor="text1"/>
              </w:rPr>
              <m:t>IBC</m:t>
            </m:r>
          </m:sub>
        </m:sSub>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X</m:t>
                </m:r>
              </m:e>
              <m:sub>
                <m:r>
                  <w:rPr>
                    <w:rFonts w:ascii="Cambria Math" w:hAnsi="Cambria Math"/>
                    <w:color w:val="000000" w:themeColor="text1"/>
                  </w:rPr>
                  <m:t>IBC</m:t>
                </m:r>
              </m:sub>
            </m:sSub>
          </m:e>
        </m:d>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Cs</m:t>
            </m:r>
          </m:e>
          <m:sub>
            <m:r>
              <w:rPr>
                <w:rFonts w:ascii="Cambria Math" w:hAnsi="Cambria Math"/>
                <w:color w:val="000000" w:themeColor="text1"/>
              </w:rPr>
              <m:t>EMOC</m:t>
            </m:r>
          </m:sub>
        </m:sSub>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X</m:t>
                </m:r>
              </m:e>
              <m:sub>
                <m:r>
                  <w:rPr>
                    <w:rFonts w:ascii="Cambria Math" w:hAnsi="Cambria Math"/>
                    <w:color w:val="000000" w:themeColor="text1"/>
                  </w:rPr>
                  <m:t>EMOC</m:t>
                </m:r>
              </m:sub>
            </m:sSub>
          </m:e>
        </m:d>
      </m:oMath>
      <w:r w:rsidR="00A15118" w:rsidRPr="00557062">
        <w:rPr>
          <w:rFonts w:eastAsiaTheme="minorEastAsia"/>
          <w:color w:val="000000" w:themeColor="text1"/>
        </w:rPr>
        <w:t>,</w:t>
      </w:r>
      <w:r w:rsidR="00A15118" w:rsidRPr="00557062">
        <w:rPr>
          <w:rFonts w:eastAsiaTheme="minorEastAsia"/>
          <w:color w:val="000000" w:themeColor="text1"/>
        </w:rPr>
        <w:tab/>
      </w:r>
      <w:r w:rsidR="00A15118" w:rsidRPr="00557062">
        <w:rPr>
          <w:rFonts w:eastAsiaTheme="minorEastAsia"/>
          <w:color w:val="000000" w:themeColor="text1"/>
        </w:rPr>
        <w:tab/>
      </w:r>
      <w:r w:rsidR="00A15118" w:rsidRPr="00557062">
        <w:rPr>
          <w:rFonts w:eastAsiaTheme="minorEastAsia"/>
          <w:color w:val="000000" w:themeColor="text1"/>
        </w:rPr>
        <w:tab/>
        <w:t>(</w:t>
      </w:r>
      <w:r w:rsidR="00A15118">
        <w:rPr>
          <w:rFonts w:eastAsiaTheme="minorEastAsia"/>
          <w:color w:val="000000" w:themeColor="text1"/>
        </w:rPr>
        <w:t>2.7</w:t>
      </w:r>
      <w:r w:rsidR="00A15118" w:rsidRPr="00557062">
        <w:rPr>
          <w:rFonts w:eastAsiaTheme="minorEastAsia"/>
          <w:color w:val="000000" w:themeColor="text1"/>
        </w:rPr>
        <w:t>)</w:t>
      </w:r>
    </w:p>
    <w:p w14:paraId="4C43885A" w14:textId="77777777" w:rsidR="00A15118" w:rsidRPr="00557062" w:rsidRDefault="00A15118" w:rsidP="00A15118">
      <w:pPr>
        <w:spacing w:line="480" w:lineRule="auto"/>
        <w:rPr>
          <w:color w:val="000000" w:themeColor="text1"/>
        </w:rPr>
      </w:pPr>
      <w:r w:rsidRPr="00557062">
        <w:rPr>
          <w:color w:val="000000" w:themeColor="text1"/>
        </w:rPr>
        <w:t xml:space="preserve">where </w:t>
      </w:r>
      <m:oMath>
        <m:sSub>
          <m:sSubPr>
            <m:ctrlPr>
              <w:rPr>
                <w:rFonts w:ascii="Cambria Math" w:hAnsi="Cambria Math"/>
                <w:i/>
                <w:color w:val="000000" w:themeColor="text1"/>
              </w:rPr>
            </m:ctrlPr>
          </m:sSubPr>
          <m:e>
            <m:r>
              <w:rPr>
                <w:rFonts w:ascii="Cambria Math" w:hAnsi="Cambria Math"/>
                <w:color w:val="000000" w:themeColor="text1"/>
              </w:rPr>
              <m:t>Cs</m:t>
            </m:r>
          </m:e>
          <m:sub>
            <m:r>
              <w:rPr>
                <w:rFonts w:ascii="Cambria Math" w:hAnsi="Cambria Math"/>
                <w:color w:val="000000" w:themeColor="text1"/>
              </w:rPr>
              <m:t>Hybrid</m:t>
            </m:r>
          </m:sub>
        </m:sSub>
      </m:oMath>
      <w:r w:rsidRPr="00557062">
        <w:rPr>
          <w:color w:val="000000" w:themeColor="text1"/>
        </w:rPr>
        <w:t xml:space="preserve"> is the concentration of a given element in the hybridized source produced during the reaction, </w:t>
      </w:r>
      <m:oMath>
        <m:sSub>
          <m:sSubPr>
            <m:ctrlPr>
              <w:rPr>
                <w:rFonts w:ascii="Cambria Math" w:hAnsi="Cambria Math"/>
                <w:i/>
                <w:color w:val="000000" w:themeColor="text1"/>
              </w:rPr>
            </m:ctrlPr>
          </m:sSubPr>
          <m:e>
            <m:r>
              <w:rPr>
                <w:rFonts w:ascii="Cambria Math" w:hAnsi="Cambria Math"/>
                <w:color w:val="000000" w:themeColor="text1"/>
              </w:rPr>
              <m:t>Cl</m:t>
            </m:r>
          </m:e>
          <m:sub>
            <m:r>
              <w:rPr>
                <w:rFonts w:ascii="Cambria Math" w:hAnsi="Cambria Math"/>
                <w:color w:val="000000" w:themeColor="text1"/>
              </w:rPr>
              <m:t>IBC</m:t>
            </m:r>
          </m:sub>
        </m:sSub>
      </m:oMath>
      <w:r w:rsidRPr="00557062">
        <w:rPr>
          <w:color w:val="000000" w:themeColor="text1"/>
        </w:rPr>
        <w:t xml:space="preserve"> is the concentration in the IBC melt or cumulate, </w:t>
      </w:r>
      <m:oMath>
        <m:sSub>
          <m:sSubPr>
            <m:ctrlPr>
              <w:rPr>
                <w:rFonts w:ascii="Cambria Math" w:hAnsi="Cambria Math"/>
                <w:i/>
                <w:color w:val="000000" w:themeColor="text1"/>
              </w:rPr>
            </m:ctrlPr>
          </m:sSubPr>
          <m:e>
            <m:r>
              <w:rPr>
                <w:rFonts w:ascii="Cambria Math" w:hAnsi="Cambria Math"/>
                <w:color w:val="000000" w:themeColor="text1"/>
              </w:rPr>
              <m:t>Cs</m:t>
            </m:r>
          </m:e>
          <m:sub>
            <m:r>
              <w:rPr>
                <w:rFonts w:ascii="Cambria Math" w:hAnsi="Cambria Math"/>
                <w:color w:val="000000" w:themeColor="text1"/>
              </w:rPr>
              <m:t>EMOC</m:t>
            </m:r>
          </m:sub>
        </m:sSub>
      </m:oMath>
      <w:r w:rsidRPr="00557062">
        <w:rPr>
          <w:color w:val="000000" w:themeColor="text1"/>
        </w:rPr>
        <w:t xml:space="preserve"> is the concentration in the EMOC, </w:t>
      </w:r>
      <m:oMath>
        <m:r>
          <w:rPr>
            <w:rFonts w:ascii="Cambria Math" w:hAnsi="Cambria Math"/>
            <w:color w:val="000000" w:themeColor="text1"/>
          </w:rPr>
          <m:t>X</m:t>
        </m:r>
      </m:oMath>
      <w:r w:rsidRPr="00557062">
        <w:rPr>
          <w:color w:val="000000" w:themeColor="text1"/>
        </w:rPr>
        <w:t xml:space="preserve"> is the proportion of each composition in the hybridized source.</w:t>
      </w:r>
    </w:p>
    <w:p w14:paraId="59514B6B" w14:textId="0C81CEEE" w:rsidR="00077B0A" w:rsidRPr="00A15118" w:rsidRDefault="00A15118" w:rsidP="00A15118">
      <w:pPr>
        <w:spacing w:line="480" w:lineRule="auto"/>
        <w:ind w:firstLine="720"/>
        <w:rPr>
          <w:color w:val="000000" w:themeColor="text1"/>
        </w:rPr>
      </w:pPr>
      <w:r w:rsidRPr="00557062">
        <w:rPr>
          <w:color w:val="000000" w:themeColor="text1"/>
        </w:rPr>
        <w:t xml:space="preserve">Snyder et al. (1992) and Hallis et al. (2014) use an 80% EMOC to 20% IBC mixture to explain the source compositions of high-Ti mare basalts; however, those studies assume that the mixture is comprised of cumulates that formed at 86% (early cumulate component) and 95% (IBC component) LMO solidification. As explained below, this mixture is unlikely to represent the components of a hybridized source capable of producing the intermediate-Ti and high-Ti glasses. </w:t>
      </w:r>
      <w:r w:rsidR="00077B0A">
        <w:br w:type="page"/>
      </w:r>
    </w:p>
    <w:p w14:paraId="762168C5" w14:textId="0F975F42" w:rsidR="006409FA" w:rsidRPr="00CF3FBA" w:rsidRDefault="00D34F92" w:rsidP="00CF3FBA">
      <w:pPr>
        <w:pStyle w:val="Tables"/>
      </w:pPr>
      <w:bookmarkStart w:id="310" w:name="_Toc185263596"/>
      <w:r w:rsidRPr="00CF3FBA">
        <w:rPr>
          <w:b/>
          <w:bCs/>
        </w:rPr>
        <w:lastRenderedPageBreak/>
        <w:t>Table 2.6.</w:t>
      </w:r>
      <w:r w:rsidRPr="00CF3FBA">
        <w:t xml:space="preserve"> Mineral-melt partition coefficients for partial melting calculations.</w:t>
      </w:r>
      <w:bookmarkEnd w:id="310"/>
    </w:p>
    <w:tbl>
      <w:tblPr>
        <w:tblW w:w="8100" w:type="dxa"/>
        <w:tblLook w:val="04A0" w:firstRow="1" w:lastRow="0" w:firstColumn="1" w:lastColumn="0" w:noHBand="0" w:noVBand="1"/>
      </w:tblPr>
      <w:tblGrid>
        <w:gridCol w:w="1336"/>
        <w:gridCol w:w="1720"/>
        <w:gridCol w:w="1420"/>
        <w:gridCol w:w="1420"/>
        <w:gridCol w:w="880"/>
        <w:gridCol w:w="1420"/>
      </w:tblGrid>
      <w:tr w:rsidR="00D34F92" w14:paraId="33385A6E" w14:textId="77777777" w:rsidTr="00D34F92">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349DCA" w14:textId="77777777" w:rsidR="00D34F92" w:rsidRDefault="00D34F92" w:rsidP="00D34F92">
            <w:pPr>
              <w:jc w:val="center"/>
              <w:rPr>
                <w:color w:val="000000"/>
              </w:rPr>
            </w:pPr>
            <w:r>
              <w:rPr>
                <w:color w:val="000000"/>
              </w:rPr>
              <w:t>Element</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72963A47" w14:textId="6BF45A98" w:rsidR="00D34F92" w:rsidRDefault="00D34F92" w:rsidP="00D34F92">
            <w:pPr>
              <w:jc w:val="center"/>
              <w:rPr>
                <w:color w:val="000000"/>
              </w:rPr>
            </w:pPr>
            <w:r>
              <w:rPr>
                <w:color w:val="000000"/>
              </w:rPr>
              <w:t>Ol (</w:t>
            </w:r>
            <w:r w:rsidR="00067EFB">
              <w:rPr>
                <w:color w:val="000000"/>
              </w:rPr>
              <w:t>D</w:t>
            </w:r>
            <w:r>
              <w:rPr>
                <w:color w:val="000000"/>
              </w:rPr>
              <w:t>)</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0846A537" w14:textId="163AD2AD" w:rsidR="00D34F92" w:rsidRDefault="00D34F92" w:rsidP="00D34F92">
            <w:pPr>
              <w:jc w:val="center"/>
              <w:rPr>
                <w:color w:val="000000"/>
              </w:rPr>
            </w:pPr>
            <w:r>
              <w:rPr>
                <w:color w:val="000000"/>
              </w:rPr>
              <w:t>Ol (</w:t>
            </w:r>
            <w:r w:rsidR="00067EFB">
              <w:rPr>
                <w:color w:val="000000"/>
              </w:rPr>
              <w:t>D</w:t>
            </w:r>
            <w:r>
              <w:rPr>
                <w:color w:val="000000"/>
              </w:rPr>
              <w:t>)</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193CE65B" w14:textId="44D7CFC7" w:rsidR="00D34F92" w:rsidRDefault="00D34F92" w:rsidP="00D34F92">
            <w:pPr>
              <w:jc w:val="center"/>
              <w:rPr>
                <w:color w:val="000000"/>
              </w:rPr>
            </w:pPr>
            <w:r>
              <w:rPr>
                <w:color w:val="000000"/>
              </w:rPr>
              <w:t>Ol (</w:t>
            </w:r>
            <w:r w:rsidR="00067EFB">
              <w:rPr>
                <w:color w:val="000000"/>
              </w:rPr>
              <w:t>D</w:t>
            </w:r>
            <w:r>
              <w:rPr>
                <w:color w:val="000000"/>
              </w:rPr>
              <w:t>)</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505DED73" w14:textId="77777777" w:rsidR="00D34F92" w:rsidRDefault="00D34F92" w:rsidP="00D34F92">
            <w:pPr>
              <w:jc w:val="center"/>
              <w:rPr>
                <w:color w:val="000000"/>
              </w:rPr>
            </w:pPr>
            <w:r>
              <w:rPr>
                <w:color w:val="000000"/>
              </w:rPr>
              <w:t>ref.</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3E6B3E0D" w14:textId="235036A7" w:rsidR="00D34F92" w:rsidRDefault="00D34F92" w:rsidP="00D34F92">
            <w:pPr>
              <w:jc w:val="center"/>
              <w:rPr>
                <w:color w:val="000000"/>
              </w:rPr>
            </w:pPr>
            <w:r>
              <w:rPr>
                <w:color w:val="000000"/>
              </w:rPr>
              <w:t>Opx (</w:t>
            </w:r>
            <w:r w:rsidR="00067EFB">
              <w:rPr>
                <w:color w:val="000000"/>
              </w:rPr>
              <w:t>D</w:t>
            </w:r>
            <w:r>
              <w:rPr>
                <w:color w:val="000000"/>
              </w:rPr>
              <w:t>)</w:t>
            </w:r>
          </w:p>
        </w:tc>
      </w:tr>
      <w:tr w:rsidR="00D34F92" w14:paraId="107A3005"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3F20268" w14:textId="77777777" w:rsidR="00D34F92" w:rsidRDefault="00D34F92">
            <w:pPr>
              <w:jc w:val="center"/>
              <w:rPr>
                <w:color w:val="000000"/>
              </w:rPr>
            </w:pPr>
            <w:r>
              <w:rPr>
                <w:color w:val="000000"/>
              </w:rPr>
              <w:t>La</w:t>
            </w:r>
          </w:p>
        </w:tc>
        <w:tc>
          <w:tcPr>
            <w:tcW w:w="1720" w:type="dxa"/>
            <w:tcBorders>
              <w:top w:val="nil"/>
              <w:left w:val="nil"/>
              <w:bottom w:val="single" w:sz="4" w:space="0" w:color="auto"/>
              <w:right w:val="single" w:sz="4" w:space="0" w:color="auto"/>
            </w:tcBorders>
            <w:shd w:val="clear" w:color="auto" w:fill="auto"/>
            <w:noWrap/>
            <w:vAlign w:val="bottom"/>
            <w:hideMark/>
          </w:tcPr>
          <w:p w14:paraId="46531E75" w14:textId="77777777" w:rsidR="00D34F92" w:rsidRDefault="00D34F92">
            <w:pPr>
              <w:jc w:val="center"/>
              <w:rPr>
                <w:color w:val="000000"/>
              </w:rPr>
            </w:pPr>
            <w:r>
              <w:rPr>
                <w:color w:val="000000"/>
              </w:rPr>
              <w:t>4.59E-06</w:t>
            </w:r>
          </w:p>
        </w:tc>
        <w:tc>
          <w:tcPr>
            <w:tcW w:w="1420" w:type="dxa"/>
            <w:tcBorders>
              <w:top w:val="nil"/>
              <w:left w:val="nil"/>
              <w:bottom w:val="single" w:sz="4" w:space="0" w:color="auto"/>
              <w:right w:val="single" w:sz="4" w:space="0" w:color="auto"/>
            </w:tcBorders>
            <w:shd w:val="clear" w:color="auto" w:fill="auto"/>
            <w:noWrap/>
            <w:vAlign w:val="bottom"/>
            <w:hideMark/>
          </w:tcPr>
          <w:p w14:paraId="7DC43DB3" w14:textId="77777777" w:rsidR="00D34F92" w:rsidRDefault="00D34F92">
            <w:pPr>
              <w:jc w:val="center"/>
              <w:rPr>
                <w:color w:val="000000"/>
              </w:rPr>
            </w:pPr>
            <w:r>
              <w:rPr>
                <w:color w:val="000000"/>
              </w:rPr>
              <w:t>2.67E-06</w:t>
            </w:r>
          </w:p>
        </w:tc>
        <w:tc>
          <w:tcPr>
            <w:tcW w:w="1420" w:type="dxa"/>
            <w:tcBorders>
              <w:top w:val="nil"/>
              <w:left w:val="nil"/>
              <w:bottom w:val="single" w:sz="4" w:space="0" w:color="auto"/>
              <w:right w:val="single" w:sz="4" w:space="0" w:color="auto"/>
            </w:tcBorders>
            <w:shd w:val="clear" w:color="auto" w:fill="auto"/>
            <w:noWrap/>
            <w:vAlign w:val="bottom"/>
            <w:hideMark/>
          </w:tcPr>
          <w:p w14:paraId="6C7FFC01" w14:textId="77777777" w:rsidR="00D34F92" w:rsidRDefault="00D34F92">
            <w:pPr>
              <w:jc w:val="center"/>
              <w:rPr>
                <w:color w:val="000000"/>
              </w:rPr>
            </w:pPr>
            <w:r>
              <w:rPr>
                <w:color w:val="000000"/>
              </w:rPr>
              <w:t>3.06E-06</w:t>
            </w:r>
          </w:p>
        </w:tc>
        <w:tc>
          <w:tcPr>
            <w:tcW w:w="880" w:type="dxa"/>
            <w:tcBorders>
              <w:top w:val="nil"/>
              <w:left w:val="nil"/>
              <w:bottom w:val="single" w:sz="4" w:space="0" w:color="auto"/>
              <w:right w:val="single" w:sz="4" w:space="0" w:color="auto"/>
            </w:tcBorders>
            <w:shd w:val="clear" w:color="auto" w:fill="auto"/>
            <w:noWrap/>
            <w:vAlign w:val="bottom"/>
            <w:hideMark/>
          </w:tcPr>
          <w:p w14:paraId="04F3957F"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0FBAE89B" w14:textId="77777777" w:rsidR="00D34F92" w:rsidRDefault="00D34F92">
            <w:pPr>
              <w:jc w:val="center"/>
              <w:rPr>
                <w:color w:val="000000"/>
              </w:rPr>
            </w:pPr>
            <w:r>
              <w:rPr>
                <w:color w:val="000000"/>
              </w:rPr>
              <w:t>1.41E-03</w:t>
            </w:r>
          </w:p>
        </w:tc>
      </w:tr>
      <w:tr w:rsidR="00D34F92" w14:paraId="6C589AD0"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A90DBA6" w14:textId="77777777" w:rsidR="00D34F92" w:rsidRDefault="00D34F92">
            <w:pPr>
              <w:jc w:val="center"/>
              <w:rPr>
                <w:color w:val="000000"/>
              </w:rPr>
            </w:pPr>
            <w:r>
              <w:rPr>
                <w:color w:val="000000"/>
              </w:rPr>
              <w:t>Ce</w:t>
            </w:r>
          </w:p>
        </w:tc>
        <w:tc>
          <w:tcPr>
            <w:tcW w:w="1720" w:type="dxa"/>
            <w:tcBorders>
              <w:top w:val="nil"/>
              <w:left w:val="nil"/>
              <w:bottom w:val="single" w:sz="4" w:space="0" w:color="auto"/>
              <w:right w:val="single" w:sz="4" w:space="0" w:color="auto"/>
            </w:tcBorders>
            <w:shd w:val="clear" w:color="auto" w:fill="auto"/>
            <w:noWrap/>
            <w:vAlign w:val="bottom"/>
            <w:hideMark/>
          </w:tcPr>
          <w:p w14:paraId="6247531B" w14:textId="77777777" w:rsidR="00D34F92" w:rsidRDefault="00D34F92">
            <w:pPr>
              <w:jc w:val="center"/>
              <w:rPr>
                <w:color w:val="000000"/>
              </w:rPr>
            </w:pPr>
            <w:r>
              <w:rPr>
                <w:color w:val="000000"/>
              </w:rPr>
              <w:t>2.52E-05</w:t>
            </w:r>
          </w:p>
        </w:tc>
        <w:tc>
          <w:tcPr>
            <w:tcW w:w="1420" w:type="dxa"/>
            <w:tcBorders>
              <w:top w:val="nil"/>
              <w:left w:val="nil"/>
              <w:bottom w:val="single" w:sz="4" w:space="0" w:color="auto"/>
              <w:right w:val="single" w:sz="4" w:space="0" w:color="auto"/>
            </w:tcBorders>
            <w:shd w:val="clear" w:color="auto" w:fill="auto"/>
            <w:noWrap/>
            <w:vAlign w:val="bottom"/>
            <w:hideMark/>
          </w:tcPr>
          <w:p w14:paraId="654C30E9" w14:textId="77777777" w:rsidR="00D34F92" w:rsidRDefault="00D34F92">
            <w:pPr>
              <w:jc w:val="center"/>
              <w:rPr>
                <w:color w:val="000000"/>
              </w:rPr>
            </w:pPr>
            <w:r>
              <w:rPr>
                <w:color w:val="000000"/>
              </w:rPr>
              <w:t>1.39E-05</w:t>
            </w:r>
          </w:p>
        </w:tc>
        <w:tc>
          <w:tcPr>
            <w:tcW w:w="1420" w:type="dxa"/>
            <w:tcBorders>
              <w:top w:val="nil"/>
              <w:left w:val="nil"/>
              <w:bottom w:val="single" w:sz="4" w:space="0" w:color="auto"/>
              <w:right w:val="single" w:sz="4" w:space="0" w:color="auto"/>
            </w:tcBorders>
            <w:shd w:val="clear" w:color="auto" w:fill="auto"/>
            <w:noWrap/>
            <w:vAlign w:val="bottom"/>
            <w:hideMark/>
          </w:tcPr>
          <w:p w14:paraId="36FD4F62" w14:textId="77777777" w:rsidR="00D34F92" w:rsidRDefault="00D34F92">
            <w:pPr>
              <w:jc w:val="center"/>
              <w:rPr>
                <w:color w:val="000000"/>
              </w:rPr>
            </w:pPr>
            <w:r>
              <w:rPr>
                <w:color w:val="000000"/>
              </w:rPr>
              <w:t>1.59E-05</w:t>
            </w:r>
          </w:p>
        </w:tc>
        <w:tc>
          <w:tcPr>
            <w:tcW w:w="880" w:type="dxa"/>
            <w:tcBorders>
              <w:top w:val="nil"/>
              <w:left w:val="nil"/>
              <w:bottom w:val="single" w:sz="4" w:space="0" w:color="auto"/>
              <w:right w:val="single" w:sz="4" w:space="0" w:color="auto"/>
            </w:tcBorders>
            <w:shd w:val="clear" w:color="auto" w:fill="auto"/>
            <w:noWrap/>
            <w:vAlign w:val="bottom"/>
            <w:hideMark/>
          </w:tcPr>
          <w:p w14:paraId="2EDB3C4B"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2BA4CCFC" w14:textId="77777777" w:rsidR="00D34F92" w:rsidRDefault="00D34F92">
            <w:pPr>
              <w:jc w:val="center"/>
              <w:rPr>
                <w:color w:val="000000"/>
              </w:rPr>
            </w:pPr>
            <w:r>
              <w:rPr>
                <w:color w:val="000000"/>
              </w:rPr>
              <w:t>2.89E-03</w:t>
            </w:r>
          </w:p>
        </w:tc>
      </w:tr>
      <w:tr w:rsidR="00D34F92" w14:paraId="0904469C"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E381167" w14:textId="77777777" w:rsidR="00D34F92" w:rsidRDefault="00D34F92">
            <w:pPr>
              <w:jc w:val="center"/>
              <w:rPr>
                <w:color w:val="000000"/>
              </w:rPr>
            </w:pPr>
            <w:r>
              <w:rPr>
                <w:color w:val="000000"/>
              </w:rPr>
              <w:t>Pr</w:t>
            </w:r>
          </w:p>
        </w:tc>
        <w:tc>
          <w:tcPr>
            <w:tcW w:w="1720" w:type="dxa"/>
            <w:tcBorders>
              <w:top w:val="nil"/>
              <w:left w:val="nil"/>
              <w:bottom w:val="single" w:sz="4" w:space="0" w:color="auto"/>
              <w:right w:val="single" w:sz="4" w:space="0" w:color="auto"/>
            </w:tcBorders>
            <w:shd w:val="clear" w:color="auto" w:fill="auto"/>
            <w:noWrap/>
            <w:vAlign w:val="bottom"/>
            <w:hideMark/>
          </w:tcPr>
          <w:p w14:paraId="68006F5D" w14:textId="77777777" w:rsidR="00D34F92" w:rsidRDefault="00D34F92">
            <w:pPr>
              <w:jc w:val="center"/>
              <w:rPr>
                <w:color w:val="000000"/>
              </w:rPr>
            </w:pPr>
            <w:r>
              <w:rPr>
                <w:color w:val="000000"/>
              </w:rPr>
              <w:t>1.03E-04</w:t>
            </w:r>
          </w:p>
        </w:tc>
        <w:tc>
          <w:tcPr>
            <w:tcW w:w="1420" w:type="dxa"/>
            <w:tcBorders>
              <w:top w:val="nil"/>
              <w:left w:val="nil"/>
              <w:bottom w:val="single" w:sz="4" w:space="0" w:color="auto"/>
              <w:right w:val="single" w:sz="4" w:space="0" w:color="auto"/>
            </w:tcBorders>
            <w:shd w:val="clear" w:color="auto" w:fill="auto"/>
            <w:noWrap/>
            <w:vAlign w:val="bottom"/>
            <w:hideMark/>
          </w:tcPr>
          <w:p w14:paraId="73BD1F8B" w14:textId="77777777" w:rsidR="00D34F92" w:rsidRDefault="00D34F92">
            <w:pPr>
              <w:jc w:val="center"/>
              <w:rPr>
                <w:color w:val="000000"/>
              </w:rPr>
            </w:pPr>
            <w:r>
              <w:rPr>
                <w:color w:val="000000"/>
              </w:rPr>
              <w:t>5.42E-05</w:t>
            </w:r>
          </w:p>
        </w:tc>
        <w:tc>
          <w:tcPr>
            <w:tcW w:w="1420" w:type="dxa"/>
            <w:tcBorders>
              <w:top w:val="nil"/>
              <w:left w:val="nil"/>
              <w:bottom w:val="single" w:sz="4" w:space="0" w:color="auto"/>
              <w:right w:val="single" w:sz="4" w:space="0" w:color="auto"/>
            </w:tcBorders>
            <w:shd w:val="clear" w:color="auto" w:fill="auto"/>
            <w:noWrap/>
            <w:vAlign w:val="bottom"/>
            <w:hideMark/>
          </w:tcPr>
          <w:p w14:paraId="397012C1" w14:textId="77777777" w:rsidR="00D34F92" w:rsidRDefault="00D34F92">
            <w:pPr>
              <w:jc w:val="center"/>
              <w:rPr>
                <w:color w:val="000000"/>
              </w:rPr>
            </w:pPr>
            <w:r>
              <w:rPr>
                <w:color w:val="000000"/>
              </w:rPr>
              <w:t>6.22E-05</w:t>
            </w:r>
          </w:p>
        </w:tc>
        <w:tc>
          <w:tcPr>
            <w:tcW w:w="880" w:type="dxa"/>
            <w:tcBorders>
              <w:top w:val="nil"/>
              <w:left w:val="nil"/>
              <w:bottom w:val="single" w:sz="4" w:space="0" w:color="auto"/>
              <w:right w:val="single" w:sz="4" w:space="0" w:color="auto"/>
            </w:tcBorders>
            <w:shd w:val="clear" w:color="auto" w:fill="auto"/>
            <w:noWrap/>
            <w:vAlign w:val="bottom"/>
            <w:hideMark/>
          </w:tcPr>
          <w:p w14:paraId="1B8C4850"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6FBEE280" w14:textId="77777777" w:rsidR="00D34F92" w:rsidRDefault="00D34F92">
            <w:pPr>
              <w:jc w:val="center"/>
              <w:rPr>
                <w:color w:val="000000"/>
              </w:rPr>
            </w:pPr>
            <w:r>
              <w:rPr>
                <w:color w:val="000000"/>
              </w:rPr>
              <w:t>5.59E-03</w:t>
            </w:r>
          </w:p>
        </w:tc>
      </w:tr>
      <w:tr w:rsidR="00D34F92" w14:paraId="5D17867A"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41576C3" w14:textId="77777777" w:rsidR="00D34F92" w:rsidRDefault="00D34F92">
            <w:pPr>
              <w:jc w:val="center"/>
              <w:rPr>
                <w:color w:val="000000"/>
              </w:rPr>
            </w:pPr>
            <w:r>
              <w:rPr>
                <w:color w:val="000000"/>
              </w:rPr>
              <w:t>Nd</w:t>
            </w:r>
          </w:p>
        </w:tc>
        <w:tc>
          <w:tcPr>
            <w:tcW w:w="1720" w:type="dxa"/>
            <w:tcBorders>
              <w:top w:val="nil"/>
              <w:left w:val="nil"/>
              <w:bottom w:val="single" w:sz="4" w:space="0" w:color="auto"/>
              <w:right w:val="single" w:sz="4" w:space="0" w:color="auto"/>
            </w:tcBorders>
            <w:shd w:val="clear" w:color="auto" w:fill="auto"/>
            <w:noWrap/>
            <w:vAlign w:val="bottom"/>
            <w:hideMark/>
          </w:tcPr>
          <w:p w14:paraId="4679D122" w14:textId="77777777" w:rsidR="00D34F92" w:rsidRDefault="00D34F92">
            <w:pPr>
              <w:jc w:val="center"/>
              <w:rPr>
                <w:color w:val="000000"/>
              </w:rPr>
            </w:pPr>
            <w:r>
              <w:rPr>
                <w:color w:val="000000"/>
              </w:rPr>
              <w:t>1.63E-04</w:t>
            </w:r>
          </w:p>
        </w:tc>
        <w:tc>
          <w:tcPr>
            <w:tcW w:w="1420" w:type="dxa"/>
            <w:tcBorders>
              <w:top w:val="nil"/>
              <w:left w:val="nil"/>
              <w:bottom w:val="single" w:sz="4" w:space="0" w:color="auto"/>
              <w:right w:val="single" w:sz="4" w:space="0" w:color="auto"/>
            </w:tcBorders>
            <w:shd w:val="clear" w:color="auto" w:fill="auto"/>
            <w:noWrap/>
            <w:vAlign w:val="bottom"/>
            <w:hideMark/>
          </w:tcPr>
          <w:p w14:paraId="4A58EB54" w14:textId="77777777" w:rsidR="00D34F92" w:rsidRDefault="00D34F92">
            <w:pPr>
              <w:jc w:val="center"/>
              <w:rPr>
                <w:color w:val="000000"/>
              </w:rPr>
            </w:pPr>
            <w:r>
              <w:rPr>
                <w:color w:val="000000"/>
              </w:rPr>
              <w:t>8.47E-05</w:t>
            </w:r>
          </w:p>
        </w:tc>
        <w:tc>
          <w:tcPr>
            <w:tcW w:w="1420" w:type="dxa"/>
            <w:tcBorders>
              <w:top w:val="nil"/>
              <w:left w:val="nil"/>
              <w:bottom w:val="single" w:sz="4" w:space="0" w:color="auto"/>
              <w:right w:val="single" w:sz="4" w:space="0" w:color="auto"/>
            </w:tcBorders>
            <w:shd w:val="clear" w:color="auto" w:fill="auto"/>
            <w:noWrap/>
            <w:vAlign w:val="bottom"/>
            <w:hideMark/>
          </w:tcPr>
          <w:p w14:paraId="5048D785" w14:textId="77777777" w:rsidR="00D34F92" w:rsidRDefault="00D34F92">
            <w:pPr>
              <w:jc w:val="center"/>
              <w:rPr>
                <w:color w:val="000000"/>
              </w:rPr>
            </w:pPr>
            <w:r>
              <w:rPr>
                <w:color w:val="000000"/>
              </w:rPr>
              <w:t>9.73E-05</w:t>
            </w:r>
          </w:p>
        </w:tc>
        <w:tc>
          <w:tcPr>
            <w:tcW w:w="880" w:type="dxa"/>
            <w:tcBorders>
              <w:top w:val="nil"/>
              <w:left w:val="nil"/>
              <w:bottom w:val="single" w:sz="4" w:space="0" w:color="auto"/>
              <w:right w:val="single" w:sz="4" w:space="0" w:color="auto"/>
            </w:tcBorders>
            <w:shd w:val="clear" w:color="auto" w:fill="auto"/>
            <w:noWrap/>
            <w:vAlign w:val="bottom"/>
            <w:hideMark/>
          </w:tcPr>
          <w:p w14:paraId="1580F9A3"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0FF5A069" w14:textId="77777777" w:rsidR="00D34F92" w:rsidRDefault="00D34F92">
            <w:pPr>
              <w:jc w:val="center"/>
              <w:rPr>
                <w:color w:val="000000"/>
              </w:rPr>
            </w:pPr>
            <w:r>
              <w:rPr>
                <w:color w:val="000000"/>
              </w:rPr>
              <w:t>1.01E-02</w:t>
            </w:r>
          </w:p>
        </w:tc>
      </w:tr>
      <w:tr w:rsidR="00D34F92" w14:paraId="43389DD5"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A8EE836" w14:textId="77777777" w:rsidR="00D34F92" w:rsidRDefault="00D34F92">
            <w:pPr>
              <w:jc w:val="center"/>
              <w:rPr>
                <w:color w:val="000000"/>
              </w:rPr>
            </w:pPr>
            <w:r>
              <w:rPr>
                <w:color w:val="000000"/>
              </w:rPr>
              <w:t>Sm</w:t>
            </w:r>
          </w:p>
        </w:tc>
        <w:tc>
          <w:tcPr>
            <w:tcW w:w="1720" w:type="dxa"/>
            <w:tcBorders>
              <w:top w:val="nil"/>
              <w:left w:val="nil"/>
              <w:bottom w:val="single" w:sz="4" w:space="0" w:color="auto"/>
              <w:right w:val="single" w:sz="4" w:space="0" w:color="auto"/>
            </w:tcBorders>
            <w:shd w:val="clear" w:color="auto" w:fill="auto"/>
            <w:noWrap/>
            <w:vAlign w:val="bottom"/>
            <w:hideMark/>
          </w:tcPr>
          <w:p w14:paraId="076F3D0E" w14:textId="77777777" w:rsidR="00D34F92" w:rsidRDefault="00D34F92">
            <w:pPr>
              <w:jc w:val="center"/>
              <w:rPr>
                <w:color w:val="000000"/>
              </w:rPr>
            </w:pPr>
            <w:r>
              <w:rPr>
                <w:color w:val="000000"/>
              </w:rPr>
              <w:t>3.69E-04</w:t>
            </w:r>
          </w:p>
        </w:tc>
        <w:tc>
          <w:tcPr>
            <w:tcW w:w="1420" w:type="dxa"/>
            <w:tcBorders>
              <w:top w:val="nil"/>
              <w:left w:val="nil"/>
              <w:bottom w:val="single" w:sz="4" w:space="0" w:color="auto"/>
              <w:right w:val="single" w:sz="4" w:space="0" w:color="auto"/>
            </w:tcBorders>
            <w:shd w:val="clear" w:color="auto" w:fill="auto"/>
            <w:noWrap/>
            <w:vAlign w:val="bottom"/>
            <w:hideMark/>
          </w:tcPr>
          <w:p w14:paraId="518608F8" w14:textId="77777777" w:rsidR="00D34F92" w:rsidRDefault="00D34F92">
            <w:pPr>
              <w:jc w:val="center"/>
              <w:rPr>
                <w:color w:val="000000"/>
              </w:rPr>
            </w:pPr>
            <w:r>
              <w:rPr>
                <w:color w:val="000000"/>
              </w:rPr>
              <w:t>1.87E-04</w:t>
            </w:r>
          </w:p>
        </w:tc>
        <w:tc>
          <w:tcPr>
            <w:tcW w:w="1420" w:type="dxa"/>
            <w:tcBorders>
              <w:top w:val="nil"/>
              <w:left w:val="nil"/>
              <w:bottom w:val="single" w:sz="4" w:space="0" w:color="auto"/>
              <w:right w:val="single" w:sz="4" w:space="0" w:color="auto"/>
            </w:tcBorders>
            <w:shd w:val="clear" w:color="auto" w:fill="auto"/>
            <w:noWrap/>
            <w:vAlign w:val="bottom"/>
            <w:hideMark/>
          </w:tcPr>
          <w:p w14:paraId="1E12E57E" w14:textId="77777777" w:rsidR="00D34F92" w:rsidRDefault="00D34F92">
            <w:pPr>
              <w:jc w:val="center"/>
              <w:rPr>
                <w:color w:val="000000"/>
              </w:rPr>
            </w:pPr>
            <w:r>
              <w:rPr>
                <w:color w:val="000000"/>
              </w:rPr>
              <w:t>2.15E-04</w:t>
            </w:r>
          </w:p>
        </w:tc>
        <w:tc>
          <w:tcPr>
            <w:tcW w:w="880" w:type="dxa"/>
            <w:tcBorders>
              <w:top w:val="nil"/>
              <w:left w:val="nil"/>
              <w:bottom w:val="single" w:sz="4" w:space="0" w:color="auto"/>
              <w:right w:val="single" w:sz="4" w:space="0" w:color="auto"/>
            </w:tcBorders>
            <w:shd w:val="clear" w:color="auto" w:fill="auto"/>
            <w:noWrap/>
            <w:vAlign w:val="bottom"/>
            <w:hideMark/>
          </w:tcPr>
          <w:p w14:paraId="55FACC9E"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1188ABEF" w14:textId="77777777" w:rsidR="00D34F92" w:rsidRDefault="00D34F92">
            <w:pPr>
              <w:jc w:val="center"/>
              <w:rPr>
                <w:color w:val="000000"/>
              </w:rPr>
            </w:pPr>
            <w:r>
              <w:rPr>
                <w:color w:val="000000"/>
              </w:rPr>
              <w:t>2.52E-02</w:t>
            </w:r>
          </w:p>
        </w:tc>
      </w:tr>
      <w:tr w:rsidR="00D34F92" w14:paraId="6C020655"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E0BBC15" w14:textId="77777777" w:rsidR="00D34F92" w:rsidRDefault="00D34F92">
            <w:pPr>
              <w:jc w:val="center"/>
              <w:rPr>
                <w:color w:val="000000"/>
              </w:rPr>
            </w:pPr>
            <w:r>
              <w:rPr>
                <w:color w:val="000000"/>
              </w:rPr>
              <w:t>Eu</w:t>
            </w:r>
          </w:p>
        </w:tc>
        <w:tc>
          <w:tcPr>
            <w:tcW w:w="1720" w:type="dxa"/>
            <w:tcBorders>
              <w:top w:val="nil"/>
              <w:left w:val="nil"/>
              <w:bottom w:val="single" w:sz="4" w:space="0" w:color="auto"/>
              <w:right w:val="single" w:sz="4" w:space="0" w:color="auto"/>
            </w:tcBorders>
            <w:shd w:val="clear" w:color="auto" w:fill="auto"/>
            <w:noWrap/>
            <w:vAlign w:val="bottom"/>
            <w:hideMark/>
          </w:tcPr>
          <w:p w14:paraId="533B6B50" w14:textId="77777777" w:rsidR="00D34F92" w:rsidRDefault="00D34F92">
            <w:pPr>
              <w:jc w:val="center"/>
              <w:rPr>
                <w:color w:val="000000"/>
              </w:rPr>
            </w:pPr>
            <w:r>
              <w:rPr>
                <w:color w:val="000000"/>
              </w:rPr>
              <w:t>9.46E-04</w:t>
            </w:r>
          </w:p>
        </w:tc>
        <w:tc>
          <w:tcPr>
            <w:tcW w:w="1420" w:type="dxa"/>
            <w:tcBorders>
              <w:top w:val="nil"/>
              <w:left w:val="nil"/>
              <w:bottom w:val="single" w:sz="4" w:space="0" w:color="auto"/>
              <w:right w:val="single" w:sz="4" w:space="0" w:color="auto"/>
            </w:tcBorders>
            <w:shd w:val="clear" w:color="auto" w:fill="auto"/>
            <w:noWrap/>
            <w:vAlign w:val="bottom"/>
            <w:hideMark/>
          </w:tcPr>
          <w:p w14:paraId="2990B54E" w14:textId="77777777" w:rsidR="00D34F92" w:rsidRDefault="00D34F92">
            <w:pPr>
              <w:jc w:val="center"/>
              <w:rPr>
                <w:color w:val="000000"/>
              </w:rPr>
            </w:pPr>
            <w:r>
              <w:rPr>
                <w:color w:val="000000"/>
              </w:rPr>
              <w:t>5.01E-04</w:t>
            </w:r>
          </w:p>
        </w:tc>
        <w:tc>
          <w:tcPr>
            <w:tcW w:w="1420" w:type="dxa"/>
            <w:tcBorders>
              <w:top w:val="nil"/>
              <w:left w:val="nil"/>
              <w:bottom w:val="single" w:sz="4" w:space="0" w:color="auto"/>
              <w:right w:val="single" w:sz="4" w:space="0" w:color="auto"/>
            </w:tcBorders>
            <w:shd w:val="clear" w:color="auto" w:fill="auto"/>
            <w:noWrap/>
            <w:vAlign w:val="bottom"/>
            <w:hideMark/>
          </w:tcPr>
          <w:p w14:paraId="2F8831A0" w14:textId="77777777" w:rsidR="00D34F92" w:rsidRDefault="00D34F92">
            <w:pPr>
              <w:jc w:val="center"/>
              <w:rPr>
                <w:color w:val="000000"/>
              </w:rPr>
            </w:pPr>
            <w:r>
              <w:rPr>
                <w:color w:val="000000"/>
              </w:rPr>
              <w:t>5.76E-04</w:t>
            </w:r>
          </w:p>
        </w:tc>
        <w:tc>
          <w:tcPr>
            <w:tcW w:w="880" w:type="dxa"/>
            <w:tcBorders>
              <w:top w:val="nil"/>
              <w:left w:val="nil"/>
              <w:bottom w:val="single" w:sz="4" w:space="0" w:color="auto"/>
              <w:right w:val="single" w:sz="4" w:space="0" w:color="auto"/>
            </w:tcBorders>
            <w:shd w:val="clear" w:color="auto" w:fill="auto"/>
            <w:noWrap/>
            <w:vAlign w:val="bottom"/>
            <w:hideMark/>
          </w:tcPr>
          <w:p w14:paraId="16E49B1F" w14:textId="77777777" w:rsidR="00D34F92" w:rsidRDefault="00D34F92">
            <w:pPr>
              <w:jc w:val="center"/>
              <w:rPr>
                <w:color w:val="000000"/>
              </w:rPr>
            </w:pPr>
            <w:r>
              <w:rPr>
                <w:color w:val="000000"/>
              </w:rPr>
              <w:t>Sup.</w:t>
            </w:r>
          </w:p>
        </w:tc>
        <w:tc>
          <w:tcPr>
            <w:tcW w:w="1420" w:type="dxa"/>
            <w:tcBorders>
              <w:top w:val="nil"/>
              <w:left w:val="nil"/>
              <w:bottom w:val="single" w:sz="4" w:space="0" w:color="auto"/>
              <w:right w:val="single" w:sz="4" w:space="0" w:color="auto"/>
            </w:tcBorders>
            <w:shd w:val="clear" w:color="auto" w:fill="auto"/>
            <w:noWrap/>
            <w:vAlign w:val="bottom"/>
            <w:hideMark/>
          </w:tcPr>
          <w:p w14:paraId="5B1FBF7D" w14:textId="77777777" w:rsidR="00D34F92" w:rsidRDefault="00D34F92">
            <w:pPr>
              <w:jc w:val="center"/>
              <w:rPr>
                <w:color w:val="000000"/>
              </w:rPr>
            </w:pPr>
            <w:r>
              <w:rPr>
                <w:color w:val="000000"/>
              </w:rPr>
              <w:t>1.35E-02</w:t>
            </w:r>
          </w:p>
        </w:tc>
      </w:tr>
      <w:tr w:rsidR="00D34F92" w14:paraId="6204CE16"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4B9E89C" w14:textId="77777777" w:rsidR="00D34F92" w:rsidRDefault="00D34F92">
            <w:pPr>
              <w:jc w:val="center"/>
              <w:rPr>
                <w:color w:val="000000"/>
              </w:rPr>
            </w:pPr>
            <w:r>
              <w:rPr>
                <w:color w:val="000000"/>
              </w:rPr>
              <w:t>Gd</w:t>
            </w:r>
          </w:p>
        </w:tc>
        <w:tc>
          <w:tcPr>
            <w:tcW w:w="1720" w:type="dxa"/>
            <w:tcBorders>
              <w:top w:val="nil"/>
              <w:left w:val="nil"/>
              <w:bottom w:val="single" w:sz="4" w:space="0" w:color="auto"/>
              <w:right w:val="single" w:sz="4" w:space="0" w:color="auto"/>
            </w:tcBorders>
            <w:shd w:val="clear" w:color="auto" w:fill="auto"/>
            <w:noWrap/>
            <w:vAlign w:val="bottom"/>
            <w:hideMark/>
          </w:tcPr>
          <w:p w14:paraId="0B1D7AB9" w14:textId="77777777" w:rsidR="00D34F92" w:rsidRDefault="00D34F92">
            <w:pPr>
              <w:jc w:val="center"/>
              <w:rPr>
                <w:color w:val="000000"/>
              </w:rPr>
            </w:pPr>
            <w:r>
              <w:rPr>
                <w:color w:val="000000"/>
              </w:rPr>
              <w:t>2.21E-03</w:t>
            </w:r>
          </w:p>
        </w:tc>
        <w:tc>
          <w:tcPr>
            <w:tcW w:w="1420" w:type="dxa"/>
            <w:tcBorders>
              <w:top w:val="nil"/>
              <w:left w:val="nil"/>
              <w:bottom w:val="single" w:sz="4" w:space="0" w:color="auto"/>
              <w:right w:val="single" w:sz="4" w:space="0" w:color="auto"/>
            </w:tcBorders>
            <w:shd w:val="clear" w:color="auto" w:fill="auto"/>
            <w:noWrap/>
            <w:vAlign w:val="bottom"/>
            <w:hideMark/>
          </w:tcPr>
          <w:p w14:paraId="04F9BAB7" w14:textId="77777777" w:rsidR="00D34F92" w:rsidRDefault="00D34F92">
            <w:pPr>
              <w:jc w:val="center"/>
              <w:rPr>
                <w:color w:val="000000"/>
              </w:rPr>
            </w:pPr>
            <w:r>
              <w:rPr>
                <w:color w:val="000000"/>
              </w:rPr>
              <w:t>1.06E-03</w:t>
            </w:r>
          </w:p>
        </w:tc>
        <w:tc>
          <w:tcPr>
            <w:tcW w:w="1420" w:type="dxa"/>
            <w:tcBorders>
              <w:top w:val="nil"/>
              <w:left w:val="nil"/>
              <w:bottom w:val="single" w:sz="4" w:space="0" w:color="auto"/>
              <w:right w:val="single" w:sz="4" w:space="0" w:color="auto"/>
            </w:tcBorders>
            <w:shd w:val="clear" w:color="auto" w:fill="auto"/>
            <w:noWrap/>
            <w:vAlign w:val="bottom"/>
            <w:hideMark/>
          </w:tcPr>
          <w:p w14:paraId="7B7CB819" w14:textId="77777777" w:rsidR="00D34F92" w:rsidRDefault="00D34F92">
            <w:pPr>
              <w:jc w:val="center"/>
              <w:rPr>
                <w:color w:val="000000"/>
              </w:rPr>
            </w:pPr>
            <w:r>
              <w:rPr>
                <w:color w:val="000000"/>
              </w:rPr>
              <w:t>1.22E-03</w:t>
            </w:r>
          </w:p>
        </w:tc>
        <w:tc>
          <w:tcPr>
            <w:tcW w:w="880" w:type="dxa"/>
            <w:tcBorders>
              <w:top w:val="nil"/>
              <w:left w:val="nil"/>
              <w:bottom w:val="single" w:sz="4" w:space="0" w:color="auto"/>
              <w:right w:val="single" w:sz="4" w:space="0" w:color="auto"/>
            </w:tcBorders>
            <w:shd w:val="clear" w:color="auto" w:fill="auto"/>
            <w:noWrap/>
            <w:vAlign w:val="bottom"/>
            <w:hideMark/>
          </w:tcPr>
          <w:p w14:paraId="7AAF8B11"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3B771246" w14:textId="77777777" w:rsidR="00D34F92" w:rsidRDefault="00D34F92">
            <w:pPr>
              <w:jc w:val="center"/>
              <w:rPr>
                <w:color w:val="000000"/>
              </w:rPr>
            </w:pPr>
            <w:r>
              <w:rPr>
                <w:color w:val="000000"/>
              </w:rPr>
              <w:t>4.80E-02</w:t>
            </w:r>
          </w:p>
        </w:tc>
      </w:tr>
      <w:tr w:rsidR="00D34F92" w14:paraId="0C4EDE20"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D6306D8" w14:textId="77777777" w:rsidR="00D34F92" w:rsidRDefault="00D34F92">
            <w:pPr>
              <w:jc w:val="center"/>
              <w:rPr>
                <w:color w:val="000000"/>
              </w:rPr>
            </w:pPr>
            <w:r>
              <w:rPr>
                <w:color w:val="000000"/>
              </w:rPr>
              <w:t>Tb</w:t>
            </w:r>
          </w:p>
        </w:tc>
        <w:tc>
          <w:tcPr>
            <w:tcW w:w="1720" w:type="dxa"/>
            <w:tcBorders>
              <w:top w:val="nil"/>
              <w:left w:val="nil"/>
              <w:bottom w:val="single" w:sz="4" w:space="0" w:color="auto"/>
              <w:right w:val="single" w:sz="4" w:space="0" w:color="auto"/>
            </w:tcBorders>
            <w:shd w:val="clear" w:color="auto" w:fill="auto"/>
            <w:noWrap/>
            <w:vAlign w:val="bottom"/>
            <w:hideMark/>
          </w:tcPr>
          <w:p w14:paraId="0B0A790B" w14:textId="77777777" w:rsidR="00D34F92" w:rsidRDefault="00D34F92">
            <w:pPr>
              <w:jc w:val="center"/>
              <w:rPr>
                <w:color w:val="000000"/>
              </w:rPr>
            </w:pPr>
            <w:r>
              <w:rPr>
                <w:color w:val="000000"/>
              </w:rPr>
              <w:t>4.60E-03</w:t>
            </w:r>
          </w:p>
        </w:tc>
        <w:tc>
          <w:tcPr>
            <w:tcW w:w="1420" w:type="dxa"/>
            <w:tcBorders>
              <w:top w:val="nil"/>
              <w:left w:val="nil"/>
              <w:bottom w:val="single" w:sz="4" w:space="0" w:color="auto"/>
              <w:right w:val="single" w:sz="4" w:space="0" w:color="auto"/>
            </w:tcBorders>
            <w:shd w:val="clear" w:color="auto" w:fill="auto"/>
            <w:noWrap/>
            <w:vAlign w:val="bottom"/>
            <w:hideMark/>
          </w:tcPr>
          <w:p w14:paraId="2BD2561E" w14:textId="77777777" w:rsidR="00D34F92" w:rsidRDefault="00D34F92">
            <w:pPr>
              <w:jc w:val="center"/>
              <w:rPr>
                <w:color w:val="000000"/>
              </w:rPr>
            </w:pPr>
            <w:r>
              <w:rPr>
                <w:color w:val="000000"/>
              </w:rPr>
              <w:t>2.16E-03</w:t>
            </w:r>
          </w:p>
        </w:tc>
        <w:tc>
          <w:tcPr>
            <w:tcW w:w="1420" w:type="dxa"/>
            <w:tcBorders>
              <w:top w:val="nil"/>
              <w:left w:val="nil"/>
              <w:bottom w:val="single" w:sz="4" w:space="0" w:color="auto"/>
              <w:right w:val="single" w:sz="4" w:space="0" w:color="auto"/>
            </w:tcBorders>
            <w:shd w:val="clear" w:color="auto" w:fill="auto"/>
            <w:noWrap/>
            <w:vAlign w:val="bottom"/>
            <w:hideMark/>
          </w:tcPr>
          <w:p w14:paraId="3F3E7C70" w14:textId="77777777" w:rsidR="00D34F92" w:rsidRDefault="00D34F92">
            <w:pPr>
              <w:jc w:val="center"/>
              <w:rPr>
                <w:color w:val="000000"/>
              </w:rPr>
            </w:pPr>
            <w:r>
              <w:rPr>
                <w:color w:val="000000"/>
              </w:rPr>
              <w:t>2.48E-03</w:t>
            </w:r>
          </w:p>
        </w:tc>
        <w:tc>
          <w:tcPr>
            <w:tcW w:w="880" w:type="dxa"/>
            <w:tcBorders>
              <w:top w:val="nil"/>
              <w:left w:val="nil"/>
              <w:bottom w:val="single" w:sz="4" w:space="0" w:color="auto"/>
              <w:right w:val="single" w:sz="4" w:space="0" w:color="auto"/>
            </w:tcBorders>
            <w:shd w:val="clear" w:color="auto" w:fill="auto"/>
            <w:noWrap/>
            <w:vAlign w:val="bottom"/>
            <w:hideMark/>
          </w:tcPr>
          <w:p w14:paraId="5B38AFB9"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28BA40A6" w14:textId="77777777" w:rsidR="00D34F92" w:rsidRDefault="00D34F92">
            <w:pPr>
              <w:jc w:val="center"/>
              <w:rPr>
                <w:color w:val="000000"/>
              </w:rPr>
            </w:pPr>
            <w:r>
              <w:rPr>
                <w:color w:val="000000"/>
              </w:rPr>
              <w:t>6.31E-02</w:t>
            </w:r>
          </w:p>
        </w:tc>
      </w:tr>
      <w:tr w:rsidR="00D34F92" w14:paraId="12357C34"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8AC1F7B" w14:textId="77777777" w:rsidR="00D34F92" w:rsidRDefault="00D34F92">
            <w:pPr>
              <w:jc w:val="center"/>
              <w:rPr>
                <w:color w:val="000000"/>
              </w:rPr>
            </w:pPr>
            <w:r>
              <w:rPr>
                <w:color w:val="000000"/>
              </w:rPr>
              <w:t>Dy</w:t>
            </w:r>
          </w:p>
        </w:tc>
        <w:tc>
          <w:tcPr>
            <w:tcW w:w="1720" w:type="dxa"/>
            <w:tcBorders>
              <w:top w:val="nil"/>
              <w:left w:val="nil"/>
              <w:bottom w:val="single" w:sz="4" w:space="0" w:color="auto"/>
              <w:right w:val="single" w:sz="4" w:space="0" w:color="auto"/>
            </w:tcBorders>
            <w:shd w:val="clear" w:color="auto" w:fill="auto"/>
            <w:noWrap/>
            <w:vAlign w:val="bottom"/>
            <w:hideMark/>
          </w:tcPr>
          <w:p w14:paraId="0E4091D2" w14:textId="77777777" w:rsidR="00D34F92" w:rsidRDefault="00D34F92">
            <w:pPr>
              <w:jc w:val="center"/>
              <w:rPr>
                <w:color w:val="000000"/>
              </w:rPr>
            </w:pPr>
            <w:r>
              <w:rPr>
                <w:color w:val="000000"/>
              </w:rPr>
              <w:t>7.55E-03</w:t>
            </w:r>
          </w:p>
        </w:tc>
        <w:tc>
          <w:tcPr>
            <w:tcW w:w="1420" w:type="dxa"/>
            <w:tcBorders>
              <w:top w:val="nil"/>
              <w:left w:val="nil"/>
              <w:bottom w:val="single" w:sz="4" w:space="0" w:color="auto"/>
              <w:right w:val="single" w:sz="4" w:space="0" w:color="auto"/>
            </w:tcBorders>
            <w:shd w:val="clear" w:color="auto" w:fill="auto"/>
            <w:noWrap/>
            <w:vAlign w:val="bottom"/>
            <w:hideMark/>
          </w:tcPr>
          <w:p w14:paraId="5E26DA7D" w14:textId="77777777" w:rsidR="00D34F92" w:rsidRDefault="00D34F92">
            <w:pPr>
              <w:jc w:val="center"/>
              <w:rPr>
                <w:color w:val="000000"/>
              </w:rPr>
            </w:pPr>
            <w:r>
              <w:rPr>
                <w:color w:val="000000"/>
              </w:rPr>
              <w:t>3.49E-03</w:t>
            </w:r>
          </w:p>
        </w:tc>
        <w:tc>
          <w:tcPr>
            <w:tcW w:w="1420" w:type="dxa"/>
            <w:tcBorders>
              <w:top w:val="nil"/>
              <w:left w:val="nil"/>
              <w:bottom w:val="single" w:sz="4" w:space="0" w:color="auto"/>
              <w:right w:val="single" w:sz="4" w:space="0" w:color="auto"/>
            </w:tcBorders>
            <w:shd w:val="clear" w:color="auto" w:fill="auto"/>
            <w:noWrap/>
            <w:vAlign w:val="bottom"/>
            <w:hideMark/>
          </w:tcPr>
          <w:p w14:paraId="1398C5E7" w14:textId="77777777" w:rsidR="00D34F92" w:rsidRDefault="00D34F92">
            <w:pPr>
              <w:jc w:val="center"/>
              <w:rPr>
                <w:color w:val="000000"/>
              </w:rPr>
            </w:pPr>
            <w:r>
              <w:rPr>
                <w:color w:val="000000"/>
              </w:rPr>
              <w:t>4.01E-03</w:t>
            </w:r>
          </w:p>
        </w:tc>
        <w:tc>
          <w:tcPr>
            <w:tcW w:w="880" w:type="dxa"/>
            <w:tcBorders>
              <w:top w:val="nil"/>
              <w:left w:val="nil"/>
              <w:bottom w:val="single" w:sz="4" w:space="0" w:color="auto"/>
              <w:right w:val="single" w:sz="4" w:space="0" w:color="auto"/>
            </w:tcBorders>
            <w:shd w:val="clear" w:color="auto" w:fill="auto"/>
            <w:noWrap/>
            <w:vAlign w:val="bottom"/>
            <w:hideMark/>
          </w:tcPr>
          <w:p w14:paraId="66ECF63F"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2BAFCC18" w14:textId="77777777" w:rsidR="00D34F92" w:rsidRDefault="00D34F92">
            <w:pPr>
              <w:jc w:val="center"/>
              <w:rPr>
                <w:color w:val="000000"/>
              </w:rPr>
            </w:pPr>
            <w:r>
              <w:rPr>
                <w:color w:val="000000"/>
              </w:rPr>
              <w:t>8.05E-02</w:t>
            </w:r>
          </w:p>
        </w:tc>
      </w:tr>
      <w:tr w:rsidR="00D34F92" w14:paraId="37D281FA"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8EA954F" w14:textId="77777777" w:rsidR="00D34F92" w:rsidRDefault="00D34F92">
            <w:pPr>
              <w:jc w:val="center"/>
              <w:rPr>
                <w:color w:val="000000"/>
              </w:rPr>
            </w:pPr>
            <w:r>
              <w:rPr>
                <w:color w:val="000000"/>
              </w:rPr>
              <w:t>Y</w:t>
            </w:r>
          </w:p>
        </w:tc>
        <w:tc>
          <w:tcPr>
            <w:tcW w:w="1720" w:type="dxa"/>
            <w:tcBorders>
              <w:top w:val="nil"/>
              <w:left w:val="nil"/>
              <w:bottom w:val="single" w:sz="4" w:space="0" w:color="auto"/>
              <w:right w:val="single" w:sz="4" w:space="0" w:color="auto"/>
            </w:tcBorders>
            <w:shd w:val="clear" w:color="auto" w:fill="auto"/>
            <w:noWrap/>
            <w:vAlign w:val="bottom"/>
            <w:hideMark/>
          </w:tcPr>
          <w:p w14:paraId="4A6EB6F0" w14:textId="77777777" w:rsidR="00D34F92" w:rsidRDefault="00D34F92">
            <w:pPr>
              <w:jc w:val="center"/>
              <w:rPr>
                <w:color w:val="000000"/>
              </w:rPr>
            </w:pPr>
            <w:r>
              <w:rPr>
                <w:color w:val="000000"/>
              </w:rPr>
              <w:t>1.25E-02</w:t>
            </w:r>
          </w:p>
        </w:tc>
        <w:tc>
          <w:tcPr>
            <w:tcW w:w="1420" w:type="dxa"/>
            <w:tcBorders>
              <w:top w:val="nil"/>
              <w:left w:val="nil"/>
              <w:bottom w:val="single" w:sz="4" w:space="0" w:color="auto"/>
              <w:right w:val="single" w:sz="4" w:space="0" w:color="auto"/>
            </w:tcBorders>
            <w:shd w:val="clear" w:color="auto" w:fill="auto"/>
            <w:noWrap/>
            <w:vAlign w:val="bottom"/>
            <w:hideMark/>
          </w:tcPr>
          <w:p w14:paraId="146CFAB8" w14:textId="77777777" w:rsidR="00D34F92" w:rsidRDefault="00D34F92">
            <w:pPr>
              <w:jc w:val="center"/>
              <w:rPr>
                <w:color w:val="000000"/>
              </w:rPr>
            </w:pPr>
            <w:r>
              <w:rPr>
                <w:color w:val="000000"/>
              </w:rPr>
              <w:t>5.68E-03</w:t>
            </w:r>
          </w:p>
        </w:tc>
        <w:tc>
          <w:tcPr>
            <w:tcW w:w="1420" w:type="dxa"/>
            <w:tcBorders>
              <w:top w:val="nil"/>
              <w:left w:val="nil"/>
              <w:bottom w:val="single" w:sz="4" w:space="0" w:color="auto"/>
              <w:right w:val="single" w:sz="4" w:space="0" w:color="auto"/>
            </w:tcBorders>
            <w:shd w:val="clear" w:color="auto" w:fill="auto"/>
            <w:noWrap/>
            <w:vAlign w:val="bottom"/>
            <w:hideMark/>
          </w:tcPr>
          <w:p w14:paraId="33DB1D0B" w14:textId="77777777" w:rsidR="00D34F92" w:rsidRDefault="00D34F92">
            <w:pPr>
              <w:jc w:val="center"/>
              <w:rPr>
                <w:color w:val="000000"/>
              </w:rPr>
            </w:pPr>
            <w:r>
              <w:rPr>
                <w:color w:val="000000"/>
              </w:rPr>
              <w:t>6.53E-03</w:t>
            </w:r>
          </w:p>
        </w:tc>
        <w:tc>
          <w:tcPr>
            <w:tcW w:w="880" w:type="dxa"/>
            <w:tcBorders>
              <w:top w:val="nil"/>
              <w:left w:val="nil"/>
              <w:bottom w:val="single" w:sz="4" w:space="0" w:color="auto"/>
              <w:right w:val="single" w:sz="4" w:space="0" w:color="auto"/>
            </w:tcBorders>
            <w:shd w:val="clear" w:color="auto" w:fill="auto"/>
            <w:noWrap/>
            <w:vAlign w:val="bottom"/>
            <w:hideMark/>
          </w:tcPr>
          <w:p w14:paraId="77F5EB4F"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30513E5F" w14:textId="77777777" w:rsidR="00D34F92" w:rsidRDefault="00D34F92">
            <w:pPr>
              <w:jc w:val="center"/>
              <w:rPr>
                <w:color w:val="000000"/>
              </w:rPr>
            </w:pPr>
            <w:r>
              <w:rPr>
                <w:color w:val="000000"/>
              </w:rPr>
              <w:t>9.21E-02</w:t>
            </w:r>
          </w:p>
        </w:tc>
      </w:tr>
      <w:tr w:rsidR="00D34F92" w14:paraId="4DEEC199"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1D127E4" w14:textId="77777777" w:rsidR="00D34F92" w:rsidRDefault="00D34F92">
            <w:pPr>
              <w:jc w:val="center"/>
              <w:rPr>
                <w:color w:val="000000"/>
              </w:rPr>
            </w:pPr>
            <w:r>
              <w:rPr>
                <w:color w:val="000000"/>
              </w:rPr>
              <w:t>Ho</w:t>
            </w:r>
          </w:p>
        </w:tc>
        <w:tc>
          <w:tcPr>
            <w:tcW w:w="1720" w:type="dxa"/>
            <w:tcBorders>
              <w:top w:val="nil"/>
              <w:left w:val="nil"/>
              <w:bottom w:val="single" w:sz="4" w:space="0" w:color="auto"/>
              <w:right w:val="single" w:sz="4" w:space="0" w:color="auto"/>
            </w:tcBorders>
            <w:shd w:val="clear" w:color="auto" w:fill="auto"/>
            <w:noWrap/>
            <w:vAlign w:val="bottom"/>
            <w:hideMark/>
          </w:tcPr>
          <w:p w14:paraId="6FF42806" w14:textId="77777777" w:rsidR="00D34F92" w:rsidRDefault="00D34F92">
            <w:pPr>
              <w:jc w:val="center"/>
              <w:rPr>
                <w:color w:val="000000"/>
              </w:rPr>
            </w:pPr>
            <w:r>
              <w:rPr>
                <w:color w:val="000000"/>
              </w:rPr>
              <w:t>1.20E-02</w:t>
            </w:r>
          </w:p>
        </w:tc>
        <w:tc>
          <w:tcPr>
            <w:tcW w:w="1420" w:type="dxa"/>
            <w:tcBorders>
              <w:top w:val="nil"/>
              <w:left w:val="nil"/>
              <w:bottom w:val="single" w:sz="4" w:space="0" w:color="auto"/>
              <w:right w:val="single" w:sz="4" w:space="0" w:color="auto"/>
            </w:tcBorders>
            <w:shd w:val="clear" w:color="auto" w:fill="auto"/>
            <w:noWrap/>
            <w:vAlign w:val="bottom"/>
            <w:hideMark/>
          </w:tcPr>
          <w:p w14:paraId="04B051FD" w14:textId="77777777" w:rsidR="00D34F92" w:rsidRDefault="00D34F92">
            <w:pPr>
              <w:jc w:val="center"/>
              <w:rPr>
                <w:color w:val="000000"/>
              </w:rPr>
            </w:pPr>
            <w:r>
              <w:rPr>
                <w:color w:val="000000"/>
              </w:rPr>
              <w:t>5.46E-03</w:t>
            </w:r>
          </w:p>
        </w:tc>
        <w:tc>
          <w:tcPr>
            <w:tcW w:w="1420" w:type="dxa"/>
            <w:tcBorders>
              <w:top w:val="nil"/>
              <w:left w:val="nil"/>
              <w:bottom w:val="single" w:sz="4" w:space="0" w:color="auto"/>
              <w:right w:val="single" w:sz="4" w:space="0" w:color="auto"/>
            </w:tcBorders>
            <w:shd w:val="clear" w:color="auto" w:fill="auto"/>
            <w:noWrap/>
            <w:vAlign w:val="bottom"/>
            <w:hideMark/>
          </w:tcPr>
          <w:p w14:paraId="7B460849" w14:textId="77777777" w:rsidR="00D34F92" w:rsidRDefault="00D34F92">
            <w:pPr>
              <w:jc w:val="center"/>
              <w:rPr>
                <w:color w:val="000000"/>
              </w:rPr>
            </w:pPr>
            <w:r>
              <w:rPr>
                <w:color w:val="000000"/>
              </w:rPr>
              <w:t>6.28E-03</w:t>
            </w:r>
          </w:p>
        </w:tc>
        <w:tc>
          <w:tcPr>
            <w:tcW w:w="880" w:type="dxa"/>
            <w:tcBorders>
              <w:top w:val="nil"/>
              <w:left w:val="nil"/>
              <w:bottom w:val="single" w:sz="4" w:space="0" w:color="auto"/>
              <w:right w:val="single" w:sz="4" w:space="0" w:color="auto"/>
            </w:tcBorders>
            <w:shd w:val="clear" w:color="auto" w:fill="auto"/>
            <w:noWrap/>
            <w:vAlign w:val="bottom"/>
            <w:hideMark/>
          </w:tcPr>
          <w:p w14:paraId="48B8CD42"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74A736D0" w14:textId="77777777" w:rsidR="00D34F92" w:rsidRDefault="00D34F92">
            <w:pPr>
              <w:jc w:val="center"/>
              <w:rPr>
                <w:color w:val="000000"/>
              </w:rPr>
            </w:pPr>
            <w:r>
              <w:rPr>
                <w:color w:val="000000"/>
              </w:rPr>
              <w:t>9.81E-02</w:t>
            </w:r>
          </w:p>
        </w:tc>
      </w:tr>
      <w:tr w:rsidR="00D34F92" w14:paraId="35472D2C"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B85E41F" w14:textId="77777777" w:rsidR="00D34F92" w:rsidRDefault="00D34F92">
            <w:pPr>
              <w:jc w:val="center"/>
              <w:rPr>
                <w:color w:val="000000"/>
              </w:rPr>
            </w:pPr>
            <w:r>
              <w:rPr>
                <w:color w:val="000000"/>
              </w:rPr>
              <w:t>Er</w:t>
            </w:r>
          </w:p>
        </w:tc>
        <w:tc>
          <w:tcPr>
            <w:tcW w:w="1720" w:type="dxa"/>
            <w:tcBorders>
              <w:top w:val="nil"/>
              <w:left w:val="nil"/>
              <w:bottom w:val="single" w:sz="4" w:space="0" w:color="auto"/>
              <w:right w:val="single" w:sz="4" w:space="0" w:color="auto"/>
            </w:tcBorders>
            <w:shd w:val="clear" w:color="auto" w:fill="auto"/>
            <w:noWrap/>
            <w:vAlign w:val="bottom"/>
            <w:hideMark/>
          </w:tcPr>
          <w:p w14:paraId="3A8D556D" w14:textId="77777777" w:rsidR="00D34F92" w:rsidRDefault="00D34F92">
            <w:pPr>
              <w:jc w:val="center"/>
              <w:rPr>
                <w:color w:val="000000"/>
              </w:rPr>
            </w:pPr>
            <w:r>
              <w:rPr>
                <w:color w:val="000000"/>
              </w:rPr>
              <w:t>1.84E-02</w:t>
            </w:r>
          </w:p>
        </w:tc>
        <w:tc>
          <w:tcPr>
            <w:tcW w:w="1420" w:type="dxa"/>
            <w:tcBorders>
              <w:top w:val="nil"/>
              <w:left w:val="nil"/>
              <w:bottom w:val="single" w:sz="4" w:space="0" w:color="auto"/>
              <w:right w:val="single" w:sz="4" w:space="0" w:color="auto"/>
            </w:tcBorders>
            <w:shd w:val="clear" w:color="auto" w:fill="auto"/>
            <w:noWrap/>
            <w:vAlign w:val="bottom"/>
            <w:hideMark/>
          </w:tcPr>
          <w:p w14:paraId="5B12FA1B" w14:textId="77777777" w:rsidR="00D34F92" w:rsidRDefault="00D34F92">
            <w:pPr>
              <w:jc w:val="center"/>
              <w:rPr>
                <w:color w:val="000000"/>
              </w:rPr>
            </w:pPr>
            <w:r>
              <w:rPr>
                <w:color w:val="000000"/>
              </w:rPr>
              <w:t>8.28E-03</w:t>
            </w:r>
          </w:p>
        </w:tc>
        <w:tc>
          <w:tcPr>
            <w:tcW w:w="1420" w:type="dxa"/>
            <w:tcBorders>
              <w:top w:val="nil"/>
              <w:left w:val="nil"/>
              <w:bottom w:val="single" w:sz="4" w:space="0" w:color="auto"/>
              <w:right w:val="single" w:sz="4" w:space="0" w:color="auto"/>
            </w:tcBorders>
            <w:shd w:val="clear" w:color="auto" w:fill="auto"/>
            <w:noWrap/>
            <w:vAlign w:val="bottom"/>
            <w:hideMark/>
          </w:tcPr>
          <w:p w14:paraId="0211D0E7" w14:textId="77777777" w:rsidR="00D34F92" w:rsidRDefault="00D34F92">
            <w:pPr>
              <w:jc w:val="center"/>
              <w:rPr>
                <w:color w:val="000000"/>
              </w:rPr>
            </w:pPr>
            <w:r>
              <w:rPr>
                <w:color w:val="000000"/>
              </w:rPr>
              <w:t>9.52E-03</w:t>
            </w:r>
          </w:p>
        </w:tc>
        <w:tc>
          <w:tcPr>
            <w:tcW w:w="880" w:type="dxa"/>
            <w:tcBorders>
              <w:top w:val="nil"/>
              <w:left w:val="nil"/>
              <w:bottom w:val="single" w:sz="4" w:space="0" w:color="auto"/>
              <w:right w:val="single" w:sz="4" w:space="0" w:color="auto"/>
            </w:tcBorders>
            <w:shd w:val="clear" w:color="auto" w:fill="auto"/>
            <w:noWrap/>
            <w:vAlign w:val="bottom"/>
            <w:hideMark/>
          </w:tcPr>
          <w:p w14:paraId="0087E166"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77DEB15D" w14:textId="77777777" w:rsidR="00D34F92" w:rsidRDefault="00D34F92">
            <w:pPr>
              <w:jc w:val="center"/>
              <w:rPr>
                <w:color w:val="000000"/>
              </w:rPr>
            </w:pPr>
            <w:r>
              <w:rPr>
                <w:color w:val="000000"/>
              </w:rPr>
              <w:t>1.15E-01</w:t>
            </w:r>
          </w:p>
        </w:tc>
      </w:tr>
      <w:tr w:rsidR="00D34F92" w14:paraId="6EA497DA"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69CC97B" w14:textId="77777777" w:rsidR="00D34F92" w:rsidRDefault="00D34F92">
            <w:pPr>
              <w:jc w:val="center"/>
              <w:rPr>
                <w:color w:val="000000"/>
              </w:rPr>
            </w:pPr>
            <w:r>
              <w:rPr>
                <w:color w:val="000000"/>
              </w:rPr>
              <w:t>Tm</w:t>
            </w:r>
          </w:p>
        </w:tc>
        <w:tc>
          <w:tcPr>
            <w:tcW w:w="1720" w:type="dxa"/>
            <w:tcBorders>
              <w:top w:val="nil"/>
              <w:left w:val="nil"/>
              <w:bottom w:val="single" w:sz="4" w:space="0" w:color="auto"/>
              <w:right w:val="single" w:sz="4" w:space="0" w:color="auto"/>
            </w:tcBorders>
            <w:shd w:val="clear" w:color="auto" w:fill="auto"/>
            <w:noWrap/>
            <w:vAlign w:val="bottom"/>
            <w:hideMark/>
          </w:tcPr>
          <w:p w14:paraId="47EA14A7" w14:textId="77777777" w:rsidR="00D34F92" w:rsidRDefault="00D34F92">
            <w:pPr>
              <w:jc w:val="center"/>
              <w:rPr>
                <w:color w:val="000000"/>
              </w:rPr>
            </w:pPr>
            <w:r>
              <w:rPr>
                <w:color w:val="000000"/>
              </w:rPr>
              <w:t>2.65E-02</w:t>
            </w:r>
          </w:p>
        </w:tc>
        <w:tc>
          <w:tcPr>
            <w:tcW w:w="1420" w:type="dxa"/>
            <w:tcBorders>
              <w:top w:val="nil"/>
              <w:left w:val="nil"/>
              <w:bottom w:val="single" w:sz="4" w:space="0" w:color="auto"/>
              <w:right w:val="single" w:sz="4" w:space="0" w:color="auto"/>
            </w:tcBorders>
            <w:shd w:val="clear" w:color="auto" w:fill="auto"/>
            <w:noWrap/>
            <w:vAlign w:val="bottom"/>
            <w:hideMark/>
          </w:tcPr>
          <w:p w14:paraId="7A272182" w14:textId="77777777" w:rsidR="00D34F92" w:rsidRDefault="00D34F92">
            <w:pPr>
              <w:jc w:val="center"/>
              <w:rPr>
                <w:color w:val="000000"/>
              </w:rPr>
            </w:pPr>
            <w:r>
              <w:rPr>
                <w:color w:val="000000"/>
              </w:rPr>
              <w:t>1.18E-02</w:t>
            </w:r>
          </w:p>
        </w:tc>
        <w:tc>
          <w:tcPr>
            <w:tcW w:w="1420" w:type="dxa"/>
            <w:tcBorders>
              <w:top w:val="nil"/>
              <w:left w:val="nil"/>
              <w:bottom w:val="single" w:sz="4" w:space="0" w:color="auto"/>
              <w:right w:val="single" w:sz="4" w:space="0" w:color="auto"/>
            </w:tcBorders>
            <w:shd w:val="clear" w:color="auto" w:fill="auto"/>
            <w:noWrap/>
            <w:vAlign w:val="bottom"/>
            <w:hideMark/>
          </w:tcPr>
          <w:p w14:paraId="4A3D6612" w14:textId="77777777" w:rsidR="00D34F92" w:rsidRDefault="00D34F92">
            <w:pPr>
              <w:jc w:val="center"/>
              <w:rPr>
                <w:color w:val="000000"/>
              </w:rPr>
            </w:pPr>
            <w:r>
              <w:rPr>
                <w:color w:val="000000"/>
              </w:rPr>
              <w:t>1.35E-02</w:t>
            </w:r>
          </w:p>
        </w:tc>
        <w:tc>
          <w:tcPr>
            <w:tcW w:w="880" w:type="dxa"/>
            <w:tcBorders>
              <w:top w:val="nil"/>
              <w:left w:val="nil"/>
              <w:bottom w:val="single" w:sz="4" w:space="0" w:color="auto"/>
              <w:right w:val="single" w:sz="4" w:space="0" w:color="auto"/>
            </w:tcBorders>
            <w:shd w:val="clear" w:color="auto" w:fill="auto"/>
            <w:noWrap/>
            <w:vAlign w:val="bottom"/>
            <w:hideMark/>
          </w:tcPr>
          <w:p w14:paraId="3081A578"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78B5B9C4" w14:textId="77777777" w:rsidR="00D34F92" w:rsidRDefault="00D34F92">
            <w:pPr>
              <w:jc w:val="center"/>
              <w:rPr>
                <w:color w:val="000000"/>
              </w:rPr>
            </w:pPr>
            <w:r>
              <w:rPr>
                <w:color w:val="000000"/>
              </w:rPr>
              <w:t>1.31E-01</w:t>
            </w:r>
          </w:p>
        </w:tc>
      </w:tr>
      <w:tr w:rsidR="00D34F92" w14:paraId="53888789"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B626594" w14:textId="77777777" w:rsidR="00D34F92" w:rsidRDefault="00D34F92">
            <w:pPr>
              <w:jc w:val="center"/>
              <w:rPr>
                <w:color w:val="000000"/>
              </w:rPr>
            </w:pPr>
            <w:r>
              <w:rPr>
                <w:color w:val="000000"/>
              </w:rPr>
              <w:t>Yb</w:t>
            </w:r>
          </w:p>
        </w:tc>
        <w:tc>
          <w:tcPr>
            <w:tcW w:w="1720" w:type="dxa"/>
            <w:tcBorders>
              <w:top w:val="nil"/>
              <w:left w:val="nil"/>
              <w:bottom w:val="single" w:sz="4" w:space="0" w:color="auto"/>
              <w:right w:val="single" w:sz="4" w:space="0" w:color="auto"/>
            </w:tcBorders>
            <w:shd w:val="clear" w:color="auto" w:fill="auto"/>
            <w:noWrap/>
            <w:vAlign w:val="bottom"/>
            <w:hideMark/>
          </w:tcPr>
          <w:p w14:paraId="48DFC172" w14:textId="77777777" w:rsidR="00D34F92" w:rsidRDefault="00D34F92">
            <w:pPr>
              <w:jc w:val="center"/>
              <w:rPr>
                <w:color w:val="000000"/>
              </w:rPr>
            </w:pPr>
            <w:r>
              <w:rPr>
                <w:color w:val="000000"/>
              </w:rPr>
              <w:t>3.95E-02</w:t>
            </w:r>
          </w:p>
        </w:tc>
        <w:tc>
          <w:tcPr>
            <w:tcW w:w="1420" w:type="dxa"/>
            <w:tcBorders>
              <w:top w:val="nil"/>
              <w:left w:val="nil"/>
              <w:bottom w:val="single" w:sz="4" w:space="0" w:color="auto"/>
              <w:right w:val="single" w:sz="4" w:space="0" w:color="auto"/>
            </w:tcBorders>
            <w:shd w:val="clear" w:color="auto" w:fill="auto"/>
            <w:noWrap/>
            <w:vAlign w:val="bottom"/>
            <w:hideMark/>
          </w:tcPr>
          <w:p w14:paraId="4B0D14B8" w14:textId="77777777" w:rsidR="00D34F92" w:rsidRDefault="00D34F92">
            <w:pPr>
              <w:jc w:val="center"/>
              <w:rPr>
                <w:color w:val="000000"/>
              </w:rPr>
            </w:pPr>
            <w:r>
              <w:rPr>
                <w:color w:val="000000"/>
              </w:rPr>
              <w:t>1.73E-02</w:t>
            </w:r>
          </w:p>
        </w:tc>
        <w:tc>
          <w:tcPr>
            <w:tcW w:w="1420" w:type="dxa"/>
            <w:tcBorders>
              <w:top w:val="nil"/>
              <w:left w:val="nil"/>
              <w:bottom w:val="single" w:sz="4" w:space="0" w:color="auto"/>
              <w:right w:val="single" w:sz="4" w:space="0" w:color="auto"/>
            </w:tcBorders>
            <w:shd w:val="clear" w:color="auto" w:fill="auto"/>
            <w:noWrap/>
            <w:vAlign w:val="bottom"/>
            <w:hideMark/>
          </w:tcPr>
          <w:p w14:paraId="4FE0BCAC" w14:textId="77777777" w:rsidR="00D34F92" w:rsidRDefault="00D34F92">
            <w:pPr>
              <w:jc w:val="center"/>
              <w:rPr>
                <w:color w:val="000000"/>
              </w:rPr>
            </w:pPr>
            <w:r>
              <w:rPr>
                <w:color w:val="000000"/>
              </w:rPr>
              <w:t>1.99E-02</w:t>
            </w:r>
          </w:p>
        </w:tc>
        <w:tc>
          <w:tcPr>
            <w:tcW w:w="880" w:type="dxa"/>
            <w:tcBorders>
              <w:top w:val="nil"/>
              <w:left w:val="nil"/>
              <w:bottom w:val="single" w:sz="4" w:space="0" w:color="auto"/>
              <w:right w:val="single" w:sz="4" w:space="0" w:color="auto"/>
            </w:tcBorders>
            <w:shd w:val="clear" w:color="auto" w:fill="auto"/>
            <w:noWrap/>
            <w:vAlign w:val="bottom"/>
            <w:hideMark/>
          </w:tcPr>
          <w:p w14:paraId="7BB2E68D"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1943A7C9" w14:textId="77777777" w:rsidR="00D34F92" w:rsidRDefault="00D34F92">
            <w:pPr>
              <w:jc w:val="center"/>
              <w:rPr>
                <w:color w:val="000000"/>
              </w:rPr>
            </w:pPr>
            <w:r>
              <w:rPr>
                <w:color w:val="000000"/>
              </w:rPr>
              <w:t>1.44E-01</w:t>
            </w:r>
          </w:p>
        </w:tc>
      </w:tr>
      <w:tr w:rsidR="00D34F92" w14:paraId="33912D85"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7C4717B" w14:textId="77777777" w:rsidR="00D34F92" w:rsidRDefault="00D34F92">
            <w:pPr>
              <w:jc w:val="center"/>
              <w:rPr>
                <w:color w:val="000000"/>
              </w:rPr>
            </w:pPr>
            <w:r>
              <w:rPr>
                <w:color w:val="000000"/>
              </w:rPr>
              <w:t>Lu</w:t>
            </w:r>
          </w:p>
        </w:tc>
        <w:tc>
          <w:tcPr>
            <w:tcW w:w="1720" w:type="dxa"/>
            <w:tcBorders>
              <w:top w:val="nil"/>
              <w:left w:val="nil"/>
              <w:bottom w:val="single" w:sz="4" w:space="0" w:color="auto"/>
              <w:right w:val="single" w:sz="4" w:space="0" w:color="auto"/>
            </w:tcBorders>
            <w:shd w:val="clear" w:color="auto" w:fill="auto"/>
            <w:noWrap/>
            <w:vAlign w:val="bottom"/>
            <w:hideMark/>
          </w:tcPr>
          <w:p w14:paraId="064245F1" w14:textId="77777777" w:rsidR="00D34F92" w:rsidRDefault="00D34F92">
            <w:pPr>
              <w:jc w:val="center"/>
              <w:rPr>
                <w:color w:val="000000"/>
              </w:rPr>
            </w:pPr>
            <w:r>
              <w:rPr>
                <w:color w:val="000000"/>
              </w:rPr>
              <w:t>4.90E-02</w:t>
            </w:r>
          </w:p>
        </w:tc>
        <w:tc>
          <w:tcPr>
            <w:tcW w:w="1420" w:type="dxa"/>
            <w:tcBorders>
              <w:top w:val="nil"/>
              <w:left w:val="nil"/>
              <w:bottom w:val="single" w:sz="4" w:space="0" w:color="auto"/>
              <w:right w:val="single" w:sz="4" w:space="0" w:color="auto"/>
            </w:tcBorders>
            <w:shd w:val="clear" w:color="auto" w:fill="auto"/>
            <w:noWrap/>
            <w:vAlign w:val="bottom"/>
            <w:hideMark/>
          </w:tcPr>
          <w:p w14:paraId="3781E241" w14:textId="77777777" w:rsidR="00D34F92" w:rsidRDefault="00D34F92">
            <w:pPr>
              <w:jc w:val="center"/>
              <w:rPr>
                <w:color w:val="000000"/>
              </w:rPr>
            </w:pPr>
            <w:r>
              <w:rPr>
                <w:color w:val="000000"/>
              </w:rPr>
              <w:t>2.14E-02</w:t>
            </w:r>
          </w:p>
        </w:tc>
        <w:tc>
          <w:tcPr>
            <w:tcW w:w="1420" w:type="dxa"/>
            <w:tcBorders>
              <w:top w:val="nil"/>
              <w:left w:val="nil"/>
              <w:bottom w:val="single" w:sz="4" w:space="0" w:color="auto"/>
              <w:right w:val="single" w:sz="4" w:space="0" w:color="auto"/>
            </w:tcBorders>
            <w:shd w:val="clear" w:color="auto" w:fill="auto"/>
            <w:noWrap/>
            <w:vAlign w:val="bottom"/>
            <w:hideMark/>
          </w:tcPr>
          <w:p w14:paraId="0CD197D5" w14:textId="77777777" w:rsidR="00D34F92" w:rsidRDefault="00D34F92">
            <w:pPr>
              <w:jc w:val="center"/>
              <w:rPr>
                <w:color w:val="000000"/>
              </w:rPr>
            </w:pPr>
            <w:r>
              <w:rPr>
                <w:color w:val="000000"/>
              </w:rPr>
              <w:t>2.45E-02</w:t>
            </w:r>
          </w:p>
        </w:tc>
        <w:tc>
          <w:tcPr>
            <w:tcW w:w="880" w:type="dxa"/>
            <w:tcBorders>
              <w:top w:val="nil"/>
              <w:left w:val="nil"/>
              <w:bottom w:val="single" w:sz="4" w:space="0" w:color="auto"/>
              <w:right w:val="single" w:sz="4" w:space="0" w:color="auto"/>
            </w:tcBorders>
            <w:shd w:val="clear" w:color="auto" w:fill="auto"/>
            <w:noWrap/>
            <w:vAlign w:val="bottom"/>
            <w:hideMark/>
          </w:tcPr>
          <w:p w14:paraId="5FBA6D0A" w14:textId="77777777" w:rsidR="00D34F92" w:rsidRDefault="00D34F92">
            <w:pPr>
              <w:jc w:val="center"/>
              <w:rPr>
                <w:color w:val="000000"/>
              </w:rPr>
            </w:pPr>
            <w:r>
              <w:rPr>
                <w:color w:val="000000"/>
              </w:rPr>
              <w:t>a, Cal.</w:t>
            </w:r>
          </w:p>
        </w:tc>
        <w:tc>
          <w:tcPr>
            <w:tcW w:w="1420" w:type="dxa"/>
            <w:tcBorders>
              <w:top w:val="nil"/>
              <w:left w:val="nil"/>
              <w:bottom w:val="single" w:sz="4" w:space="0" w:color="auto"/>
              <w:right w:val="single" w:sz="4" w:space="0" w:color="auto"/>
            </w:tcBorders>
            <w:shd w:val="clear" w:color="auto" w:fill="auto"/>
            <w:noWrap/>
            <w:vAlign w:val="bottom"/>
            <w:hideMark/>
          </w:tcPr>
          <w:p w14:paraId="0DF60E59" w14:textId="77777777" w:rsidR="00D34F92" w:rsidRDefault="00D34F92">
            <w:pPr>
              <w:jc w:val="center"/>
              <w:rPr>
                <w:color w:val="000000"/>
              </w:rPr>
            </w:pPr>
            <w:r>
              <w:rPr>
                <w:color w:val="000000"/>
              </w:rPr>
              <w:t>1.56E-01</w:t>
            </w:r>
          </w:p>
        </w:tc>
      </w:tr>
      <w:tr w:rsidR="00D34F92" w14:paraId="16686FC8"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38C2234" w14:textId="77777777" w:rsidR="00D34F92" w:rsidRDefault="00D34F92">
            <w:pPr>
              <w:jc w:val="center"/>
              <w:rPr>
                <w:color w:val="000000"/>
              </w:rPr>
            </w:pPr>
            <w:r>
              <w:rPr>
                <w:color w:val="000000"/>
              </w:rPr>
              <w:t>Hf</w:t>
            </w:r>
          </w:p>
        </w:tc>
        <w:tc>
          <w:tcPr>
            <w:tcW w:w="1720" w:type="dxa"/>
            <w:tcBorders>
              <w:top w:val="nil"/>
              <w:left w:val="nil"/>
              <w:bottom w:val="single" w:sz="4" w:space="0" w:color="auto"/>
              <w:right w:val="single" w:sz="4" w:space="0" w:color="auto"/>
            </w:tcBorders>
            <w:shd w:val="clear" w:color="auto" w:fill="auto"/>
            <w:noWrap/>
            <w:vAlign w:val="center"/>
            <w:hideMark/>
          </w:tcPr>
          <w:p w14:paraId="12090B65" w14:textId="77777777" w:rsidR="00D34F92" w:rsidRDefault="00D34F92">
            <w:pPr>
              <w:jc w:val="center"/>
              <w:rPr>
                <w:color w:val="000000"/>
              </w:rPr>
            </w:pPr>
            <w:r>
              <w:rPr>
                <w:color w:val="000000"/>
              </w:rPr>
              <w:t>4.00E-03</w:t>
            </w:r>
          </w:p>
        </w:tc>
        <w:tc>
          <w:tcPr>
            <w:tcW w:w="1420" w:type="dxa"/>
            <w:tcBorders>
              <w:top w:val="nil"/>
              <w:left w:val="nil"/>
              <w:bottom w:val="single" w:sz="4" w:space="0" w:color="auto"/>
              <w:right w:val="single" w:sz="4" w:space="0" w:color="auto"/>
            </w:tcBorders>
            <w:shd w:val="clear" w:color="auto" w:fill="auto"/>
            <w:noWrap/>
            <w:vAlign w:val="center"/>
            <w:hideMark/>
          </w:tcPr>
          <w:p w14:paraId="0006E7C1" w14:textId="77777777" w:rsidR="00D34F92" w:rsidRDefault="00D34F92">
            <w:pPr>
              <w:jc w:val="center"/>
              <w:rPr>
                <w:color w:val="000000"/>
              </w:rPr>
            </w:pPr>
            <w:r>
              <w:rPr>
                <w:color w:val="000000"/>
              </w:rPr>
              <w:t>4.00E-03</w:t>
            </w:r>
          </w:p>
        </w:tc>
        <w:tc>
          <w:tcPr>
            <w:tcW w:w="1420" w:type="dxa"/>
            <w:tcBorders>
              <w:top w:val="nil"/>
              <w:left w:val="nil"/>
              <w:bottom w:val="single" w:sz="4" w:space="0" w:color="auto"/>
              <w:right w:val="single" w:sz="4" w:space="0" w:color="auto"/>
            </w:tcBorders>
            <w:shd w:val="clear" w:color="auto" w:fill="auto"/>
            <w:noWrap/>
            <w:vAlign w:val="center"/>
            <w:hideMark/>
          </w:tcPr>
          <w:p w14:paraId="23F58439" w14:textId="77777777" w:rsidR="00D34F92" w:rsidRDefault="00D34F92">
            <w:pPr>
              <w:jc w:val="center"/>
              <w:rPr>
                <w:color w:val="000000"/>
              </w:rPr>
            </w:pPr>
            <w:r>
              <w:rPr>
                <w:color w:val="000000"/>
              </w:rPr>
              <w:t>4.00E-03</w:t>
            </w:r>
          </w:p>
        </w:tc>
        <w:tc>
          <w:tcPr>
            <w:tcW w:w="880" w:type="dxa"/>
            <w:tcBorders>
              <w:top w:val="nil"/>
              <w:left w:val="nil"/>
              <w:bottom w:val="single" w:sz="4" w:space="0" w:color="auto"/>
              <w:right w:val="single" w:sz="4" w:space="0" w:color="auto"/>
            </w:tcBorders>
            <w:shd w:val="clear" w:color="auto" w:fill="auto"/>
            <w:noWrap/>
            <w:vAlign w:val="center"/>
            <w:hideMark/>
          </w:tcPr>
          <w:p w14:paraId="1CDE3F86" w14:textId="77777777" w:rsidR="00D34F92" w:rsidRDefault="00D34F92">
            <w:pPr>
              <w:jc w:val="center"/>
              <w:rPr>
                <w:color w:val="000000"/>
              </w:rPr>
            </w:pPr>
            <w:r>
              <w:rPr>
                <w:color w:val="000000"/>
              </w:rPr>
              <w:t>b</w:t>
            </w:r>
          </w:p>
        </w:tc>
        <w:tc>
          <w:tcPr>
            <w:tcW w:w="1420" w:type="dxa"/>
            <w:tcBorders>
              <w:top w:val="nil"/>
              <w:left w:val="nil"/>
              <w:bottom w:val="single" w:sz="4" w:space="0" w:color="auto"/>
              <w:right w:val="single" w:sz="4" w:space="0" w:color="auto"/>
            </w:tcBorders>
            <w:shd w:val="clear" w:color="auto" w:fill="auto"/>
            <w:noWrap/>
            <w:vAlign w:val="bottom"/>
            <w:hideMark/>
          </w:tcPr>
          <w:p w14:paraId="1537BD5E" w14:textId="77777777" w:rsidR="00D34F92" w:rsidRDefault="00D34F92">
            <w:pPr>
              <w:jc w:val="center"/>
              <w:rPr>
                <w:color w:val="000000"/>
              </w:rPr>
            </w:pPr>
            <w:r>
              <w:rPr>
                <w:color w:val="000000"/>
              </w:rPr>
              <w:t>3.87E-02</w:t>
            </w:r>
          </w:p>
        </w:tc>
      </w:tr>
      <w:tr w:rsidR="00D34F92" w14:paraId="378D4974"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F94FAB6" w14:textId="77777777" w:rsidR="00D34F92" w:rsidRDefault="00D34F92">
            <w:pPr>
              <w:jc w:val="center"/>
              <w:rPr>
                <w:color w:val="000000"/>
              </w:rPr>
            </w:pPr>
            <w:r>
              <w:rPr>
                <w:color w:val="000000"/>
              </w:rPr>
              <w:t>Melting</w:t>
            </w:r>
          </w:p>
        </w:tc>
        <w:tc>
          <w:tcPr>
            <w:tcW w:w="1720" w:type="dxa"/>
            <w:tcBorders>
              <w:top w:val="nil"/>
              <w:left w:val="nil"/>
              <w:bottom w:val="single" w:sz="4" w:space="0" w:color="auto"/>
              <w:right w:val="single" w:sz="4" w:space="0" w:color="auto"/>
            </w:tcBorders>
            <w:shd w:val="clear" w:color="auto" w:fill="auto"/>
            <w:vAlign w:val="center"/>
            <w:hideMark/>
          </w:tcPr>
          <w:p w14:paraId="5162F4A7" w14:textId="77777777" w:rsidR="00D34F92" w:rsidRDefault="00D34F92">
            <w:pPr>
              <w:jc w:val="center"/>
              <w:rPr>
                <w:color w:val="000000"/>
              </w:rPr>
            </w:pPr>
            <w:r>
              <w:rPr>
                <w:color w:val="000000"/>
              </w:rPr>
              <w:t>IBC</w:t>
            </w:r>
          </w:p>
        </w:tc>
        <w:tc>
          <w:tcPr>
            <w:tcW w:w="1420" w:type="dxa"/>
            <w:tcBorders>
              <w:top w:val="nil"/>
              <w:left w:val="nil"/>
              <w:bottom w:val="single" w:sz="4" w:space="0" w:color="auto"/>
              <w:right w:val="single" w:sz="4" w:space="0" w:color="auto"/>
            </w:tcBorders>
            <w:shd w:val="clear" w:color="auto" w:fill="auto"/>
            <w:vAlign w:val="center"/>
            <w:hideMark/>
          </w:tcPr>
          <w:p w14:paraId="5C509105" w14:textId="77777777" w:rsidR="00D34F92" w:rsidRDefault="00D34F92">
            <w:pPr>
              <w:jc w:val="center"/>
              <w:rPr>
                <w:color w:val="000000"/>
              </w:rPr>
            </w:pPr>
            <w:r>
              <w:rPr>
                <w:color w:val="000000"/>
              </w:rPr>
              <w:t>Hyb. Sr. #1</w:t>
            </w:r>
          </w:p>
        </w:tc>
        <w:tc>
          <w:tcPr>
            <w:tcW w:w="1420" w:type="dxa"/>
            <w:tcBorders>
              <w:top w:val="nil"/>
              <w:left w:val="nil"/>
              <w:bottom w:val="single" w:sz="4" w:space="0" w:color="auto"/>
              <w:right w:val="single" w:sz="4" w:space="0" w:color="auto"/>
            </w:tcBorders>
            <w:shd w:val="clear" w:color="auto" w:fill="auto"/>
            <w:vAlign w:val="center"/>
            <w:hideMark/>
          </w:tcPr>
          <w:p w14:paraId="19D84B4E" w14:textId="77777777" w:rsidR="00D34F92" w:rsidRDefault="00D34F92">
            <w:pPr>
              <w:jc w:val="center"/>
              <w:rPr>
                <w:color w:val="000000"/>
              </w:rPr>
            </w:pPr>
            <w:r>
              <w:rPr>
                <w:color w:val="000000"/>
              </w:rPr>
              <w:t>Hyb. Sr. #2</w:t>
            </w:r>
          </w:p>
        </w:tc>
        <w:tc>
          <w:tcPr>
            <w:tcW w:w="880" w:type="dxa"/>
            <w:tcBorders>
              <w:top w:val="nil"/>
              <w:left w:val="nil"/>
              <w:bottom w:val="single" w:sz="4" w:space="0" w:color="auto"/>
              <w:right w:val="single" w:sz="4" w:space="0" w:color="auto"/>
            </w:tcBorders>
            <w:shd w:val="clear" w:color="auto" w:fill="auto"/>
            <w:vAlign w:val="center"/>
            <w:hideMark/>
          </w:tcPr>
          <w:p w14:paraId="19CDA4B0"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vAlign w:val="center"/>
            <w:hideMark/>
          </w:tcPr>
          <w:p w14:paraId="0133B401" w14:textId="77777777" w:rsidR="00D34F92" w:rsidRDefault="00D34F92">
            <w:pPr>
              <w:jc w:val="center"/>
              <w:rPr>
                <w:color w:val="000000"/>
              </w:rPr>
            </w:pPr>
            <w:r>
              <w:rPr>
                <w:color w:val="000000"/>
              </w:rPr>
              <w:t>Hyb. Sr. #1</w:t>
            </w:r>
          </w:p>
        </w:tc>
      </w:tr>
      <w:tr w:rsidR="00D34F92" w14:paraId="10B748E3"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247BEBC" w14:textId="77777777" w:rsidR="00D34F92" w:rsidRDefault="00D34F92">
            <w:pPr>
              <w:jc w:val="center"/>
              <w:rPr>
                <w:color w:val="000000"/>
              </w:rPr>
            </w:pPr>
            <w:r>
              <w:rPr>
                <w:color w:val="000000"/>
              </w:rPr>
              <w:t>T (ºC)</w:t>
            </w:r>
          </w:p>
        </w:tc>
        <w:tc>
          <w:tcPr>
            <w:tcW w:w="1720" w:type="dxa"/>
            <w:tcBorders>
              <w:top w:val="nil"/>
              <w:left w:val="nil"/>
              <w:bottom w:val="single" w:sz="4" w:space="0" w:color="auto"/>
              <w:right w:val="single" w:sz="4" w:space="0" w:color="auto"/>
            </w:tcBorders>
            <w:shd w:val="clear" w:color="auto" w:fill="auto"/>
            <w:noWrap/>
            <w:vAlign w:val="bottom"/>
            <w:hideMark/>
          </w:tcPr>
          <w:p w14:paraId="556CFE33" w14:textId="77777777" w:rsidR="00D34F92" w:rsidRDefault="00D34F92">
            <w:pPr>
              <w:jc w:val="center"/>
              <w:rPr>
                <w:color w:val="000000"/>
              </w:rPr>
            </w:pPr>
            <w:r>
              <w:rPr>
                <w:color w:val="000000"/>
              </w:rPr>
              <w:t>1300</w:t>
            </w:r>
          </w:p>
        </w:tc>
        <w:tc>
          <w:tcPr>
            <w:tcW w:w="1420" w:type="dxa"/>
            <w:tcBorders>
              <w:top w:val="nil"/>
              <w:left w:val="nil"/>
              <w:bottom w:val="single" w:sz="4" w:space="0" w:color="auto"/>
              <w:right w:val="single" w:sz="4" w:space="0" w:color="auto"/>
            </w:tcBorders>
            <w:shd w:val="clear" w:color="auto" w:fill="auto"/>
            <w:noWrap/>
            <w:vAlign w:val="bottom"/>
            <w:hideMark/>
          </w:tcPr>
          <w:p w14:paraId="5160C471" w14:textId="77777777" w:rsidR="00D34F92" w:rsidRDefault="00D34F92">
            <w:pPr>
              <w:jc w:val="center"/>
              <w:rPr>
                <w:color w:val="000000"/>
              </w:rPr>
            </w:pPr>
            <w:r>
              <w:rPr>
                <w:color w:val="000000"/>
              </w:rPr>
              <w:t>1350</w:t>
            </w:r>
          </w:p>
        </w:tc>
        <w:tc>
          <w:tcPr>
            <w:tcW w:w="1420" w:type="dxa"/>
            <w:tcBorders>
              <w:top w:val="nil"/>
              <w:left w:val="nil"/>
              <w:bottom w:val="single" w:sz="4" w:space="0" w:color="auto"/>
              <w:right w:val="single" w:sz="4" w:space="0" w:color="auto"/>
            </w:tcBorders>
            <w:shd w:val="clear" w:color="auto" w:fill="auto"/>
            <w:noWrap/>
            <w:vAlign w:val="bottom"/>
            <w:hideMark/>
          </w:tcPr>
          <w:p w14:paraId="085CFBB2" w14:textId="77777777" w:rsidR="00D34F92" w:rsidRDefault="00D34F92">
            <w:pPr>
              <w:jc w:val="center"/>
              <w:rPr>
                <w:color w:val="000000"/>
              </w:rPr>
            </w:pPr>
            <w:r>
              <w:rPr>
                <w:color w:val="000000"/>
              </w:rPr>
              <w:t>1350</w:t>
            </w:r>
          </w:p>
        </w:tc>
        <w:tc>
          <w:tcPr>
            <w:tcW w:w="880" w:type="dxa"/>
            <w:tcBorders>
              <w:top w:val="nil"/>
              <w:left w:val="nil"/>
              <w:bottom w:val="single" w:sz="4" w:space="0" w:color="auto"/>
              <w:right w:val="single" w:sz="4" w:space="0" w:color="auto"/>
            </w:tcBorders>
            <w:shd w:val="clear" w:color="auto" w:fill="auto"/>
            <w:noWrap/>
            <w:vAlign w:val="bottom"/>
            <w:hideMark/>
          </w:tcPr>
          <w:p w14:paraId="72308A91"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4B40D1A3" w14:textId="77777777" w:rsidR="00D34F92" w:rsidRDefault="00D34F92">
            <w:pPr>
              <w:jc w:val="center"/>
              <w:rPr>
                <w:color w:val="000000"/>
              </w:rPr>
            </w:pPr>
            <w:r>
              <w:rPr>
                <w:color w:val="000000"/>
              </w:rPr>
              <w:t>1350</w:t>
            </w:r>
          </w:p>
        </w:tc>
      </w:tr>
      <w:tr w:rsidR="00D34F92" w14:paraId="7853F711"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273EACE" w14:textId="77777777" w:rsidR="00D34F92" w:rsidRDefault="00D34F92">
            <w:pPr>
              <w:jc w:val="center"/>
              <w:rPr>
                <w:color w:val="000000"/>
              </w:rPr>
            </w:pPr>
            <w:r>
              <w:rPr>
                <w:color w:val="000000"/>
              </w:rPr>
              <w:t>P (GPa)</w:t>
            </w:r>
          </w:p>
        </w:tc>
        <w:tc>
          <w:tcPr>
            <w:tcW w:w="1720" w:type="dxa"/>
            <w:tcBorders>
              <w:top w:val="nil"/>
              <w:left w:val="nil"/>
              <w:bottom w:val="single" w:sz="4" w:space="0" w:color="auto"/>
              <w:right w:val="single" w:sz="4" w:space="0" w:color="auto"/>
            </w:tcBorders>
            <w:shd w:val="clear" w:color="auto" w:fill="auto"/>
            <w:noWrap/>
            <w:vAlign w:val="bottom"/>
            <w:hideMark/>
          </w:tcPr>
          <w:p w14:paraId="1403BF79" w14:textId="77777777" w:rsidR="00D34F92" w:rsidRDefault="00D34F92">
            <w:pPr>
              <w:jc w:val="center"/>
              <w:rPr>
                <w:color w:val="000000"/>
              </w:rPr>
            </w:pPr>
            <w:r>
              <w:rPr>
                <w:color w:val="000000"/>
              </w:rPr>
              <w:t>2</w:t>
            </w:r>
          </w:p>
        </w:tc>
        <w:tc>
          <w:tcPr>
            <w:tcW w:w="1420" w:type="dxa"/>
            <w:tcBorders>
              <w:top w:val="nil"/>
              <w:left w:val="nil"/>
              <w:bottom w:val="single" w:sz="4" w:space="0" w:color="auto"/>
              <w:right w:val="single" w:sz="4" w:space="0" w:color="auto"/>
            </w:tcBorders>
            <w:shd w:val="clear" w:color="auto" w:fill="auto"/>
            <w:noWrap/>
            <w:vAlign w:val="bottom"/>
            <w:hideMark/>
          </w:tcPr>
          <w:p w14:paraId="6ED5483D" w14:textId="77777777" w:rsidR="00D34F92" w:rsidRDefault="00D34F92">
            <w:pPr>
              <w:jc w:val="center"/>
              <w:rPr>
                <w:color w:val="000000"/>
              </w:rPr>
            </w:pPr>
            <w:r>
              <w:rPr>
                <w:color w:val="000000"/>
              </w:rPr>
              <w:t>2</w:t>
            </w:r>
          </w:p>
        </w:tc>
        <w:tc>
          <w:tcPr>
            <w:tcW w:w="1420" w:type="dxa"/>
            <w:tcBorders>
              <w:top w:val="nil"/>
              <w:left w:val="nil"/>
              <w:bottom w:val="single" w:sz="4" w:space="0" w:color="auto"/>
              <w:right w:val="single" w:sz="4" w:space="0" w:color="auto"/>
            </w:tcBorders>
            <w:shd w:val="clear" w:color="auto" w:fill="auto"/>
            <w:noWrap/>
            <w:vAlign w:val="bottom"/>
            <w:hideMark/>
          </w:tcPr>
          <w:p w14:paraId="074150B6" w14:textId="77777777" w:rsidR="00D34F92" w:rsidRDefault="00D34F92">
            <w:pPr>
              <w:jc w:val="center"/>
              <w:rPr>
                <w:color w:val="000000"/>
              </w:rPr>
            </w:pPr>
            <w:r>
              <w:rPr>
                <w:color w:val="000000"/>
              </w:rPr>
              <w:t>2</w:t>
            </w:r>
          </w:p>
        </w:tc>
        <w:tc>
          <w:tcPr>
            <w:tcW w:w="880" w:type="dxa"/>
            <w:tcBorders>
              <w:top w:val="nil"/>
              <w:left w:val="nil"/>
              <w:bottom w:val="single" w:sz="4" w:space="0" w:color="auto"/>
              <w:right w:val="single" w:sz="4" w:space="0" w:color="auto"/>
            </w:tcBorders>
            <w:shd w:val="clear" w:color="auto" w:fill="auto"/>
            <w:noWrap/>
            <w:vAlign w:val="bottom"/>
            <w:hideMark/>
          </w:tcPr>
          <w:p w14:paraId="6FC21607"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03D4086D" w14:textId="77777777" w:rsidR="00D34F92" w:rsidRDefault="00D34F92">
            <w:pPr>
              <w:jc w:val="center"/>
              <w:rPr>
                <w:color w:val="000000"/>
              </w:rPr>
            </w:pPr>
            <w:r>
              <w:rPr>
                <w:color w:val="000000"/>
              </w:rPr>
              <w:t>2</w:t>
            </w:r>
          </w:p>
        </w:tc>
      </w:tr>
      <w:tr w:rsidR="00D34F92" w14:paraId="41030108"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83A2D3A" w14:textId="77777777" w:rsidR="00D34F92" w:rsidRDefault="00D34F92">
            <w:pPr>
              <w:jc w:val="center"/>
              <w:rPr>
                <w:color w:val="000000"/>
              </w:rPr>
            </w:pPr>
            <w:r>
              <w:rPr>
                <w:color w:val="000000"/>
              </w:rPr>
              <w:t>Fo</w:t>
            </w:r>
          </w:p>
        </w:tc>
        <w:tc>
          <w:tcPr>
            <w:tcW w:w="1720" w:type="dxa"/>
            <w:tcBorders>
              <w:top w:val="nil"/>
              <w:left w:val="nil"/>
              <w:bottom w:val="single" w:sz="4" w:space="0" w:color="auto"/>
              <w:right w:val="single" w:sz="4" w:space="0" w:color="auto"/>
            </w:tcBorders>
            <w:shd w:val="clear" w:color="auto" w:fill="auto"/>
            <w:noWrap/>
            <w:vAlign w:val="center"/>
            <w:hideMark/>
          </w:tcPr>
          <w:p w14:paraId="7AE5F331" w14:textId="77777777" w:rsidR="00D34F92" w:rsidRDefault="00D34F92">
            <w:pPr>
              <w:jc w:val="center"/>
              <w:rPr>
                <w:color w:val="000000"/>
              </w:rPr>
            </w:pPr>
            <w:r>
              <w:rPr>
                <w:color w:val="000000"/>
              </w:rPr>
              <w:t>11.4</w:t>
            </w:r>
          </w:p>
        </w:tc>
        <w:tc>
          <w:tcPr>
            <w:tcW w:w="1420" w:type="dxa"/>
            <w:tcBorders>
              <w:top w:val="nil"/>
              <w:left w:val="nil"/>
              <w:bottom w:val="single" w:sz="4" w:space="0" w:color="auto"/>
              <w:right w:val="single" w:sz="4" w:space="0" w:color="auto"/>
            </w:tcBorders>
            <w:shd w:val="clear" w:color="auto" w:fill="auto"/>
            <w:noWrap/>
            <w:vAlign w:val="bottom"/>
            <w:hideMark/>
          </w:tcPr>
          <w:p w14:paraId="62AF98EF" w14:textId="77777777" w:rsidR="00D34F92" w:rsidRDefault="00D34F92">
            <w:pPr>
              <w:jc w:val="center"/>
              <w:rPr>
                <w:color w:val="000000"/>
              </w:rPr>
            </w:pPr>
            <w:r>
              <w:rPr>
                <w:color w:val="000000"/>
              </w:rPr>
              <w:t>83.6</w:t>
            </w:r>
          </w:p>
        </w:tc>
        <w:tc>
          <w:tcPr>
            <w:tcW w:w="1420" w:type="dxa"/>
            <w:tcBorders>
              <w:top w:val="nil"/>
              <w:left w:val="nil"/>
              <w:bottom w:val="single" w:sz="4" w:space="0" w:color="auto"/>
              <w:right w:val="single" w:sz="4" w:space="0" w:color="auto"/>
            </w:tcBorders>
            <w:shd w:val="clear" w:color="auto" w:fill="auto"/>
            <w:noWrap/>
            <w:vAlign w:val="bottom"/>
            <w:hideMark/>
          </w:tcPr>
          <w:p w14:paraId="058AE5AA" w14:textId="77777777" w:rsidR="00D34F92" w:rsidRDefault="00D34F92">
            <w:pPr>
              <w:jc w:val="center"/>
              <w:rPr>
                <w:color w:val="000000"/>
              </w:rPr>
            </w:pPr>
            <w:r>
              <w:rPr>
                <w:color w:val="000000"/>
              </w:rPr>
              <w:t>85.5</w:t>
            </w:r>
          </w:p>
        </w:tc>
        <w:tc>
          <w:tcPr>
            <w:tcW w:w="880" w:type="dxa"/>
            <w:tcBorders>
              <w:top w:val="nil"/>
              <w:left w:val="nil"/>
              <w:bottom w:val="single" w:sz="4" w:space="0" w:color="auto"/>
              <w:right w:val="single" w:sz="4" w:space="0" w:color="auto"/>
            </w:tcBorders>
            <w:shd w:val="clear" w:color="auto" w:fill="auto"/>
            <w:noWrap/>
            <w:vAlign w:val="bottom"/>
            <w:hideMark/>
          </w:tcPr>
          <w:p w14:paraId="3C996042" w14:textId="77777777" w:rsidR="00D34F92" w:rsidRDefault="00D34F92">
            <w:pPr>
              <w:jc w:val="center"/>
              <w:rPr>
                <w:color w:val="000000"/>
              </w:rPr>
            </w:pPr>
            <w:r>
              <w:rPr>
                <w:color w:val="000000"/>
              </w:rPr>
              <w:t xml:space="preserve">j &amp; k </w:t>
            </w:r>
          </w:p>
        </w:tc>
        <w:tc>
          <w:tcPr>
            <w:tcW w:w="1420" w:type="dxa"/>
            <w:tcBorders>
              <w:top w:val="nil"/>
              <w:left w:val="nil"/>
              <w:bottom w:val="single" w:sz="4" w:space="0" w:color="auto"/>
              <w:right w:val="single" w:sz="4" w:space="0" w:color="auto"/>
            </w:tcBorders>
            <w:shd w:val="clear" w:color="auto" w:fill="auto"/>
            <w:noWrap/>
            <w:vAlign w:val="bottom"/>
            <w:hideMark/>
          </w:tcPr>
          <w:p w14:paraId="630E91FA" w14:textId="77777777" w:rsidR="00D34F92" w:rsidRDefault="00D34F92">
            <w:pPr>
              <w:jc w:val="center"/>
              <w:rPr>
                <w:color w:val="000000"/>
              </w:rPr>
            </w:pPr>
            <w:r>
              <w:rPr>
                <w:color w:val="000000"/>
              </w:rPr>
              <w:t>-</w:t>
            </w:r>
          </w:p>
        </w:tc>
      </w:tr>
      <w:tr w:rsidR="00D34F92" w14:paraId="32BA68AE"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B4B6840" w14:textId="77777777" w:rsidR="00D34F92" w:rsidRDefault="00D34F92">
            <w:pPr>
              <w:jc w:val="center"/>
              <w:rPr>
                <w:color w:val="000000"/>
              </w:rPr>
            </w:pPr>
            <w:r>
              <w:rPr>
                <w:color w:val="000000"/>
              </w:rPr>
              <w:t>Al</w:t>
            </w:r>
            <w:r>
              <w:rPr>
                <w:color w:val="000000"/>
                <w:vertAlign w:val="superscript"/>
              </w:rPr>
              <w:t>ol</w:t>
            </w:r>
          </w:p>
        </w:tc>
        <w:tc>
          <w:tcPr>
            <w:tcW w:w="1720" w:type="dxa"/>
            <w:tcBorders>
              <w:top w:val="nil"/>
              <w:left w:val="nil"/>
              <w:bottom w:val="single" w:sz="4" w:space="0" w:color="auto"/>
              <w:right w:val="single" w:sz="4" w:space="0" w:color="auto"/>
            </w:tcBorders>
            <w:shd w:val="clear" w:color="auto" w:fill="auto"/>
            <w:noWrap/>
            <w:vAlign w:val="center"/>
            <w:hideMark/>
          </w:tcPr>
          <w:p w14:paraId="06EB18A6" w14:textId="77777777" w:rsidR="00D34F92" w:rsidRDefault="00D34F92">
            <w:pPr>
              <w:jc w:val="center"/>
              <w:rPr>
                <w:color w:val="000000"/>
              </w:rPr>
            </w:pPr>
            <w:r>
              <w:rPr>
                <w:color w:val="000000"/>
              </w:rPr>
              <w:t>0.00078</w:t>
            </w:r>
          </w:p>
        </w:tc>
        <w:tc>
          <w:tcPr>
            <w:tcW w:w="1420" w:type="dxa"/>
            <w:tcBorders>
              <w:top w:val="nil"/>
              <w:left w:val="nil"/>
              <w:bottom w:val="single" w:sz="4" w:space="0" w:color="auto"/>
              <w:right w:val="single" w:sz="4" w:space="0" w:color="auto"/>
            </w:tcBorders>
            <w:shd w:val="clear" w:color="auto" w:fill="auto"/>
            <w:noWrap/>
            <w:vAlign w:val="bottom"/>
            <w:hideMark/>
          </w:tcPr>
          <w:p w14:paraId="041D5108" w14:textId="77777777" w:rsidR="00D34F92" w:rsidRDefault="00D34F92">
            <w:pPr>
              <w:jc w:val="center"/>
              <w:rPr>
                <w:color w:val="000000"/>
              </w:rPr>
            </w:pPr>
            <w:r>
              <w:rPr>
                <w:color w:val="000000"/>
              </w:rPr>
              <w:t>0.0022</w:t>
            </w:r>
          </w:p>
        </w:tc>
        <w:tc>
          <w:tcPr>
            <w:tcW w:w="1420" w:type="dxa"/>
            <w:tcBorders>
              <w:top w:val="nil"/>
              <w:left w:val="nil"/>
              <w:bottom w:val="single" w:sz="4" w:space="0" w:color="auto"/>
              <w:right w:val="single" w:sz="4" w:space="0" w:color="auto"/>
            </w:tcBorders>
            <w:shd w:val="clear" w:color="auto" w:fill="auto"/>
            <w:noWrap/>
            <w:vAlign w:val="bottom"/>
            <w:hideMark/>
          </w:tcPr>
          <w:p w14:paraId="73BA4046" w14:textId="77777777" w:rsidR="00D34F92" w:rsidRDefault="00D34F92">
            <w:pPr>
              <w:jc w:val="center"/>
              <w:rPr>
                <w:color w:val="000000"/>
              </w:rPr>
            </w:pPr>
            <w:r>
              <w:rPr>
                <w:color w:val="000000"/>
              </w:rPr>
              <w:t>0.0037</w:t>
            </w:r>
          </w:p>
        </w:tc>
        <w:tc>
          <w:tcPr>
            <w:tcW w:w="880" w:type="dxa"/>
            <w:tcBorders>
              <w:top w:val="nil"/>
              <w:left w:val="nil"/>
              <w:bottom w:val="single" w:sz="4" w:space="0" w:color="auto"/>
              <w:right w:val="single" w:sz="4" w:space="0" w:color="auto"/>
            </w:tcBorders>
            <w:shd w:val="clear" w:color="auto" w:fill="auto"/>
            <w:noWrap/>
            <w:vAlign w:val="bottom"/>
            <w:hideMark/>
          </w:tcPr>
          <w:p w14:paraId="4B40A940" w14:textId="77777777" w:rsidR="00D34F92" w:rsidRDefault="00D34F92">
            <w:pPr>
              <w:jc w:val="center"/>
              <w:rPr>
                <w:color w:val="000000"/>
              </w:rPr>
            </w:pPr>
            <w:r>
              <w:rPr>
                <w:color w:val="000000"/>
              </w:rPr>
              <w:t xml:space="preserve">j &amp; k </w:t>
            </w:r>
          </w:p>
        </w:tc>
        <w:tc>
          <w:tcPr>
            <w:tcW w:w="1420" w:type="dxa"/>
            <w:tcBorders>
              <w:top w:val="nil"/>
              <w:left w:val="nil"/>
              <w:bottom w:val="single" w:sz="4" w:space="0" w:color="auto"/>
              <w:right w:val="single" w:sz="4" w:space="0" w:color="auto"/>
            </w:tcBorders>
            <w:shd w:val="clear" w:color="auto" w:fill="auto"/>
            <w:noWrap/>
            <w:vAlign w:val="bottom"/>
            <w:hideMark/>
          </w:tcPr>
          <w:p w14:paraId="0AA9E4C7" w14:textId="77777777" w:rsidR="00D34F92" w:rsidRDefault="00D34F92">
            <w:pPr>
              <w:jc w:val="center"/>
              <w:rPr>
                <w:color w:val="000000"/>
              </w:rPr>
            </w:pPr>
            <w:r>
              <w:rPr>
                <w:color w:val="000000"/>
              </w:rPr>
              <w:t>-</w:t>
            </w:r>
          </w:p>
        </w:tc>
      </w:tr>
      <w:tr w:rsidR="00D34F92" w14:paraId="4D9CC143"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44EB281" w14:textId="77777777" w:rsidR="00D34F92" w:rsidRDefault="00D34F92">
            <w:pPr>
              <w:jc w:val="center"/>
              <w:rPr>
                <w:color w:val="000000"/>
              </w:rPr>
            </w:pPr>
            <w:r>
              <w:rPr>
                <w:i/>
                <w:iCs/>
                <w:color w:val="000000"/>
              </w:rPr>
              <w:t>X</w:t>
            </w:r>
            <w:r>
              <w:rPr>
                <w:color w:val="000000"/>
              </w:rPr>
              <w:t>Ti</w:t>
            </w:r>
            <w:r>
              <w:rPr>
                <w:color w:val="000000"/>
                <w:vertAlign w:val="superscript"/>
              </w:rPr>
              <w:t>melt</w:t>
            </w:r>
          </w:p>
        </w:tc>
        <w:tc>
          <w:tcPr>
            <w:tcW w:w="1720" w:type="dxa"/>
            <w:tcBorders>
              <w:top w:val="nil"/>
              <w:left w:val="nil"/>
              <w:bottom w:val="single" w:sz="4" w:space="0" w:color="auto"/>
              <w:right w:val="single" w:sz="4" w:space="0" w:color="auto"/>
            </w:tcBorders>
            <w:shd w:val="clear" w:color="auto" w:fill="auto"/>
            <w:noWrap/>
            <w:vAlign w:val="bottom"/>
            <w:hideMark/>
          </w:tcPr>
          <w:p w14:paraId="4A22C9CB"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33A43CCD"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3EBD45F6"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7E31BEC3"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55703B38" w14:textId="77777777" w:rsidR="00D34F92" w:rsidRDefault="00D34F92">
            <w:pPr>
              <w:jc w:val="center"/>
              <w:rPr>
                <w:color w:val="000000"/>
              </w:rPr>
            </w:pPr>
            <w:r>
              <w:rPr>
                <w:color w:val="000000"/>
              </w:rPr>
              <w:t>0.2249</w:t>
            </w:r>
          </w:p>
        </w:tc>
      </w:tr>
      <w:tr w:rsidR="00D34F92" w14:paraId="4424EAA7"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1AF1317" w14:textId="77777777" w:rsidR="00D34F92" w:rsidRDefault="00D34F92">
            <w:pPr>
              <w:jc w:val="center"/>
              <w:rPr>
                <w:color w:val="000000"/>
              </w:rPr>
            </w:pPr>
            <w:r>
              <w:rPr>
                <w:color w:val="000000"/>
              </w:rPr>
              <w:t>Al</w:t>
            </w:r>
            <w:r>
              <w:rPr>
                <w:color w:val="000000"/>
                <w:vertAlign w:val="superscript"/>
              </w:rPr>
              <w:t>T</w:t>
            </w:r>
          </w:p>
        </w:tc>
        <w:tc>
          <w:tcPr>
            <w:tcW w:w="1720" w:type="dxa"/>
            <w:tcBorders>
              <w:top w:val="nil"/>
              <w:left w:val="nil"/>
              <w:bottom w:val="single" w:sz="4" w:space="0" w:color="auto"/>
              <w:right w:val="single" w:sz="4" w:space="0" w:color="auto"/>
            </w:tcBorders>
            <w:shd w:val="clear" w:color="auto" w:fill="auto"/>
            <w:noWrap/>
            <w:vAlign w:val="bottom"/>
            <w:hideMark/>
          </w:tcPr>
          <w:p w14:paraId="047C147A"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272A4BDD"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1CAD11F6"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3696D872"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53FA4B3B" w14:textId="77777777" w:rsidR="00D34F92" w:rsidRDefault="00D34F92">
            <w:pPr>
              <w:jc w:val="center"/>
              <w:rPr>
                <w:color w:val="000000"/>
              </w:rPr>
            </w:pPr>
            <w:r>
              <w:rPr>
                <w:color w:val="000000"/>
              </w:rPr>
              <w:t>0.1088</w:t>
            </w:r>
          </w:p>
        </w:tc>
      </w:tr>
      <w:tr w:rsidR="00D34F92" w14:paraId="35D22432"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74AE8CD" w14:textId="77777777" w:rsidR="00D34F92" w:rsidRDefault="00D34F92">
            <w:pPr>
              <w:jc w:val="center"/>
              <w:rPr>
                <w:color w:val="000000"/>
              </w:rPr>
            </w:pPr>
            <w:r>
              <w:rPr>
                <w:color w:val="000000"/>
              </w:rPr>
              <w:t>Al</w:t>
            </w:r>
            <w:r>
              <w:rPr>
                <w:color w:val="000000"/>
                <w:vertAlign w:val="superscript"/>
              </w:rPr>
              <w:t>M1</w:t>
            </w:r>
          </w:p>
        </w:tc>
        <w:tc>
          <w:tcPr>
            <w:tcW w:w="1720" w:type="dxa"/>
            <w:tcBorders>
              <w:top w:val="nil"/>
              <w:left w:val="nil"/>
              <w:bottom w:val="single" w:sz="4" w:space="0" w:color="auto"/>
              <w:right w:val="single" w:sz="4" w:space="0" w:color="auto"/>
            </w:tcBorders>
            <w:shd w:val="clear" w:color="auto" w:fill="auto"/>
            <w:noWrap/>
            <w:vAlign w:val="bottom"/>
            <w:hideMark/>
          </w:tcPr>
          <w:p w14:paraId="6FD1DC08"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60F31DC2"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69C9893F"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73A313B2"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52377D63" w14:textId="77777777" w:rsidR="00D34F92" w:rsidRDefault="00D34F92">
            <w:pPr>
              <w:jc w:val="center"/>
              <w:rPr>
                <w:color w:val="000000"/>
              </w:rPr>
            </w:pPr>
            <w:r>
              <w:rPr>
                <w:color w:val="000000"/>
              </w:rPr>
              <w:t>0.0102</w:t>
            </w:r>
          </w:p>
        </w:tc>
      </w:tr>
      <w:tr w:rsidR="00D34F92" w14:paraId="1022749F"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9C354D9" w14:textId="77777777" w:rsidR="00D34F92" w:rsidRDefault="00D34F92">
            <w:pPr>
              <w:jc w:val="center"/>
              <w:rPr>
                <w:color w:val="000000"/>
              </w:rPr>
            </w:pPr>
            <w:r>
              <w:rPr>
                <w:color w:val="000000"/>
              </w:rPr>
              <w:t>Ca</w:t>
            </w:r>
            <w:r>
              <w:rPr>
                <w:color w:val="000000"/>
                <w:vertAlign w:val="superscript"/>
              </w:rPr>
              <w:t>M2</w:t>
            </w:r>
          </w:p>
        </w:tc>
        <w:tc>
          <w:tcPr>
            <w:tcW w:w="1720" w:type="dxa"/>
            <w:tcBorders>
              <w:top w:val="nil"/>
              <w:left w:val="nil"/>
              <w:bottom w:val="single" w:sz="4" w:space="0" w:color="auto"/>
              <w:right w:val="single" w:sz="4" w:space="0" w:color="auto"/>
            </w:tcBorders>
            <w:shd w:val="clear" w:color="auto" w:fill="auto"/>
            <w:noWrap/>
            <w:vAlign w:val="bottom"/>
            <w:hideMark/>
          </w:tcPr>
          <w:p w14:paraId="359AFBFF"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15C24672"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591550F7"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21CFED7F"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40D6EBD7" w14:textId="77777777" w:rsidR="00D34F92" w:rsidRDefault="00D34F92">
            <w:pPr>
              <w:jc w:val="center"/>
              <w:rPr>
                <w:color w:val="000000"/>
              </w:rPr>
            </w:pPr>
            <w:r>
              <w:rPr>
                <w:color w:val="000000"/>
              </w:rPr>
              <w:t>0.0906</w:t>
            </w:r>
          </w:p>
        </w:tc>
      </w:tr>
      <w:tr w:rsidR="00D34F92" w14:paraId="669E387D"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4E09F40" w14:textId="77777777" w:rsidR="00D34F92" w:rsidRDefault="00D34F92">
            <w:pPr>
              <w:jc w:val="center"/>
              <w:rPr>
                <w:color w:val="000000"/>
              </w:rPr>
            </w:pPr>
            <w:r>
              <w:rPr>
                <w:color w:val="000000"/>
              </w:rPr>
              <w:t>Mg</w:t>
            </w:r>
            <w:r>
              <w:rPr>
                <w:color w:val="000000"/>
                <w:vertAlign w:val="superscript"/>
              </w:rPr>
              <w:t>M2</w:t>
            </w:r>
          </w:p>
        </w:tc>
        <w:tc>
          <w:tcPr>
            <w:tcW w:w="1720" w:type="dxa"/>
            <w:tcBorders>
              <w:top w:val="nil"/>
              <w:left w:val="nil"/>
              <w:bottom w:val="single" w:sz="4" w:space="0" w:color="auto"/>
              <w:right w:val="single" w:sz="4" w:space="0" w:color="auto"/>
            </w:tcBorders>
            <w:shd w:val="clear" w:color="auto" w:fill="auto"/>
            <w:noWrap/>
            <w:vAlign w:val="bottom"/>
            <w:hideMark/>
          </w:tcPr>
          <w:p w14:paraId="084A2987"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2027DA44"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33ED1B5A"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2A3F0B76"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4FA77772" w14:textId="77777777" w:rsidR="00D34F92" w:rsidRDefault="00D34F92">
            <w:pPr>
              <w:jc w:val="center"/>
              <w:rPr>
                <w:color w:val="000000"/>
              </w:rPr>
            </w:pPr>
            <w:r>
              <w:rPr>
                <w:color w:val="000000"/>
              </w:rPr>
              <w:t>0.6796</w:t>
            </w:r>
          </w:p>
        </w:tc>
      </w:tr>
      <w:tr w:rsidR="00D34F92" w14:paraId="53160B34"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EE9F8B6" w14:textId="77777777" w:rsidR="00D34F92" w:rsidRDefault="00D34F92">
            <w:pPr>
              <w:jc w:val="center"/>
              <w:rPr>
                <w:color w:val="000000"/>
              </w:rPr>
            </w:pPr>
            <w:r>
              <w:rPr>
                <w:color w:val="000000"/>
              </w:rPr>
              <w:t>Mg</w:t>
            </w:r>
            <w:r>
              <w:rPr>
                <w:color w:val="000000"/>
                <w:vertAlign w:val="superscript"/>
              </w:rPr>
              <w:t>M1</w:t>
            </w:r>
          </w:p>
        </w:tc>
        <w:tc>
          <w:tcPr>
            <w:tcW w:w="1720" w:type="dxa"/>
            <w:tcBorders>
              <w:top w:val="nil"/>
              <w:left w:val="nil"/>
              <w:bottom w:val="single" w:sz="4" w:space="0" w:color="auto"/>
              <w:right w:val="single" w:sz="4" w:space="0" w:color="auto"/>
            </w:tcBorders>
            <w:shd w:val="clear" w:color="auto" w:fill="auto"/>
            <w:noWrap/>
            <w:vAlign w:val="bottom"/>
            <w:hideMark/>
          </w:tcPr>
          <w:p w14:paraId="50F74E22"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3A7D5D65"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7674CCDF"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79E47767"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4CC595F1" w14:textId="77777777" w:rsidR="00D34F92" w:rsidRDefault="00D34F92">
            <w:pPr>
              <w:jc w:val="center"/>
              <w:rPr>
                <w:color w:val="000000"/>
              </w:rPr>
            </w:pPr>
            <w:r>
              <w:rPr>
                <w:color w:val="000000"/>
              </w:rPr>
              <w:t>0.8958</w:t>
            </w:r>
          </w:p>
        </w:tc>
      </w:tr>
      <w:tr w:rsidR="00D34F92" w14:paraId="17802725"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FB89CC4" w14:textId="77777777" w:rsidR="00D34F92" w:rsidRDefault="00D34F92">
            <w:pPr>
              <w:jc w:val="center"/>
              <w:rPr>
                <w:color w:val="000000"/>
              </w:rPr>
            </w:pPr>
            <w:r>
              <w:rPr>
                <w:color w:val="000000"/>
              </w:rPr>
              <w:t>Fe</w:t>
            </w:r>
            <w:r>
              <w:rPr>
                <w:color w:val="000000"/>
                <w:vertAlign w:val="superscript"/>
              </w:rPr>
              <w:t>M1</w:t>
            </w:r>
          </w:p>
        </w:tc>
        <w:tc>
          <w:tcPr>
            <w:tcW w:w="1720" w:type="dxa"/>
            <w:tcBorders>
              <w:top w:val="nil"/>
              <w:left w:val="nil"/>
              <w:bottom w:val="single" w:sz="4" w:space="0" w:color="auto"/>
              <w:right w:val="single" w:sz="4" w:space="0" w:color="auto"/>
            </w:tcBorders>
            <w:shd w:val="clear" w:color="auto" w:fill="auto"/>
            <w:noWrap/>
            <w:vAlign w:val="bottom"/>
            <w:hideMark/>
          </w:tcPr>
          <w:p w14:paraId="3862BAA2"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3E9EB1DE"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691A6365"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3463FA0D"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7A7C8ED3" w14:textId="77777777" w:rsidR="00D34F92" w:rsidRDefault="00D34F92">
            <w:pPr>
              <w:jc w:val="center"/>
              <w:rPr>
                <w:color w:val="000000"/>
              </w:rPr>
            </w:pPr>
            <w:r>
              <w:rPr>
                <w:color w:val="000000"/>
              </w:rPr>
              <w:t>0.0434</w:t>
            </w:r>
          </w:p>
        </w:tc>
      </w:tr>
      <w:tr w:rsidR="00D34F92" w14:paraId="300F7B72"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A6A7EE6" w14:textId="77777777" w:rsidR="00D34F92" w:rsidRDefault="00D34F92">
            <w:pPr>
              <w:jc w:val="center"/>
              <w:rPr>
                <w:color w:val="000000"/>
              </w:rPr>
            </w:pPr>
            <w:r>
              <w:rPr>
                <w:color w:val="000000"/>
              </w:rPr>
              <w:t>Ca</w:t>
            </w:r>
            <w:r>
              <w:rPr>
                <w:color w:val="000000"/>
                <w:vertAlign w:val="superscript"/>
              </w:rPr>
              <w:t>X</w:t>
            </w:r>
          </w:p>
        </w:tc>
        <w:tc>
          <w:tcPr>
            <w:tcW w:w="1720" w:type="dxa"/>
            <w:tcBorders>
              <w:top w:val="nil"/>
              <w:left w:val="nil"/>
              <w:bottom w:val="single" w:sz="4" w:space="0" w:color="auto"/>
              <w:right w:val="single" w:sz="4" w:space="0" w:color="auto"/>
            </w:tcBorders>
            <w:shd w:val="clear" w:color="auto" w:fill="auto"/>
            <w:noWrap/>
            <w:vAlign w:val="bottom"/>
            <w:hideMark/>
          </w:tcPr>
          <w:p w14:paraId="529309D5"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6DED06C5"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39299DF7"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0C9DE3E0"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203BC55E" w14:textId="77777777" w:rsidR="00D34F92" w:rsidRDefault="00D34F92">
            <w:pPr>
              <w:jc w:val="center"/>
              <w:rPr>
                <w:color w:val="000000"/>
              </w:rPr>
            </w:pPr>
            <w:r>
              <w:rPr>
                <w:color w:val="000000"/>
              </w:rPr>
              <w:t>-</w:t>
            </w:r>
          </w:p>
        </w:tc>
      </w:tr>
      <w:tr w:rsidR="00D34F92" w14:paraId="64FBD8D9"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CFF8527" w14:textId="77777777" w:rsidR="00D34F92" w:rsidRDefault="00D34F92">
            <w:pPr>
              <w:jc w:val="center"/>
              <w:rPr>
                <w:color w:val="000000"/>
              </w:rPr>
            </w:pPr>
            <w:r>
              <w:rPr>
                <w:color w:val="000000"/>
              </w:rPr>
              <w:t>D</w:t>
            </w:r>
            <w:r>
              <w:rPr>
                <w:color w:val="000000"/>
                <w:vertAlign w:val="subscript"/>
              </w:rPr>
              <w:t>0</w:t>
            </w:r>
          </w:p>
        </w:tc>
        <w:tc>
          <w:tcPr>
            <w:tcW w:w="1720" w:type="dxa"/>
            <w:tcBorders>
              <w:top w:val="nil"/>
              <w:left w:val="nil"/>
              <w:bottom w:val="single" w:sz="4" w:space="0" w:color="auto"/>
              <w:right w:val="single" w:sz="4" w:space="0" w:color="auto"/>
            </w:tcBorders>
            <w:shd w:val="clear" w:color="auto" w:fill="auto"/>
            <w:noWrap/>
            <w:vAlign w:val="bottom"/>
            <w:hideMark/>
          </w:tcPr>
          <w:p w14:paraId="51A4009C"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1BB8398A"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058426F2"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39D6D427"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0195A587" w14:textId="77777777" w:rsidR="00D34F92" w:rsidRDefault="00D34F92">
            <w:pPr>
              <w:jc w:val="center"/>
              <w:rPr>
                <w:color w:val="000000"/>
              </w:rPr>
            </w:pPr>
            <w:r>
              <w:rPr>
                <w:color w:val="000000"/>
              </w:rPr>
              <w:t>-</w:t>
            </w:r>
          </w:p>
        </w:tc>
      </w:tr>
      <w:tr w:rsidR="00D34F92" w14:paraId="18BE6CD9"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CBAEE80" w14:textId="77777777" w:rsidR="00D34F92" w:rsidRDefault="00D34F92">
            <w:pPr>
              <w:jc w:val="center"/>
              <w:rPr>
                <w:color w:val="000000"/>
              </w:rPr>
            </w:pPr>
            <w:r>
              <w:rPr>
                <w:color w:val="000000"/>
              </w:rPr>
              <w:t>r</w:t>
            </w:r>
            <w:r>
              <w:rPr>
                <w:color w:val="000000"/>
                <w:vertAlign w:val="subscript"/>
              </w:rPr>
              <w:t>0</w:t>
            </w:r>
          </w:p>
        </w:tc>
        <w:tc>
          <w:tcPr>
            <w:tcW w:w="1720" w:type="dxa"/>
            <w:tcBorders>
              <w:top w:val="nil"/>
              <w:left w:val="nil"/>
              <w:bottom w:val="single" w:sz="4" w:space="0" w:color="auto"/>
              <w:right w:val="single" w:sz="4" w:space="0" w:color="auto"/>
            </w:tcBorders>
            <w:shd w:val="clear" w:color="auto" w:fill="auto"/>
            <w:noWrap/>
            <w:vAlign w:val="bottom"/>
            <w:hideMark/>
          </w:tcPr>
          <w:p w14:paraId="1A5C787F"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68876B5D"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2E2EB6B6"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51243B7C"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760AD5F1" w14:textId="77777777" w:rsidR="00D34F92" w:rsidRDefault="00D34F92">
            <w:pPr>
              <w:jc w:val="center"/>
              <w:rPr>
                <w:color w:val="000000"/>
              </w:rPr>
            </w:pPr>
            <w:r>
              <w:rPr>
                <w:color w:val="000000"/>
              </w:rPr>
              <w:t>-</w:t>
            </w:r>
          </w:p>
        </w:tc>
      </w:tr>
      <w:tr w:rsidR="00D34F92" w14:paraId="608BB19D"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C6282B1" w14:textId="77777777" w:rsidR="00D34F92" w:rsidRDefault="00D34F92">
            <w:pPr>
              <w:jc w:val="center"/>
              <w:rPr>
                <w:color w:val="000000"/>
              </w:rPr>
            </w:pPr>
            <w:r>
              <w:rPr>
                <w:color w:val="000000"/>
              </w:rPr>
              <w:t>E</w:t>
            </w:r>
          </w:p>
        </w:tc>
        <w:tc>
          <w:tcPr>
            <w:tcW w:w="1720" w:type="dxa"/>
            <w:tcBorders>
              <w:top w:val="nil"/>
              <w:left w:val="nil"/>
              <w:bottom w:val="single" w:sz="4" w:space="0" w:color="auto"/>
              <w:right w:val="single" w:sz="4" w:space="0" w:color="auto"/>
            </w:tcBorders>
            <w:shd w:val="clear" w:color="auto" w:fill="auto"/>
            <w:noWrap/>
            <w:vAlign w:val="bottom"/>
            <w:hideMark/>
          </w:tcPr>
          <w:p w14:paraId="4A3CB38A"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15C09CE9"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19506014"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3B82930B"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1B4FD42E" w14:textId="77777777" w:rsidR="00D34F92" w:rsidRDefault="00D34F92">
            <w:pPr>
              <w:jc w:val="center"/>
              <w:rPr>
                <w:color w:val="000000"/>
              </w:rPr>
            </w:pPr>
            <w:r>
              <w:rPr>
                <w:color w:val="000000"/>
              </w:rPr>
              <w:t>-</w:t>
            </w:r>
          </w:p>
        </w:tc>
      </w:tr>
      <w:tr w:rsidR="00D34F92" w14:paraId="6C60673E" w14:textId="77777777" w:rsidTr="00D34F92">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A29CA1F" w14:textId="77777777" w:rsidR="00D34F92" w:rsidRDefault="00D34F92">
            <w:pPr>
              <w:jc w:val="center"/>
              <w:rPr>
                <w:color w:val="000000"/>
              </w:rPr>
            </w:pPr>
            <w:r>
              <w:rPr>
                <w:color w:val="000000"/>
              </w:rPr>
              <w:t>D(Ti)</w:t>
            </w:r>
          </w:p>
        </w:tc>
        <w:tc>
          <w:tcPr>
            <w:tcW w:w="1720" w:type="dxa"/>
            <w:tcBorders>
              <w:top w:val="nil"/>
              <w:left w:val="nil"/>
              <w:bottom w:val="single" w:sz="4" w:space="0" w:color="auto"/>
              <w:right w:val="single" w:sz="4" w:space="0" w:color="auto"/>
            </w:tcBorders>
            <w:shd w:val="clear" w:color="auto" w:fill="auto"/>
            <w:noWrap/>
            <w:vAlign w:val="bottom"/>
            <w:hideMark/>
          </w:tcPr>
          <w:p w14:paraId="603BEB4A"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75BE6287" w14:textId="77777777" w:rsidR="00D34F92" w:rsidRDefault="00D34F92">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23D6BD6C" w14:textId="77777777" w:rsidR="00D34F92" w:rsidRDefault="00D34F92">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002D8CC3"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6E7DD4FA" w14:textId="77777777" w:rsidR="00D34F92" w:rsidRDefault="00D34F92">
            <w:pPr>
              <w:jc w:val="center"/>
              <w:rPr>
                <w:color w:val="000000"/>
              </w:rPr>
            </w:pPr>
            <w:r>
              <w:rPr>
                <w:color w:val="000000"/>
              </w:rPr>
              <w:t>-</w:t>
            </w:r>
          </w:p>
        </w:tc>
      </w:tr>
      <w:tr w:rsidR="00D34F92" w14:paraId="27B1EBEB" w14:textId="77777777" w:rsidTr="00D8379E">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9659774" w14:textId="77777777" w:rsidR="00D34F92" w:rsidRDefault="00D34F92">
            <w:pPr>
              <w:jc w:val="center"/>
              <w:rPr>
                <w:color w:val="000000"/>
              </w:rPr>
            </w:pPr>
            <w:r>
              <w:rPr>
                <w:color w:val="000000"/>
              </w:rPr>
              <w:t>Log(ƒO</w:t>
            </w:r>
            <w:r>
              <w:rPr>
                <w:color w:val="000000"/>
                <w:vertAlign w:val="subscript"/>
              </w:rPr>
              <w:t>2</w:t>
            </w:r>
            <w:r>
              <w:rPr>
                <w:color w:val="000000"/>
              </w:rPr>
              <w:t>)</w:t>
            </w:r>
          </w:p>
        </w:tc>
        <w:tc>
          <w:tcPr>
            <w:tcW w:w="1720" w:type="dxa"/>
            <w:tcBorders>
              <w:top w:val="nil"/>
              <w:left w:val="nil"/>
              <w:bottom w:val="single" w:sz="4" w:space="0" w:color="auto"/>
              <w:right w:val="single" w:sz="4" w:space="0" w:color="auto"/>
            </w:tcBorders>
            <w:shd w:val="clear" w:color="auto" w:fill="auto"/>
            <w:noWrap/>
            <w:vAlign w:val="bottom"/>
            <w:hideMark/>
          </w:tcPr>
          <w:p w14:paraId="59702690" w14:textId="77777777" w:rsidR="00D34F92" w:rsidRDefault="00D34F92">
            <w:pPr>
              <w:jc w:val="center"/>
              <w:rPr>
                <w:color w:val="000000"/>
              </w:rPr>
            </w:pPr>
            <w:r>
              <w:rPr>
                <w:color w:val="000000"/>
              </w:rPr>
              <w:t>-10.75</w:t>
            </w:r>
          </w:p>
        </w:tc>
        <w:tc>
          <w:tcPr>
            <w:tcW w:w="1420" w:type="dxa"/>
            <w:tcBorders>
              <w:top w:val="nil"/>
              <w:left w:val="nil"/>
              <w:bottom w:val="single" w:sz="4" w:space="0" w:color="auto"/>
              <w:right w:val="single" w:sz="4" w:space="0" w:color="auto"/>
            </w:tcBorders>
            <w:shd w:val="clear" w:color="auto" w:fill="auto"/>
            <w:noWrap/>
            <w:vAlign w:val="bottom"/>
            <w:hideMark/>
          </w:tcPr>
          <w:p w14:paraId="3E8451F5" w14:textId="77777777" w:rsidR="00D34F92" w:rsidRDefault="00D34F92">
            <w:pPr>
              <w:jc w:val="center"/>
              <w:rPr>
                <w:color w:val="000000"/>
              </w:rPr>
            </w:pPr>
            <w:r>
              <w:rPr>
                <w:color w:val="000000"/>
              </w:rPr>
              <w:t>-10.22</w:t>
            </w:r>
          </w:p>
        </w:tc>
        <w:tc>
          <w:tcPr>
            <w:tcW w:w="1420" w:type="dxa"/>
            <w:tcBorders>
              <w:top w:val="nil"/>
              <w:left w:val="nil"/>
              <w:bottom w:val="single" w:sz="4" w:space="0" w:color="auto"/>
              <w:right w:val="single" w:sz="4" w:space="0" w:color="auto"/>
            </w:tcBorders>
            <w:shd w:val="clear" w:color="auto" w:fill="auto"/>
            <w:noWrap/>
            <w:vAlign w:val="bottom"/>
            <w:hideMark/>
          </w:tcPr>
          <w:p w14:paraId="7548F034" w14:textId="77777777" w:rsidR="00D34F92" w:rsidRDefault="00D34F92">
            <w:pPr>
              <w:jc w:val="center"/>
              <w:rPr>
                <w:color w:val="000000"/>
              </w:rPr>
            </w:pPr>
            <w:r>
              <w:rPr>
                <w:color w:val="000000"/>
              </w:rPr>
              <w:t>-10.22</w:t>
            </w:r>
          </w:p>
        </w:tc>
        <w:tc>
          <w:tcPr>
            <w:tcW w:w="880" w:type="dxa"/>
            <w:tcBorders>
              <w:top w:val="nil"/>
              <w:left w:val="nil"/>
              <w:bottom w:val="single" w:sz="4" w:space="0" w:color="auto"/>
              <w:right w:val="single" w:sz="4" w:space="0" w:color="auto"/>
            </w:tcBorders>
            <w:shd w:val="clear" w:color="auto" w:fill="auto"/>
            <w:noWrap/>
            <w:vAlign w:val="bottom"/>
            <w:hideMark/>
          </w:tcPr>
          <w:p w14:paraId="0A33F0AE" w14:textId="77777777" w:rsidR="00D34F92" w:rsidRDefault="00D34F92">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05A50B5F" w14:textId="77777777" w:rsidR="00D34F92" w:rsidRDefault="00D34F92">
            <w:pPr>
              <w:jc w:val="center"/>
              <w:rPr>
                <w:color w:val="000000"/>
              </w:rPr>
            </w:pPr>
            <w:r>
              <w:rPr>
                <w:color w:val="000000"/>
              </w:rPr>
              <w:t>-10.22</w:t>
            </w:r>
          </w:p>
        </w:tc>
      </w:tr>
      <w:tr w:rsidR="00D34F92" w14:paraId="73D8E367" w14:textId="77777777" w:rsidTr="00D8379E">
        <w:trPr>
          <w:trHeight w:val="62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B456E2" w14:textId="77777777" w:rsidR="00D34F92" w:rsidRDefault="00D34F92">
            <w:pPr>
              <w:jc w:val="center"/>
              <w:rPr>
                <w:color w:val="000000"/>
              </w:rPr>
            </w:pPr>
            <w:r>
              <w:rPr>
                <w:color w:val="000000"/>
              </w:rPr>
              <w:t>Sample/ Experiment</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74760500" w14:textId="77777777" w:rsidR="00D34F92" w:rsidRDefault="00D34F92">
            <w:pPr>
              <w:jc w:val="center"/>
              <w:rPr>
                <w:color w:val="000000"/>
              </w:rPr>
            </w:pPr>
            <w:r>
              <w:rPr>
                <w:color w:val="000000"/>
              </w:rPr>
              <w:t>LPUM/0.4-1.5 gl HA02-0.8</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6EAAB63A" w14:textId="77777777" w:rsidR="00D34F92" w:rsidRDefault="00D34F92">
            <w:pPr>
              <w:jc w:val="center"/>
              <w:rPr>
                <w:color w:val="000000"/>
              </w:rPr>
            </w:pPr>
            <w:r>
              <w:rPr>
                <w:color w:val="000000"/>
              </w:rPr>
              <w:t>V984</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261DB832" w14:textId="77777777" w:rsidR="00D34F92" w:rsidRDefault="00D34F92">
            <w:pPr>
              <w:jc w:val="center"/>
              <w:rPr>
                <w:color w:val="000000"/>
              </w:rPr>
            </w:pPr>
            <w:r>
              <w:rPr>
                <w:color w:val="000000"/>
              </w:rPr>
              <w:t>V1007</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5D302A02" w14:textId="77777777" w:rsidR="00D34F92" w:rsidRDefault="00D34F92">
            <w:pPr>
              <w:jc w:val="center"/>
              <w:rPr>
                <w:color w:val="000000"/>
              </w:rPr>
            </w:pPr>
            <w:r>
              <w:rPr>
                <w:color w:val="000000"/>
              </w:rPr>
              <w:t>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1BC87262" w14:textId="77777777" w:rsidR="00D34F92" w:rsidRDefault="00D34F92">
            <w:pPr>
              <w:jc w:val="center"/>
              <w:rPr>
                <w:color w:val="000000"/>
              </w:rPr>
            </w:pPr>
            <w:r>
              <w:rPr>
                <w:color w:val="000000"/>
              </w:rPr>
              <w:t>V984</w:t>
            </w:r>
          </w:p>
        </w:tc>
      </w:tr>
    </w:tbl>
    <w:p w14:paraId="4F557E79" w14:textId="77777777" w:rsidR="00D24589" w:rsidRDefault="00D24589"/>
    <w:p w14:paraId="77928F43" w14:textId="77777777" w:rsidR="00D24589" w:rsidRDefault="00D24589">
      <w:r>
        <w:br w:type="page"/>
      </w:r>
    </w:p>
    <w:p w14:paraId="2E3B234F" w14:textId="567A03C8" w:rsidR="00D24589" w:rsidRDefault="00D24589">
      <w:r w:rsidRPr="00D24589">
        <w:rPr>
          <w:b/>
          <w:bCs/>
        </w:rPr>
        <w:lastRenderedPageBreak/>
        <w:t>Table 2.6.</w:t>
      </w:r>
      <w:r>
        <w:t xml:space="preserve"> Continued</w:t>
      </w:r>
      <w:r w:rsidR="00C40415">
        <w:t>.</w:t>
      </w:r>
    </w:p>
    <w:tbl>
      <w:tblPr>
        <w:tblW w:w="8100" w:type="dxa"/>
        <w:tblCellMar>
          <w:left w:w="0" w:type="dxa"/>
          <w:right w:w="0" w:type="dxa"/>
        </w:tblCellMar>
        <w:tblLook w:val="04A0" w:firstRow="1" w:lastRow="0" w:firstColumn="1" w:lastColumn="0" w:noHBand="0" w:noVBand="1"/>
      </w:tblPr>
      <w:tblGrid>
        <w:gridCol w:w="1240"/>
        <w:gridCol w:w="1420"/>
        <w:gridCol w:w="880"/>
        <w:gridCol w:w="1720"/>
        <w:gridCol w:w="1420"/>
        <w:gridCol w:w="1420"/>
      </w:tblGrid>
      <w:tr w:rsidR="00D24589" w14:paraId="2B544089" w14:textId="77777777" w:rsidTr="00D24589">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9C8E1A0" w14:textId="77777777" w:rsidR="00D24589" w:rsidRDefault="00D24589">
            <w:pPr>
              <w:jc w:val="center"/>
              <w:rPr>
                <w:color w:val="000000"/>
              </w:rPr>
            </w:pPr>
            <w:r>
              <w:rPr>
                <w:color w:val="000000"/>
              </w:rPr>
              <w:t>Element</w:t>
            </w:r>
          </w:p>
        </w:tc>
        <w:tc>
          <w:tcPr>
            <w:tcW w:w="14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A84BE39" w14:textId="4EAA4994" w:rsidR="00D24589" w:rsidRDefault="00D24589">
            <w:pPr>
              <w:jc w:val="center"/>
              <w:rPr>
                <w:color w:val="000000"/>
              </w:rPr>
            </w:pPr>
            <w:r>
              <w:rPr>
                <w:color w:val="000000"/>
              </w:rPr>
              <w:t>Opx (</w:t>
            </w:r>
            <w:r w:rsidR="00067EFB">
              <w:rPr>
                <w:color w:val="000000"/>
              </w:rPr>
              <w:t>D</w:t>
            </w:r>
            <w:r>
              <w:rPr>
                <w:color w:val="000000"/>
              </w:rPr>
              <w:t>)</w:t>
            </w:r>
          </w:p>
        </w:tc>
        <w:tc>
          <w:tcPr>
            <w:tcW w:w="8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182575D" w14:textId="77777777" w:rsidR="00D24589" w:rsidRDefault="00D24589">
            <w:pPr>
              <w:jc w:val="center"/>
              <w:rPr>
                <w:color w:val="000000"/>
              </w:rPr>
            </w:pPr>
            <w:r>
              <w:rPr>
                <w:color w:val="000000"/>
              </w:rPr>
              <w:t>ref.</w:t>
            </w:r>
          </w:p>
        </w:tc>
        <w:tc>
          <w:tcPr>
            <w:tcW w:w="17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05E6FA4" w14:textId="1F852532" w:rsidR="00D24589" w:rsidRDefault="00D24589">
            <w:pPr>
              <w:jc w:val="center"/>
              <w:rPr>
                <w:color w:val="000000"/>
              </w:rPr>
            </w:pPr>
            <w:r>
              <w:rPr>
                <w:color w:val="000000"/>
              </w:rPr>
              <w:t>Cpx (</w:t>
            </w:r>
            <w:r w:rsidR="00067EFB">
              <w:rPr>
                <w:color w:val="000000"/>
              </w:rPr>
              <w:t>D</w:t>
            </w:r>
            <w:r>
              <w:rPr>
                <w:color w:val="000000"/>
              </w:rPr>
              <w:t>)</w:t>
            </w:r>
          </w:p>
        </w:tc>
        <w:tc>
          <w:tcPr>
            <w:tcW w:w="14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1EDACCA" w14:textId="1826390C" w:rsidR="00D24589" w:rsidRDefault="00D24589">
            <w:pPr>
              <w:jc w:val="center"/>
              <w:rPr>
                <w:color w:val="000000"/>
              </w:rPr>
            </w:pPr>
            <w:r>
              <w:rPr>
                <w:color w:val="000000"/>
              </w:rPr>
              <w:t>Cpx (</w:t>
            </w:r>
            <w:r w:rsidR="00067EFB">
              <w:rPr>
                <w:color w:val="000000"/>
              </w:rPr>
              <w:t>D</w:t>
            </w:r>
            <w:r>
              <w:rPr>
                <w:color w:val="000000"/>
              </w:rPr>
              <w:t>)</w:t>
            </w:r>
          </w:p>
        </w:tc>
        <w:tc>
          <w:tcPr>
            <w:tcW w:w="14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60A7C6E" w14:textId="4A6B9289" w:rsidR="00D24589" w:rsidRDefault="00D24589">
            <w:pPr>
              <w:jc w:val="center"/>
              <w:rPr>
                <w:color w:val="000000"/>
              </w:rPr>
            </w:pPr>
            <w:r>
              <w:rPr>
                <w:color w:val="000000"/>
              </w:rPr>
              <w:t>Cpx (</w:t>
            </w:r>
            <w:r w:rsidR="00067EFB">
              <w:rPr>
                <w:color w:val="000000"/>
              </w:rPr>
              <w:t>D</w:t>
            </w:r>
            <w:r>
              <w:rPr>
                <w:color w:val="000000"/>
              </w:rPr>
              <w:t>)</w:t>
            </w:r>
          </w:p>
        </w:tc>
      </w:tr>
      <w:tr w:rsidR="00D24589" w14:paraId="183CFBC9"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A3C9791" w14:textId="77777777" w:rsidR="00D24589" w:rsidRDefault="00D24589">
            <w:pPr>
              <w:jc w:val="center"/>
              <w:rPr>
                <w:color w:val="000000"/>
              </w:rPr>
            </w:pPr>
            <w:r>
              <w:rPr>
                <w:color w:val="000000"/>
              </w:rPr>
              <w:t>La</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18F80AC" w14:textId="77777777" w:rsidR="00D24589" w:rsidRDefault="00D24589">
            <w:pPr>
              <w:jc w:val="center"/>
              <w:rPr>
                <w:color w:val="000000"/>
              </w:rPr>
            </w:pPr>
            <w:r>
              <w:rPr>
                <w:color w:val="000000"/>
              </w:rPr>
              <w:t>3.02E-03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9482F02"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140487A" w14:textId="77777777" w:rsidR="00D24589" w:rsidRDefault="00D24589">
            <w:pPr>
              <w:jc w:val="center"/>
              <w:rPr>
                <w:color w:val="000000"/>
              </w:rPr>
            </w:pPr>
            <w:r>
              <w:rPr>
                <w:color w:val="000000"/>
              </w:rPr>
              <w:t>1.44E-02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A29479C" w14:textId="77777777" w:rsidR="00D24589" w:rsidRDefault="00D24589">
            <w:pPr>
              <w:jc w:val="center"/>
              <w:rPr>
                <w:color w:val="000000"/>
              </w:rPr>
            </w:pPr>
            <w:r>
              <w:rPr>
                <w:color w:val="000000"/>
              </w:rPr>
              <w:t>1.51E-02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CAD1CF6" w14:textId="77777777" w:rsidR="00D24589" w:rsidRDefault="00D24589">
            <w:pPr>
              <w:jc w:val="center"/>
              <w:rPr>
                <w:color w:val="000000"/>
              </w:rPr>
            </w:pPr>
            <w:r>
              <w:rPr>
                <w:color w:val="000000"/>
              </w:rPr>
              <w:t>1.43E-02</w:t>
            </w:r>
          </w:p>
        </w:tc>
      </w:tr>
      <w:tr w:rsidR="00D24589" w14:paraId="6CF8296C"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6940F94" w14:textId="77777777" w:rsidR="00D24589" w:rsidRDefault="00D24589">
            <w:pPr>
              <w:jc w:val="center"/>
              <w:rPr>
                <w:color w:val="000000"/>
              </w:rPr>
            </w:pPr>
            <w:r>
              <w:rPr>
                <w:color w:val="000000"/>
              </w:rPr>
              <w:t>Ce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9269E7F" w14:textId="77777777" w:rsidR="00D24589" w:rsidRDefault="00D24589">
            <w:pPr>
              <w:jc w:val="center"/>
              <w:rPr>
                <w:color w:val="000000"/>
              </w:rPr>
            </w:pPr>
            <w:r>
              <w:rPr>
                <w:color w:val="000000"/>
              </w:rPr>
              <w:t>6.21E-03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9B402F"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3FA20F1" w14:textId="77777777" w:rsidR="00D24589" w:rsidRDefault="00D24589">
            <w:pPr>
              <w:jc w:val="center"/>
              <w:rPr>
                <w:color w:val="000000"/>
              </w:rPr>
            </w:pPr>
            <w:r>
              <w:rPr>
                <w:color w:val="000000"/>
              </w:rPr>
              <w:t>2.06E-02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DCE9D8A" w14:textId="77777777" w:rsidR="00D24589" w:rsidRDefault="00D24589">
            <w:pPr>
              <w:jc w:val="center"/>
              <w:rPr>
                <w:color w:val="000000"/>
              </w:rPr>
            </w:pPr>
            <w:r>
              <w:rPr>
                <w:color w:val="000000"/>
              </w:rPr>
              <w:t>2.12E-02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A7E5E65" w14:textId="77777777" w:rsidR="00D24589" w:rsidRDefault="00D24589">
            <w:pPr>
              <w:jc w:val="center"/>
              <w:rPr>
                <w:color w:val="000000"/>
              </w:rPr>
            </w:pPr>
            <w:r>
              <w:rPr>
                <w:color w:val="000000"/>
              </w:rPr>
              <w:t>2.01E-02</w:t>
            </w:r>
          </w:p>
        </w:tc>
      </w:tr>
      <w:tr w:rsidR="00D24589" w14:paraId="7361B3AB"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5A012F" w14:textId="77777777" w:rsidR="00D24589" w:rsidRDefault="00D24589">
            <w:pPr>
              <w:jc w:val="center"/>
              <w:rPr>
                <w:color w:val="000000"/>
              </w:rPr>
            </w:pPr>
            <w:r>
              <w:rPr>
                <w:color w:val="000000"/>
              </w:rPr>
              <w:t>Pr</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EC1FBF" w14:textId="77777777" w:rsidR="00D24589" w:rsidRDefault="00D24589">
            <w:pPr>
              <w:jc w:val="center"/>
              <w:rPr>
                <w:color w:val="000000"/>
              </w:rPr>
            </w:pPr>
            <w:r>
              <w:rPr>
                <w:color w:val="000000"/>
              </w:rPr>
              <w:t>1.20E-02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78ABAA7"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0277176" w14:textId="77777777" w:rsidR="00D24589" w:rsidRDefault="00D24589">
            <w:pPr>
              <w:jc w:val="center"/>
              <w:rPr>
                <w:color w:val="000000"/>
              </w:rPr>
            </w:pPr>
            <w:r>
              <w:rPr>
                <w:color w:val="000000"/>
              </w:rPr>
              <w:t>2.80E-02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43878B7" w14:textId="77777777" w:rsidR="00D24589" w:rsidRDefault="00D24589">
            <w:pPr>
              <w:jc w:val="center"/>
              <w:rPr>
                <w:color w:val="000000"/>
              </w:rPr>
            </w:pPr>
            <w:r>
              <w:rPr>
                <w:color w:val="000000"/>
              </w:rPr>
              <w:t>2.86E-02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57BA47B" w14:textId="77777777" w:rsidR="00D24589" w:rsidRDefault="00D24589">
            <w:pPr>
              <w:jc w:val="center"/>
              <w:rPr>
                <w:color w:val="000000"/>
              </w:rPr>
            </w:pPr>
            <w:r>
              <w:rPr>
                <w:color w:val="000000"/>
              </w:rPr>
              <w:t>2.72E-02</w:t>
            </w:r>
          </w:p>
        </w:tc>
      </w:tr>
      <w:tr w:rsidR="00D24589" w14:paraId="62F17949"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36AEDD" w14:textId="77777777" w:rsidR="00D24589" w:rsidRDefault="00D24589">
            <w:pPr>
              <w:jc w:val="center"/>
              <w:rPr>
                <w:color w:val="000000"/>
              </w:rPr>
            </w:pPr>
            <w:r>
              <w:rPr>
                <w:color w:val="000000"/>
              </w:rPr>
              <w:t>Nd</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ADEFDDE" w14:textId="77777777" w:rsidR="00D24589" w:rsidRDefault="00D24589">
            <w:pPr>
              <w:jc w:val="center"/>
              <w:rPr>
                <w:color w:val="000000"/>
              </w:rPr>
            </w:pPr>
            <w:r>
              <w:rPr>
                <w:color w:val="000000"/>
              </w:rPr>
              <w:t>2.17E-02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7BE2695"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DB0290" w14:textId="77777777" w:rsidR="00D24589" w:rsidRDefault="00D24589">
            <w:pPr>
              <w:jc w:val="center"/>
              <w:rPr>
                <w:color w:val="000000"/>
              </w:rPr>
            </w:pPr>
            <w:r>
              <w:rPr>
                <w:color w:val="000000"/>
              </w:rPr>
              <w:t>3.66E-02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0FE1F62" w14:textId="77777777" w:rsidR="00D24589" w:rsidRDefault="00D24589">
            <w:pPr>
              <w:jc w:val="center"/>
              <w:rPr>
                <w:color w:val="000000"/>
              </w:rPr>
            </w:pPr>
            <w:r>
              <w:rPr>
                <w:color w:val="000000"/>
              </w:rPr>
              <w:t>3.71E-02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006E0F9" w14:textId="77777777" w:rsidR="00D24589" w:rsidRDefault="00D24589">
            <w:pPr>
              <w:jc w:val="center"/>
              <w:rPr>
                <w:color w:val="000000"/>
              </w:rPr>
            </w:pPr>
            <w:r>
              <w:rPr>
                <w:color w:val="000000"/>
              </w:rPr>
              <w:t>3.52E-02</w:t>
            </w:r>
          </w:p>
        </w:tc>
      </w:tr>
      <w:tr w:rsidR="00D24589" w14:paraId="4487A43F"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C6D4A3" w14:textId="77777777" w:rsidR="00D24589" w:rsidRDefault="00D24589">
            <w:pPr>
              <w:jc w:val="center"/>
              <w:rPr>
                <w:color w:val="000000"/>
              </w:rPr>
            </w:pPr>
            <w:r>
              <w:rPr>
                <w:color w:val="000000"/>
              </w:rPr>
              <w:t>Sm</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AD8595E" w14:textId="77777777" w:rsidR="00D24589" w:rsidRDefault="00D24589">
            <w:pPr>
              <w:jc w:val="center"/>
              <w:rPr>
                <w:color w:val="000000"/>
              </w:rPr>
            </w:pPr>
            <w:r>
              <w:rPr>
                <w:color w:val="000000"/>
              </w:rPr>
              <w:t>5.34E-02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8E9310F"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50BD1FC" w14:textId="77777777" w:rsidR="00D24589" w:rsidRDefault="00D24589">
            <w:pPr>
              <w:jc w:val="center"/>
              <w:rPr>
                <w:color w:val="000000"/>
              </w:rPr>
            </w:pPr>
            <w:r>
              <w:rPr>
                <w:color w:val="000000"/>
              </w:rPr>
              <w:t>5.28E-02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1837999" w14:textId="77777777" w:rsidR="00D24589" w:rsidRDefault="00D24589">
            <w:pPr>
              <w:jc w:val="center"/>
              <w:rPr>
                <w:color w:val="000000"/>
              </w:rPr>
            </w:pPr>
            <w:r>
              <w:rPr>
                <w:color w:val="000000"/>
              </w:rPr>
              <w:t>5.30E-02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DCE69B" w14:textId="77777777" w:rsidR="00D24589" w:rsidRDefault="00D24589">
            <w:pPr>
              <w:jc w:val="center"/>
              <w:rPr>
                <w:color w:val="000000"/>
              </w:rPr>
            </w:pPr>
            <w:r>
              <w:rPr>
                <w:color w:val="000000"/>
              </w:rPr>
              <w:t>5.03E-02</w:t>
            </w:r>
          </w:p>
        </w:tc>
      </w:tr>
      <w:tr w:rsidR="00D24589" w14:paraId="21178843"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B4D9DC" w14:textId="77777777" w:rsidR="00D24589" w:rsidRDefault="00D24589">
            <w:pPr>
              <w:jc w:val="center"/>
              <w:rPr>
                <w:color w:val="000000"/>
              </w:rPr>
            </w:pPr>
            <w:r>
              <w:rPr>
                <w:color w:val="000000"/>
              </w:rPr>
              <w:t>Eu</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167FA7" w14:textId="77777777" w:rsidR="00D24589" w:rsidRDefault="00D24589">
            <w:pPr>
              <w:jc w:val="center"/>
              <w:rPr>
                <w:color w:val="000000"/>
              </w:rPr>
            </w:pPr>
            <w:r>
              <w:rPr>
                <w:color w:val="000000"/>
              </w:rPr>
              <w:t>2.81E-02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2BDC04" w14:textId="77777777" w:rsidR="00D24589" w:rsidRDefault="00D24589">
            <w:pPr>
              <w:jc w:val="center"/>
              <w:rPr>
                <w:color w:val="000000"/>
              </w:rPr>
            </w:pPr>
            <w:r>
              <w:rPr>
                <w:color w:val="000000"/>
              </w:rPr>
              <w:t>d,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6A4880E" w14:textId="77777777" w:rsidR="00D24589" w:rsidRDefault="00D24589">
            <w:pPr>
              <w:jc w:val="center"/>
              <w:rPr>
                <w:color w:val="000000"/>
              </w:rPr>
            </w:pPr>
            <w:r>
              <w:rPr>
                <w:color w:val="000000"/>
              </w:rPr>
              <w:t>1.92E-01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044BA4" w14:textId="77777777" w:rsidR="00D24589" w:rsidRDefault="00D24589">
            <w:pPr>
              <w:jc w:val="center"/>
              <w:rPr>
                <w:color w:val="000000"/>
              </w:rPr>
            </w:pPr>
            <w:r>
              <w:rPr>
                <w:color w:val="000000"/>
              </w:rPr>
              <w:t>1.80E-01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CD6A228" w14:textId="77777777" w:rsidR="00D24589" w:rsidRDefault="00D24589">
            <w:pPr>
              <w:jc w:val="center"/>
              <w:rPr>
                <w:color w:val="000000"/>
              </w:rPr>
            </w:pPr>
            <w:r>
              <w:rPr>
                <w:color w:val="000000"/>
              </w:rPr>
              <w:t>1.75E-01</w:t>
            </w:r>
          </w:p>
        </w:tc>
      </w:tr>
      <w:tr w:rsidR="00D24589" w14:paraId="7F038169"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ED340DE" w14:textId="77777777" w:rsidR="00D24589" w:rsidRDefault="00D24589">
            <w:pPr>
              <w:jc w:val="center"/>
              <w:rPr>
                <w:color w:val="000000"/>
              </w:rPr>
            </w:pPr>
            <w:r>
              <w:rPr>
                <w:color w:val="000000"/>
              </w:rPr>
              <w:t>Gd</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96C45EA" w14:textId="77777777" w:rsidR="00D24589" w:rsidRDefault="00D24589">
            <w:pPr>
              <w:jc w:val="center"/>
              <w:rPr>
                <w:color w:val="000000"/>
              </w:rPr>
            </w:pPr>
            <w:r>
              <w:rPr>
                <w:color w:val="000000"/>
              </w:rPr>
              <w:t>1.01E-01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C2DD80"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3B859E3" w14:textId="77777777" w:rsidR="00D24589" w:rsidRDefault="00D24589">
            <w:pPr>
              <w:jc w:val="center"/>
              <w:rPr>
                <w:color w:val="000000"/>
              </w:rPr>
            </w:pPr>
            <w:r>
              <w:rPr>
                <w:color w:val="000000"/>
              </w:rPr>
              <w:t>6.57E-02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25CF989" w14:textId="77777777" w:rsidR="00D24589" w:rsidRDefault="00D24589">
            <w:pPr>
              <w:jc w:val="center"/>
              <w:rPr>
                <w:color w:val="000000"/>
              </w:rPr>
            </w:pPr>
            <w:r>
              <w:rPr>
                <w:color w:val="000000"/>
              </w:rPr>
              <w:t>6.54E-02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3DDCCB8" w14:textId="77777777" w:rsidR="00D24589" w:rsidRDefault="00D24589">
            <w:pPr>
              <w:jc w:val="center"/>
              <w:rPr>
                <w:color w:val="000000"/>
              </w:rPr>
            </w:pPr>
            <w:r>
              <w:rPr>
                <w:color w:val="000000"/>
              </w:rPr>
              <w:t>6.21E-02</w:t>
            </w:r>
          </w:p>
        </w:tc>
      </w:tr>
      <w:tr w:rsidR="00D24589" w14:paraId="1263E1F2"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4889FCA" w14:textId="77777777" w:rsidR="00D24589" w:rsidRDefault="00D24589">
            <w:pPr>
              <w:jc w:val="center"/>
              <w:rPr>
                <w:color w:val="000000"/>
              </w:rPr>
            </w:pPr>
            <w:r>
              <w:rPr>
                <w:color w:val="000000"/>
              </w:rPr>
              <w:t>Tb</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866F1F5" w14:textId="77777777" w:rsidR="00D24589" w:rsidRDefault="00D24589">
            <w:pPr>
              <w:jc w:val="center"/>
              <w:rPr>
                <w:color w:val="000000"/>
              </w:rPr>
            </w:pPr>
            <w:r>
              <w:rPr>
                <w:color w:val="000000"/>
              </w:rPr>
              <w:t>1.31E-01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05D1B39"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EEA1DAA" w14:textId="77777777" w:rsidR="00D24589" w:rsidRDefault="00D24589">
            <w:pPr>
              <w:jc w:val="center"/>
              <w:rPr>
                <w:color w:val="000000"/>
              </w:rPr>
            </w:pPr>
            <w:r>
              <w:rPr>
                <w:color w:val="000000"/>
              </w:rPr>
              <w:t>7.09E-02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680F94B" w14:textId="77777777" w:rsidR="00D24589" w:rsidRDefault="00D24589">
            <w:pPr>
              <w:jc w:val="center"/>
              <w:rPr>
                <w:color w:val="000000"/>
              </w:rPr>
            </w:pPr>
            <w:r>
              <w:rPr>
                <w:color w:val="000000"/>
              </w:rPr>
              <w:t>7.04E-02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CE899DF" w14:textId="77777777" w:rsidR="00D24589" w:rsidRDefault="00D24589">
            <w:pPr>
              <w:jc w:val="center"/>
              <w:rPr>
                <w:color w:val="000000"/>
              </w:rPr>
            </w:pPr>
            <w:r>
              <w:rPr>
                <w:color w:val="000000"/>
              </w:rPr>
              <w:t>6.68E-02</w:t>
            </w:r>
          </w:p>
        </w:tc>
      </w:tr>
      <w:tr w:rsidR="00D24589" w14:paraId="2DF845FC"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CDFC3E7" w14:textId="77777777" w:rsidR="00D24589" w:rsidRDefault="00D24589">
            <w:pPr>
              <w:jc w:val="center"/>
              <w:rPr>
                <w:color w:val="000000"/>
              </w:rPr>
            </w:pPr>
            <w:r>
              <w:rPr>
                <w:color w:val="000000"/>
              </w:rPr>
              <w:t>Dy</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F6B373B" w14:textId="77777777" w:rsidR="00D24589" w:rsidRDefault="00D24589">
            <w:pPr>
              <w:jc w:val="center"/>
              <w:rPr>
                <w:color w:val="000000"/>
              </w:rPr>
            </w:pPr>
            <w:r>
              <w:rPr>
                <w:color w:val="000000"/>
              </w:rPr>
              <w:t>1.66E-01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F32A2C1"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9ABB87" w14:textId="77777777" w:rsidR="00D24589" w:rsidRDefault="00D24589">
            <w:pPr>
              <w:jc w:val="center"/>
              <w:rPr>
                <w:color w:val="000000"/>
              </w:rPr>
            </w:pPr>
            <w:r>
              <w:rPr>
                <w:color w:val="000000"/>
              </w:rPr>
              <w:t>7.48E-02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F18F5B9" w14:textId="77777777" w:rsidR="00D24589" w:rsidRDefault="00D24589">
            <w:pPr>
              <w:jc w:val="center"/>
              <w:rPr>
                <w:color w:val="000000"/>
              </w:rPr>
            </w:pPr>
            <w:r>
              <w:rPr>
                <w:color w:val="000000"/>
              </w:rPr>
              <w:t>7.42E-02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977F37" w14:textId="77777777" w:rsidR="00D24589" w:rsidRDefault="00D24589">
            <w:pPr>
              <w:jc w:val="center"/>
              <w:rPr>
                <w:color w:val="000000"/>
              </w:rPr>
            </w:pPr>
            <w:r>
              <w:rPr>
                <w:color w:val="000000"/>
              </w:rPr>
              <w:t>7.04E-02</w:t>
            </w:r>
          </w:p>
        </w:tc>
      </w:tr>
      <w:tr w:rsidR="00D24589" w14:paraId="7493742C"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8A1A8B1" w14:textId="77777777" w:rsidR="00D24589" w:rsidRDefault="00D24589">
            <w:pPr>
              <w:jc w:val="center"/>
              <w:rPr>
                <w:color w:val="000000"/>
              </w:rPr>
            </w:pPr>
            <w:r>
              <w:rPr>
                <w:color w:val="000000"/>
              </w:rPr>
              <w:t>Y</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CD16777" w14:textId="77777777" w:rsidR="00D24589" w:rsidRDefault="00D24589">
            <w:pPr>
              <w:jc w:val="center"/>
              <w:rPr>
                <w:color w:val="000000"/>
              </w:rPr>
            </w:pPr>
            <w:r>
              <w:rPr>
                <w:color w:val="000000"/>
              </w:rPr>
              <w:t>1.89E-01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87B1FE9"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6842C1F" w14:textId="77777777" w:rsidR="00D24589" w:rsidRDefault="00D24589">
            <w:pPr>
              <w:jc w:val="center"/>
              <w:rPr>
                <w:color w:val="000000"/>
              </w:rPr>
            </w:pPr>
            <w:r>
              <w:rPr>
                <w:color w:val="000000"/>
              </w:rPr>
              <w:t>7.65E-02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79D927B" w14:textId="77777777" w:rsidR="00D24589" w:rsidRDefault="00D24589">
            <w:pPr>
              <w:jc w:val="center"/>
              <w:rPr>
                <w:color w:val="000000"/>
              </w:rPr>
            </w:pPr>
            <w:r>
              <w:rPr>
                <w:color w:val="000000"/>
              </w:rPr>
              <w:t>7.58E-02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3093DC4" w14:textId="77777777" w:rsidR="00D24589" w:rsidRDefault="00D24589">
            <w:pPr>
              <w:jc w:val="center"/>
              <w:rPr>
                <w:color w:val="000000"/>
              </w:rPr>
            </w:pPr>
            <w:r>
              <w:rPr>
                <w:color w:val="000000"/>
              </w:rPr>
              <w:t>7.19E-02</w:t>
            </w:r>
          </w:p>
        </w:tc>
      </w:tr>
      <w:tr w:rsidR="00D24589" w14:paraId="229A14B4"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7DCB25F" w14:textId="77777777" w:rsidR="00D24589" w:rsidRDefault="00D24589">
            <w:pPr>
              <w:jc w:val="center"/>
              <w:rPr>
                <w:color w:val="000000"/>
              </w:rPr>
            </w:pPr>
            <w:r>
              <w:rPr>
                <w:color w:val="000000"/>
              </w:rPr>
              <w:t>Ho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8B3C00D" w14:textId="77777777" w:rsidR="00D24589" w:rsidRDefault="00D24589">
            <w:pPr>
              <w:jc w:val="center"/>
              <w:rPr>
                <w:color w:val="000000"/>
              </w:rPr>
            </w:pPr>
            <w:r>
              <w:rPr>
                <w:color w:val="000000"/>
              </w:rPr>
              <w:t>2.01E-01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2DB8EE3"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C055DFA" w14:textId="77777777" w:rsidR="00D24589" w:rsidRDefault="00D24589">
            <w:pPr>
              <w:jc w:val="center"/>
              <w:rPr>
                <w:color w:val="000000"/>
              </w:rPr>
            </w:pPr>
            <w:r>
              <w:rPr>
                <w:color w:val="000000"/>
              </w:rPr>
              <w:t>7.71E-02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F30C8C" w14:textId="77777777" w:rsidR="00D24589" w:rsidRDefault="00D24589">
            <w:pPr>
              <w:jc w:val="center"/>
              <w:rPr>
                <w:color w:val="000000"/>
              </w:rPr>
            </w:pPr>
            <w:r>
              <w:rPr>
                <w:color w:val="000000"/>
              </w:rPr>
              <w:t>7.64E-02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3530B2" w14:textId="77777777" w:rsidR="00D24589" w:rsidRDefault="00D24589">
            <w:pPr>
              <w:jc w:val="center"/>
              <w:rPr>
                <w:color w:val="000000"/>
              </w:rPr>
            </w:pPr>
            <w:r>
              <w:rPr>
                <w:color w:val="000000"/>
              </w:rPr>
              <w:t>7.25E-02</w:t>
            </w:r>
          </w:p>
        </w:tc>
      </w:tr>
      <w:tr w:rsidR="00D24589" w14:paraId="46D06D00"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C18F06C" w14:textId="77777777" w:rsidR="00D24589" w:rsidRDefault="00D24589">
            <w:pPr>
              <w:jc w:val="center"/>
              <w:rPr>
                <w:color w:val="000000"/>
              </w:rPr>
            </w:pPr>
            <w:r>
              <w:rPr>
                <w:color w:val="000000"/>
              </w:rPr>
              <w:t>Er</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3CC0719" w14:textId="77777777" w:rsidR="00D24589" w:rsidRDefault="00D24589">
            <w:pPr>
              <w:jc w:val="center"/>
              <w:rPr>
                <w:color w:val="000000"/>
              </w:rPr>
            </w:pPr>
            <w:r>
              <w:rPr>
                <w:color w:val="000000"/>
              </w:rPr>
              <w:t>2.34E-01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53915D6"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A077EB8" w14:textId="77777777" w:rsidR="00D24589" w:rsidRDefault="00D24589">
            <w:pPr>
              <w:jc w:val="center"/>
              <w:rPr>
                <w:color w:val="000000"/>
              </w:rPr>
            </w:pPr>
            <w:r>
              <w:rPr>
                <w:color w:val="000000"/>
              </w:rPr>
              <w:t>7.81E-02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C9539BA" w14:textId="77777777" w:rsidR="00D24589" w:rsidRDefault="00D24589">
            <w:pPr>
              <w:jc w:val="center"/>
              <w:rPr>
                <w:color w:val="000000"/>
              </w:rPr>
            </w:pPr>
            <w:r>
              <w:rPr>
                <w:color w:val="000000"/>
              </w:rPr>
              <w:t>7.73E-02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3D46917" w14:textId="77777777" w:rsidR="00D24589" w:rsidRDefault="00D24589">
            <w:pPr>
              <w:jc w:val="center"/>
              <w:rPr>
                <w:color w:val="000000"/>
              </w:rPr>
            </w:pPr>
            <w:r>
              <w:rPr>
                <w:color w:val="000000"/>
              </w:rPr>
              <w:t>7.34E-02</w:t>
            </w:r>
          </w:p>
        </w:tc>
      </w:tr>
      <w:tr w:rsidR="00D24589" w14:paraId="19D07AB5"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4F26414" w14:textId="77777777" w:rsidR="00D24589" w:rsidRDefault="00D24589">
            <w:pPr>
              <w:jc w:val="center"/>
              <w:rPr>
                <w:color w:val="000000"/>
              </w:rPr>
            </w:pPr>
            <w:r>
              <w:rPr>
                <w:color w:val="000000"/>
              </w:rPr>
              <w:t>Tm</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F62D42" w14:textId="77777777" w:rsidR="00D24589" w:rsidRDefault="00D24589">
            <w:pPr>
              <w:jc w:val="center"/>
              <w:rPr>
                <w:color w:val="000000"/>
              </w:rPr>
            </w:pPr>
            <w:r>
              <w:rPr>
                <w:color w:val="000000"/>
              </w:rPr>
              <w:t>2.63E-01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C32F638"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A1CB9DB" w14:textId="77777777" w:rsidR="00D24589" w:rsidRDefault="00D24589">
            <w:pPr>
              <w:jc w:val="center"/>
              <w:rPr>
                <w:color w:val="000000"/>
              </w:rPr>
            </w:pPr>
            <w:r>
              <w:rPr>
                <w:color w:val="000000"/>
              </w:rPr>
              <w:t>7.80E-02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12D59C" w14:textId="77777777" w:rsidR="00D24589" w:rsidRDefault="00D24589">
            <w:pPr>
              <w:jc w:val="center"/>
              <w:rPr>
                <w:color w:val="000000"/>
              </w:rPr>
            </w:pPr>
            <w:r>
              <w:rPr>
                <w:color w:val="000000"/>
              </w:rPr>
              <w:t>7.72E-02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C998D5A" w14:textId="77777777" w:rsidR="00D24589" w:rsidRDefault="00D24589">
            <w:pPr>
              <w:jc w:val="center"/>
              <w:rPr>
                <w:color w:val="000000"/>
              </w:rPr>
            </w:pPr>
            <w:r>
              <w:rPr>
                <w:color w:val="000000"/>
              </w:rPr>
              <w:t>7.33E-02</w:t>
            </w:r>
          </w:p>
        </w:tc>
      </w:tr>
      <w:tr w:rsidR="00D24589" w14:paraId="6A01FD0A"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E003064" w14:textId="77777777" w:rsidR="00D24589" w:rsidRDefault="00D24589">
            <w:pPr>
              <w:jc w:val="center"/>
              <w:rPr>
                <w:color w:val="000000"/>
              </w:rPr>
            </w:pPr>
            <w:r>
              <w:rPr>
                <w:color w:val="000000"/>
              </w:rPr>
              <w:t>Yb</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84D66D7" w14:textId="77777777" w:rsidR="00D24589" w:rsidRDefault="00D24589">
            <w:pPr>
              <w:jc w:val="center"/>
              <w:rPr>
                <w:color w:val="000000"/>
              </w:rPr>
            </w:pPr>
            <w:r>
              <w:rPr>
                <w:color w:val="000000"/>
              </w:rPr>
              <w:t>2.88E-01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6EF8FB"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8529BD5" w14:textId="77777777" w:rsidR="00D24589" w:rsidRDefault="00D24589">
            <w:pPr>
              <w:jc w:val="center"/>
              <w:rPr>
                <w:color w:val="000000"/>
              </w:rPr>
            </w:pPr>
            <w:r>
              <w:rPr>
                <w:color w:val="000000"/>
              </w:rPr>
              <w:t>7.71E-02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43134E4" w14:textId="77777777" w:rsidR="00D24589" w:rsidRDefault="00D24589">
            <w:pPr>
              <w:jc w:val="center"/>
              <w:rPr>
                <w:color w:val="000000"/>
              </w:rPr>
            </w:pPr>
            <w:r>
              <w:rPr>
                <w:color w:val="000000"/>
              </w:rPr>
              <w:t>7.64E-02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EC6C1B4" w14:textId="77777777" w:rsidR="00D24589" w:rsidRDefault="00D24589">
            <w:pPr>
              <w:jc w:val="center"/>
              <w:rPr>
                <w:color w:val="000000"/>
              </w:rPr>
            </w:pPr>
            <w:r>
              <w:rPr>
                <w:color w:val="000000"/>
              </w:rPr>
              <w:t>7.25E-02</w:t>
            </w:r>
          </w:p>
        </w:tc>
      </w:tr>
      <w:tr w:rsidR="00D24589" w14:paraId="59339918"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95562FD" w14:textId="77777777" w:rsidR="00D24589" w:rsidRDefault="00D24589">
            <w:pPr>
              <w:jc w:val="center"/>
              <w:rPr>
                <w:color w:val="000000"/>
              </w:rPr>
            </w:pPr>
            <w:r>
              <w:rPr>
                <w:color w:val="000000"/>
              </w:rPr>
              <w:t>Lu</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BC37581" w14:textId="77777777" w:rsidR="00D24589" w:rsidRDefault="00D24589">
            <w:pPr>
              <w:jc w:val="center"/>
              <w:rPr>
                <w:color w:val="000000"/>
              </w:rPr>
            </w:pPr>
            <w:r>
              <w:rPr>
                <w:color w:val="000000"/>
              </w:rPr>
              <w:t>3.09E-01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7F976C"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DE107F8" w14:textId="77777777" w:rsidR="00D24589" w:rsidRDefault="00D24589">
            <w:pPr>
              <w:jc w:val="center"/>
              <w:rPr>
                <w:color w:val="000000"/>
              </w:rPr>
            </w:pPr>
            <w:r>
              <w:rPr>
                <w:color w:val="000000"/>
              </w:rPr>
              <w:t>7.58E-02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CFB60A1" w14:textId="77777777" w:rsidR="00D24589" w:rsidRDefault="00D24589">
            <w:pPr>
              <w:jc w:val="center"/>
              <w:rPr>
                <w:color w:val="000000"/>
              </w:rPr>
            </w:pPr>
            <w:r>
              <w:rPr>
                <w:color w:val="000000"/>
              </w:rPr>
              <w:t>7.51E-02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B6C86C" w14:textId="77777777" w:rsidR="00D24589" w:rsidRDefault="00D24589">
            <w:pPr>
              <w:jc w:val="center"/>
              <w:rPr>
                <w:color w:val="000000"/>
              </w:rPr>
            </w:pPr>
            <w:r>
              <w:rPr>
                <w:color w:val="000000"/>
              </w:rPr>
              <w:t>7.13E-02</w:t>
            </w:r>
          </w:p>
        </w:tc>
      </w:tr>
      <w:tr w:rsidR="00D24589" w14:paraId="5FBA6992"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B8520F6" w14:textId="77777777" w:rsidR="00D24589" w:rsidRDefault="00D24589">
            <w:pPr>
              <w:jc w:val="center"/>
              <w:rPr>
                <w:color w:val="000000"/>
              </w:rPr>
            </w:pPr>
            <w:r>
              <w:rPr>
                <w:color w:val="000000"/>
              </w:rPr>
              <w:t>Hf</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D4E3EC8" w14:textId="77777777" w:rsidR="00D24589" w:rsidRDefault="00D24589">
            <w:pPr>
              <w:jc w:val="center"/>
              <w:rPr>
                <w:color w:val="000000"/>
              </w:rPr>
            </w:pPr>
            <w:r>
              <w:rPr>
                <w:color w:val="000000"/>
              </w:rPr>
              <w:t>3.71E-02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DCB4816" w14:textId="77777777" w:rsidR="00D24589" w:rsidRDefault="00D24589">
            <w:pPr>
              <w:jc w:val="center"/>
              <w:rPr>
                <w:color w:val="000000"/>
              </w:rPr>
            </w:pPr>
            <w:r>
              <w:rPr>
                <w:color w:val="000000"/>
              </w:rPr>
              <w:t>c, Cal.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A994E21" w14:textId="77777777" w:rsidR="00D24589" w:rsidRDefault="00D24589">
            <w:pPr>
              <w:jc w:val="center"/>
              <w:rPr>
                <w:color w:val="000000"/>
              </w:rPr>
            </w:pPr>
            <w:r>
              <w:rPr>
                <w:color w:val="000000"/>
              </w:rPr>
              <w:t>3.81E-02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6573589" w14:textId="77777777" w:rsidR="00D24589" w:rsidRDefault="00D24589">
            <w:pPr>
              <w:jc w:val="center"/>
              <w:rPr>
                <w:color w:val="000000"/>
              </w:rPr>
            </w:pPr>
            <w:r>
              <w:rPr>
                <w:color w:val="000000"/>
              </w:rPr>
              <w:t>3.77E-02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AAD91AD" w14:textId="77777777" w:rsidR="00D24589" w:rsidRDefault="00D24589">
            <w:pPr>
              <w:jc w:val="center"/>
              <w:rPr>
                <w:color w:val="000000"/>
              </w:rPr>
            </w:pPr>
            <w:r>
              <w:rPr>
                <w:color w:val="000000"/>
              </w:rPr>
              <w:t>3.46E-02</w:t>
            </w:r>
          </w:p>
        </w:tc>
      </w:tr>
      <w:tr w:rsidR="00D24589" w14:paraId="30AACA3A"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D70EA12" w14:textId="77777777" w:rsidR="00D24589" w:rsidRDefault="00D24589">
            <w:pPr>
              <w:jc w:val="center"/>
              <w:rPr>
                <w:color w:val="000000"/>
              </w:rPr>
            </w:pPr>
            <w:r>
              <w:rPr>
                <w:color w:val="000000"/>
              </w:rPr>
              <w:t>Melting</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FD07AD2" w14:textId="77777777" w:rsidR="00D24589" w:rsidRDefault="00D24589">
            <w:pPr>
              <w:jc w:val="center"/>
              <w:rPr>
                <w:color w:val="000000"/>
              </w:rPr>
            </w:pPr>
            <w:r>
              <w:rPr>
                <w:color w:val="000000"/>
              </w:rPr>
              <w:t>Hyb. Sr. #2</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C04B2AA" w14:textId="77777777" w:rsidR="00D24589" w:rsidRDefault="00D24589">
            <w:pPr>
              <w:jc w:val="center"/>
              <w:rPr>
                <w:color w:val="000000"/>
              </w:rPr>
            </w:pPr>
            <w:r>
              <w:rPr>
                <w:color w:val="000000"/>
              </w:rPr>
              <w:t> </w:t>
            </w:r>
          </w:p>
        </w:tc>
        <w:tc>
          <w:tcPr>
            <w:tcW w:w="1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B46FE93" w14:textId="77777777" w:rsidR="00D24589" w:rsidRDefault="00D24589">
            <w:pPr>
              <w:jc w:val="center"/>
              <w:rPr>
                <w:color w:val="000000"/>
              </w:rPr>
            </w:pPr>
            <w:r>
              <w:rPr>
                <w:color w:val="000000"/>
              </w:rPr>
              <w:t>IBC</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DA10693" w14:textId="77777777" w:rsidR="00D24589" w:rsidRDefault="00D24589">
            <w:pPr>
              <w:jc w:val="center"/>
              <w:rPr>
                <w:color w:val="000000"/>
              </w:rPr>
            </w:pPr>
            <w:r>
              <w:rPr>
                <w:color w:val="000000"/>
              </w:rPr>
              <w:t>Hyb. Sr. #1</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585FF94" w14:textId="77777777" w:rsidR="00D24589" w:rsidRDefault="00D24589">
            <w:pPr>
              <w:jc w:val="center"/>
              <w:rPr>
                <w:color w:val="000000"/>
              </w:rPr>
            </w:pPr>
            <w:r>
              <w:rPr>
                <w:color w:val="000000"/>
              </w:rPr>
              <w:t>Hyb. Sr. #2</w:t>
            </w:r>
          </w:p>
        </w:tc>
      </w:tr>
      <w:tr w:rsidR="00D24589" w14:paraId="5A01CED3"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31CD77B" w14:textId="77777777" w:rsidR="00D24589" w:rsidRDefault="00D24589">
            <w:pPr>
              <w:jc w:val="center"/>
              <w:rPr>
                <w:color w:val="000000"/>
              </w:rPr>
            </w:pPr>
            <w:r>
              <w:rPr>
                <w:color w:val="000000"/>
              </w:rPr>
              <w:t>T (ºC)</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4835D4E" w14:textId="77777777" w:rsidR="00D24589" w:rsidRDefault="00D24589">
            <w:pPr>
              <w:jc w:val="center"/>
              <w:rPr>
                <w:color w:val="000000"/>
              </w:rPr>
            </w:pPr>
            <w:r>
              <w:rPr>
                <w:color w:val="000000"/>
              </w:rPr>
              <w:t>1350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E9F4816" w14:textId="77777777" w:rsidR="00D24589" w:rsidRDefault="00D24589">
            <w:pPr>
              <w:jc w:val="center"/>
              <w:rPr>
                <w:color w:val="000000"/>
              </w:rPr>
            </w:pPr>
            <w:r>
              <w:rPr>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F9D4A29" w14:textId="77777777" w:rsidR="00D24589" w:rsidRDefault="00D24589">
            <w:pPr>
              <w:jc w:val="center"/>
              <w:rPr>
                <w:color w:val="000000"/>
              </w:rPr>
            </w:pPr>
            <w:r>
              <w:rPr>
                <w:color w:val="000000"/>
              </w:rPr>
              <w:t>1300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032DC63" w14:textId="77777777" w:rsidR="00D24589" w:rsidRDefault="00D24589">
            <w:pPr>
              <w:jc w:val="center"/>
              <w:rPr>
                <w:color w:val="000000"/>
              </w:rPr>
            </w:pPr>
            <w:r>
              <w:rPr>
                <w:color w:val="000000"/>
              </w:rPr>
              <w:t>1350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A3DA578" w14:textId="77777777" w:rsidR="00D24589" w:rsidRDefault="00D24589">
            <w:pPr>
              <w:jc w:val="center"/>
              <w:rPr>
                <w:color w:val="000000"/>
              </w:rPr>
            </w:pPr>
            <w:r>
              <w:rPr>
                <w:color w:val="000000"/>
              </w:rPr>
              <w:t>1350</w:t>
            </w:r>
          </w:p>
        </w:tc>
      </w:tr>
      <w:tr w:rsidR="00D24589" w14:paraId="1DAD5CE7"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2685384" w14:textId="77777777" w:rsidR="00D24589" w:rsidRDefault="00D24589">
            <w:pPr>
              <w:jc w:val="center"/>
              <w:rPr>
                <w:color w:val="000000"/>
              </w:rPr>
            </w:pPr>
            <w:r>
              <w:rPr>
                <w:color w:val="000000"/>
              </w:rPr>
              <w:t>P (GPa)</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758A0C8" w14:textId="77777777" w:rsidR="00D24589" w:rsidRDefault="00D24589">
            <w:pPr>
              <w:jc w:val="center"/>
              <w:rPr>
                <w:color w:val="000000"/>
              </w:rPr>
            </w:pPr>
            <w:r>
              <w:rPr>
                <w:color w:val="000000"/>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E1CEA7B" w14:textId="77777777" w:rsidR="00D24589" w:rsidRDefault="00D24589">
            <w:pPr>
              <w:jc w:val="center"/>
              <w:rPr>
                <w:color w:val="000000"/>
              </w:rPr>
            </w:pPr>
            <w:r>
              <w:rPr>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65C31A6" w14:textId="77777777" w:rsidR="00D24589" w:rsidRDefault="00D24589">
            <w:pPr>
              <w:jc w:val="center"/>
              <w:rPr>
                <w:color w:val="000000"/>
              </w:rPr>
            </w:pPr>
            <w:r>
              <w:rPr>
                <w:color w:val="000000"/>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E9734A" w14:textId="77777777" w:rsidR="00D24589" w:rsidRDefault="00D24589">
            <w:pPr>
              <w:jc w:val="center"/>
              <w:rPr>
                <w:color w:val="000000"/>
              </w:rPr>
            </w:pPr>
            <w:r>
              <w:rPr>
                <w:color w:val="000000"/>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F8AA62" w14:textId="77777777" w:rsidR="00D24589" w:rsidRDefault="00D24589">
            <w:pPr>
              <w:jc w:val="center"/>
              <w:rPr>
                <w:color w:val="000000"/>
              </w:rPr>
            </w:pPr>
            <w:r>
              <w:rPr>
                <w:color w:val="000000"/>
              </w:rPr>
              <w:t>2</w:t>
            </w:r>
          </w:p>
        </w:tc>
      </w:tr>
      <w:tr w:rsidR="00D24589" w14:paraId="697FF009"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ED1C198" w14:textId="77777777" w:rsidR="00D24589" w:rsidRDefault="00D24589">
            <w:pPr>
              <w:jc w:val="center"/>
              <w:rPr>
                <w:color w:val="000000"/>
              </w:rPr>
            </w:pPr>
            <w:r>
              <w:rPr>
                <w:color w:val="000000"/>
              </w:rPr>
              <w:t>Fo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FFC961E"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817FC0D" w14:textId="77777777" w:rsidR="00D24589" w:rsidRDefault="00D24589">
            <w:pPr>
              <w:jc w:val="center"/>
              <w:rPr>
                <w:color w:val="000000"/>
              </w:rPr>
            </w:pPr>
            <w:r>
              <w:rPr>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2D6200"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7158DB0"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E9842A" w14:textId="77777777" w:rsidR="00D24589" w:rsidRDefault="00D24589">
            <w:pPr>
              <w:jc w:val="center"/>
              <w:rPr>
                <w:color w:val="000000"/>
              </w:rPr>
            </w:pPr>
            <w:r>
              <w:rPr>
                <w:color w:val="000000"/>
              </w:rPr>
              <w:t>-</w:t>
            </w:r>
          </w:p>
        </w:tc>
      </w:tr>
      <w:tr w:rsidR="00D24589" w14:paraId="6FC3A11D"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286C9F" w14:textId="77777777" w:rsidR="00D24589" w:rsidRDefault="00D24589">
            <w:pPr>
              <w:jc w:val="center"/>
              <w:rPr>
                <w:color w:val="000000"/>
              </w:rPr>
            </w:pPr>
            <w:r>
              <w:rPr>
                <w:color w:val="000000"/>
              </w:rPr>
              <w:t>Al</w:t>
            </w:r>
            <w:r>
              <w:rPr>
                <w:color w:val="000000"/>
                <w:vertAlign w:val="superscript"/>
              </w:rPr>
              <w:t>ol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5DC0A6B"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588920C" w14:textId="77777777" w:rsidR="00D24589" w:rsidRDefault="00D24589">
            <w:pPr>
              <w:jc w:val="center"/>
              <w:rPr>
                <w:color w:val="000000"/>
              </w:rPr>
            </w:pPr>
            <w:r>
              <w:rPr>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357B4C5"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6BEBE4F"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E97C740" w14:textId="77777777" w:rsidR="00D24589" w:rsidRDefault="00D24589">
            <w:pPr>
              <w:jc w:val="center"/>
              <w:rPr>
                <w:color w:val="000000"/>
              </w:rPr>
            </w:pPr>
            <w:r>
              <w:rPr>
                <w:color w:val="000000"/>
              </w:rPr>
              <w:t>-</w:t>
            </w:r>
          </w:p>
        </w:tc>
      </w:tr>
      <w:tr w:rsidR="00D24589" w14:paraId="294B0DDD"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F08BE96" w14:textId="77777777" w:rsidR="00D24589" w:rsidRDefault="00D24589">
            <w:pPr>
              <w:jc w:val="center"/>
              <w:rPr>
                <w:color w:val="000000"/>
              </w:rPr>
            </w:pPr>
            <w:r>
              <w:rPr>
                <w:i/>
                <w:iCs/>
                <w:color w:val="000000"/>
              </w:rPr>
              <w:t>X</w:t>
            </w:r>
            <w:r>
              <w:rPr>
                <w:color w:val="000000"/>
              </w:rPr>
              <w:t>Ti</w:t>
            </w:r>
            <w:r>
              <w:rPr>
                <w:color w:val="000000"/>
                <w:vertAlign w:val="superscript"/>
              </w:rPr>
              <w:t>melt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D844D71" w14:textId="77777777" w:rsidR="00D24589" w:rsidRDefault="00D24589">
            <w:pPr>
              <w:jc w:val="center"/>
              <w:rPr>
                <w:color w:val="000000"/>
              </w:rPr>
            </w:pPr>
            <w:r>
              <w:rPr>
                <w:color w:val="000000"/>
              </w:rPr>
              <w:t>1.0451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79BD6CB" w14:textId="77777777" w:rsidR="00D24589" w:rsidRDefault="00D24589">
            <w:pPr>
              <w:jc w:val="center"/>
              <w:rPr>
                <w:color w:val="000000"/>
              </w:rPr>
            </w:pPr>
            <w:r>
              <w:rPr>
                <w:color w:val="000000"/>
              </w:rPr>
              <w:t>k</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08C156B"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91E8462"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C98DA1" w14:textId="77777777" w:rsidR="00D24589" w:rsidRDefault="00D24589">
            <w:pPr>
              <w:jc w:val="center"/>
              <w:rPr>
                <w:color w:val="000000"/>
              </w:rPr>
            </w:pPr>
            <w:r>
              <w:rPr>
                <w:color w:val="000000"/>
              </w:rPr>
              <w:t>-</w:t>
            </w:r>
          </w:p>
        </w:tc>
      </w:tr>
      <w:tr w:rsidR="00D24589" w14:paraId="755491BE"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F5FAFDA" w14:textId="77777777" w:rsidR="00D24589" w:rsidRDefault="00D24589">
            <w:pPr>
              <w:jc w:val="center"/>
              <w:rPr>
                <w:color w:val="000000"/>
              </w:rPr>
            </w:pPr>
            <w:r>
              <w:rPr>
                <w:color w:val="000000"/>
              </w:rPr>
              <w:t>Al</w:t>
            </w:r>
            <w:r>
              <w:rPr>
                <w:color w:val="000000"/>
                <w:vertAlign w:val="superscript"/>
              </w:rPr>
              <w:t>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4EA0C7F" w14:textId="77777777" w:rsidR="00D24589" w:rsidRDefault="00D24589">
            <w:pPr>
              <w:jc w:val="center"/>
              <w:rPr>
                <w:color w:val="000000"/>
              </w:rPr>
            </w:pPr>
            <w:r>
              <w:rPr>
                <w:color w:val="000000"/>
              </w:rPr>
              <w:t>0.0850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EE36DC" w14:textId="77777777" w:rsidR="00D24589" w:rsidRDefault="00D24589">
            <w:pPr>
              <w:jc w:val="center"/>
              <w:rPr>
                <w:color w:val="000000"/>
              </w:rPr>
            </w:pPr>
            <w:r>
              <w:rPr>
                <w:color w:val="000000"/>
              </w:rPr>
              <w:t>k</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BB5DC8" w14:textId="77777777" w:rsidR="00D24589" w:rsidRDefault="00D24589">
            <w:pPr>
              <w:jc w:val="center"/>
              <w:rPr>
                <w:color w:val="000000"/>
              </w:rPr>
            </w:pPr>
            <w:r>
              <w:rPr>
                <w:color w:val="000000"/>
              </w:rPr>
              <w:t>0.0598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097C8D" w14:textId="77777777" w:rsidR="00D24589" w:rsidRDefault="00D24589">
            <w:pPr>
              <w:jc w:val="center"/>
              <w:rPr>
                <w:color w:val="000000"/>
              </w:rPr>
            </w:pPr>
            <w:r>
              <w:rPr>
                <w:color w:val="000000"/>
              </w:rPr>
              <w:t>0.1199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3FBFE39" w14:textId="77777777" w:rsidR="00D24589" w:rsidRDefault="00D24589">
            <w:pPr>
              <w:jc w:val="center"/>
              <w:rPr>
                <w:color w:val="000000"/>
              </w:rPr>
            </w:pPr>
            <w:r>
              <w:rPr>
                <w:color w:val="000000"/>
              </w:rPr>
              <w:t>0.1010</w:t>
            </w:r>
          </w:p>
        </w:tc>
      </w:tr>
      <w:tr w:rsidR="00D24589" w14:paraId="07A50C41"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8681957" w14:textId="77777777" w:rsidR="00D24589" w:rsidRDefault="00D24589">
            <w:pPr>
              <w:jc w:val="center"/>
              <w:rPr>
                <w:color w:val="000000"/>
              </w:rPr>
            </w:pPr>
            <w:r>
              <w:rPr>
                <w:color w:val="000000"/>
              </w:rPr>
              <w:t>Al</w:t>
            </w:r>
            <w:r>
              <w:rPr>
                <w:color w:val="000000"/>
                <w:vertAlign w:val="superscript"/>
              </w:rPr>
              <w:t>M1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CA0E70F" w14:textId="77777777" w:rsidR="00D24589" w:rsidRDefault="00D24589">
            <w:pPr>
              <w:jc w:val="center"/>
              <w:rPr>
                <w:color w:val="000000"/>
              </w:rPr>
            </w:pPr>
            <w:r>
              <w:rPr>
                <w:color w:val="000000"/>
              </w:rPr>
              <w:t>0.0264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3CD1D17" w14:textId="77777777" w:rsidR="00D24589" w:rsidRDefault="00D24589">
            <w:pPr>
              <w:jc w:val="center"/>
              <w:rPr>
                <w:color w:val="000000"/>
              </w:rPr>
            </w:pPr>
            <w:r>
              <w:rPr>
                <w:color w:val="000000"/>
              </w:rPr>
              <w:t>k</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EE1D1C0" w14:textId="77777777" w:rsidR="00D24589" w:rsidRDefault="00D24589">
            <w:pPr>
              <w:jc w:val="center"/>
              <w:rPr>
                <w:color w:val="000000"/>
              </w:rPr>
            </w:pPr>
            <w:r>
              <w:rPr>
                <w:color w:val="000000"/>
              </w:rPr>
              <w:t>0.1135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83876CA" w14:textId="77777777" w:rsidR="00D24589" w:rsidRDefault="00D24589">
            <w:pPr>
              <w:jc w:val="center"/>
              <w:rPr>
                <w:color w:val="000000"/>
              </w:rPr>
            </w:pPr>
            <w:r>
              <w:rPr>
                <w:color w:val="000000"/>
              </w:rPr>
              <w:t>0.0236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931D428" w14:textId="77777777" w:rsidR="00D24589" w:rsidRDefault="00D24589">
            <w:pPr>
              <w:jc w:val="center"/>
              <w:rPr>
                <w:color w:val="000000"/>
              </w:rPr>
            </w:pPr>
            <w:r>
              <w:rPr>
                <w:color w:val="000000"/>
              </w:rPr>
              <w:t>0.0151</w:t>
            </w:r>
          </w:p>
        </w:tc>
      </w:tr>
      <w:tr w:rsidR="00D24589" w14:paraId="1341B460"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1D3C7B1" w14:textId="77777777" w:rsidR="00D24589" w:rsidRDefault="00D24589">
            <w:pPr>
              <w:jc w:val="center"/>
              <w:rPr>
                <w:color w:val="000000"/>
              </w:rPr>
            </w:pPr>
            <w:r>
              <w:rPr>
                <w:color w:val="000000"/>
              </w:rPr>
              <w:t>Ca</w:t>
            </w:r>
            <w:r>
              <w:rPr>
                <w:color w:val="000000"/>
                <w:vertAlign w:val="superscript"/>
              </w:rPr>
              <w:t>M2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4A0C657" w14:textId="77777777" w:rsidR="00D24589" w:rsidRDefault="00D24589">
            <w:pPr>
              <w:jc w:val="center"/>
              <w:rPr>
                <w:color w:val="000000"/>
              </w:rPr>
            </w:pPr>
            <w:r>
              <w:rPr>
                <w:color w:val="000000"/>
              </w:rPr>
              <w:t>0.0982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6E5C6CD" w14:textId="77777777" w:rsidR="00D24589" w:rsidRDefault="00D24589">
            <w:pPr>
              <w:jc w:val="center"/>
              <w:rPr>
                <w:color w:val="000000"/>
              </w:rPr>
            </w:pPr>
            <w:r>
              <w:rPr>
                <w:color w:val="000000"/>
              </w:rPr>
              <w:t>k</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808A673" w14:textId="77777777" w:rsidR="00D24589" w:rsidRDefault="00D24589">
            <w:pPr>
              <w:jc w:val="center"/>
              <w:rPr>
                <w:color w:val="000000"/>
              </w:rPr>
            </w:pPr>
            <w:r>
              <w:rPr>
                <w:color w:val="000000"/>
              </w:rPr>
              <w:t>0.6571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EE66CE9" w14:textId="77777777" w:rsidR="00D24589" w:rsidRDefault="00D24589">
            <w:pPr>
              <w:jc w:val="center"/>
              <w:rPr>
                <w:color w:val="000000"/>
              </w:rPr>
            </w:pPr>
            <w:r>
              <w:rPr>
                <w:color w:val="000000"/>
              </w:rPr>
              <w:t>0.5559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8ECE608" w14:textId="77777777" w:rsidR="00D24589" w:rsidRDefault="00D24589">
            <w:pPr>
              <w:jc w:val="center"/>
              <w:rPr>
                <w:color w:val="000000"/>
              </w:rPr>
            </w:pPr>
            <w:r>
              <w:rPr>
                <w:color w:val="000000"/>
              </w:rPr>
              <w:t>0.5339</w:t>
            </w:r>
          </w:p>
        </w:tc>
      </w:tr>
      <w:tr w:rsidR="00D24589" w14:paraId="6A83D3C6"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AB176D4" w14:textId="77777777" w:rsidR="00D24589" w:rsidRDefault="00D24589">
            <w:pPr>
              <w:jc w:val="center"/>
              <w:rPr>
                <w:color w:val="000000"/>
              </w:rPr>
            </w:pPr>
            <w:r>
              <w:rPr>
                <w:color w:val="000000"/>
              </w:rPr>
              <w:t>Mg</w:t>
            </w:r>
            <w:r>
              <w:rPr>
                <w:color w:val="000000"/>
                <w:vertAlign w:val="superscript"/>
              </w:rPr>
              <w:t>M2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5288672" w14:textId="77777777" w:rsidR="00D24589" w:rsidRDefault="00D24589">
            <w:pPr>
              <w:jc w:val="center"/>
              <w:rPr>
                <w:color w:val="000000"/>
              </w:rPr>
            </w:pPr>
            <w:r>
              <w:rPr>
                <w:color w:val="000000"/>
              </w:rPr>
              <w:t>0.6981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EBA9EAD" w14:textId="77777777" w:rsidR="00D24589" w:rsidRDefault="00D24589">
            <w:pPr>
              <w:jc w:val="center"/>
              <w:rPr>
                <w:color w:val="000000"/>
              </w:rPr>
            </w:pPr>
            <w:r>
              <w:rPr>
                <w:color w:val="000000"/>
              </w:rPr>
              <w:t>k</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86635D4"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42BDDD5"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1EA09B8" w14:textId="77777777" w:rsidR="00D24589" w:rsidRDefault="00D24589">
            <w:pPr>
              <w:jc w:val="center"/>
              <w:rPr>
                <w:color w:val="000000"/>
              </w:rPr>
            </w:pPr>
            <w:r>
              <w:rPr>
                <w:color w:val="000000"/>
              </w:rPr>
              <w:t>-</w:t>
            </w:r>
          </w:p>
        </w:tc>
      </w:tr>
      <w:tr w:rsidR="00D24589" w14:paraId="01EF19C7"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E603D67" w14:textId="77777777" w:rsidR="00D24589" w:rsidRDefault="00D24589">
            <w:pPr>
              <w:jc w:val="center"/>
              <w:rPr>
                <w:color w:val="000000"/>
              </w:rPr>
            </w:pPr>
            <w:r>
              <w:rPr>
                <w:color w:val="000000"/>
              </w:rPr>
              <w:t>Mg</w:t>
            </w:r>
            <w:r>
              <w:rPr>
                <w:color w:val="000000"/>
                <w:vertAlign w:val="superscript"/>
              </w:rPr>
              <w:t>M1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D207688" w14:textId="77777777" w:rsidR="00D24589" w:rsidRDefault="00D24589">
            <w:pPr>
              <w:jc w:val="center"/>
              <w:rPr>
                <w:color w:val="000000"/>
              </w:rPr>
            </w:pPr>
            <w:r>
              <w:rPr>
                <w:color w:val="000000"/>
              </w:rPr>
              <w:t>0.8796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16FF847" w14:textId="77777777" w:rsidR="00D24589" w:rsidRDefault="00D24589">
            <w:pPr>
              <w:jc w:val="center"/>
              <w:rPr>
                <w:color w:val="000000"/>
              </w:rPr>
            </w:pPr>
            <w:r>
              <w:rPr>
                <w:color w:val="000000"/>
              </w:rPr>
              <w:t>k</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F949076"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176E273"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8DA189E" w14:textId="77777777" w:rsidR="00D24589" w:rsidRDefault="00D24589">
            <w:pPr>
              <w:jc w:val="center"/>
              <w:rPr>
                <w:color w:val="000000"/>
              </w:rPr>
            </w:pPr>
            <w:r>
              <w:rPr>
                <w:color w:val="000000"/>
              </w:rPr>
              <w:t>-</w:t>
            </w:r>
          </w:p>
        </w:tc>
      </w:tr>
      <w:tr w:rsidR="00D24589" w14:paraId="16250958"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CBC997F" w14:textId="77777777" w:rsidR="00D24589" w:rsidRDefault="00D24589">
            <w:pPr>
              <w:jc w:val="center"/>
              <w:rPr>
                <w:color w:val="000000"/>
              </w:rPr>
            </w:pPr>
            <w:r>
              <w:rPr>
                <w:color w:val="000000"/>
              </w:rPr>
              <w:t>Fe</w:t>
            </w:r>
            <w:r>
              <w:rPr>
                <w:color w:val="000000"/>
                <w:vertAlign w:val="superscript"/>
              </w:rPr>
              <w:t>M1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A596B70" w14:textId="77777777" w:rsidR="00D24589" w:rsidRDefault="00D24589">
            <w:pPr>
              <w:jc w:val="center"/>
              <w:rPr>
                <w:color w:val="000000"/>
              </w:rPr>
            </w:pPr>
            <w:r>
              <w:rPr>
                <w:color w:val="000000"/>
              </w:rPr>
              <w:t>0.0394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37B9169" w14:textId="77777777" w:rsidR="00D24589" w:rsidRDefault="00D24589">
            <w:pPr>
              <w:jc w:val="center"/>
              <w:rPr>
                <w:color w:val="000000"/>
              </w:rPr>
            </w:pPr>
            <w:r>
              <w:rPr>
                <w:color w:val="000000"/>
              </w:rPr>
              <w:t>k</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6864E5F"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9797B90"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86101D" w14:textId="77777777" w:rsidR="00D24589" w:rsidRDefault="00D24589">
            <w:pPr>
              <w:jc w:val="center"/>
              <w:rPr>
                <w:color w:val="000000"/>
              </w:rPr>
            </w:pPr>
            <w:r>
              <w:rPr>
                <w:color w:val="000000"/>
              </w:rPr>
              <w:t>-</w:t>
            </w:r>
          </w:p>
        </w:tc>
      </w:tr>
      <w:tr w:rsidR="00D24589" w14:paraId="6B69B0FF"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5E44285" w14:textId="77777777" w:rsidR="00D24589" w:rsidRDefault="00D24589">
            <w:pPr>
              <w:jc w:val="center"/>
              <w:rPr>
                <w:color w:val="000000"/>
              </w:rPr>
            </w:pPr>
            <w:r>
              <w:rPr>
                <w:color w:val="000000"/>
              </w:rPr>
              <w:t>Ca</w:t>
            </w:r>
            <w:r>
              <w:rPr>
                <w:color w:val="000000"/>
                <w:vertAlign w:val="superscript"/>
              </w:rPr>
              <w:t>X</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0D8C215"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69A6A55" w14:textId="77777777" w:rsidR="00D24589" w:rsidRDefault="00D24589">
            <w:pPr>
              <w:jc w:val="center"/>
              <w:rPr>
                <w:color w:val="000000"/>
              </w:rPr>
            </w:pPr>
            <w:r>
              <w:rPr>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CEE1C63"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5C3F62D"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9C8120F" w14:textId="77777777" w:rsidR="00D24589" w:rsidRDefault="00D24589">
            <w:pPr>
              <w:jc w:val="center"/>
              <w:rPr>
                <w:color w:val="000000"/>
              </w:rPr>
            </w:pPr>
            <w:r>
              <w:rPr>
                <w:color w:val="000000"/>
              </w:rPr>
              <w:t>-</w:t>
            </w:r>
          </w:p>
        </w:tc>
      </w:tr>
      <w:tr w:rsidR="00D24589" w14:paraId="329F0821"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0B827E3" w14:textId="77777777" w:rsidR="00D24589" w:rsidRDefault="00D24589">
            <w:pPr>
              <w:jc w:val="center"/>
              <w:rPr>
                <w:color w:val="000000"/>
              </w:rPr>
            </w:pPr>
            <w:r>
              <w:rPr>
                <w:color w:val="000000"/>
              </w:rPr>
              <w:t>D</w:t>
            </w:r>
            <w:r>
              <w:rPr>
                <w:color w:val="000000"/>
                <w:vertAlign w:val="subscript"/>
              </w:rPr>
              <w:t>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3DF160B"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05D7105" w14:textId="77777777" w:rsidR="00D24589" w:rsidRDefault="00D24589">
            <w:pPr>
              <w:jc w:val="center"/>
              <w:rPr>
                <w:color w:val="000000"/>
              </w:rPr>
            </w:pPr>
            <w:r>
              <w:rPr>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BC5C287"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C49C97"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DB84E42" w14:textId="77777777" w:rsidR="00D24589" w:rsidRDefault="00D24589">
            <w:pPr>
              <w:jc w:val="center"/>
              <w:rPr>
                <w:color w:val="000000"/>
              </w:rPr>
            </w:pPr>
            <w:r>
              <w:rPr>
                <w:color w:val="000000"/>
              </w:rPr>
              <w:t>-</w:t>
            </w:r>
          </w:p>
        </w:tc>
      </w:tr>
      <w:tr w:rsidR="00D24589" w14:paraId="3C0CEC9F"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A079EC6" w14:textId="77777777" w:rsidR="00D24589" w:rsidRDefault="00D24589">
            <w:pPr>
              <w:jc w:val="center"/>
              <w:rPr>
                <w:color w:val="000000"/>
              </w:rPr>
            </w:pPr>
            <w:r>
              <w:rPr>
                <w:color w:val="000000"/>
              </w:rPr>
              <w:t>r</w:t>
            </w:r>
            <w:r>
              <w:rPr>
                <w:color w:val="000000"/>
                <w:vertAlign w:val="subscript"/>
              </w:rPr>
              <w:t>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62E207"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86070D" w14:textId="77777777" w:rsidR="00D24589" w:rsidRDefault="00D24589">
            <w:pPr>
              <w:jc w:val="center"/>
              <w:rPr>
                <w:color w:val="000000"/>
              </w:rPr>
            </w:pPr>
            <w:r>
              <w:rPr>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5C955C3"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7EC0416"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65AF90" w14:textId="77777777" w:rsidR="00D24589" w:rsidRDefault="00D24589">
            <w:pPr>
              <w:jc w:val="center"/>
              <w:rPr>
                <w:color w:val="000000"/>
              </w:rPr>
            </w:pPr>
            <w:r>
              <w:rPr>
                <w:color w:val="000000"/>
              </w:rPr>
              <w:t>-</w:t>
            </w:r>
          </w:p>
        </w:tc>
      </w:tr>
      <w:tr w:rsidR="00D24589" w14:paraId="345BA391"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6DE6A46" w14:textId="77777777" w:rsidR="00D24589" w:rsidRDefault="00D24589">
            <w:pPr>
              <w:jc w:val="center"/>
              <w:rPr>
                <w:color w:val="000000"/>
              </w:rPr>
            </w:pPr>
            <w:r>
              <w:rPr>
                <w:color w:val="000000"/>
              </w:rPr>
              <w:t>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D9FE974"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ACBE1CD" w14:textId="77777777" w:rsidR="00D24589" w:rsidRDefault="00D24589">
            <w:pPr>
              <w:jc w:val="center"/>
              <w:rPr>
                <w:color w:val="000000"/>
              </w:rPr>
            </w:pPr>
            <w:r>
              <w:rPr>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AA26D6F"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4D0DD2"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B180A9B" w14:textId="77777777" w:rsidR="00D24589" w:rsidRDefault="00D24589">
            <w:pPr>
              <w:jc w:val="center"/>
              <w:rPr>
                <w:color w:val="000000"/>
              </w:rPr>
            </w:pPr>
            <w:r>
              <w:rPr>
                <w:color w:val="000000"/>
              </w:rPr>
              <w:t>-</w:t>
            </w:r>
          </w:p>
        </w:tc>
      </w:tr>
      <w:tr w:rsidR="00D24589" w14:paraId="647C5398"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A9EC18D" w14:textId="77777777" w:rsidR="00D24589" w:rsidRDefault="00D24589">
            <w:pPr>
              <w:jc w:val="center"/>
              <w:rPr>
                <w:color w:val="000000"/>
              </w:rPr>
            </w:pPr>
            <w:r>
              <w:rPr>
                <w:color w:val="000000"/>
              </w:rPr>
              <w:t>D(Ti)</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77409D2"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A9C80F" w14:textId="77777777" w:rsidR="00D24589" w:rsidRDefault="00D24589">
            <w:pPr>
              <w:jc w:val="center"/>
              <w:rPr>
                <w:color w:val="000000"/>
              </w:rPr>
            </w:pPr>
            <w:r>
              <w:rPr>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16CAA36"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0CAAD64" w14:textId="77777777" w:rsidR="00D24589" w:rsidRDefault="00D24589">
            <w:pPr>
              <w:jc w:val="center"/>
              <w:rPr>
                <w:color w:val="000000"/>
              </w:rPr>
            </w:pP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A6A8BA6" w14:textId="77777777" w:rsidR="00D24589" w:rsidRDefault="00D24589">
            <w:pPr>
              <w:jc w:val="center"/>
              <w:rPr>
                <w:color w:val="000000"/>
              </w:rPr>
            </w:pPr>
            <w:r>
              <w:rPr>
                <w:color w:val="000000"/>
              </w:rPr>
              <w:t>-</w:t>
            </w:r>
          </w:p>
        </w:tc>
      </w:tr>
      <w:tr w:rsidR="00D24589" w14:paraId="785F31F3" w14:textId="77777777" w:rsidTr="00D24589">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9FD001" w14:textId="77777777" w:rsidR="00D24589" w:rsidRDefault="00D24589">
            <w:pPr>
              <w:jc w:val="center"/>
              <w:rPr>
                <w:color w:val="000000"/>
              </w:rPr>
            </w:pPr>
            <w:r>
              <w:rPr>
                <w:color w:val="000000"/>
              </w:rPr>
              <w:t>Log(ƒO</w:t>
            </w:r>
            <w:r>
              <w:rPr>
                <w:color w:val="000000"/>
                <w:vertAlign w:val="subscript"/>
              </w:rPr>
              <w:t>2</w:t>
            </w:r>
            <w:r>
              <w:rPr>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FB6B69" w14:textId="77777777" w:rsidR="00D24589" w:rsidRDefault="00D24589">
            <w:pPr>
              <w:jc w:val="center"/>
              <w:rPr>
                <w:color w:val="000000"/>
              </w:rPr>
            </w:pPr>
            <w:r>
              <w:rPr>
                <w:color w:val="000000"/>
              </w:rPr>
              <w:t>-10.22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1548C11" w14:textId="77777777" w:rsidR="00D24589" w:rsidRDefault="00D24589">
            <w:pPr>
              <w:jc w:val="center"/>
              <w:rPr>
                <w:color w:val="000000"/>
              </w:rPr>
            </w:pPr>
            <w:r>
              <w:rPr>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38E1162" w14:textId="77777777" w:rsidR="00D24589" w:rsidRDefault="00D24589">
            <w:pPr>
              <w:jc w:val="center"/>
              <w:rPr>
                <w:color w:val="000000"/>
              </w:rPr>
            </w:pPr>
            <w:r>
              <w:rPr>
                <w:color w:val="000000"/>
              </w:rPr>
              <w:t>-10.75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C3DD90F" w14:textId="77777777" w:rsidR="00D24589" w:rsidRDefault="00D24589">
            <w:pPr>
              <w:jc w:val="center"/>
              <w:rPr>
                <w:color w:val="000000"/>
              </w:rPr>
            </w:pPr>
            <w:r>
              <w:rPr>
                <w:color w:val="000000"/>
              </w:rPr>
              <w:t>-10.22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BCE30C" w14:textId="77777777" w:rsidR="00D24589" w:rsidRDefault="00D24589">
            <w:pPr>
              <w:jc w:val="center"/>
              <w:rPr>
                <w:color w:val="000000"/>
              </w:rPr>
            </w:pPr>
            <w:r>
              <w:rPr>
                <w:color w:val="000000"/>
              </w:rPr>
              <w:t>-10.22</w:t>
            </w:r>
          </w:p>
        </w:tc>
      </w:tr>
      <w:tr w:rsidR="00D24589" w14:paraId="5F3D8590" w14:textId="77777777" w:rsidTr="00D24589">
        <w:trPr>
          <w:trHeight w:val="620"/>
        </w:trPr>
        <w:tc>
          <w:tcPr>
            <w:tcW w:w="12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70C3B5F" w14:textId="77777777" w:rsidR="00D24589" w:rsidRDefault="00D24589">
            <w:pPr>
              <w:jc w:val="center"/>
              <w:rPr>
                <w:color w:val="000000"/>
              </w:rPr>
            </w:pPr>
            <w:r>
              <w:rPr>
                <w:color w:val="000000"/>
              </w:rPr>
              <w:t>Sample/ Experiment</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B4EB4B5" w14:textId="77777777" w:rsidR="00D24589" w:rsidRDefault="00D24589">
            <w:pPr>
              <w:jc w:val="center"/>
              <w:rPr>
                <w:color w:val="000000"/>
              </w:rPr>
            </w:pPr>
            <w:r>
              <w:rPr>
                <w:color w:val="000000"/>
              </w:rPr>
              <w:t>V1007</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5774DB6" w14:textId="77777777" w:rsidR="00D24589" w:rsidRDefault="00D24589">
            <w:pPr>
              <w:jc w:val="center"/>
              <w:rPr>
                <w:color w:val="000000"/>
              </w:rPr>
            </w:pPr>
            <w:r>
              <w:rPr>
                <w:color w:val="000000"/>
              </w:rPr>
              <w:t> </w:t>
            </w:r>
          </w:p>
        </w:tc>
        <w:tc>
          <w:tcPr>
            <w:tcW w:w="1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CECFD4F" w14:textId="77777777" w:rsidR="00D24589" w:rsidRDefault="00D24589">
            <w:pPr>
              <w:jc w:val="center"/>
              <w:rPr>
                <w:color w:val="000000"/>
              </w:rPr>
            </w:pPr>
            <w:r>
              <w:rPr>
                <w:color w:val="000000"/>
              </w:rPr>
              <w:t>LPUM/0.4-1.5 gl HA02-0.8</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ABE9066" w14:textId="77777777" w:rsidR="00D24589" w:rsidRDefault="00D24589">
            <w:pPr>
              <w:jc w:val="center"/>
              <w:rPr>
                <w:color w:val="000000"/>
              </w:rPr>
            </w:pPr>
            <w:r>
              <w:rPr>
                <w:color w:val="000000"/>
              </w:rPr>
              <w:t>V984</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BB66495" w14:textId="77777777" w:rsidR="00D24589" w:rsidRDefault="00D24589">
            <w:pPr>
              <w:jc w:val="center"/>
              <w:rPr>
                <w:color w:val="000000"/>
              </w:rPr>
            </w:pPr>
            <w:r>
              <w:rPr>
                <w:color w:val="000000"/>
              </w:rPr>
              <w:t>V1007</w:t>
            </w:r>
          </w:p>
        </w:tc>
      </w:tr>
    </w:tbl>
    <w:p w14:paraId="24BE4DF4" w14:textId="5639D28F" w:rsidR="00D24589" w:rsidRDefault="00D24589">
      <w:r>
        <w:t xml:space="preserve"> </w:t>
      </w:r>
      <w:r>
        <w:br w:type="page"/>
      </w:r>
    </w:p>
    <w:p w14:paraId="08E14308" w14:textId="21F006A5" w:rsidR="00D24589" w:rsidRDefault="00D24589">
      <w:r w:rsidRPr="00D24589">
        <w:rPr>
          <w:b/>
          <w:bCs/>
        </w:rPr>
        <w:lastRenderedPageBreak/>
        <w:t>Table 2.6.</w:t>
      </w:r>
      <w:r>
        <w:t xml:space="preserve"> Continued</w:t>
      </w:r>
      <w:r w:rsidR="00C40415">
        <w:t>.</w:t>
      </w:r>
    </w:p>
    <w:tbl>
      <w:tblPr>
        <w:tblW w:w="8140" w:type="dxa"/>
        <w:tblLook w:val="04A0" w:firstRow="1" w:lastRow="0" w:firstColumn="1" w:lastColumn="0" w:noHBand="0" w:noVBand="1"/>
      </w:tblPr>
      <w:tblGrid>
        <w:gridCol w:w="1336"/>
        <w:gridCol w:w="880"/>
        <w:gridCol w:w="1420"/>
        <w:gridCol w:w="880"/>
        <w:gridCol w:w="1420"/>
        <w:gridCol w:w="1420"/>
        <w:gridCol w:w="880"/>
      </w:tblGrid>
      <w:tr w:rsidR="00D24589" w14:paraId="15F44F24" w14:textId="77777777" w:rsidTr="00D24589">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518A12" w14:textId="77777777" w:rsidR="00D24589" w:rsidRDefault="00D24589">
            <w:pPr>
              <w:jc w:val="center"/>
              <w:rPr>
                <w:color w:val="000000"/>
              </w:rPr>
            </w:pPr>
            <w:r>
              <w:rPr>
                <w:color w:val="000000"/>
              </w:rPr>
              <w:t>Element</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4A2AC561" w14:textId="77777777" w:rsidR="00D24589" w:rsidRDefault="00D24589">
            <w:pPr>
              <w:jc w:val="center"/>
              <w:rPr>
                <w:color w:val="000000"/>
              </w:rPr>
            </w:pPr>
            <w:r>
              <w:rPr>
                <w:color w:val="000000"/>
              </w:rPr>
              <w:t>ref.</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14:paraId="65E30935" w14:textId="33378258" w:rsidR="00D24589" w:rsidRDefault="00D24589">
            <w:pPr>
              <w:jc w:val="center"/>
              <w:rPr>
                <w:color w:val="000000"/>
              </w:rPr>
            </w:pPr>
            <w:r>
              <w:rPr>
                <w:color w:val="000000"/>
              </w:rPr>
              <w:t>Pig (</w:t>
            </w:r>
            <w:r w:rsidR="00067EFB">
              <w:rPr>
                <w:color w:val="000000"/>
              </w:rPr>
              <w:t>D</w:t>
            </w:r>
            <w:r>
              <w:rPr>
                <w:color w:val="000000"/>
              </w:rPr>
              <w:t>)</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51E51078" w14:textId="77777777" w:rsidR="00D24589" w:rsidRDefault="00D24589">
            <w:pPr>
              <w:jc w:val="center"/>
              <w:rPr>
                <w:color w:val="000000"/>
              </w:rPr>
            </w:pPr>
            <w:r>
              <w:rPr>
                <w:color w:val="000000"/>
              </w:rPr>
              <w:t>ref.</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5BB599BE" w14:textId="7DCE8D2A" w:rsidR="00D24589" w:rsidRDefault="00D24589">
            <w:pPr>
              <w:jc w:val="center"/>
              <w:rPr>
                <w:color w:val="000000"/>
              </w:rPr>
            </w:pPr>
            <w:r>
              <w:rPr>
                <w:color w:val="000000"/>
              </w:rPr>
              <w:t>Grnt (</w:t>
            </w:r>
            <w:r w:rsidR="00067EFB">
              <w:rPr>
                <w:color w:val="000000"/>
              </w:rPr>
              <w:t>D</w:t>
            </w:r>
            <w:r>
              <w:rPr>
                <w:color w:val="000000"/>
              </w:rPr>
              <w:t>)</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60D7F92B" w14:textId="467175A6" w:rsidR="00D24589" w:rsidRDefault="00D24589">
            <w:pPr>
              <w:jc w:val="center"/>
              <w:rPr>
                <w:color w:val="000000"/>
              </w:rPr>
            </w:pPr>
            <w:r>
              <w:rPr>
                <w:color w:val="000000"/>
              </w:rPr>
              <w:t>Grnt (</w:t>
            </w:r>
            <w:r w:rsidR="00067EFB">
              <w:rPr>
                <w:color w:val="000000"/>
              </w:rPr>
              <w:t>D</w:t>
            </w:r>
            <w:r>
              <w:rPr>
                <w:color w:val="000000"/>
              </w:rPr>
              <w:t>)</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587EDD15" w14:textId="77777777" w:rsidR="00D24589" w:rsidRDefault="00D24589">
            <w:pPr>
              <w:jc w:val="center"/>
              <w:rPr>
                <w:color w:val="000000"/>
              </w:rPr>
            </w:pPr>
            <w:r>
              <w:rPr>
                <w:color w:val="000000"/>
              </w:rPr>
              <w:t>ref.</w:t>
            </w:r>
          </w:p>
        </w:tc>
      </w:tr>
      <w:tr w:rsidR="00D24589" w14:paraId="0BDB3BA5"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88CC9C1" w14:textId="77777777" w:rsidR="00D24589" w:rsidRDefault="00D24589">
            <w:pPr>
              <w:jc w:val="center"/>
              <w:rPr>
                <w:color w:val="000000"/>
              </w:rPr>
            </w:pPr>
            <w:r>
              <w:rPr>
                <w:color w:val="000000"/>
              </w:rPr>
              <w:t>La</w:t>
            </w:r>
          </w:p>
        </w:tc>
        <w:tc>
          <w:tcPr>
            <w:tcW w:w="880" w:type="dxa"/>
            <w:tcBorders>
              <w:top w:val="nil"/>
              <w:left w:val="nil"/>
              <w:bottom w:val="single" w:sz="4" w:space="0" w:color="auto"/>
              <w:right w:val="single" w:sz="4" w:space="0" w:color="auto"/>
            </w:tcBorders>
            <w:shd w:val="clear" w:color="auto" w:fill="auto"/>
            <w:noWrap/>
            <w:vAlign w:val="center"/>
            <w:hideMark/>
          </w:tcPr>
          <w:p w14:paraId="2C24DB5D"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1D0047FE" w14:textId="77777777" w:rsidR="00D24589" w:rsidRDefault="00D24589">
            <w:pPr>
              <w:jc w:val="center"/>
              <w:rPr>
                <w:color w:val="000000"/>
              </w:rPr>
            </w:pPr>
            <w:r>
              <w:rPr>
                <w:color w:val="000000"/>
              </w:rPr>
              <w:t>5.68E-03</w:t>
            </w:r>
          </w:p>
        </w:tc>
        <w:tc>
          <w:tcPr>
            <w:tcW w:w="880" w:type="dxa"/>
            <w:tcBorders>
              <w:top w:val="nil"/>
              <w:left w:val="nil"/>
              <w:bottom w:val="single" w:sz="4" w:space="0" w:color="auto"/>
              <w:right w:val="single" w:sz="4" w:space="0" w:color="auto"/>
            </w:tcBorders>
            <w:shd w:val="clear" w:color="auto" w:fill="auto"/>
            <w:noWrap/>
            <w:vAlign w:val="center"/>
            <w:hideMark/>
          </w:tcPr>
          <w:p w14:paraId="2ED6A082"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7AD86EC5" w14:textId="77777777" w:rsidR="00D24589" w:rsidRDefault="00D24589">
            <w:pPr>
              <w:jc w:val="center"/>
              <w:rPr>
                <w:color w:val="000000"/>
              </w:rPr>
            </w:pPr>
            <w:r>
              <w:rPr>
                <w:color w:val="000000"/>
              </w:rPr>
              <w:t>3.41E-03</w:t>
            </w:r>
          </w:p>
        </w:tc>
        <w:tc>
          <w:tcPr>
            <w:tcW w:w="1420" w:type="dxa"/>
            <w:tcBorders>
              <w:top w:val="nil"/>
              <w:left w:val="nil"/>
              <w:bottom w:val="single" w:sz="4" w:space="0" w:color="auto"/>
              <w:right w:val="single" w:sz="4" w:space="0" w:color="auto"/>
            </w:tcBorders>
            <w:shd w:val="clear" w:color="auto" w:fill="auto"/>
            <w:noWrap/>
            <w:vAlign w:val="center"/>
            <w:hideMark/>
          </w:tcPr>
          <w:p w14:paraId="5C1E69B6" w14:textId="77777777" w:rsidR="00D24589" w:rsidRDefault="00D24589">
            <w:pPr>
              <w:jc w:val="center"/>
              <w:rPr>
                <w:color w:val="000000"/>
              </w:rPr>
            </w:pPr>
            <w:r>
              <w:rPr>
                <w:color w:val="000000"/>
              </w:rPr>
              <w:t>3.95E-03</w:t>
            </w:r>
          </w:p>
        </w:tc>
        <w:tc>
          <w:tcPr>
            <w:tcW w:w="880" w:type="dxa"/>
            <w:tcBorders>
              <w:top w:val="nil"/>
              <w:left w:val="nil"/>
              <w:bottom w:val="single" w:sz="4" w:space="0" w:color="auto"/>
              <w:right w:val="single" w:sz="4" w:space="0" w:color="auto"/>
            </w:tcBorders>
            <w:shd w:val="clear" w:color="auto" w:fill="auto"/>
            <w:noWrap/>
            <w:vAlign w:val="center"/>
            <w:hideMark/>
          </w:tcPr>
          <w:p w14:paraId="15CA458F" w14:textId="77777777" w:rsidR="00D24589" w:rsidRDefault="00D24589">
            <w:pPr>
              <w:jc w:val="center"/>
              <w:rPr>
                <w:color w:val="000000"/>
              </w:rPr>
            </w:pPr>
            <w:r>
              <w:rPr>
                <w:color w:val="000000"/>
              </w:rPr>
              <w:t>a, Cal.</w:t>
            </w:r>
          </w:p>
        </w:tc>
      </w:tr>
      <w:tr w:rsidR="00D24589" w14:paraId="333F4600"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48BE15C" w14:textId="77777777" w:rsidR="00D24589" w:rsidRDefault="00D24589">
            <w:pPr>
              <w:jc w:val="center"/>
              <w:rPr>
                <w:color w:val="000000"/>
              </w:rPr>
            </w:pPr>
            <w:r>
              <w:rPr>
                <w:color w:val="000000"/>
              </w:rPr>
              <w:t>Ce</w:t>
            </w:r>
          </w:p>
        </w:tc>
        <w:tc>
          <w:tcPr>
            <w:tcW w:w="880" w:type="dxa"/>
            <w:tcBorders>
              <w:top w:val="nil"/>
              <w:left w:val="nil"/>
              <w:bottom w:val="single" w:sz="4" w:space="0" w:color="auto"/>
              <w:right w:val="single" w:sz="4" w:space="0" w:color="auto"/>
            </w:tcBorders>
            <w:shd w:val="clear" w:color="auto" w:fill="auto"/>
            <w:noWrap/>
            <w:vAlign w:val="center"/>
            <w:hideMark/>
          </w:tcPr>
          <w:p w14:paraId="35517E02"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125BE8AC" w14:textId="77777777" w:rsidR="00D24589" w:rsidRDefault="00D24589">
            <w:pPr>
              <w:jc w:val="center"/>
              <w:rPr>
                <w:color w:val="000000"/>
              </w:rPr>
            </w:pPr>
            <w:r>
              <w:rPr>
                <w:color w:val="000000"/>
              </w:rPr>
              <w:t>1.15E-02</w:t>
            </w:r>
          </w:p>
        </w:tc>
        <w:tc>
          <w:tcPr>
            <w:tcW w:w="880" w:type="dxa"/>
            <w:tcBorders>
              <w:top w:val="nil"/>
              <w:left w:val="nil"/>
              <w:bottom w:val="single" w:sz="4" w:space="0" w:color="auto"/>
              <w:right w:val="single" w:sz="4" w:space="0" w:color="auto"/>
            </w:tcBorders>
            <w:shd w:val="clear" w:color="auto" w:fill="auto"/>
            <w:noWrap/>
            <w:vAlign w:val="center"/>
            <w:hideMark/>
          </w:tcPr>
          <w:p w14:paraId="6AF9CF12"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0C89D569" w14:textId="77777777" w:rsidR="00D24589" w:rsidRDefault="00D24589">
            <w:pPr>
              <w:jc w:val="center"/>
              <w:rPr>
                <w:color w:val="000000"/>
              </w:rPr>
            </w:pPr>
            <w:r>
              <w:rPr>
                <w:color w:val="000000"/>
              </w:rPr>
              <w:t>1.18E-02</w:t>
            </w:r>
          </w:p>
        </w:tc>
        <w:tc>
          <w:tcPr>
            <w:tcW w:w="1420" w:type="dxa"/>
            <w:tcBorders>
              <w:top w:val="nil"/>
              <w:left w:val="nil"/>
              <w:bottom w:val="single" w:sz="4" w:space="0" w:color="auto"/>
              <w:right w:val="single" w:sz="4" w:space="0" w:color="auto"/>
            </w:tcBorders>
            <w:shd w:val="clear" w:color="auto" w:fill="auto"/>
            <w:noWrap/>
            <w:vAlign w:val="center"/>
            <w:hideMark/>
          </w:tcPr>
          <w:p w14:paraId="1ECCD7F7" w14:textId="77777777" w:rsidR="00D24589" w:rsidRDefault="00D24589">
            <w:pPr>
              <w:jc w:val="center"/>
              <w:rPr>
                <w:color w:val="000000"/>
              </w:rPr>
            </w:pPr>
            <w:r>
              <w:rPr>
                <w:color w:val="000000"/>
              </w:rPr>
              <w:t>1.18E-02</w:t>
            </w:r>
          </w:p>
        </w:tc>
        <w:tc>
          <w:tcPr>
            <w:tcW w:w="880" w:type="dxa"/>
            <w:tcBorders>
              <w:top w:val="nil"/>
              <w:left w:val="nil"/>
              <w:bottom w:val="single" w:sz="4" w:space="0" w:color="auto"/>
              <w:right w:val="single" w:sz="4" w:space="0" w:color="auto"/>
            </w:tcBorders>
            <w:shd w:val="clear" w:color="auto" w:fill="auto"/>
            <w:noWrap/>
            <w:vAlign w:val="center"/>
            <w:hideMark/>
          </w:tcPr>
          <w:p w14:paraId="3385E8C3" w14:textId="77777777" w:rsidR="00D24589" w:rsidRDefault="00D24589">
            <w:pPr>
              <w:jc w:val="center"/>
              <w:rPr>
                <w:color w:val="000000"/>
              </w:rPr>
            </w:pPr>
            <w:r>
              <w:rPr>
                <w:color w:val="000000"/>
              </w:rPr>
              <w:t>a, Cal.</w:t>
            </w:r>
          </w:p>
        </w:tc>
      </w:tr>
      <w:tr w:rsidR="00D24589" w14:paraId="664009E7"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D6D3A94" w14:textId="77777777" w:rsidR="00D24589" w:rsidRDefault="00D24589">
            <w:pPr>
              <w:jc w:val="center"/>
              <w:rPr>
                <w:color w:val="000000"/>
              </w:rPr>
            </w:pPr>
            <w:r>
              <w:rPr>
                <w:color w:val="000000"/>
              </w:rPr>
              <w:t>Pr</w:t>
            </w:r>
          </w:p>
        </w:tc>
        <w:tc>
          <w:tcPr>
            <w:tcW w:w="880" w:type="dxa"/>
            <w:tcBorders>
              <w:top w:val="nil"/>
              <w:left w:val="nil"/>
              <w:bottom w:val="single" w:sz="4" w:space="0" w:color="auto"/>
              <w:right w:val="single" w:sz="4" w:space="0" w:color="auto"/>
            </w:tcBorders>
            <w:shd w:val="clear" w:color="auto" w:fill="auto"/>
            <w:noWrap/>
            <w:vAlign w:val="center"/>
            <w:hideMark/>
          </w:tcPr>
          <w:p w14:paraId="026D0BAC"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2C657909" w14:textId="77777777" w:rsidR="00D24589" w:rsidRDefault="00D24589">
            <w:pPr>
              <w:jc w:val="center"/>
              <w:rPr>
                <w:color w:val="000000"/>
              </w:rPr>
            </w:pPr>
            <w:r>
              <w:rPr>
                <w:color w:val="000000"/>
              </w:rPr>
              <w:t>2.05E-02</w:t>
            </w:r>
          </w:p>
        </w:tc>
        <w:tc>
          <w:tcPr>
            <w:tcW w:w="880" w:type="dxa"/>
            <w:tcBorders>
              <w:top w:val="nil"/>
              <w:left w:val="nil"/>
              <w:bottom w:val="single" w:sz="4" w:space="0" w:color="auto"/>
              <w:right w:val="single" w:sz="4" w:space="0" w:color="auto"/>
            </w:tcBorders>
            <w:shd w:val="clear" w:color="auto" w:fill="auto"/>
            <w:noWrap/>
            <w:vAlign w:val="center"/>
            <w:hideMark/>
          </w:tcPr>
          <w:p w14:paraId="4BE126E9"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179EA4EB" w14:textId="77777777" w:rsidR="00D24589" w:rsidRDefault="00D24589">
            <w:pPr>
              <w:jc w:val="center"/>
              <w:rPr>
                <w:color w:val="000000"/>
              </w:rPr>
            </w:pPr>
            <w:r>
              <w:rPr>
                <w:color w:val="000000"/>
              </w:rPr>
              <w:t>3.71E-02</w:t>
            </w:r>
          </w:p>
        </w:tc>
        <w:tc>
          <w:tcPr>
            <w:tcW w:w="1420" w:type="dxa"/>
            <w:tcBorders>
              <w:top w:val="nil"/>
              <w:left w:val="nil"/>
              <w:bottom w:val="single" w:sz="4" w:space="0" w:color="auto"/>
              <w:right w:val="single" w:sz="4" w:space="0" w:color="auto"/>
            </w:tcBorders>
            <w:shd w:val="clear" w:color="auto" w:fill="auto"/>
            <w:noWrap/>
            <w:vAlign w:val="center"/>
            <w:hideMark/>
          </w:tcPr>
          <w:p w14:paraId="3C2990E8" w14:textId="77777777" w:rsidR="00D24589" w:rsidRDefault="00D24589">
            <w:pPr>
              <w:jc w:val="center"/>
              <w:rPr>
                <w:color w:val="000000"/>
              </w:rPr>
            </w:pPr>
            <w:r>
              <w:rPr>
                <w:color w:val="000000"/>
              </w:rPr>
              <w:t>3.24E-02</w:t>
            </w:r>
          </w:p>
        </w:tc>
        <w:tc>
          <w:tcPr>
            <w:tcW w:w="880" w:type="dxa"/>
            <w:tcBorders>
              <w:top w:val="nil"/>
              <w:left w:val="nil"/>
              <w:bottom w:val="single" w:sz="4" w:space="0" w:color="auto"/>
              <w:right w:val="single" w:sz="4" w:space="0" w:color="auto"/>
            </w:tcBorders>
            <w:shd w:val="clear" w:color="auto" w:fill="auto"/>
            <w:noWrap/>
            <w:vAlign w:val="center"/>
            <w:hideMark/>
          </w:tcPr>
          <w:p w14:paraId="21A8DD57" w14:textId="77777777" w:rsidR="00D24589" w:rsidRDefault="00D24589">
            <w:pPr>
              <w:jc w:val="center"/>
              <w:rPr>
                <w:color w:val="000000"/>
              </w:rPr>
            </w:pPr>
            <w:r>
              <w:rPr>
                <w:color w:val="000000"/>
              </w:rPr>
              <w:t>a, Cal.</w:t>
            </w:r>
          </w:p>
        </w:tc>
      </w:tr>
      <w:tr w:rsidR="00D24589" w14:paraId="02B2F3A1"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1C8BEB5" w14:textId="77777777" w:rsidR="00D24589" w:rsidRDefault="00D24589">
            <w:pPr>
              <w:jc w:val="center"/>
              <w:rPr>
                <w:color w:val="000000"/>
              </w:rPr>
            </w:pPr>
            <w:r>
              <w:rPr>
                <w:color w:val="000000"/>
              </w:rPr>
              <w:t>Nd</w:t>
            </w:r>
          </w:p>
        </w:tc>
        <w:tc>
          <w:tcPr>
            <w:tcW w:w="880" w:type="dxa"/>
            <w:tcBorders>
              <w:top w:val="nil"/>
              <w:left w:val="nil"/>
              <w:bottom w:val="single" w:sz="4" w:space="0" w:color="auto"/>
              <w:right w:val="single" w:sz="4" w:space="0" w:color="auto"/>
            </w:tcBorders>
            <w:shd w:val="clear" w:color="auto" w:fill="auto"/>
            <w:noWrap/>
            <w:vAlign w:val="center"/>
            <w:hideMark/>
          </w:tcPr>
          <w:p w14:paraId="4D48ECC9"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01B0BC5B" w14:textId="77777777" w:rsidR="00D24589" w:rsidRDefault="00D24589">
            <w:pPr>
              <w:jc w:val="center"/>
              <w:rPr>
                <w:color w:val="000000"/>
              </w:rPr>
            </w:pPr>
            <w:r>
              <w:rPr>
                <w:color w:val="000000"/>
              </w:rPr>
              <w:t>2.47E-02</w:t>
            </w:r>
          </w:p>
        </w:tc>
        <w:tc>
          <w:tcPr>
            <w:tcW w:w="880" w:type="dxa"/>
            <w:tcBorders>
              <w:top w:val="nil"/>
              <w:left w:val="nil"/>
              <w:bottom w:val="single" w:sz="4" w:space="0" w:color="auto"/>
              <w:right w:val="single" w:sz="4" w:space="0" w:color="auto"/>
            </w:tcBorders>
            <w:shd w:val="clear" w:color="auto" w:fill="auto"/>
            <w:noWrap/>
            <w:vAlign w:val="center"/>
            <w:hideMark/>
          </w:tcPr>
          <w:p w14:paraId="7436A0A9"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6EBE56AD" w14:textId="77777777" w:rsidR="00D24589" w:rsidRDefault="00D24589">
            <w:pPr>
              <w:jc w:val="center"/>
              <w:rPr>
                <w:color w:val="000000"/>
              </w:rPr>
            </w:pPr>
            <w:r>
              <w:rPr>
                <w:color w:val="000000"/>
              </w:rPr>
              <w:t>1.06E-01</w:t>
            </w:r>
          </w:p>
        </w:tc>
        <w:tc>
          <w:tcPr>
            <w:tcW w:w="1420" w:type="dxa"/>
            <w:tcBorders>
              <w:top w:val="nil"/>
              <w:left w:val="nil"/>
              <w:bottom w:val="single" w:sz="4" w:space="0" w:color="auto"/>
              <w:right w:val="single" w:sz="4" w:space="0" w:color="auto"/>
            </w:tcBorders>
            <w:shd w:val="clear" w:color="auto" w:fill="auto"/>
            <w:noWrap/>
            <w:vAlign w:val="center"/>
            <w:hideMark/>
          </w:tcPr>
          <w:p w14:paraId="17100F2E" w14:textId="77777777" w:rsidR="00D24589" w:rsidRDefault="00D24589">
            <w:pPr>
              <w:jc w:val="center"/>
              <w:rPr>
                <w:color w:val="000000"/>
              </w:rPr>
            </w:pPr>
            <w:r>
              <w:rPr>
                <w:color w:val="000000"/>
              </w:rPr>
              <w:t>8.28E-02</w:t>
            </w:r>
          </w:p>
        </w:tc>
        <w:tc>
          <w:tcPr>
            <w:tcW w:w="880" w:type="dxa"/>
            <w:tcBorders>
              <w:top w:val="nil"/>
              <w:left w:val="nil"/>
              <w:bottom w:val="single" w:sz="4" w:space="0" w:color="auto"/>
              <w:right w:val="single" w:sz="4" w:space="0" w:color="auto"/>
            </w:tcBorders>
            <w:shd w:val="clear" w:color="auto" w:fill="auto"/>
            <w:noWrap/>
            <w:vAlign w:val="center"/>
            <w:hideMark/>
          </w:tcPr>
          <w:p w14:paraId="5E231394" w14:textId="77777777" w:rsidR="00D24589" w:rsidRDefault="00D24589">
            <w:pPr>
              <w:jc w:val="center"/>
              <w:rPr>
                <w:color w:val="000000"/>
              </w:rPr>
            </w:pPr>
            <w:r>
              <w:rPr>
                <w:color w:val="000000"/>
              </w:rPr>
              <w:t>a, Cal.</w:t>
            </w:r>
          </w:p>
        </w:tc>
      </w:tr>
      <w:tr w:rsidR="00D24589" w14:paraId="164EBB52"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6391951" w14:textId="77777777" w:rsidR="00D24589" w:rsidRDefault="00D24589">
            <w:pPr>
              <w:jc w:val="center"/>
              <w:rPr>
                <w:color w:val="000000"/>
              </w:rPr>
            </w:pPr>
            <w:r>
              <w:rPr>
                <w:color w:val="000000"/>
              </w:rPr>
              <w:t>Sm</w:t>
            </w:r>
          </w:p>
        </w:tc>
        <w:tc>
          <w:tcPr>
            <w:tcW w:w="880" w:type="dxa"/>
            <w:tcBorders>
              <w:top w:val="nil"/>
              <w:left w:val="nil"/>
              <w:bottom w:val="single" w:sz="4" w:space="0" w:color="auto"/>
              <w:right w:val="single" w:sz="4" w:space="0" w:color="auto"/>
            </w:tcBorders>
            <w:shd w:val="clear" w:color="auto" w:fill="auto"/>
            <w:noWrap/>
            <w:vAlign w:val="center"/>
            <w:hideMark/>
          </w:tcPr>
          <w:p w14:paraId="778D0A3F"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78CF1136" w14:textId="77777777" w:rsidR="00D24589" w:rsidRDefault="00D24589">
            <w:pPr>
              <w:jc w:val="center"/>
              <w:rPr>
                <w:color w:val="000000"/>
              </w:rPr>
            </w:pPr>
            <w:r>
              <w:rPr>
                <w:color w:val="000000"/>
              </w:rPr>
              <w:t>3.44E-02</w:t>
            </w:r>
          </w:p>
        </w:tc>
        <w:tc>
          <w:tcPr>
            <w:tcW w:w="880" w:type="dxa"/>
            <w:tcBorders>
              <w:top w:val="nil"/>
              <w:left w:val="nil"/>
              <w:bottom w:val="single" w:sz="4" w:space="0" w:color="auto"/>
              <w:right w:val="single" w:sz="4" w:space="0" w:color="auto"/>
            </w:tcBorders>
            <w:shd w:val="clear" w:color="auto" w:fill="auto"/>
            <w:noWrap/>
            <w:vAlign w:val="center"/>
            <w:hideMark/>
          </w:tcPr>
          <w:p w14:paraId="3AD44E69"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7DD0ED7B" w14:textId="77777777" w:rsidR="00D24589" w:rsidRDefault="00D24589">
            <w:pPr>
              <w:jc w:val="center"/>
              <w:rPr>
                <w:color w:val="000000"/>
              </w:rPr>
            </w:pPr>
            <w:r>
              <w:rPr>
                <w:color w:val="000000"/>
              </w:rPr>
              <w:t>5.36E-01</w:t>
            </w:r>
          </w:p>
        </w:tc>
        <w:tc>
          <w:tcPr>
            <w:tcW w:w="1420" w:type="dxa"/>
            <w:tcBorders>
              <w:top w:val="nil"/>
              <w:left w:val="nil"/>
              <w:bottom w:val="single" w:sz="4" w:space="0" w:color="auto"/>
              <w:right w:val="single" w:sz="4" w:space="0" w:color="auto"/>
            </w:tcBorders>
            <w:shd w:val="clear" w:color="auto" w:fill="auto"/>
            <w:noWrap/>
            <w:vAlign w:val="center"/>
            <w:hideMark/>
          </w:tcPr>
          <w:p w14:paraId="533371A2" w14:textId="77777777" w:rsidR="00D24589" w:rsidRDefault="00D24589">
            <w:pPr>
              <w:jc w:val="center"/>
              <w:rPr>
                <w:color w:val="000000"/>
              </w:rPr>
            </w:pPr>
            <w:r>
              <w:rPr>
                <w:color w:val="000000"/>
              </w:rPr>
              <w:t>3.62E-01</w:t>
            </w:r>
          </w:p>
        </w:tc>
        <w:tc>
          <w:tcPr>
            <w:tcW w:w="880" w:type="dxa"/>
            <w:tcBorders>
              <w:top w:val="nil"/>
              <w:left w:val="nil"/>
              <w:bottom w:val="single" w:sz="4" w:space="0" w:color="auto"/>
              <w:right w:val="single" w:sz="4" w:space="0" w:color="auto"/>
            </w:tcBorders>
            <w:shd w:val="clear" w:color="auto" w:fill="auto"/>
            <w:noWrap/>
            <w:vAlign w:val="center"/>
            <w:hideMark/>
          </w:tcPr>
          <w:p w14:paraId="779B27B1" w14:textId="77777777" w:rsidR="00D24589" w:rsidRDefault="00D24589">
            <w:pPr>
              <w:jc w:val="center"/>
              <w:rPr>
                <w:color w:val="000000"/>
              </w:rPr>
            </w:pPr>
            <w:r>
              <w:rPr>
                <w:color w:val="000000"/>
              </w:rPr>
              <w:t>a, Cal.</w:t>
            </w:r>
          </w:p>
        </w:tc>
      </w:tr>
      <w:tr w:rsidR="00D24589" w14:paraId="2C1599CF"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57502BE" w14:textId="77777777" w:rsidR="00D24589" w:rsidRDefault="00D24589">
            <w:pPr>
              <w:jc w:val="center"/>
              <w:rPr>
                <w:color w:val="000000"/>
              </w:rPr>
            </w:pPr>
            <w:r>
              <w:rPr>
                <w:color w:val="000000"/>
              </w:rPr>
              <w:t>Eu</w:t>
            </w:r>
          </w:p>
        </w:tc>
        <w:tc>
          <w:tcPr>
            <w:tcW w:w="880" w:type="dxa"/>
            <w:tcBorders>
              <w:top w:val="nil"/>
              <w:left w:val="nil"/>
              <w:bottom w:val="single" w:sz="4" w:space="0" w:color="auto"/>
              <w:right w:val="single" w:sz="4" w:space="0" w:color="auto"/>
            </w:tcBorders>
            <w:shd w:val="clear" w:color="auto" w:fill="auto"/>
            <w:noWrap/>
            <w:vAlign w:val="center"/>
            <w:hideMark/>
          </w:tcPr>
          <w:p w14:paraId="54F71794" w14:textId="77777777" w:rsidR="00D24589" w:rsidRDefault="00D24589">
            <w:pPr>
              <w:jc w:val="center"/>
              <w:rPr>
                <w:color w:val="000000"/>
              </w:rPr>
            </w:pPr>
            <w:r>
              <w:rPr>
                <w:color w:val="000000"/>
              </w:rPr>
              <w:t>d, Cal.</w:t>
            </w:r>
          </w:p>
        </w:tc>
        <w:tc>
          <w:tcPr>
            <w:tcW w:w="1420" w:type="dxa"/>
            <w:tcBorders>
              <w:top w:val="nil"/>
              <w:left w:val="nil"/>
              <w:bottom w:val="single" w:sz="4" w:space="0" w:color="auto"/>
              <w:right w:val="single" w:sz="4" w:space="0" w:color="auto"/>
            </w:tcBorders>
            <w:shd w:val="clear" w:color="auto" w:fill="auto"/>
            <w:noWrap/>
            <w:vAlign w:val="center"/>
            <w:hideMark/>
          </w:tcPr>
          <w:p w14:paraId="26505977" w14:textId="77777777" w:rsidR="00D24589" w:rsidRDefault="00D24589">
            <w:pPr>
              <w:jc w:val="center"/>
              <w:rPr>
                <w:color w:val="000000"/>
              </w:rPr>
            </w:pPr>
            <w:r>
              <w:rPr>
                <w:color w:val="000000"/>
              </w:rPr>
              <w:t>5.84E-02</w:t>
            </w:r>
          </w:p>
        </w:tc>
        <w:tc>
          <w:tcPr>
            <w:tcW w:w="880" w:type="dxa"/>
            <w:tcBorders>
              <w:top w:val="nil"/>
              <w:left w:val="nil"/>
              <w:bottom w:val="single" w:sz="4" w:space="0" w:color="auto"/>
              <w:right w:val="single" w:sz="4" w:space="0" w:color="auto"/>
            </w:tcBorders>
            <w:shd w:val="clear" w:color="auto" w:fill="auto"/>
            <w:noWrap/>
            <w:vAlign w:val="center"/>
            <w:hideMark/>
          </w:tcPr>
          <w:p w14:paraId="7384F5C1"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4ED4F0E9" w14:textId="77777777" w:rsidR="00D24589" w:rsidRDefault="00D24589">
            <w:pPr>
              <w:jc w:val="center"/>
              <w:rPr>
                <w:color w:val="000000"/>
              </w:rPr>
            </w:pPr>
            <w:r>
              <w:rPr>
                <w:color w:val="000000"/>
              </w:rPr>
              <w:t>9.91E-01</w:t>
            </w:r>
          </w:p>
        </w:tc>
        <w:tc>
          <w:tcPr>
            <w:tcW w:w="1420" w:type="dxa"/>
            <w:tcBorders>
              <w:top w:val="nil"/>
              <w:left w:val="nil"/>
              <w:bottom w:val="single" w:sz="4" w:space="0" w:color="auto"/>
              <w:right w:val="single" w:sz="4" w:space="0" w:color="auto"/>
            </w:tcBorders>
            <w:shd w:val="clear" w:color="auto" w:fill="auto"/>
            <w:noWrap/>
            <w:vAlign w:val="center"/>
            <w:hideMark/>
          </w:tcPr>
          <w:p w14:paraId="5A2B07F7" w14:textId="77777777" w:rsidR="00D24589" w:rsidRDefault="00D24589">
            <w:pPr>
              <w:jc w:val="center"/>
              <w:rPr>
                <w:color w:val="000000"/>
              </w:rPr>
            </w:pPr>
            <w:r>
              <w:rPr>
                <w:color w:val="000000"/>
              </w:rPr>
              <w:t>6.42E-01</w:t>
            </w:r>
          </w:p>
        </w:tc>
        <w:tc>
          <w:tcPr>
            <w:tcW w:w="880" w:type="dxa"/>
            <w:tcBorders>
              <w:top w:val="nil"/>
              <w:left w:val="nil"/>
              <w:bottom w:val="single" w:sz="4" w:space="0" w:color="auto"/>
              <w:right w:val="single" w:sz="4" w:space="0" w:color="auto"/>
            </w:tcBorders>
            <w:shd w:val="clear" w:color="auto" w:fill="auto"/>
            <w:noWrap/>
            <w:vAlign w:val="center"/>
            <w:hideMark/>
          </w:tcPr>
          <w:p w14:paraId="3FDD6918" w14:textId="77777777" w:rsidR="00D24589" w:rsidRDefault="00D24589">
            <w:pPr>
              <w:jc w:val="center"/>
              <w:rPr>
                <w:color w:val="000000"/>
              </w:rPr>
            </w:pPr>
            <w:r>
              <w:rPr>
                <w:color w:val="000000"/>
              </w:rPr>
              <w:t>a, Cal.</w:t>
            </w:r>
          </w:p>
        </w:tc>
      </w:tr>
      <w:tr w:rsidR="00D24589" w14:paraId="3C19AB4B"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3BA56BE" w14:textId="77777777" w:rsidR="00D24589" w:rsidRDefault="00D24589">
            <w:pPr>
              <w:jc w:val="center"/>
              <w:rPr>
                <w:color w:val="000000"/>
              </w:rPr>
            </w:pPr>
            <w:r>
              <w:rPr>
                <w:color w:val="000000"/>
              </w:rPr>
              <w:t>Gd</w:t>
            </w:r>
          </w:p>
        </w:tc>
        <w:tc>
          <w:tcPr>
            <w:tcW w:w="880" w:type="dxa"/>
            <w:tcBorders>
              <w:top w:val="nil"/>
              <w:left w:val="nil"/>
              <w:bottom w:val="single" w:sz="4" w:space="0" w:color="auto"/>
              <w:right w:val="single" w:sz="4" w:space="0" w:color="auto"/>
            </w:tcBorders>
            <w:shd w:val="clear" w:color="auto" w:fill="auto"/>
            <w:noWrap/>
            <w:vAlign w:val="center"/>
            <w:hideMark/>
          </w:tcPr>
          <w:p w14:paraId="2E9E87DF"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12CF4F7B" w14:textId="77777777" w:rsidR="00D24589" w:rsidRDefault="00D24589">
            <w:pPr>
              <w:jc w:val="center"/>
              <w:rPr>
                <w:color w:val="000000"/>
              </w:rPr>
            </w:pPr>
            <w:r>
              <w:rPr>
                <w:color w:val="000000"/>
              </w:rPr>
              <w:t>7.03E-02</w:t>
            </w:r>
          </w:p>
        </w:tc>
        <w:tc>
          <w:tcPr>
            <w:tcW w:w="880" w:type="dxa"/>
            <w:tcBorders>
              <w:top w:val="nil"/>
              <w:left w:val="nil"/>
              <w:bottom w:val="single" w:sz="4" w:space="0" w:color="auto"/>
              <w:right w:val="single" w:sz="4" w:space="0" w:color="auto"/>
            </w:tcBorders>
            <w:shd w:val="clear" w:color="auto" w:fill="auto"/>
            <w:noWrap/>
            <w:vAlign w:val="center"/>
            <w:hideMark/>
          </w:tcPr>
          <w:p w14:paraId="3628D084"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56D41F95" w14:textId="77777777" w:rsidR="00D24589" w:rsidRDefault="00D24589">
            <w:pPr>
              <w:jc w:val="center"/>
              <w:rPr>
                <w:color w:val="000000"/>
              </w:rPr>
            </w:pPr>
            <w:r>
              <w:rPr>
                <w:color w:val="000000"/>
              </w:rPr>
              <w:t>1.74E+00</w:t>
            </w:r>
          </w:p>
        </w:tc>
        <w:tc>
          <w:tcPr>
            <w:tcW w:w="1420" w:type="dxa"/>
            <w:tcBorders>
              <w:top w:val="nil"/>
              <w:left w:val="nil"/>
              <w:bottom w:val="single" w:sz="4" w:space="0" w:color="auto"/>
              <w:right w:val="single" w:sz="4" w:space="0" w:color="auto"/>
            </w:tcBorders>
            <w:shd w:val="clear" w:color="auto" w:fill="auto"/>
            <w:noWrap/>
            <w:vAlign w:val="center"/>
            <w:hideMark/>
          </w:tcPr>
          <w:p w14:paraId="22CC89D9" w14:textId="77777777" w:rsidR="00D24589" w:rsidRDefault="00D24589">
            <w:pPr>
              <w:jc w:val="center"/>
              <w:rPr>
                <w:color w:val="000000"/>
              </w:rPr>
            </w:pPr>
            <w:r>
              <w:rPr>
                <w:color w:val="000000"/>
              </w:rPr>
              <w:t>1.09E+00</w:t>
            </w:r>
          </w:p>
        </w:tc>
        <w:tc>
          <w:tcPr>
            <w:tcW w:w="880" w:type="dxa"/>
            <w:tcBorders>
              <w:top w:val="nil"/>
              <w:left w:val="nil"/>
              <w:bottom w:val="single" w:sz="4" w:space="0" w:color="auto"/>
              <w:right w:val="single" w:sz="4" w:space="0" w:color="auto"/>
            </w:tcBorders>
            <w:shd w:val="clear" w:color="auto" w:fill="auto"/>
            <w:noWrap/>
            <w:vAlign w:val="center"/>
            <w:hideMark/>
          </w:tcPr>
          <w:p w14:paraId="1BD100D5" w14:textId="77777777" w:rsidR="00D24589" w:rsidRDefault="00D24589">
            <w:pPr>
              <w:jc w:val="center"/>
              <w:rPr>
                <w:color w:val="000000"/>
              </w:rPr>
            </w:pPr>
            <w:r>
              <w:rPr>
                <w:color w:val="000000"/>
              </w:rPr>
              <w:t>a, Cal.</w:t>
            </w:r>
          </w:p>
        </w:tc>
      </w:tr>
      <w:tr w:rsidR="00D24589" w14:paraId="63907698"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FCD33C3" w14:textId="77777777" w:rsidR="00D24589" w:rsidRDefault="00D24589">
            <w:pPr>
              <w:jc w:val="center"/>
              <w:rPr>
                <w:color w:val="000000"/>
              </w:rPr>
            </w:pPr>
            <w:r>
              <w:rPr>
                <w:color w:val="000000"/>
              </w:rPr>
              <w:t>Tb</w:t>
            </w:r>
          </w:p>
        </w:tc>
        <w:tc>
          <w:tcPr>
            <w:tcW w:w="880" w:type="dxa"/>
            <w:tcBorders>
              <w:top w:val="nil"/>
              <w:left w:val="nil"/>
              <w:bottom w:val="single" w:sz="4" w:space="0" w:color="auto"/>
              <w:right w:val="single" w:sz="4" w:space="0" w:color="auto"/>
            </w:tcBorders>
            <w:shd w:val="clear" w:color="auto" w:fill="auto"/>
            <w:noWrap/>
            <w:vAlign w:val="center"/>
            <w:hideMark/>
          </w:tcPr>
          <w:p w14:paraId="3E479FAC"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5CC56F89" w14:textId="77777777" w:rsidR="00D24589" w:rsidRDefault="00D24589">
            <w:pPr>
              <w:jc w:val="center"/>
              <w:rPr>
                <w:color w:val="000000"/>
              </w:rPr>
            </w:pPr>
            <w:r>
              <w:rPr>
                <w:color w:val="000000"/>
              </w:rPr>
              <w:t>9.37E-02</w:t>
            </w:r>
          </w:p>
        </w:tc>
        <w:tc>
          <w:tcPr>
            <w:tcW w:w="880" w:type="dxa"/>
            <w:tcBorders>
              <w:top w:val="nil"/>
              <w:left w:val="nil"/>
              <w:bottom w:val="single" w:sz="4" w:space="0" w:color="auto"/>
              <w:right w:val="single" w:sz="4" w:space="0" w:color="auto"/>
            </w:tcBorders>
            <w:shd w:val="clear" w:color="auto" w:fill="auto"/>
            <w:noWrap/>
            <w:vAlign w:val="center"/>
            <w:hideMark/>
          </w:tcPr>
          <w:p w14:paraId="1D54C3BF"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57E63C38" w14:textId="77777777" w:rsidR="00D24589" w:rsidRDefault="00D24589">
            <w:pPr>
              <w:jc w:val="center"/>
              <w:rPr>
                <w:color w:val="000000"/>
              </w:rPr>
            </w:pPr>
            <w:r>
              <w:rPr>
                <w:color w:val="000000"/>
              </w:rPr>
              <w:t>2.91E+00</w:t>
            </w:r>
          </w:p>
        </w:tc>
        <w:tc>
          <w:tcPr>
            <w:tcW w:w="1420" w:type="dxa"/>
            <w:tcBorders>
              <w:top w:val="nil"/>
              <w:left w:val="nil"/>
              <w:bottom w:val="single" w:sz="4" w:space="0" w:color="auto"/>
              <w:right w:val="single" w:sz="4" w:space="0" w:color="auto"/>
            </w:tcBorders>
            <w:shd w:val="clear" w:color="auto" w:fill="auto"/>
            <w:noWrap/>
            <w:vAlign w:val="center"/>
            <w:hideMark/>
          </w:tcPr>
          <w:p w14:paraId="36A11546" w14:textId="77777777" w:rsidR="00D24589" w:rsidRDefault="00D24589">
            <w:pPr>
              <w:jc w:val="center"/>
              <w:rPr>
                <w:color w:val="000000"/>
              </w:rPr>
            </w:pPr>
            <w:r>
              <w:rPr>
                <w:color w:val="000000"/>
              </w:rPr>
              <w:t>1.78E+00</w:t>
            </w:r>
          </w:p>
        </w:tc>
        <w:tc>
          <w:tcPr>
            <w:tcW w:w="880" w:type="dxa"/>
            <w:tcBorders>
              <w:top w:val="nil"/>
              <w:left w:val="nil"/>
              <w:bottom w:val="single" w:sz="4" w:space="0" w:color="auto"/>
              <w:right w:val="single" w:sz="4" w:space="0" w:color="auto"/>
            </w:tcBorders>
            <w:shd w:val="clear" w:color="auto" w:fill="auto"/>
            <w:noWrap/>
            <w:vAlign w:val="center"/>
            <w:hideMark/>
          </w:tcPr>
          <w:p w14:paraId="5CB9EB9B" w14:textId="77777777" w:rsidR="00D24589" w:rsidRDefault="00D24589">
            <w:pPr>
              <w:jc w:val="center"/>
              <w:rPr>
                <w:color w:val="000000"/>
              </w:rPr>
            </w:pPr>
            <w:r>
              <w:rPr>
                <w:color w:val="000000"/>
              </w:rPr>
              <w:t>a, Cal.</w:t>
            </w:r>
          </w:p>
        </w:tc>
      </w:tr>
      <w:tr w:rsidR="00D24589" w14:paraId="6FF28A2C"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8228487" w14:textId="77777777" w:rsidR="00D24589" w:rsidRDefault="00D24589">
            <w:pPr>
              <w:jc w:val="center"/>
              <w:rPr>
                <w:color w:val="000000"/>
              </w:rPr>
            </w:pPr>
            <w:r>
              <w:rPr>
                <w:color w:val="000000"/>
              </w:rPr>
              <w:t>Dy</w:t>
            </w:r>
          </w:p>
        </w:tc>
        <w:tc>
          <w:tcPr>
            <w:tcW w:w="880" w:type="dxa"/>
            <w:tcBorders>
              <w:top w:val="nil"/>
              <w:left w:val="nil"/>
              <w:bottom w:val="single" w:sz="4" w:space="0" w:color="auto"/>
              <w:right w:val="single" w:sz="4" w:space="0" w:color="auto"/>
            </w:tcBorders>
            <w:shd w:val="clear" w:color="auto" w:fill="auto"/>
            <w:noWrap/>
            <w:vAlign w:val="center"/>
            <w:hideMark/>
          </w:tcPr>
          <w:p w14:paraId="1F430AAF"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69FD94AB" w14:textId="77777777" w:rsidR="00D24589" w:rsidRDefault="00D24589">
            <w:pPr>
              <w:jc w:val="center"/>
              <w:rPr>
                <w:color w:val="000000"/>
              </w:rPr>
            </w:pPr>
            <w:r>
              <w:rPr>
                <w:color w:val="000000"/>
              </w:rPr>
              <w:t>1.14E-01</w:t>
            </w:r>
          </w:p>
        </w:tc>
        <w:tc>
          <w:tcPr>
            <w:tcW w:w="880" w:type="dxa"/>
            <w:tcBorders>
              <w:top w:val="nil"/>
              <w:left w:val="nil"/>
              <w:bottom w:val="single" w:sz="4" w:space="0" w:color="auto"/>
              <w:right w:val="single" w:sz="4" w:space="0" w:color="auto"/>
            </w:tcBorders>
            <w:shd w:val="clear" w:color="auto" w:fill="auto"/>
            <w:noWrap/>
            <w:vAlign w:val="center"/>
            <w:hideMark/>
          </w:tcPr>
          <w:p w14:paraId="403D4DB2"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0ADA7CE2" w14:textId="77777777" w:rsidR="00D24589" w:rsidRDefault="00D24589">
            <w:pPr>
              <w:jc w:val="center"/>
              <w:rPr>
                <w:color w:val="000000"/>
              </w:rPr>
            </w:pPr>
            <w:r>
              <w:rPr>
                <w:color w:val="000000"/>
              </w:rPr>
              <w:t>4.64E+00</w:t>
            </w:r>
          </w:p>
        </w:tc>
        <w:tc>
          <w:tcPr>
            <w:tcW w:w="1420" w:type="dxa"/>
            <w:tcBorders>
              <w:top w:val="nil"/>
              <w:left w:val="nil"/>
              <w:bottom w:val="single" w:sz="4" w:space="0" w:color="auto"/>
              <w:right w:val="single" w:sz="4" w:space="0" w:color="auto"/>
            </w:tcBorders>
            <w:shd w:val="clear" w:color="auto" w:fill="auto"/>
            <w:noWrap/>
            <w:vAlign w:val="center"/>
            <w:hideMark/>
          </w:tcPr>
          <w:p w14:paraId="7AF5AE0F" w14:textId="77777777" w:rsidR="00D24589" w:rsidRDefault="00D24589">
            <w:pPr>
              <w:jc w:val="center"/>
              <w:rPr>
                <w:color w:val="000000"/>
              </w:rPr>
            </w:pPr>
            <w:r>
              <w:rPr>
                <w:color w:val="000000"/>
              </w:rPr>
              <w:t>2.81E+00</w:t>
            </w:r>
          </w:p>
        </w:tc>
        <w:tc>
          <w:tcPr>
            <w:tcW w:w="880" w:type="dxa"/>
            <w:tcBorders>
              <w:top w:val="nil"/>
              <w:left w:val="nil"/>
              <w:bottom w:val="single" w:sz="4" w:space="0" w:color="auto"/>
              <w:right w:val="single" w:sz="4" w:space="0" w:color="auto"/>
            </w:tcBorders>
            <w:shd w:val="clear" w:color="auto" w:fill="auto"/>
            <w:noWrap/>
            <w:vAlign w:val="center"/>
            <w:hideMark/>
          </w:tcPr>
          <w:p w14:paraId="3E236BFC" w14:textId="77777777" w:rsidR="00D24589" w:rsidRDefault="00D24589">
            <w:pPr>
              <w:jc w:val="center"/>
              <w:rPr>
                <w:color w:val="000000"/>
              </w:rPr>
            </w:pPr>
            <w:r>
              <w:rPr>
                <w:color w:val="000000"/>
              </w:rPr>
              <w:t>a, Cal.</w:t>
            </w:r>
          </w:p>
        </w:tc>
      </w:tr>
      <w:tr w:rsidR="00D24589" w14:paraId="26248200"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6AB9BD7" w14:textId="77777777" w:rsidR="00D24589" w:rsidRDefault="00D24589">
            <w:pPr>
              <w:jc w:val="center"/>
              <w:rPr>
                <w:color w:val="000000"/>
              </w:rPr>
            </w:pPr>
            <w:r>
              <w:rPr>
                <w:color w:val="000000"/>
              </w:rPr>
              <w:t>Y</w:t>
            </w:r>
          </w:p>
        </w:tc>
        <w:tc>
          <w:tcPr>
            <w:tcW w:w="880" w:type="dxa"/>
            <w:tcBorders>
              <w:top w:val="nil"/>
              <w:left w:val="nil"/>
              <w:bottom w:val="single" w:sz="4" w:space="0" w:color="auto"/>
              <w:right w:val="single" w:sz="4" w:space="0" w:color="auto"/>
            </w:tcBorders>
            <w:shd w:val="clear" w:color="auto" w:fill="auto"/>
            <w:noWrap/>
            <w:vAlign w:val="center"/>
            <w:hideMark/>
          </w:tcPr>
          <w:p w14:paraId="408669A3"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7F8F6695" w14:textId="77777777" w:rsidR="00D24589" w:rsidRDefault="00D24589">
            <w:pPr>
              <w:jc w:val="center"/>
              <w:rPr>
                <w:color w:val="000000"/>
              </w:rPr>
            </w:pPr>
            <w:r>
              <w:rPr>
                <w:color w:val="000000"/>
              </w:rPr>
              <w:t>1.37E-01</w:t>
            </w:r>
          </w:p>
        </w:tc>
        <w:tc>
          <w:tcPr>
            <w:tcW w:w="880" w:type="dxa"/>
            <w:tcBorders>
              <w:top w:val="nil"/>
              <w:left w:val="nil"/>
              <w:bottom w:val="single" w:sz="4" w:space="0" w:color="auto"/>
              <w:right w:val="single" w:sz="4" w:space="0" w:color="auto"/>
            </w:tcBorders>
            <w:shd w:val="clear" w:color="auto" w:fill="auto"/>
            <w:noWrap/>
            <w:vAlign w:val="center"/>
            <w:hideMark/>
          </w:tcPr>
          <w:p w14:paraId="3B5F5033"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529487EC" w14:textId="77777777" w:rsidR="00D24589" w:rsidRDefault="00D24589">
            <w:pPr>
              <w:jc w:val="center"/>
              <w:rPr>
                <w:color w:val="000000"/>
              </w:rPr>
            </w:pPr>
            <w:r>
              <w:rPr>
                <w:color w:val="000000"/>
              </w:rPr>
              <w:t>6.03E+00</w:t>
            </w:r>
          </w:p>
        </w:tc>
        <w:tc>
          <w:tcPr>
            <w:tcW w:w="1420" w:type="dxa"/>
            <w:tcBorders>
              <w:top w:val="nil"/>
              <w:left w:val="nil"/>
              <w:bottom w:val="single" w:sz="4" w:space="0" w:color="auto"/>
              <w:right w:val="single" w:sz="4" w:space="0" w:color="auto"/>
            </w:tcBorders>
            <w:shd w:val="clear" w:color="auto" w:fill="auto"/>
            <w:noWrap/>
            <w:vAlign w:val="center"/>
            <w:hideMark/>
          </w:tcPr>
          <w:p w14:paraId="272F48F2" w14:textId="77777777" w:rsidR="00D24589" w:rsidRDefault="00D24589">
            <w:pPr>
              <w:jc w:val="center"/>
              <w:rPr>
                <w:color w:val="000000"/>
              </w:rPr>
            </w:pPr>
            <w:r>
              <w:rPr>
                <w:color w:val="000000"/>
              </w:rPr>
              <w:t>3.64E+00</w:t>
            </w:r>
          </w:p>
        </w:tc>
        <w:tc>
          <w:tcPr>
            <w:tcW w:w="880" w:type="dxa"/>
            <w:tcBorders>
              <w:top w:val="nil"/>
              <w:left w:val="nil"/>
              <w:bottom w:val="single" w:sz="4" w:space="0" w:color="auto"/>
              <w:right w:val="single" w:sz="4" w:space="0" w:color="auto"/>
            </w:tcBorders>
            <w:shd w:val="clear" w:color="auto" w:fill="auto"/>
            <w:noWrap/>
            <w:vAlign w:val="center"/>
            <w:hideMark/>
          </w:tcPr>
          <w:p w14:paraId="5C0E2815" w14:textId="77777777" w:rsidR="00D24589" w:rsidRDefault="00D24589">
            <w:pPr>
              <w:jc w:val="center"/>
              <w:rPr>
                <w:color w:val="000000"/>
              </w:rPr>
            </w:pPr>
            <w:r>
              <w:rPr>
                <w:color w:val="000000"/>
              </w:rPr>
              <w:t>a, Cal.</w:t>
            </w:r>
          </w:p>
        </w:tc>
      </w:tr>
      <w:tr w:rsidR="00D24589" w14:paraId="606ABA19"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19C01B4" w14:textId="77777777" w:rsidR="00D24589" w:rsidRDefault="00D24589">
            <w:pPr>
              <w:jc w:val="center"/>
              <w:rPr>
                <w:color w:val="000000"/>
              </w:rPr>
            </w:pPr>
            <w:r>
              <w:rPr>
                <w:color w:val="000000"/>
              </w:rPr>
              <w:t>Ho</w:t>
            </w:r>
          </w:p>
        </w:tc>
        <w:tc>
          <w:tcPr>
            <w:tcW w:w="880" w:type="dxa"/>
            <w:tcBorders>
              <w:top w:val="nil"/>
              <w:left w:val="nil"/>
              <w:bottom w:val="single" w:sz="4" w:space="0" w:color="auto"/>
              <w:right w:val="single" w:sz="4" w:space="0" w:color="auto"/>
            </w:tcBorders>
            <w:shd w:val="clear" w:color="auto" w:fill="auto"/>
            <w:noWrap/>
            <w:vAlign w:val="center"/>
            <w:hideMark/>
          </w:tcPr>
          <w:p w14:paraId="38FA5013"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75DEC224" w14:textId="77777777" w:rsidR="00D24589" w:rsidRDefault="00D24589">
            <w:pPr>
              <w:jc w:val="center"/>
              <w:rPr>
                <w:color w:val="000000"/>
              </w:rPr>
            </w:pPr>
            <w:r>
              <w:rPr>
                <w:color w:val="000000"/>
              </w:rPr>
              <w:t>1.35E-01</w:t>
            </w:r>
          </w:p>
        </w:tc>
        <w:tc>
          <w:tcPr>
            <w:tcW w:w="880" w:type="dxa"/>
            <w:tcBorders>
              <w:top w:val="nil"/>
              <w:left w:val="nil"/>
              <w:bottom w:val="single" w:sz="4" w:space="0" w:color="auto"/>
              <w:right w:val="single" w:sz="4" w:space="0" w:color="auto"/>
            </w:tcBorders>
            <w:shd w:val="clear" w:color="auto" w:fill="auto"/>
            <w:noWrap/>
            <w:vAlign w:val="center"/>
            <w:hideMark/>
          </w:tcPr>
          <w:p w14:paraId="7DCAC5BA"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67106B13" w14:textId="77777777" w:rsidR="00D24589" w:rsidRDefault="00D24589">
            <w:pPr>
              <w:jc w:val="center"/>
              <w:rPr>
                <w:color w:val="000000"/>
              </w:rPr>
            </w:pPr>
            <w:r>
              <w:rPr>
                <w:color w:val="000000"/>
              </w:rPr>
              <w:t>6.83E+00</w:t>
            </w:r>
          </w:p>
        </w:tc>
        <w:tc>
          <w:tcPr>
            <w:tcW w:w="1420" w:type="dxa"/>
            <w:tcBorders>
              <w:top w:val="nil"/>
              <w:left w:val="nil"/>
              <w:bottom w:val="single" w:sz="4" w:space="0" w:color="auto"/>
              <w:right w:val="single" w:sz="4" w:space="0" w:color="auto"/>
            </w:tcBorders>
            <w:shd w:val="clear" w:color="auto" w:fill="auto"/>
            <w:noWrap/>
            <w:vAlign w:val="center"/>
            <w:hideMark/>
          </w:tcPr>
          <w:p w14:paraId="7BE8B780" w14:textId="77777777" w:rsidR="00D24589" w:rsidRDefault="00D24589">
            <w:pPr>
              <w:jc w:val="center"/>
              <w:rPr>
                <w:color w:val="000000"/>
              </w:rPr>
            </w:pPr>
            <w:r>
              <w:rPr>
                <w:color w:val="000000"/>
              </w:rPr>
              <w:t>4.12E+00</w:t>
            </w:r>
          </w:p>
        </w:tc>
        <w:tc>
          <w:tcPr>
            <w:tcW w:w="880" w:type="dxa"/>
            <w:tcBorders>
              <w:top w:val="nil"/>
              <w:left w:val="nil"/>
              <w:bottom w:val="single" w:sz="4" w:space="0" w:color="auto"/>
              <w:right w:val="single" w:sz="4" w:space="0" w:color="auto"/>
            </w:tcBorders>
            <w:shd w:val="clear" w:color="auto" w:fill="auto"/>
            <w:noWrap/>
            <w:vAlign w:val="center"/>
            <w:hideMark/>
          </w:tcPr>
          <w:p w14:paraId="29D4B684" w14:textId="77777777" w:rsidR="00D24589" w:rsidRDefault="00D24589">
            <w:pPr>
              <w:jc w:val="center"/>
              <w:rPr>
                <w:color w:val="000000"/>
              </w:rPr>
            </w:pPr>
            <w:r>
              <w:rPr>
                <w:color w:val="000000"/>
              </w:rPr>
              <w:t>a, Cal.</w:t>
            </w:r>
          </w:p>
        </w:tc>
      </w:tr>
      <w:tr w:rsidR="00D24589" w14:paraId="7265B55C"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9722A3E" w14:textId="77777777" w:rsidR="00D24589" w:rsidRDefault="00D24589">
            <w:pPr>
              <w:jc w:val="center"/>
              <w:rPr>
                <w:color w:val="000000"/>
              </w:rPr>
            </w:pPr>
            <w:r>
              <w:rPr>
                <w:color w:val="000000"/>
              </w:rPr>
              <w:t>Er</w:t>
            </w:r>
          </w:p>
        </w:tc>
        <w:tc>
          <w:tcPr>
            <w:tcW w:w="880" w:type="dxa"/>
            <w:tcBorders>
              <w:top w:val="nil"/>
              <w:left w:val="nil"/>
              <w:bottom w:val="single" w:sz="4" w:space="0" w:color="auto"/>
              <w:right w:val="single" w:sz="4" w:space="0" w:color="auto"/>
            </w:tcBorders>
            <w:shd w:val="clear" w:color="auto" w:fill="auto"/>
            <w:noWrap/>
            <w:vAlign w:val="center"/>
            <w:hideMark/>
          </w:tcPr>
          <w:p w14:paraId="2BCB9292"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3BC2C33B" w14:textId="77777777" w:rsidR="00D24589" w:rsidRDefault="00D24589">
            <w:pPr>
              <w:jc w:val="center"/>
              <w:rPr>
                <w:color w:val="000000"/>
              </w:rPr>
            </w:pPr>
            <w:r>
              <w:rPr>
                <w:color w:val="000000"/>
              </w:rPr>
              <w:t>1.59E-01</w:t>
            </w:r>
          </w:p>
        </w:tc>
        <w:tc>
          <w:tcPr>
            <w:tcW w:w="880" w:type="dxa"/>
            <w:tcBorders>
              <w:top w:val="nil"/>
              <w:left w:val="nil"/>
              <w:bottom w:val="single" w:sz="4" w:space="0" w:color="auto"/>
              <w:right w:val="single" w:sz="4" w:space="0" w:color="auto"/>
            </w:tcBorders>
            <w:shd w:val="clear" w:color="auto" w:fill="auto"/>
            <w:noWrap/>
            <w:vAlign w:val="center"/>
            <w:hideMark/>
          </w:tcPr>
          <w:p w14:paraId="39C88042"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5BED24F0" w14:textId="77777777" w:rsidR="00D24589" w:rsidRDefault="00D24589">
            <w:pPr>
              <w:jc w:val="center"/>
              <w:rPr>
                <w:color w:val="000000"/>
              </w:rPr>
            </w:pPr>
            <w:r>
              <w:rPr>
                <w:color w:val="000000"/>
              </w:rPr>
              <w:t>9.39E+00</w:t>
            </w:r>
          </w:p>
        </w:tc>
        <w:tc>
          <w:tcPr>
            <w:tcW w:w="1420" w:type="dxa"/>
            <w:tcBorders>
              <w:top w:val="nil"/>
              <w:left w:val="nil"/>
              <w:bottom w:val="single" w:sz="4" w:space="0" w:color="auto"/>
              <w:right w:val="single" w:sz="4" w:space="0" w:color="auto"/>
            </w:tcBorders>
            <w:shd w:val="clear" w:color="auto" w:fill="auto"/>
            <w:noWrap/>
            <w:vAlign w:val="center"/>
            <w:hideMark/>
          </w:tcPr>
          <w:p w14:paraId="33AEF789" w14:textId="77777777" w:rsidR="00D24589" w:rsidRDefault="00D24589">
            <w:pPr>
              <w:jc w:val="center"/>
              <w:rPr>
                <w:color w:val="000000"/>
              </w:rPr>
            </w:pPr>
            <w:r>
              <w:rPr>
                <w:color w:val="000000"/>
              </w:rPr>
              <w:t>5.71E+00</w:t>
            </w:r>
          </w:p>
        </w:tc>
        <w:tc>
          <w:tcPr>
            <w:tcW w:w="880" w:type="dxa"/>
            <w:tcBorders>
              <w:top w:val="nil"/>
              <w:left w:val="nil"/>
              <w:bottom w:val="single" w:sz="4" w:space="0" w:color="auto"/>
              <w:right w:val="single" w:sz="4" w:space="0" w:color="auto"/>
            </w:tcBorders>
            <w:shd w:val="clear" w:color="auto" w:fill="auto"/>
            <w:noWrap/>
            <w:vAlign w:val="center"/>
            <w:hideMark/>
          </w:tcPr>
          <w:p w14:paraId="5A5B0F45" w14:textId="77777777" w:rsidR="00D24589" w:rsidRDefault="00D24589">
            <w:pPr>
              <w:jc w:val="center"/>
              <w:rPr>
                <w:color w:val="000000"/>
              </w:rPr>
            </w:pPr>
            <w:r>
              <w:rPr>
                <w:color w:val="000000"/>
              </w:rPr>
              <w:t>a, Cal.</w:t>
            </w:r>
          </w:p>
        </w:tc>
      </w:tr>
      <w:tr w:rsidR="00D24589" w14:paraId="60D8D095"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2EB8ED2" w14:textId="77777777" w:rsidR="00D24589" w:rsidRDefault="00D24589">
            <w:pPr>
              <w:jc w:val="center"/>
              <w:rPr>
                <w:color w:val="000000"/>
              </w:rPr>
            </w:pPr>
            <w:r>
              <w:rPr>
                <w:color w:val="000000"/>
              </w:rPr>
              <w:t>Tm</w:t>
            </w:r>
          </w:p>
        </w:tc>
        <w:tc>
          <w:tcPr>
            <w:tcW w:w="880" w:type="dxa"/>
            <w:tcBorders>
              <w:top w:val="nil"/>
              <w:left w:val="nil"/>
              <w:bottom w:val="single" w:sz="4" w:space="0" w:color="auto"/>
              <w:right w:val="single" w:sz="4" w:space="0" w:color="auto"/>
            </w:tcBorders>
            <w:shd w:val="clear" w:color="auto" w:fill="auto"/>
            <w:noWrap/>
            <w:vAlign w:val="center"/>
            <w:hideMark/>
          </w:tcPr>
          <w:p w14:paraId="61D2E6A1"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72E68E3E" w14:textId="77777777" w:rsidR="00D24589" w:rsidRDefault="00D24589">
            <w:pPr>
              <w:jc w:val="center"/>
              <w:rPr>
                <w:color w:val="000000"/>
              </w:rPr>
            </w:pPr>
            <w:r>
              <w:rPr>
                <w:color w:val="000000"/>
              </w:rPr>
              <w:t>1.82E-01</w:t>
            </w:r>
          </w:p>
        </w:tc>
        <w:tc>
          <w:tcPr>
            <w:tcW w:w="880" w:type="dxa"/>
            <w:tcBorders>
              <w:top w:val="nil"/>
              <w:left w:val="nil"/>
              <w:bottom w:val="single" w:sz="4" w:space="0" w:color="auto"/>
              <w:right w:val="single" w:sz="4" w:space="0" w:color="auto"/>
            </w:tcBorders>
            <w:shd w:val="clear" w:color="auto" w:fill="auto"/>
            <w:noWrap/>
            <w:vAlign w:val="center"/>
            <w:hideMark/>
          </w:tcPr>
          <w:p w14:paraId="11EBE5F9"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21E24844" w14:textId="77777777" w:rsidR="00D24589" w:rsidRDefault="00D24589">
            <w:pPr>
              <w:jc w:val="center"/>
              <w:rPr>
                <w:color w:val="000000"/>
              </w:rPr>
            </w:pPr>
            <w:r>
              <w:rPr>
                <w:color w:val="000000"/>
              </w:rPr>
              <w:t>1.22E+01</w:t>
            </w:r>
          </w:p>
        </w:tc>
        <w:tc>
          <w:tcPr>
            <w:tcW w:w="1420" w:type="dxa"/>
            <w:tcBorders>
              <w:top w:val="nil"/>
              <w:left w:val="nil"/>
              <w:bottom w:val="single" w:sz="4" w:space="0" w:color="auto"/>
              <w:right w:val="single" w:sz="4" w:space="0" w:color="auto"/>
            </w:tcBorders>
            <w:shd w:val="clear" w:color="auto" w:fill="auto"/>
            <w:noWrap/>
            <w:vAlign w:val="center"/>
            <w:hideMark/>
          </w:tcPr>
          <w:p w14:paraId="00FB2522" w14:textId="77777777" w:rsidR="00D24589" w:rsidRDefault="00D24589">
            <w:pPr>
              <w:jc w:val="center"/>
              <w:rPr>
                <w:color w:val="000000"/>
              </w:rPr>
            </w:pPr>
            <w:r>
              <w:rPr>
                <w:color w:val="000000"/>
              </w:rPr>
              <w:t>7.49E+00</w:t>
            </w:r>
          </w:p>
        </w:tc>
        <w:tc>
          <w:tcPr>
            <w:tcW w:w="880" w:type="dxa"/>
            <w:tcBorders>
              <w:top w:val="nil"/>
              <w:left w:val="nil"/>
              <w:bottom w:val="single" w:sz="4" w:space="0" w:color="auto"/>
              <w:right w:val="single" w:sz="4" w:space="0" w:color="auto"/>
            </w:tcBorders>
            <w:shd w:val="clear" w:color="auto" w:fill="auto"/>
            <w:noWrap/>
            <w:vAlign w:val="center"/>
            <w:hideMark/>
          </w:tcPr>
          <w:p w14:paraId="3DCC4751" w14:textId="77777777" w:rsidR="00D24589" w:rsidRDefault="00D24589">
            <w:pPr>
              <w:jc w:val="center"/>
              <w:rPr>
                <w:color w:val="000000"/>
              </w:rPr>
            </w:pPr>
            <w:r>
              <w:rPr>
                <w:color w:val="000000"/>
              </w:rPr>
              <w:t>a, Cal.</w:t>
            </w:r>
          </w:p>
        </w:tc>
      </w:tr>
      <w:tr w:rsidR="00D24589" w14:paraId="56AB2E42"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8C6C77B" w14:textId="77777777" w:rsidR="00D24589" w:rsidRDefault="00D24589">
            <w:pPr>
              <w:jc w:val="center"/>
              <w:rPr>
                <w:color w:val="000000"/>
              </w:rPr>
            </w:pPr>
            <w:r>
              <w:rPr>
                <w:color w:val="000000"/>
              </w:rPr>
              <w:t>Yb</w:t>
            </w:r>
          </w:p>
        </w:tc>
        <w:tc>
          <w:tcPr>
            <w:tcW w:w="880" w:type="dxa"/>
            <w:tcBorders>
              <w:top w:val="nil"/>
              <w:left w:val="nil"/>
              <w:bottom w:val="single" w:sz="4" w:space="0" w:color="auto"/>
              <w:right w:val="single" w:sz="4" w:space="0" w:color="auto"/>
            </w:tcBorders>
            <w:shd w:val="clear" w:color="auto" w:fill="auto"/>
            <w:noWrap/>
            <w:vAlign w:val="center"/>
            <w:hideMark/>
          </w:tcPr>
          <w:p w14:paraId="7CDFB456"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2D1654C9" w14:textId="77777777" w:rsidR="00D24589" w:rsidRDefault="00D24589">
            <w:pPr>
              <w:jc w:val="center"/>
              <w:rPr>
                <w:color w:val="000000"/>
              </w:rPr>
            </w:pPr>
            <w:r>
              <w:rPr>
                <w:color w:val="000000"/>
              </w:rPr>
              <w:t>2.10E-01</w:t>
            </w:r>
          </w:p>
        </w:tc>
        <w:tc>
          <w:tcPr>
            <w:tcW w:w="880" w:type="dxa"/>
            <w:tcBorders>
              <w:top w:val="nil"/>
              <w:left w:val="nil"/>
              <w:bottom w:val="single" w:sz="4" w:space="0" w:color="auto"/>
              <w:right w:val="single" w:sz="4" w:space="0" w:color="auto"/>
            </w:tcBorders>
            <w:shd w:val="clear" w:color="auto" w:fill="auto"/>
            <w:noWrap/>
            <w:vAlign w:val="center"/>
            <w:hideMark/>
          </w:tcPr>
          <w:p w14:paraId="4CBF5B24"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64184FCA" w14:textId="77777777" w:rsidR="00D24589" w:rsidRDefault="00D24589">
            <w:pPr>
              <w:jc w:val="center"/>
              <w:rPr>
                <w:color w:val="000000"/>
              </w:rPr>
            </w:pPr>
            <w:r>
              <w:rPr>
                <w:color w:val="000000"/>
              </w:rPr>
              <w:t>1.51E+01</w:t>
            </w:r>
          </w:p>
        </w:tc>
        <w:tc>
          <w:tcPr>
            <w:tcW w:w="1420" w:type="dxa"/>
            <w:tcBorders>
              <w:top w:val="nil"/>
              <w:left w:val="nil"/>
              <w:bottom w:val="single" w:sz="4" w:space="0" w:color="auto"/>
              <w:right w:val="single" w:sz="4" w:space="0" w:color="auto"/>
            </w:tcBorders>
            <w:shd w:val="clear" w:color="auto" w:fill="auto"/>
            <w:noWrap/>
            <w:vAlign w:val="center"/>
            <w:hideMark/>
          </w:tcPr>
          <w:p w14:paraId="13B9DED0" w14:textId="77777777" w:rsidR="00D24589" w:rsidRDefault="00D24589">
            <w:pPr>
              <w:jc w:val="center"/>
              <w:rPr>
                <w:color w:val="000000"/>
              </w:rPr>
            </w:pPr>
            <w:r>
              <w:rPr>
                <w:color w:val="000000"/>
              </w:rPr>
              <w:t>9.41E+00</w:t>
            </w:r>
          </w:p>
        </w:tc>
        <w:tc>
          <w:tcPr>
            <w:tcW w:w="880" w:type="dxa"/>
            <w:tcBorders>
              <w:top w:val="nil"/>
              <w:left w:val="nil"/>
              <w:bottom w:val="single" w:sz="4" w:space="0" w:color="auto"/>
              <w:right w:val="single" w:sz="4" w:space="0" w:color="auto"/>
            </w:tcBorders>
            <w:shd w:val="clear" w:color="auto" w:fill="auto"/>
            <w:noWrap/>
            <w:vAlign w:val="center"/>
            <w:hideMark/>
          </w:tcPr>
          <w:p w14:paraId="5CA590A7" w14:textId="77777777" w:rsidR="00D24589" w:rsidRDefault="00D24589">
            <w:pPr>
              <w:jc w:val="center"/>
              <w:rPr>
                <w:color w:val="000000"/>
              </w:rPr>
            </w:pPr>
            <w:r>
              <w:rPr>
                <w:color w:val="000000"/>
              </w:rPr>
              <w:t>a, Cal.</w:t>
            </w:r>
          </w:p>
        </w:tc>
      </w:tr>
      <w:tr w:rsidR="00D24589" w14:paraId="6703D731"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01A80C8" w14:textId="77777777" w:rsidR="00D24589" w:rsidRDefault="00D24589">
            <w:pPr>
              <w:jc w:val="center"/>
              <w:rPr>
                <w:color w:val="000000"/>
              </w:rPr>
            </w:pPr>
            <w:r>
              <w:rPr>
                <w:color w:val="000000"/>
              </w:rPr>
              <w:t>Lu</w:t>
            </w:r>
          </w:p>
        </w:tc>
        <w:tc>
          <w:tcPr>
            <w:tcW w:w="880" w:type="dxa"/>
            <w:tcBorders>
              <w:top w:val="nil"/>
              <w:left w:val="nil"/>
              <w:bottom w:val="single" w:sz="4" w:space="0" w:color="auto"/>
              <w:right w:val="single" w:sz="4" w:space="0" w:color="auto"/>
            </w:tcBorders>
            <w:shd w:val="clear" w:color="auto" w:fill="auto"/>
            <w:noWrap/>
            <w:vAlign w:val="center"/>
            <w:hideMark/>
          </w:tcPr>
          <w:p w14:paraId="13CB343A"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759F580E" w14:textId="77777777" w:rsidR="00D24589" w:rsidRDefault="00D24589">
            <w:pPr>
              <w:jc w:val="center"/>
              <w:rPr>
                <w:color w:val="000000"/>
              </w:rPr>
            </w:pPr>
            <w:r>
              <w:rPr>
                <w:color w:val="000000"/>
              </w:rPr>
              <w:t>2.27E-01</w:t>
            </w:r>
          </w:p>
        </w:tc>
        <w:tc>
          <w:tcPr>
            <w:tcW w:w="880" w:type="dxa"/>
            <w:tcBorders>
              <w:top w:val="nil"/>
              <w:left w:val="nil"/>
              <w:bottom w:val="single" w:sz="4" w:space="0" w:color="auto"/>
              <w:right w:val="single" w:sz="4" w:space="0" w:color="auto"/>
            </w:tcBorders>
            <w:shd w:val="clear" w:color="auto" w:fill="auto"/>
            <w:noWrap/>
            <w:vAlign w:val="center"/>
            <w:hideMark/>
          </w:tcPr>
          <w:p w14:paraId="7D020820" w14:textId="77777777" w:rsidR="00D24589" w:rsidRDefault="00D24589">
            <w:pPr>
              <w:jc w:val="center"/>
              <w:rPr>
                <w:color w:val="000000"/>
              </w:rPr>
            </w:pPr>
            <w:r>
              <w:rPr>
                <w:color w:val="000000"/>
              </w:rPr>
              <w:t>f, Cal.</w:t>
            </w:r>
          </w:p>
        </w:tc>
        <w:tc>
          <w:tcPr>
            <w:tcW w:w="1420" w:type="dxa"/>
            <w:tcBorders>
              <w:top w:val="nil"/>
              <w:left w:val="nil"/>
              <w:bottom w:val="single" w:sz="4" w:space="0" w:color="auto"/>
              <w:right w:val="single" w:sz="4" w:space="0" w:color="auto"/>
            </w:tcBorders>
            <w:shd w:val="clear" w:color="auto" w:fill="auto"/>
            <w:noWrap/>
            <w:vAlign w:val="center"/>
            <w:hideMark/>
          </w:tcPr>
          <w:p w14:paraId="51FEAD62" w14:textId="77777777" w:rsidR="00D24589" w:rsidRDefault="00D24589">
            <w:pPr>
              <w:jc w:val="center"/>
              <w:rPr>
                <w:color w:val="000000"/>
              </w:rPr>
            </w:pPr>
            <w:r>
              <w:rPr>
                <w:color w:val="000000"/>
              </w:rPr>
              <w:t>1.79E+01</w:t>
            </w:r>
          </w:p>
        </w:tc>
        <w:tc>
          <w:tcPr>
            <w:tcW w:w="1420" w:type="dxa"/>
            <w:tcBorders>
              <w:top w:val="nil"/>
              <w:left w:val="nil"/>
              <w:bottom w:val="single" w:sz="4" w:space="0" w:color="auto"/>
              <w:right w:val="single" w:sz="4" w:space="0" w:color="auto"/>
            </w:tcBorders>
            <w:shd w:val="clear" w:color="auto" w:fill="auto"/>
            <w:noWrap/>
            <w:vAlign w:val="center"/>
            <w:hideMark/>
          </w:tcPr>
          <w:p w14:paraId="324E68E3" w14:textId="77777777" w:rsidR="00D24589" w:rsidRDefault="00D24589">
            <w:pPr>
              <w:jc w:val="center"/>
              <w:rPr>
                <w:color w:val="000000"/>
              </w:rPr>
            </w:pPr>
            <w:r>
              <w:rPr>
                <w:color w:val="000000"/>
              </w:rPr>
              <w:t>1.14E+01</w:t>
            </w:r>
          </w:p>
        </w:tc>
        <w:tc>
          <w:tcPr>
            <w:tcW w:w="880" w:type="dxa"/>
            <w:tcBorders>
              <w:top w:val="nil"/>
              <w:left w:val="nil"/>
              <w:bottom w:val="single" w:sz="4" w:space="0" w:color="auto"/>
              <w:right w:val="single" w:sz="4" w:space="0" w:color="auto"/>
            </w:tcBorders>
            <w:shd w:val="clear" w:color="auto" w:fill="auto"/>
            <w:noWrap/>
            <w:vAlign w:val="center"/>
            <w:hideMark/>
          </w:tcPr>
          <w:p w14:paraId="051A8F9B" w14:textId="77777777" w:rsidR="00D24589" w:rsidRDefault="00D24589">
            <w:pPr>
              <w:jc w:val="center"/>
              <w:rPr>
                <w:color w:val="000000"/>
              </w:rPr>
            </w:pPr>
            <w:r>
              <w:rPr>
                <w:color w:val="000000"/>
              </w:rPr>
              <w:t>a, Cal.</w:t>
            </w:r>
          </w:p>
        </w:tc>
      </w:tr>
      <w:tr w:rsidR="00D24589" w14:paraId="4EDF24EA"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963613F" w14:textId="77777777" w:rsidR="00D24589" w:rsidRDefault="00D24589">
            <w:pPr>
              <w:jc w:val="center"/>
              <w:rPr>
                <w:color w:val="000000"/>
              </w:rPr>
            </w:pPr>
            <w:r>
              <w:rPr>
                <w:color w:val="000000"/>
              </w:rPr>
              <w:t>Hf</w:t>
            </w:r>
          </w:p>
        </w:tc>
        <w:tc>
          <w:tcPr>
            <w:tcW w:w="880" w:type="dxa"/>
            <w:tcBorders>
              <w:top w:val="nil"/>
              <w:left w:val="nil"/>
              <w:bottom w:val="single" w:sz="4" w:space="0" w:color="auto"/>
              <w:right w:val="single" w:sz="4" w:space="0" w:color="auto"/>
            </w:tcBorders>
            <w:shd w:val="clear" w:color="auto" w:fill="auto"/>
            <w:noWrap/>
            <w:vAlign w:val="center"/>
            <w:hideMark/>
          </w:tcPr>
          <w:p w14:paraId="14967DB0" w14:textId="77777777" w:rsidR="00D24589" w:rsidRDefault="00D24589">
            <w:pPr>
              <w:jc w:val="center"/>
              <w:rPr>
                <w:color w:val="000000"/>
              </w:rPr>
            </w:pPr>
            <w:r>
              <w:rPr>
                <w:color w:val="000000"/>
              </w:rPr>
              <w:t>e, Cal.</w:t>
            </w:r>
          </w:p>
        </w:tc>
        <w:tc>
          <w:tcPr>
            <w:tcW w:w="1420" w:type="dxa"/>
            <w:tcBorders>
              <w:top w:val="nil"/>
              <w:left w:val="nil"/>
              <w:bottom w:val="single" w:sz="4" w:space="0" w:color="auto"/>
              <w:right w:val="single" w:sz="4" w:space="0" w:color="auto"/>
            </w:tcBorders>
            <w:shd w:val="clear" w:color="auto" w:fill="auto"/>
            <w:noWrap/>
            <w:vAlign w:val="center"/>
            <w:hideMark/>
          </w:tcPr>
          <w:p w14:paraId="6C608D92" w14:textId="77777777" w:rsidR="00D24589" w:rsidRDefault="00D24589">
            <w:pPr>
              <w:jc w:val="center"/>
              <w:rPr>
                <w:color w:val="000000"/>
              </w:rPr>
            </w:pPr>
            <w:r>
              <w:rPr>
                <w:color w:val="000000"/>
              </w:rPr>
              <w:t>6.81E-02</w:t>
            </w:r>
          </w:p>
        </w:tc>
        <w:tc>
          <w:tcPr>
            <w:tcW w:w="880" w:type="dxa"/>
            <w:tcBorders>
              <w:top w:val="nil"/>
              <w:left w:val="nil"/>
              <w:bottom w:val="single" w:sz="4" w:space="0" w:color="auto"/>
              <w:right w:val="single" w:sz="4" w:space="0" w:color="auto"/>
            </w:tcBorders>
            <w:shd w:val="clear" w:color="auto" w:fill="auto"/>
            <w:noWrap/>
            <w:vAlign w:val="center"/>
            <w:hideMark/>
          </w:tcPr>
          <w:p w14:paraId="4F240290" w14:textId="77777777" w:rsidR="00D24589" w:rsidRDefault="00D24589">
            <w:pPr>
              <w:jc w:val="center"/>
              <w:rPr>
                <w:color w:val="000000"/>
              </w:rPr>
            </w:pPr>
            <w:r>
              <w:rPr>
                <w:color w:val="000000"/>
              </w:rPr>
              <w:t>g</w:t>
            </w:r>
          </w:p>
        </w:tc>
        <w:tc>
          <w:tcPr>
            <w:tcW w:w="1420" w:type="dxa"/>
            <w:tcBorders>
              <w:top w:val="nil"/>
              <w:left w:val="nil"/>
              <w:bottom w:val="single" w:sz="4" w:space="0" w:color="auto"/>
              <w:right w:val="single" w:sz="4" w:space="0" w:color="auto"/>
            </w:tcBorders>
            <w:shd w:val="clear" w:color="auto" w:fill="auto"/>
            <w:noWrap/>
            <w:vAlign w:val="center"/>
            <w:hideMark/>
          </w:tcPr>
          <w:p w14:paraId="33833723" w14:textId="77777777" w:rsidR="00D24589" w:rsidRDefault="00D24589">
            <w:pPr>
              <w:jc w:val="center"/>
              <w:rPr>
                <w:color w:val="000000"/>
              </w:rPr>
            </w:pPr>
            <w:r>
              <w:rPr>
                <w:color w:val="000000"/>
              </w:rPr>
              <w:t>6.50E-01</w:t>
            </w:r>
          </w:p>
        </w:tc>
        <w:tc>
          <w:tcPr>
            <w:tcW w:w="1420" w:type="dxa"/>
            <w:tcBorders>
              <w:top w:val="nil"/>
              <w:left w:val="nil"/>
              <w:bottom w:val="single" w:sz="4" w:space="0" w:color="auto"/>
              <w:right w:val="single" w:sz="4" w:space="0" w:color="auto"/>
            </w:tcBorders>
            <w:shd w:val="clear" w:color="auto" w:fill="auto"/>
            <w:noWrap/>
            <w:vAlign w:val="center"/>
            <w:hideMark/>
          </w:tcPr>
          <w:p w14:paraId="4BE717F9" w14:textId="77777777" w:rsidR="00D24589" w:rsidRDefault="00D24589">
            <w:pPr>
              <w:jc w:val="center"/>
              <w:rPr>
                <w:color w:val="000000"/>
              </w:rPr>
            </w:pPr>
            <w:r>
              <w:rPr>
                <w:color w:val="000000"/>
              </w:rPr>
              <w:t>6.50E-01</w:t>
            </w:r>
          </w:p>
        </w:tc>
        <w:tc>
          <w:tcPr>
            <w:tcW w:w="880" w:type="dxa"/>
            <w:tcBorders>
              <w:top w:val="nil"/>
              <w:left w:val="nil"/>
              <w:bottom w:val="single" w:sz="4" w:space="0" w:color="auto"/>
              <w:right w:val="single" w:sz="4" w:space="0" w:color="auto"/>
            </w:tcBorders>
            <w:shd w:val="clear" w:color="auto" w:fill="auto"/>
            <w:noWrap/>
            <w:vAlign w:val="center"/>
            <w:hideMark/>
          </w:tcPr>
          <w:p w14:paraId="7B8F98A0" w14:textId="77777777" w:rsidR="00D24589" w:rsidRDefault="00D24589">
            <w:pPr>
              <w:jc w:val="center"/>
              <w:rPr>
                <w:color w:val="000000"/>
              </w:rPr>
            </w:pPr>
            <w:r>
              <w:rPr>
                <w:color w:val="000000"/>
              </w:rPr>
              <w:t>h</w:t>
            </w:r>
          </w:p>
        </w:tc>
      </w:tr>
      <w:tr w:rsidR="00D24589" w14:paraId="7D1F9D70"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61980956" w14:textId="77777777" w:rsidR="00D24589" w:rsidRDefault="00D24589">
            <w:pPr>
              <w:jc w:val="center"/>
              <w:rPr>
                <w:color w:val="000000"/>
              </w:rPr>
            </w:pPr>
            <w:r>
              <w:rPr>
                <w:color w:val="000000"/>
              </w:rPr>
              <w:t>Melting</w:t>
            </w:r>
          </w:p>
        </w:tc>
        <w:tc>
          <w:tcPr>
            <w:tcW w:w="880" w:type="dxa"/>
            <w:tcBorders>
              <w:top w:val="nil"/>
              <w:left w:val="nil"/>
              <w:bottom w:val="single" w:sz="4" w:space="0" w:color="auto"/>
              <w:right w:val="single" w:sz="4" w:space="0" w:color="auto"/>
            </w:tcBorders>
            <w:shd w:val="clear" w:color="auto" w:fill="auto"/>
            <w:vAlign w:val="center"/>
            <w:hideMark/>
          </w:tcPr>
          <w:p w14:paraId="20AB0A67"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vAlign w:val="center"/>
            <w:hideMark/>
          </w:tcPr>
          <w:p w14:paraId="5CBAC2F2" w14:textId="77777777" w:rsidR="00D24589" w:rsidRDefault="00D24589">
            <w:pPr>
              <w:jc w:val="center"/>
              <w:rPr>
                <w:color w:val="000000"/>
              </w:rPr>
            </w:pPr>
            <w:r>
              <w:rPr>
                <w:color w:val="000000"/>
              </w:rPr>
              <w:t>IBC</w:t>
            </w:r>
          </w:p>
        </w:tc>
        <w:tc>
          <w:tcPr>
            <w:tcW w:w="880" w:type="dxa"/>
            <w:tcBorders>
              <w:top w:val="nil"/>
              <w:left w:val="nil"/>
              <w:bottom w:val="single" w:sz="4" w:space="0" w:color="auto"/>
              <w:right w:val="single" w:sz="4" w:space="0" w:color="auto"/>
            </w:tcBorders>
            <w:shd w:val="clear" w:color="auto" w:fill="auto"/>
            <w:vAlign w:val="center"/>
            <w:hideMark/>
          </w:tcPr>
          <w:p w14:paraId="03D59A3B"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vAlign w:val="center"/>
            <w:hideMark/>
          </w:tcPr>
          <w:p w14:paraId="348A7485" w14:textId="77777777" w:rsidR="00D24589" w:rsidRDefault="00D24589">
            <w:pPr>
              <w:jc w:val="center"/>
              <w:rPr>
                <w:color w:val="000000"/>
              </w:rPr>
            </w:pPr>
            <w:r>
              <w:rPr>
                <w:color w:val="000000"/>
              </w:rPr>
              <w:t>IBC</w:t>
            </w:r>
          </w:p>
        </w:tc>
        <w:tc>
          <w:tcPr>
            <w:tcW w:w="1420" w:type="dxa"/>
            <w:tcBorders>
              <w:top w:val="nil"/>
              <w:left w:val="nil"/>
              <w:bottom w:val="single" w:sz="4" w:space="0" w:color="auto"/>
              <w:right w:val="single" w:sz="4" w:space="0" w:color="auto"/>
            </w:tcBorders>
            <w:shd w:val="clear" w:color="auto" w:fill="auto"/>
            <w:vAlign w:val="center"/>
            <w:hideMark/>
          </w:tcPr>
          <w:p w14:paraId="3EA4D6CD" w14:textId="77777777" w:rsidR="00D24589" w:rsidRDefault="00D24589">
            <w:pPr>
              <w:jc w:val="center"/>
              <w:rPr>
                <w:color w:val="000000"/>
              </w:rPr>
            </w:pPr>
            <w:r>
              <w:rPr>
                <w:color w:val="000000"/>
              </w:rPr>
              <w:t>Hyb. Sr. #2</w:t>
            </w:r>
          </w:p>
        </w:tc>
        <w:tc>
          <w:tcPr>
            <w:tcW w:w="880" w:type="dxa"/>
            <w:tcBorders>
              <w:top w:val="nil"/>
              <w:left w:val="nil"/>
              <w:bottom w:val="single" w:sz="4" w:space="0" w:color="auto"/>
              <w:right w:val="single" w:sz="4" w:space="0" w:color="auto"/>
            </w:tcBorders>
            <w:shd w:val="clear" w:color="auto" w:fill="auto"/>
            <w:vAlign w:val="center"/>
            <w:hideMark/>
          </w:tcPr>
          <w:p w14:paraId="54D1510F" w14:textId="77777777" w:rsidR="00D24589" w:rsidRDefault="00D24589">
            <w:pPr>
              <w:jc w:val="center"/>
              <w:rPr>
                <w:color w:val="000000"/>
              </w:rPr>
            </w:pPr>
            <w:r>
              <w:rPr>
                <w:color w:val="000000"/>
              </w:rPr>
              <w:t> </w:t>
            </w:r>
          </w:p>
        </w:tc>
      </w:tr>
      <w:tr w:rsidR="00D24589" w14:paraId="411CC8A6"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0E7CE98" w14:textId="77777777" w:rsidR="00D24589" w:rsidRDefault="00D24589">
            <w:pPr>
              <w:jc w:val="center"/>
              <w:rPr>
                <w:color w:val="000000"/>
              </w:rPr>
            </w:pPr>
            <w:r>
              <w:rPr>
                <w:color w:val="000000"/>
              </w:rPr>
              <w:t>T (ºC)</w:t>
            </w:r>
          </w:p>
        </w:tc>
        <w:tc>
          <w:tcPr>
            <w:tcW w:w="880" w:type="dxa"/>
            <w:tcBorders>
              <w:top w:val="nil"/>
              <w:left w:val="nil"/>
              <w:bottom w:val="single" w:sz="4" w:space="0" w:color="auto"/>
              <w:right w:val="single" w:sz="4" w:space="0" w:color="auto"/>
            </w:tcBorders>
            <w:shd w:val="clear" w:color="auto" w:fill="auto"/>
            <w:noWrap/>
            <w:vAlign w:val="bottom"/>
            <w:hideMark/>
          </w:tcPr>
          <w:p w14:paraId="17ED6F45"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0AD25993"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42C31606"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5130B1CE" w14:textId="77777777" w:rsidR="00D24589" w:rsidRDefault="00D24589">
            <w:pPr>
              <w:jc w:val="center"/>
              <w:rPr>
                <w:color w:val="000000"/>
              </w:rPr>
            </w:pPr>
            <w:r>
              <w:rPr>
                <w:color w:val="000000"/>
              </w:rPr>
              <w:t>1300</w:t>
            </w:r>
          </w:p>
        </w:tc>
        <w:tc>
          <w:tcPr>
            <w:tcW w:w="1420" w:type="dxa"/>
            <w:tcBorders>
              <w:top w:val="nil"/>
              <w:left w:val="nil"/>
              <w:bottom w:val="single" w:sz="4" w:space="0" w:color="auto"/>
              <w:right w:val="single" w:sz="4" w:space="0" w:color="auto"/>
            </w:tcBorders>
            <w:shd w:val="clear" w:color="auto" w:fill="auto"/>
            <w:noWrap/>
            <w:vAlign w:val="bottom"/>
            <w:hideMark/>
          </w:tcPr>
          <w:p w14:paraId="54220C91" w14:textId="77777777" w:rsidR="00D24589" w:rsidRDefault="00D24589">
            <w:pPr>
              <w:jc w:val="center"/>
              <w:rPr>
                <w:color w:val="000000"/>
              </w:rPr>
            </w:pPr>
            <w:r>
              <w:rPr>
                <w:color w:val="000000"/>
              </w:rPr>
              <w:t>1350</w:t>
            </w:r>
          </w:p>
        </w:tc>
        <w:tc>
          <w:tcPr>
            <w:tcW w:w="880" w:type="dxa"/>
            <w:tcBorders>
              <w:top w:val="nil"/>
              <w:left w:val="nil"/>
              <w:bottom w:val="single" w:sz="4" w:space="0" w:color="auto"/>
              <w:right w:val="single" w:sz="4" w:space="0" w:color="auto"/>
            </w:tcBorders>
            <w:shd w:val="clear" w:color="auto" w:fill="auto"/>
            <w:noWrap/>
            <w:vAlign w:val="bottom"/>
            <w:hideMark/>
          </w:tcPr>
          <w:p w14:paraId="3949039F" w14:textId="77777777" w:rsidR="00D24589" w:rsidRDefault="00D24589">
            <w:pPr>
              <w:jc w:val="center"/>
              <w:rPr>
                <w:color w:val="000000"/>
              </w:rPr>
            </w:pPr>
            <w:r>
              <w:rPr>
                <w:color w:val="000000"/>
              </w:rPr>
              <w:t> </w:t>
            </w:r>
          </w:p>
        </w:tc>
      </w:tr>
      <w:tr w:rsidR="00D24589" w14:paraId="4A26D25C"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84A52A3" w14:textId="77777777" w:rsidR="00D24589" w:rsidRDefault="00D24589">
            <w:pPr>
              <w:jc w:val="center"/>
              <w:rPr>
                <w:color w:val="000000"/>
              </w:rPr>
            </w:pPr>
            <w:r>
              <w:rPr>
                <w:color w:val="000000"/>
              </w:rPr>
              <w:t>P (GPa)</w:t>
            </w:r>
          </w:p>
        </w:tc>
        <w:tc>
          <w:tcPr>
            <w:tcW w:w="880" w:type="dxa"/>
            <w:tcBorders>
              <w:top w:val="nil"/>
              <w:left w:val="nil"/>
              <w:bottom w:val="single" w:sz="4" w:space="0" w:color="auto"/>
              <w:right w:val="single" w:sz="4" w:space="0" w:color="auto"/>
            </w:tcBorders>
            <w:shd w:val="clear" w:color="auto" w:fill="auto"/>
            <w:noWrap/>
            <w:vAlign w:val="bottom"/>
            <w:hideMark/>
          </w:tcPr>
          <w:p w14:paraId="2650F1E3"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0A5C4D90"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1218345A"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459D2C86" w14:textId="77777777" w:rsidR="00D24589" w:rsidRDefault="00D24589">
            <w:pPr>
              <w:jc w:val="center"/>
              <w:rPr>
                <w:color w:val="000000"/>
              </w:rPr>
            </w:pPr>
            <w:r>
              <w:rPr>
                <w:color w:val="000000"/>
              </w:rPr>
              <w:t>2</w:t>
            </w:r>
          </w:p>
        </w:tc>
        <w:tc>
          <w:tcPr>
            <w:tcW w:w="1420" w:type="dxa"/>
            <w:tcBorders>
              <w:top w:val="nil"/>
              <w:left w:val="nil"/>
              <w:bottom w:val="single" w:sz="4" w:space="0" w:color="auto"/>
              <w:right w:val="single" w:sz="4" w:space="0" w:color="auto"/>
            </w:tcBorders>
            <w:shd w:val="clear" w:color="auto" w:fill="auto"/>
            <w:noWrap/>
            <w:vAlign w:val="bottom"/>
            <w:hideMark/>
          </w:tcPr>
          <w:p w14:paraId="39C1E3A0" w14:textId="77777777" w:rsidR="00D24589" w:rsidRDefault="00D24589">
            <w:pPr>
              <w:jc w:val="center"/>
              <w:rPr>
                <w:color w:val="000000"/>
              </w:rPr>
            </w:pPr>
            <w:r>
              <w:rPr>
                <w:color w:val="000000"/>
              </w:rPr>
              <w:t>2</w:t>
            </w:r>
          </w:p>
        </w:tc>
        <w:tc>
          <w:tcPr>
            <w:tcW w:w="880" w:type="dxa"/>
            <w:tcBorders>
              <w:top w:val="nil"/>
              <w:left w:val="nil"/>
              <w:bottom w:val="single" w:sz="4" w:space="0" w:color="auto"/>
              <w:right w:val="single" w:sz="4" w:space="0" w:color="auto"/>
            </w:tcBorders>
            <w:shd w:val="clear" w:color="auto" w:fill="auto"/>
            <w:noWrap/>
            <w:vAlign w:val="bottom"/>
            <w:hideMark/>
          </w:tcPr>
          <w:p w14:paraId="5E464DE2" w14:textId="77777777" w:rsidR="00D24589" w:rsidRDefault="00D24589">
            <w:pPr>
              <w:jc w:val="center"/>
              <w:rPr>
                <w:color w:val="000000"/>
              </w:rPr>
            </w:pPr>
            <w:r>
              <w:rPr>
                <w:color w:val="000000"/>
              </w:rPr>
              <w:t> </w:t>
            </w:r>
          </w:p>
        </w:tc>
      </w:tr>
      <w:tr w:rsidR="00D24589" w14:paraId="441B4057"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E60E58B" w14:textId="77777777" w:rsidR="00D24589" w:rsidRDefault="00D24589">
            <w:pPr>
              <w:jc w:val="center"/>
              <w:rPr>
                <w:color w:val="000000"/>
              </w:rPr>
            </w:pPr>
            <w:r>
              <w:rPr>
                <w:color w:val="000000"/>
              </w:rPr>
              <w:t>Fo</w:t>
            </w:r>
          </w:p>
        </w:tc>
        <w:tc>
          <w:tcPr>
            <w:tcW w:w="880" w:type="dxa"/>
            <w:tcBorders>
              <w:top w:val="nil"/>
              <w:left w:val="nil"/>
              <w:bottom w:val="single" w:sz="4" w:space="0" w:color="auto"/>
              <w:right w:val="single" w:sz="4" w:space="0" w:color="auto"/>
            </w:tcBorders>
            <w:shd w:val="clear" w:color="auto" w:fill="auto"/>
            <w:noWrap/>
            <w:vAlign w:val="bottom"/>
            <w:hideMark/>
          </w:tcPr>
          <w:p w14:paraId="7652E254"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64C1B2BD"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75F2F12C"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041B1023"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1D46B89A"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3D24B407" w14:textId="77777777" w:rsidR="00D24589" w:rsidRDefault="00D24589">
            <w:pPr>
              <w:jc w:val="center"/>
              <w:rPr>
                <w:color w:val="000000"/>
              </w:rPr>
            </w:pPr>
            <w:r>
              <w:rPr>
                <w:color w:val="000000"/>
              </w:rPr>
              <w:t> </w:t>
            </w:r>
          </w:p>
        </w:tc>
      </w:tr>
      <w:tr w:rsidR="00D24589" w14:paraId="43690189"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480349A" w14:textId="77777777" w:rsidR="00D24589" w:rsidRDefault="00D24589">
            <w:pPr>
              <w:jc w:val="center"/>
              <w:rPr>
                <w:color w:val="000000"/>
              </w:rPr>
            </w:pPr>
            <w:r>
              <w:rPr>
                <w:color w:val="000000"/>
              </w:rPr>
              <w:t>Al</w:t>
            </w:r>
            <w:r>
              <w:rPr>
                <w:color w:val="000000"/>
                <w:vertAlign w:val="superscript"/>
              </w:rPr>
              <w:t>ol</w:t>
            </w:r>
          </w:p>
        </w:tc>
        <w:tc>
          <w:tcPr>
            <w:tcW w:w="880" w:type="dxa"/>
            <w:tcBorders>
              <w:top w:val="nil"/>
              <w:left w:val="nil"/>
              <w:bottom w:val="single" w:sz="4" w:space="0" w:color="auto"/>
              <w:right w:val="single" w:sz="4" w:space="0" w:color="auto"/>
            </w:tcBorders>
            <w:shd w:val="clear" w:color="auto" w:fill="auto"/>
            <w:noWrap/>
            <w:vAlign w:val="bottom"/>
            <w:hideMark/>
          </w:tcPr>
          <w:p w14:paraId="256EE079"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29A64458"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6A98BB42"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0054C446"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4EFA571E"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74ED01BF" w14:textId="77777777" w:rsidR="00D24589" w:rsidRDefault="00D24589">
            <w:pPr>
              <w:jc w:val="center"/>
              <w:rPr>
                <w:color w:val="000000"/>
              </w:rPr>
            </w:pPr>
            <w:r>
              <w:rPr>
                <w:color w:val="000000"/>
              </w:rPr>
              <w:t> </w:t>
            </w:r>
          </w:p>
        </w:tc>
      </w:tr>
      <w:tr w:rsidR="00D24589" w14:paraId="14B2F2F9"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E6CB611" w14:textId="77777777" w:rsidR="00D24589" w:rsidRDefault="00D24589">
            <w:pPr>
              <w:jc w:val="center"/>
              <w:rPr>
                <w:color w:val="000000"/>
              </w:rPr>
            </w:pPr>
            <w:r>
              <w:rPr>
                <w:i/>
                <w:iCs/>
                <w:color w:val="000000"/>
              </w:rPr>
              <w:t>X</w:t>
            </w:r>
            <w:r>
              <w:rPr>
                <w:color w:val="000000"/>
              </w:rPr>
              <w:t>Ti</w:t>
            </w:r>
            <w:r>
              <w:rPr>
                <w:color w:val="000000"/>
                <w:vertAlign w:val="superscript"/>
              </w:rPr>
              <w:t>melt</w:t>
            </w:r>
          </w:p>
        </w:tc>
        <w:tc>
          <w:tcPr>
            <w:tcW w:w="880" w:type="dxa"/>
            <w:tcBorders>
              <w:top w:val="nil"/>
              <w:left w:val="nil"/>
              <w:bottom w:val="single" w:sz="4" w:space="0" w:color="auto"/>
              <w:right w:val="single" w:sz="4" w:space="0" w:color="auto"/>
            </w:tcBorders>
            <w:shd w:val="clear" w:color="auto" w:fill="auto"/>
            <w:noWrap/>
            <w:vAlign w:val="bottom"/>
            <w:hideMark/>
          </w:tcPr>
          <w:p w14:paraId="1B918717"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38F839D3"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25CF1D89"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15ACC7FF"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20813018"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171ED3E0" w14:textId="77777777" w:rsidR="00D24589" w:rsidRDefault="00D24589">
            <w:pPr>
              <w:jc w:val="center"/>
              <w:rPr>
                <w:color w:val="000000"/>
              </w:rPr>
            </w:pPr>
            <w:r>
              <w:rPr>
                <w:color w:val="000000"/>
              </w:rPr>
              <w:t> </w:t>
            </w:r>
          </w:p>
        </w:tc>
      </w:tr>
      <w:tr w:rsidR="00D24589" w14:paraId="58D44F65"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01FEF95" w14:textId="77777777" w:rsidR="00D24589" w:rsidRDefault="00D24589">
            <w:pPr>
              <w:jc w:val="center"/>
              <w:rPr>
                <w:color w:val="000000"/>
              </w:rPr>
            </w:pPr>
            <w:r>
              <w:rPr>
                <w:color w:val="000000"/>
              </w:rPr>
              <w:t>Al</w:t>
            </w:r>
            <w:r>
              <w:rPr>
                <w:color w:val="000000"/>
                <w:vertAlign w:val="superscript"/>
              </w:rPr>
              <w:t>T</w:t>
            </w:r>
          </w:p>
        </w:tc>
        <w:tc>
          <w:tcPr>
            <w:tcW w:w="880" w:type="dxa"/>
            <w:tcBorders>
              <w:top w:val="nil"/>
              <w:left w:val="nil"/>
              <w:bottom w:val="single" w:sz="4" w:space="0" w:color="auto"/>
              <w:right w:val="single" w:sz="4" w:space="0" w:color="auto"/>
            </w:tcBorders>
            <w:shd w:val="clear" w:color="auto" w:fill="auto"/>
            <w:noWrap/>
            <w:vAlign w:val="bottom"/>
            <w:hideMark/>
          </w:tcPr>
          <w:p w14:paraId="5436F8A6" w14:textId="77777777" w:rsidR="00D24589" w:rsidRDefault="00D24589">
            <w:pPr>
              <w:jc w:val="center"/>
              <w:rPr>
                <w:color w:val="000000"/>
              </w:rPr>
            </w:pPr>
            <w:r>
              <w:rPr>
                <w:color w:val="000000"/>
              </w:rPr>
              <w:t xml:space="preserve">j &amp; k </w:t>
            </w:r>
          </w:p>
        </w:tc>
        <w:tc>
          <w:tcPr>
            <w:tcW w:w="1420" w:type="dxa"/>
            <w:tcBorders>
              <w:top w:val="nil"/>
              <w:left w:val="nil"/>
              <w:bottom w:val="single" w:sz="4" w:space="0" w:color="auto"/>
              <w:right w:val="single" w:sz="4" w:space="0" w:color="auto"/>
            </w:tcBorders>
            <w:shd w:val="clear" w:color="auto" w:fill="auto"/>
            <w:noWrap/>
            <w:vAlign w:val="bottom"/>
            <w:hideMark/>
          </w:tcPr>
          <w:p w14:paraId="5BEDEA1F"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513B7DBA"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725339EF"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7DE27F34"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7536F7FB" w14:textId="77777777" w:rsidR="00D24589" w:rsidRDefault="00D24589">
            <w:pPr>
              <w:jc w:val="center"/>
              <w:rPr>
                <w:color w:val="000000"/>
              </w:rPr>
            </w:pPr>
            <w:r>
              <w:rPr>
                <w:color w:val="000000"/>
              </w:rPr>
              <w:t> </w:t>
            </w:r>
          </w:p>
        </w:tc>
      </w:tr>
      <w:tr w:rsidR="00D24589" w14:paraId="108B502B"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3F6AF3B" w14:textId="77777777" w:rsidR="00D24589" w:rsidRDefault="00D24589">
            <w:pPr>
              <w:jc w:val="center"/>
              <w:rPr>
                <w:color w:val="000000"/>
              </w:rPr>
            </w:pPr>
            <w:r>
              <w:rPr>
                <w:color w:val="000000"/>
              </w:rPr>
              <w:t>Al</w:t>
            </w:r>
            <w:r>
              <w:rPr>
                <w:color w:val="000000"/>
                <w:vertAlign w:val="superscript"/>
              </w:rPr>
              <w:t>M1</w:t>
            </w:r>
          </w:p>
        </w:tc>
        <w:tc>
          <w:tcPr>
            <w:tcW w:w="880" w:type="dxa"/>
            <w:tcBorders>
              <w:top w:val="nil"/>
              <w:left w:val="nil"/>
              <w:bottom w:val="single" w:sz="4" w:space="0" w:color="auto"/>
              <w:right w:val="single" w:sz="4" w:space="0" w:color="auto"/>
            </w:tcBorders>
            <w:shd w:val="clear" w:color="auto" w:fill="auto"/>
            <w:noWrap/>
            <w:vAlign w:val="bottom"/>
            <w:hideMark/>
          </w:tcPr>
          <w:p w14:paraId="09AD4699" w14:textId="77777777" w:rsidR="00D24589" w:rsidRDefault="00D24589">
            <w:pPr>
              <w:jc w:val="center"/>
              <w:rPr>
                <w:color w:val="000000"/>
              </w:rPr>
            </w:pPr>
            <w:r>
              <w:rPr>
                <w:color w:val="000000"/>
              </w:rPr>
              <w:t xml:space="preserve">j &amp; k </w:t>
            </w:r>
          </w:p>
        </w:tc>
        <w:tc>
          <w:tcPr>
            <w:tcW w:w="1420" w:type="dxa"/>
            <w:tcBorders>
              <w:top w:val="nil"/>
              <w:left w:val="nil"/>
              <w:bottom w:val="single" w:sz="4" w:space="0" w:color="auto"/>
              <w:right w:val="single" w:sz="4" w:space="0" w:color="auto"/>
            </w:tcBorders>
            <w:shd w:val="clear" w:color="auto" w:fill="auto"/>
            <w:noWrap/>
            <w:vAlign w:val="bottom"/>
            <w:hideMark/>
          </w:tcPr>
          <w:p w14:paraId="577A1F17"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0307A873"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57D5F741"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467B4A4A"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02DDC2EB" w14:textId="77777777" w:rsidR="00D24589" w:rsidRDefault="00D24589">
            <w:pPr>
              <w:jc w:val="center"/>
              <w:rPr>
                <w:color w:val="000000"/>
              </w:rPr>
            </w:pPr>
            <w:r>
              <w:rPr>
                <w:color w:val="000000"/>
              </w:rPr>
              <w:t> </w:t>
            </w:r>
          </w:p>
        </w:tc>
      </w:tr>
      <w:tr w:rsidR="00D24589" w14:paraId="1EF7F81E"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B8F4E33" w14:textId="77777777" w:rsidR="00D24589" w:rsidRDefault="00D24589">
            <w:pPr>
              <w:jc w:val="center"/>
              <w:rPr>
                <w:color w:val="000000"/>
              </w:rPr>
            </w:pPr>
            <w:r>
              <w:rPr>
                <w:color w:val="000000"/>
              </w:rPr>
              <w:t>Ca</w:t>
            </w:r>
            <w:r>
              <w:rPr>
                <w:color w:val="000000"/>
                <w:vertAlign w:val="superscript"/>
              </w:rPr>
              <w:t>M2</w:t>
            </w:r>
          </w:p>
        </w:tc>
        <w:tc>
          <w:tcPr>
            <w:tcW w:w="880" w:type="dxa"/>
            <w:tcBorders>
              <w:top w:val="nil"/>
              <w:left w:val="nil"/>
              <w:bottom w:val="single" w:sz="4" w:space="0" w:color="auto"/>
              <w:right w:val="single" w:sz="4" w:space="0" w:color="auto"/>
            </w:tcBorders>
            <w:shd w:val="clear" w:color="auto" w:fill="auto"/>
            <w:noWrap/>
            <w:vAlign w:val="bottom"/>
            <w:hideMark/>
          </w:tcPr>
          <w:p w14:paraId="53B7DD6F" w14:textId="77777777" w:rsidR="00D24589" w:rsidRDefault="00D24589">
            <w:pPr>
              <w:jc w:val="center"/>
              <w:rPr>
                <w:color w:val="000000"/>
              </w:rPr>
            </w:pPr>
            <w:r>
              <w:rPr>
                <w:color w:val="000000"/>
              </w:rPr>
              <w:t xml:space="preserve">j &amp; k </w:t>
            </w:r>
          </w:p>
        </w:tc>
        <w:tc>
          <w:tcPr>
            <w:tcW w:w="1420" w:type="dxa"/>
            <w:tcBorders>
              <w:top w:val="nil"/>
              <w:left w:val="nil"/>
              <w:bottom w:val="single" w:sz="4" w:space="0" w:color="auto"/>
              <w:right w:val="single" w:sz="4" w:space="0" w:color="auto"/>
            </w:tcBorders>
            <w:shd w:val="clear" w:color="auto" w:fill="auto"/>
            <w:noWrap/>
            <w:vAlign w:val="bottom"/>
            <w:hideMark/>
          </w:tcPr>
          <w:p w14:paraId="4FB6BC2C"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305DBD73"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1739B9F9"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1CA04D17"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4CBA37B5" w14:textId="77777777" w:rsidR="00D24589" w:rsidRDefault="00D24589">
            <w:pPr>
              <w:jc w:val="center"/>
              <w:rPr>
                <w:color w:val="000000"/>
              </w:rPr>
            </w:pPr>
            <w:r>
              <w:rPr>
                <w:color w:val="000000"/>
              </w:rPr>
              <w:t> </w:t>
            </w:r>
          </w:p>
        </w:tc>
      </w:tr>
      <w:tr w:rsidR="00D24589" w14:paraId="124D2139"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9F656D0" w14:textId="77777777" w:rsidR="00D24589" w:rsidRDefault="00D24589">
            <w:pPr>
              <w:jc w:val="center"/>
              <w:rPr>
                <w:color w:val="000000"/>
              </w:rPr>
            </w:pPr>
            <w:r>
              <w:rPr>
                <w:color w:val="000000"/>
              </w:rPr>
              <w:t>Mg</w:t>
            </w:r>
            <w:r>
              <w:rPr>
                <w:color w:val="000000"/>
                <w:vertAlign w:val="superscript"/>
              </w:rPr>
              <w:t>M2</w:t>
            </w:r>
          </w:p>
        </w:tc>
        <w:tc>
          <w:tcPr>
            <w:tcW w:w="880" w:type="dxa"/>
            <w:tcBorders>
              <w:top w:val="nil"/>
              <w:left w:val="nil"/>
              <w:bottom w:val="single" w:sz="4" w:space="0" w:color="auto"/>
              <w:right w:val="single" w:sz="4" w:space="0" w:color="auto"/>
            </w:tcBorders>
            <w:shd w:val="clear" w:color="auto" w:fill="auto"/>
            <w:noWrap/>
            <w:vAlign w:val="bottom"/>
            <w:hideMark/>
          </w:tcPr>
          <w:p w14:paraId="6A6D4114"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7C667C18"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02B3B123"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429F4E7A"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74927217"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312FD00C" w14:textId="77777777" w:rsidR="00D24589" w:rsidRDefault="00D24589">
            <w:pPr>
              <w:jc w:val="center"/>
              <w:rPr>
                <w:color w:val="000000"/>
              </w:rPr>
            </w:pPr>
            <w:r>
              <w:rPr>
                <w:color w:val="000000"/>
              </w:rPr>
              <w:t> </w:t>
            </w:r>
          </w:p>
        </w:tc>
      </w:tr>
      <w:tr w:rsidR="00D24589" w14:paraId="78C0DB4E"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4003869" w14:textId="77777777" w:rsidR="00D24589" w:rsidRDefault="00D24589">
            <w:pPr>
              <w:jc w:val="center"/>
              <w:rPr>
                <w:color w:val="000000"/>
              </w:rPr>
            </w:pPr>
            <w:r>
              <w:rPr>
                <w:color w:val="000000"/>
              </w:rPr>
              <w:t>Mg</w:t>
            </w:r>
            <w:r>
              <w:rPr>
                <w:color w:val="000000"/>
                <w:vertAlign w:val="superscript"/>
              </w:rPr>
              <w:t>M1</w:t>
            </w:r>
          </w:p>
        </w:tc>
        <w:tc>
          <w:tcPr>
            <w:tcW w:w="880" w:type="dxa"/>
            <w:tcBorders>
              <w:top w:val="nil"/>
              <w:left w:val="nil"/>
              <w:bottom w:val="single" w:sz="4" w:space="0" w:color="auto"/>
              <w:right w:val="single" w:sz="4" w:space="0" w:color="auto"/>
            </w:tcBorders>
            <w:shd w:val="clear" w:color="auto" w:fill="auto"/>
            <w:noWrap/>
            <w:vAlign w:val="bottom"/>
            <w:hideMark/>
          </w:tcPr>
          <w:p w14:paraId="0780F089"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789869D2"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0A208405"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1C75687E"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5F3677D9"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47A0A403" w14:textId="77777777" w:rsidR="00D24589" w:rsidRDefault="00D24589">
            <w:pPr>
              <w:jc w:val="center"/>
              <w:rPr>
                <w:color w:val="000000"/>
              </w:rPr>
            </w:pPr>
            <w:r>
              <w:rPr>
                <w:color w:val="000000"/>
              </w:rPr>
              <w:t> </w:t>
            </w:r>
          </w:p>
        </w:tc>
      </w:tr>
      <w:tr w:rsidR="00D24589" w14:paraId="7D08C79F"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9AA45D6" w14:textId="77777777" w:rsidR="00D24589" w:rsidRDefault="00D24589">
            <w:pPr>
              <w:jc w:val="center"/>
              <w:rPr>
                <w:color w:val="000000"/>
              </w:rPr>
            </w:pPr>
            <w:r>
              <w:rPr>
                <w:color w:val="000000"/>
              </w:rPr>
              <w:t>Fe</w:t>
            </w:r>
            <w:r>
              <w:rPr>
                <w:color w:val="000000"/>
                <w:vertAlign w:val="superscript"/>
              </w:rPr>
              <w:t>M1</w:t>
            </w:r>
          </w:p>
        </w:tc>
        <w:tc>
          <w:tcPr>
            <w:tcW w:w="880" w:type="dxa"/>
            <w:tcBorders>
              <w:top w:val="nil"/>
              <w:left w:val="nil"/>
              <w:bottom w:val="single" w:sz="4" w:space="0" w:color="auto"/>
              <w:right w:val="single" w:sz="4" w:space="0" w:color="auto"/>
            </w:tcBorders>
            <w:shd w:val="clear" w:color="auto" w:fill="auto"/>
            <w:noWrap/>
            <w:vAlign w:val="bottom"/>
            <w:hideMark/>
          </w:tcPr>
          <w:p w14:paraId="3445D804"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767CF0E9"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32330438"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6A35AFA2"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289FCB25"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1541167F" w14:textId="77777777" w:rsidR="00D24589" w:rsidRDefault="00D24589">
            <w:pPr>
              <w:jc w:val="center"/>
              <w:rPr>
                <w:color w:val="000000"/>
              </w:rPr>
            </w:pPr>
            <w:r>
              <w:rPr>
                <w:color w:val="000000"/>
              </w:rPr>
              <w:t> </w:t>
            </w:r>
          </w:p>
        </w:tc>
      </w:tr>
      <w:tr w:rsidR="00D24589" w14:paraId="3EAC7475"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4DF1586" w14:textId="77777777" w:rsidR="00D24589" w:rsidRDefault="00D24589">
            <w:pPr>
              <w:jc w:val="center"/>
              <w:rPr>
                <w:color w:val="000000"/>
              </w:rPr>
            </w:pPr>
            <w:r>
              <w:rPr>
                <w:color w:val="000000"/>
              </w:rPr>
              <w:t>Ca</w:t>
            </w:r>
            <w:r>
              <w:rPr>
                <w:color w:val="000000"/>
                <w:vertAlign w:val="superscript"/>
              </w:rPr>
              <w:t>X</w:t>
            </w:r>
          </w:p>
        </w:tc>
        <w:tc>
          <w:tcPr>
            <w:tcW w:w="880" w:type="dxa"/>
            <w:tcBorders>
              <w:top w:val="nil"/>
              <w:left w:val="nil"/>
              <w:bottom w:val="single" w:sz="4" w:space="0" w:color="auto"/>
              <w:right w:val="single" w:sz="4" w:space="0" w:color="auto"/>
            </w:tcBorders>
            <w:shd w:val="clear" w:color="auto" w:fill="auto"/>
            <w:noWrap/>
            <w:vAlign w:val="bottom"/>
            <w:hideMark/>
          </w:tcPr>
          <w:p w14:paraId="0D498BC7"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5983F974"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3705BEC4"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center"/>
            <w:hideMark/>
          </w:tcPr>
          <w:p w14:paraId="7274470F" w14:textId="77777777" w:rsidR="00D24589" w:rsidRDefault="00D24589">
            <w:pPr>
              <w:jc w:val="center"/>
              <w:rPr>
                <w:color w:val="000000"/>
              </w:rPr>
            </w:pPr>
            <w:r>
              <w:rPr>
                <w:color w:val="000000"/>
              </w:rPr>
              <w:t>0.7234</w:t>
            </w:r>
          </w:p>
        </w:tc>
        <w:tc>
          <w:tcPr>
            <w:tcW w:w="1420" w:type="dxa"/>
            <w:tcBorders>
              <w:top w:val="nil"/>
              <w:left w:val="nil"/>
              <w:bottom w:val="single" w:sz="4" w:space="0" w:color="auto"/>
              <w:right w:val="single" w:sz="4" w:space="0" w:color="auto"/>
            </w:tcBorders>
            <w:shd w:val="clear" w:color="auto" w:fill="auto"/>
            <w:noWrap/>
            <w:vAlign w:val="center"/>
            <w:hideMark/>
          </w:tcPr>
          <w:p w14:paraId="71D6ECD4" w14:textId="77777777" w:rsidR="00D24589" w:rsidRDefault="00D24589">
            <w:pPr>
              <w:jc w:val="center"/>
              <w:rPr>
                <w:color w:val="000000"/>
              </w:rPr>
            </w:pPr>
            <w:r>
              <w:rPr>
                <w:color w:val="000000"/>
              </w:rPr>
              <w:t>0.4674</w:t>
            </w:r>
          </w:p>
        </w:tc>
        <w:tc>
          <w:tcPr>
            <w:tcW w:w="880" w:type="dxa"/>
            <w:tcBorders>
              <w:top w:val="nil"/>
              <w:left w:val="nil"/>
              <w:bottom w:val="single" w:sz="4" w:space="0" w:color="auto"/>
              <w:right w:val="single" w:sz="4" w:space="0" w:color="auto"/>
            </w:tcBorders>
            <w:shd w:val="clear" w:color="auto" w:fill="auto"/>
            <w:noWrap/>
            <w:vAlign w:val="bottom"/>
            <w:hideMark/>
          </w:tcPr>
          <w:p w14:paraId="5D486DE3" w14:textId="77777777" w:rsidR="00D24589" w:rsidRDefault="00D24589">
            <w:pPr>
              <w:jc w:val="center"/>
              <w:rPr>
                <w:color w:val="000000"/>
              </w:rPr>
            </w:pPr>
            <w:r>
              <w:rPr>
                <w:color w:val="000000"/>
              </w:rPr>
              <w:t>k</w:t>
            </w:r>
          </w:p>
        </w:tc>
      </w:tr>
      <w:tr w:rsidR="00D24589" w14:paraId="73E5C311"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8FC81EB" w14:textId="77777777" w:rsidR="00D24589" w:rsidRDefault="00D24589">
            <w:pPr>
              <w:jc w:val="center"/>
              <w:rPr>
                <w:color w:val="000000"/>
              </w:rPr>
            </w:pPr>
            <w:r>
              <w:rPr>
                <w:color w:val="000000"/>
              </w:rPr>
              <w:t>D</w:t>
            </w:r>
            <w:r>
              <w:rPr>
                <w:color w:val="000000"/>
                <w:vertAlign w:val="subscript"/>
              </w:rPr>
              <w:t>0</w:t>
            </w:r>
          </w:p>
        </w:tc>
        <w:tc>
          <w:tcPr>
            <w:tcW w:w="880" w:type="dxa"/>
            <w:tcBorders>
              <w:top w:val="nil"/>
              <w:left w:val="nil"/>
              <w:bottom w:val="single" w:sz="4" w:space="0" w:color="auto"/>
              <w:right w:val="single" w:sz="4" w:space="0" w:color="auto"/>
            </w:tcBorders>
            <w:shd w:val="clear" w:color="auto" w:fill="auto"/>
            <w:noWrap/>
            <w:vAlign w:val="bottom"/>
            <w:hideMark/>
          </w:tcPr>
          <w:p w14:paraId="0A111746"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4CB6987E" w14:textId="77777777" w:rsidR="00D24589" w:rsidRDefault="00D24589">
            <w:pPr>
              <w:jc w:val="center"/>
              <w:rPr>
                <w:color w:val="000000"/>
              </w:rPr>
            </w:pPr>
            <w:r>
              <w:rPr>
                <w:color w:val="000000"/>
              </w:rPr>
              <w:t>0.38</w:t>
            </w:r>
          </w:p>
        </w:tc>
        <w:tc>
          <w:tcPr>
            <w:tcW w:w="880" w:type="dxa"/>
            <w:tcBorders>
              <w:top w:val="nil"/>
              <w:left w:val="nil"/>
              <w:bottom w:val="single" w:sz="4" w:space="0" w:color="auto"/>
              <w:right w:val="single" w:sz="4" w:space="0" w:color="auto"/>
            </w:tcBorders>
            <w:shd w:val="clear" w:color="auto" w:fill="auto"/>
            <w:noWrap/>
            <w:vAlign w:val="bottom"/>
            <w:hideMark/>
          </w:tcPr>
          <w:p w14:paraId="1404FF3B" w14:textId="77777777" w:rsidR="00D24589" w:rsidRDefault="00D24589">
            <w:pPr>
              <w:jc w:val="center"/>
              <w:rPr>
                <w:color w:val="000000"/>
              </w:rPr>
            </w:pPr>
            <w:r>
              <w:rPr>
                <w:color w:val="000000"/>
              </w:rPr>
              <w:t>f</w:t>
            </w:r>
          </w:p>
        </w:tc>
        <w:tc>
          <w:tcPr>
            <w:tcW w:w="1420" w:type="dxa"/>
            <w:tcBorders>
              <w:top w:val="nil"/>
              <w:left w:val="nil"/>
              <w:bottom w:val="single" w:sz="4" w:space="0" w:color="auto"/>
              <w:right w:val="single" w:sz="4" w:space="0" w:color="auto"/>
            </w:tcBorders>
            <w:shd w:val="clear" w:color="auto" w:fill="auto"/>
            <w:noWrap/>
            <w:vAlign w:val="bottom"/>
            <w:hideMark/>
          </w:tcPr>
          <w:p w14:paraId="1EC02BAA"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4D57D932"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3E343519" w14:textId="77777777" w:rsidR="00D24589" w:rsidRDefault="00D24589">
            <w:pPr>
              <w:jc w:val="center"/>
              <w:rPr>
                <w:color w:val="000000"/>
              </w:rPr>
            </w:pPr>
            <w:r>
              <w:rPr>
                <w:color w:val="000000"/>
              </w:rPr>
              <w:t> </w:t>
            </w:r>
          </w:p>
        </w:tc>
      </w:tr>
      <w:tr w:rsidR="00D24589" w14:paraId="103739DE"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0794BDA" w14:textId="77777777" w:rsidR="00D24589" w:rsidRDefault="00D24589">
            <w:pPr>
              <w:jc w:val="center"/>
              <w:rPr>
                <w:color w:val="000000"/>
              </w:rPr>
            </w:pPr>
            <w:r>
              <w:rPr>
                <w:color w:val="000000"/>
              </w:rPr>
              <w:t>r</w:t>
            </w:r>
            <w:r>
              <w:rPr>
                <w:color w:val="000000"/>
                <w:vertAlign w:val="subscript"/>
              </w:rPr>
              <w:t>0</w:t>
            </w:r>
          </w:p>
        </w:tc>
        <w:tc>
          <w:tcPr>
            <w:tcW w:w="880" w:type="dxa"/>
            <w:tcBorders>
              <w:top w:val="nil"/>
              <w:left w:val="nil"/>
              <w:bottom w:val="single" w:sz="4" w:space="0" w:color="auto"/>
              <w:right w:val="single" w:sz="4" w:space="0" w:color="auto"/>
            </w:tcBorders>
            <w:shd w:val="clear" w:color="auto" w:fill="auto"/>
            <w:noWrap/>
            <w:vAlign w:val="bottom"/>
            <w:hideMark/>
          </w:tcPr>
          <w:p w14:paraId="585FBA98"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6B862F3C" w14:textId="77777777" w:rsidR="00D24589" w:rsidRDefault="00D24589">
            <w:pPr>
              <w:jc w:val="center"/>
              <w:rPr>
                <w:color w:val="000000"/>
              </w:rPr>
            </w:pPr>
            <w:r>
              <w:rPr>
                <w:color w:val="000000"/>
              </w:rPr>
              <w:t>0.759</w:t>
            </w:r>
          </w:p>
        </w:tc>
        <w:tc>
          <w:tcPr>
            <w:tcW w:w="880" w:type="dxa"/>
            <w:tcBorders>
              <w:top w:val="nil"/>
              <w:left w:val="nil"/>
              <w:bottom w:val="single" w:sz="4" w:space="0" w:color="auto"/>
              <w:right w:val="single" w:sz="4" w:space="0" w:color="auto"/>
            </w:tcBorders>
            <w:shd w:val="clear" w:color="auto" w:fill="auto"/>
            <w:noWrap/>
            <w:vAlign w:val="bottom"/>
            <w:hideMark/>
          </w:tcPr>
          <w:p w14:paraId="15CEFEB8" w14:textId="77777777" w:rsidR="00D24589" w:rsidRDefault="00D24589">
            <w:pPr>
              <w:jc w:val="center"/>
              <w:rPr>
                <w:color w:val="000000"/>
              </w:rPr>
            </w:pPr>
            <w:r>
              <w:rPr>
                <w:color w:val="000000"/>
              </w:rPr>
              <w:t>f</w:t>
            </w:r>
          </w:p>
        </w:tc>
        <w:tc>
          <w:tcPr>
            <w:tcW w:w="1420" w:type="dxa"/>
            <w:tcBorders>
              <w:top w:val="nil"/>
              <w:left w:val="nil"/>
              <w:bottom w:val="single" w:sz="4" w:space="0" w:color="auto"/>
              <w:right w:val="single" w:sz="4" w:space="0" w:color="auto"/>
            </w:tcBorders>
            <w:shd w:val="clear" w:color="auto" w:fill="auto"/>
            <w:noWrap/>
            <w:vAlign w:val="bottom"/>
            <w:hideMark/>
          </w:tcPr>
          <w:p w14:paraId="410E9E4D"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68DBD86C"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550A8904" w14:textId="77777777" w:rsidR="00D24589" w:rsidRDefault="00D24589">
            <w:pPr>
              <w:jc w:val="center"/>
              <w:rPr>
                <w:color w:val="000000"/>
              </w:rPr>
            </w:pPr>
            <w:r>
              <w:rPr>
                <w:color w:val="000000"/>
              </w:rPr>
              <w:t> </w:t>
            </w:r>
          </w:p>
        </w:tc>
      </w:tr>
      <w:tr w:rsidR="00D24589" w14:paraId="5EF64D58"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1B3C434" w14:textId="77777777" w:rsidR="00D24589" w:rsidRDefault="00D24589">
            <w:pPr>
              <w:jc w:val="center"/>
              <w:rPr>
                <w:color w:val="000000"/>
              </w:rPr>
            </w:pPr>
            <w:r>
              <w:rPr>
                <w:color w:val="000000"/>
              </w:rPr>
              <w:t>E</w:t>
            </w:r>
          </w:p>
        </w:tc>
        <w:tc>
          <w:tcPr>
            <w:tcW w:w="880" w:type="dxa"/>
            <w:tcBorders>
              <w:top w:val="nil"/>
              <w:left w:val="nil"/>
              <w:bottom w:val="single" w:sz="4" w:space="0" w:color="auto"/>
              <w:right w:val="single" w:sz="4" w:space="0" w:color="auto"/>
            </w:tcBorders>
            <w:shd w:val="clear" w:color="auto" w:fill="auto"/>
            <w:noWrap/>
            <w:vAlign w:val="bottom"/>
            <w:hideMark/>
          </w:tcPr>
          <w:p w14:paraId="587ACE77"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7A4F8152" w14:textId="77777777" w:rsidR="00D24589" w:rsidRDefault="00D24589">
            <w:pPr>
              <w:jc w:val="center"/>
              <w:rPr>
                <w:color w:val="000000"/>
              </w:rPr>
            </w:pPr>
            <w:r>
              <w:rPr>
                <w:color w:val="000000"/>
              </w:rPr>
              <w:t>198</w:t>
            </w:r>
          </w:p>
        </w:tc>
        <w:tc>
          <w:tcPr>
            <w:tcW w:w="880" w:type="dxa"/>
            <w:tcBorders>
              <w:top w:val="nil"/>
              <w:left w:val="nil"/>
              <w:bottom w:val="single" w:sz="4" w:space="0" w:color="auto"/>
              <w:right w:val="single" w:sz="4" w:space="0" w:color="auto"/>
            </w:tcBorders>
            <w:shd w:val="clear" w:color="auto" w:fill="auto"/>
            <w:noWrap/>
            <w:vAlign w:val="bottom"/>
            <w:hideMark/>
          </w:tcPr>
          <w:p w14:paraId="57211BAD" w14:textId="77777777" w:rsidR="00D24589" w:rsidRDefault="00D24589">
            <w:pPr>
              <w:jc w:val="center"/>
              <w:rPr>
                <w:color w:val="000000"/>
              </w:rPr>
            </w:pPr>
            <w:r>
              <w:rPr>
                <w:color w:val="000000"/>
              </w:rPr>
              <w:t>f</w:t>
            </w:r>
          </w:p>
        </w:tc>
        <w:tc>
          <w:tcPr>
            <w:tcW w:w="1420" w:type="dxa"/>
            <w:tcBorders>
              <w:top w:val="nil"/>
              <w:left w:val="nil"/>
              <w:bottom w:val="single" w:sz="4" w:space="0" w:color="auto"/>
              <w:right w:val="single" w:sz="4" w:space="0" w:color="auto"/>
            </w:tcBorders>
            <w:shd w:val="clear" w:color="auto" w:fill="auto"/>
            <w:noWrap/>
            <w:vAlign w:val="bottom"/>
            <w:hideMark/>
          </w:tcPr>
          <w:p w14:paraId="2C2FA37A"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3A9F3AD0"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09A01FF2" w14:textId="77777777" w:rsidR="00D24589" w:rsidRDefault="00D24589">
            <w:pPr>
              <w:jc w:val="center"/>
              <w:rPr>
                <w:color w:val="000000"/>
              </w:rPr>
            </w:pPr>
            <w:r>
              <w:rPr>
                <w:color w:val="000000"/>
              </w:rPr>
              <w:t> </w:t>
            </w:r>
          </w:p>
        </w:tc>
      </w:tr>
      <w:tr w:rsidR="00D24589" w14:paraId="64BCF82A"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A021F48" w14:textId="77777777" w:rsidR="00D24589" w:rsidRDefault="00D24589">
            <w:pPr>
              <w:jc w:val="center"/>
              <w:rPr>
                <w:color w:val="000000"/>
              </w:rPr>
            </w:pPr>
            <w:r>
              <w:rPr>
                <w:color w:val="000000"/>
              </w:rPr>
              <w:t>D(Ti)</w:t>
            </w:r>
          </w:p>
        </w:tc>
        <w:tc>
          <w:tcPr>
            <w:tcW w:w="880" w:type="dxa"/>
            <w:tcBorders>
              <w:top w:val="nil"/>
              <w:left w:val="nil"/>
              <w:bottom w:val="single" w:sz="4" w:space="0" w:color="auto"/>
              <w:right w:val="single" w:sz="4" w:space="0" w:color="auto"/>
            </w:tcBorders>
            <w:shd w:val="clear" w:color="auto" w:fill="auto"/>
            <w:noWrap/>
            <w:vAlign w:val="bottom"/>
            <w:hideMark/>
          </w:tcPr>
          <w:p w14:paraId="2E76DFBB"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2171C2DB"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244D0EB2"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3B3992EA"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2AC5E317"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04A5B928" w14:textId="77777777" w:rsidR="00D24589" w:rsidRDefault="00D24589">
            <w:pPr>
              <w:jc w:val="center"/>
              <w:rPr>
                <w:color w:val="000000"/>
              </w:rPr>
            </w:pPr>
            <w:r>
              <w:rPr>
                <w:color w:val="000000"/>
              </w:rPr>
              <w:t> </w:t>
            </w:r>
          </w:p>
        </w:tc>
      </w:tr>
      <w:tr w:rsidR="00D24589" w14:paraId="0B2E23C2" w14:textId="77777777" w:rsidTr="00D8379E">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0894BC8" w14:textId="77777777" w:rsidR="00D24589" w:rsidRDefault="00D24589">
            <w:pPr>
              <w:jc w:val="center"/>
              <w:rPr>
                <w:color w:val="000000"/>
              </w:rPr>
            </w:pPr>
            <w:r>
              <w:rPr>
                <w:color w:val="000000"/>
              </w:rPr>
              <w:t>Log(ƒO</w:t>
            </w:r>
            <w:r>
              <w:rPr>
                <w:color w:val="000000"/>
                <w:vertAlign w:val="subscript"/>
              </w:rPr>
              <w:t>2</w:t>
            </w: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6E2D2067"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54410D12"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5E9F5CE7" w14:textId="77777777" w:rsidR="00D24589" w:rsidRDefault="00D24589">
            <w:pPr>
              <w:jc w:val="center"/>
              <w:rPr>
                <w:color w:val="000000"/>
              </w:rPr>
            </w:pPr>
            <w:r>
              <w:rPr>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14:paraId="22BC034E"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21D784B4"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640ABE29" w14:textId="77777777" w:rsidR="00D24589" w:rsidRDefault="00D24589">
            <w:pPr>
              <w:jc w:val="center"/>
              <w:rPr>
                <w:color w:val="000000"/>
              </w:rPr>
            </w:pPr>
            <w:r>
              <w:rPr>
                <w:color w:val="000000"/>
              </w:rPr>
              <w:t> </w:t>
            </w:r>
          </w:p>
        </w:tc>
      </w:tr>
      <w:tr w:rsidR="00D24589" w14:paraId="1991FF1D" w14:textId="77777777" w:rsidTr="00D8379E">
        <w:trPr>
          <w:trHeight w:val="62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1E7C6F" w14:textId="77777777" w:rsidR="00D24589" w:rsidRDefault="00D24589">
            <w:pPr>
              <w:jc w:val="center"/>
              <w:rPr>
                <w:color w:val="000000"/>
              </w:rPr>
            </w:pPr>
            <w:r>
              <w:rPr>
                <w:color w:val="000000"/>
              </w:rPr>
              <w:t>Sample/ Experiment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20984F38" w14:textId="77777777" w:rsidR="00D24589" w:rsidRDefault="00D24589">
            <w:pPr>
              <w:jc w:val="center"/>
              <w:rPr>
                <w:color w:val="000000"/>
              </w:rPr>
            </w:pPr>
            <w:r>
              <w:rPr>
                <w:color w:val="000000"/>
              </w:rPr>
              <w:t>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0E23E738" w14:textId="77777777" w:rsidR="00D24589" w:rsidRDefault="00D24589">
            <w:pPr>
              <w:jc w:val="center"/>
              <w:rPr>
                <w:color w:val="000000"/>
              </w:rPr>
            </w:pPr>
            <w:r>
              <w:rPr>
                <w:color w:val="000000"/>
              </w:rPr>
              <w:t>Eu14-17</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126A1AF3" w14:textId="77777777" w:rsidR="00D24589" w:rsidRDefault="00D24589">
            <w:pPr>
              <w:jc w:val="center"/>
              <w:rPr>
                <w:color w:val="000000"/>
              </w:rPr>
            </w:pPr>
            <w:r>
              <w:rPr>
                <w:color w:val="000000"/>
              </w:rPr>
              <w:t>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0B989A52" w14:textId="77777777" w:rsidR="00D24589" w:rsidRDefault="00D24589">
            <w:pPr>
              <w:jc w:val="center"/>
              <w:rPr>
                <w:color w:val="000000"/>
              </w:rPr>
            </w:pPr>
            <w:r>
              <w:rPr>
                <w:color w:val="000000"/>
              </w:rPr>
              <w:t>V986</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7864FE8C" w14:textId="77777777" w:rsidR="00D24589" w:rsidRDefault="00D24589">
            <w:pPr>
              <w:jc w:val="center"/>
              <w:rPr>
                <w:color w:val="000000"/>
              </w:rPr>
            </w:pPr>
            <w:r>
              <w:rPr>
                <w:color w:val="000000"/>
              </w:rPr>
              <w:t>V1007</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55863AFE" w14:textId="77777777" w:rsidR="00D24589" w:rsidRDefault="00D24589">
            <w:pPr>
              <w:jc w:val="center"/>
              <w:rPr>
                <w:color w:val="000000"/>
              </w:rPr>
            </w:pPr>
            <w:r>
              <w:rPr>
                <w:color w:val="000000"/>
              </w:rPr>
              <w:t> </w:t>
            </w:r>
          </w:p>
        </w:tc>
      </w:tr>
    </w:tbl>
    <w:p w14:paraId="3CF0814C" w14:textId="77777777" w:rsidR="00D24589" w:rsidRDefault="00D24589"/>
    <w:p w14:paraId="32D8C1C7" w14:textId="77777777" w:rsidR="00D24589" w:rsidRDefault="00D24589">
      <w:r>
        <w:br w:type="page"/>
      </w:r>
    </w:p>
    <w:p w14:paraId="1D8A1E5C" w14:textId="103BAC81" w:rsidR="00D24589" w:rsidRDefault="00D24589">
      <w:r w:rsidRPr="002360AE">
        <w:rPr>
          <w:b/>
          <w:bCs/>
        </w:rPr>
        <w:lastRenderedPageBreak/>
        <w:t>Table 2.6.</w:t>
      </w:r>
      <w:r>
        <w:t xml:space="preserve"> Continued</w:t>
      </w:r>
      <w:r w:rsidR="00C40415">
        <w:t>.</w:t>
      </w:r>
    </w:p>
    <w:tbl>
      <w:tblPr>
        <w:tblW w:w="4960" w:type="dxa"/>
        <w:tblLook w:val="04A0" w:firstRow="1" w:lastRow="0" w:firstColumn="1" w:lastColumn="0" w:noHBand="0" w:noVBand="1"/>
      </w:tblPr>
      <w:tblGrid>
        <w:gridCol w:w="1336"/>
        <w:gridCol w:w="1420"/>
        <w:gridCol w:w="1420"/>
        <w:gridCol w:w="880"/>
      </w:tblGrid>
      <w:tr w:rsidR="00D24589" w14:paraId="72D0771C" w14:textId="77777777" w:rsidTr="00D24589">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ADE617" w14:textId="77777777" w:rsidR="00D24589" w:rsidRDefault="00D24589">
            <w:pPr>
              <w:jc w:val="center"/>
              <w:rPr>
                <w:color w:val="000000"/>
              </w:rPr>
            </w:pPr>
            <w:r>
              <w:rPr>
                <w:color w:val="000000"/>
              </w:rPr>
              <w:t>Element</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0A60E344" w14:textId="6F06CA0B" w:rsidR="00D24589" w:rsidRDefault="00D24589">
            <w:pPr>
              <w:jc w:val="center"/>
              <w:rPr>
                <w:color w:val="000000"/>
              </w:rPr>
            </w:pPr>
            <w:r>
              <w:rPr>
                <w:color w:val="000000"/>
              </w:rPr>
              <w:t>Ilm (</w:t>
            </w:r>
            <w:r w:rsidR="00067EFB">
              <w:rPr>
                <w:color w:val="000000"/>
              </w:rPr>
              <w:t>D</w:t>
            </w:r>
            <w:r>
              <w:rPr>
                <w:color w:val="000000"/>
              </w:rPr>
              <w:t>)</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41FB5230" w14:textId="7D4E4EA3" w:rsidR="00D24589" w:rsidRDefault="00D24589">
            <w:pPr>
              <w:jc w:val="center"/>
              <w:rPr>
                <w:color w:val="000000"/>
              </w:rPr>
            </w:pPr>
            <w:r>
              <w:rPr>
                <w:color w:val="000000"/>
              </w:rPr>
              <w:t>Ilm (</w:t>
            </w:r>
            <w:r w:rsidR="00067EFB">
              <w:rPr>
                <w:color w:val="000000"/>
              </w:rPr>
              <w:t>D</w:t>
            </w:r>
            <w:r>
              <w:rPr>
                <w:color w:val="000000"/>
              </w:rPr>
              <w:t>)</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618CD4E6" w14:textId="77777777" w:rsidR="00D24589" w:rsidRDefault="00D24589">
            <w:pPr>
              <w:jc w:val="center"/>
              <w:rPr>
                <w:color w:val="000000"/>
              </w:rPr>
            </w:pPr>
            <w:r>
              <w:rPr>
                <w:color w:val="000000"/>
              </w:rPr>
              <w:t>ref.</w:t>
            </w:r>
          </w:p>
        </w:tc>
      </w:tr>
      <w:tr w:rsidR="00D24589" w14:paraId="1A58CB69"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2765B2B" w14:textId="77777777" w:rsidR="00D24589" w:rsidRDefault="00D24589">
            <w:pPr>
              <w:jc w:val="center"/>
              <w:rPr>
                <w:color w:val="000000"/>
              </w:rPr>
            </w:pPr>
            <w:r>
              <w:rPr>
                <w:color w:val="000000"/>
              </w:rPr>
              <w:t>La</w:t>
            </w:r>
          </w:p>
        </w:tc>
        <w:tc>
          <w:tcPr>
            <w:tcW w:w="1420" w:type="dxa"/>
            <w:tcBorders>
              <w:top w:val="nil"/>
              <w:left w:val="nil"/>
              <w:bottom w:val="single" w:sz="4" w:space="0" w:color="auto"/>
              <w:right w:val="single" w:sz="4" w:space="0" w:color="auto"/>
            </w:tcBorders>
            <w:shd w:val="clear" w:color="auto" w:fill="auto"/>
            <w:noWrap/>
            <w:vAlign w:val="center"/>
            <w:hideMark/>
          </w:tcPr>
          <w:p w14:paraId="51944CF9" w14:textId="77777777" w:rsidR="00D24589" w:rsidRDefault="00D24589">
            <w:pPr>
              <w:jc w:val="center"/>
              <w:rPr>
                <w:color w:val="000000"/>
              </w:rPr>
            </w:pPr>
            <w:r>
              <w:rPr>
                <w:color w:val="000000"/>
              </w:rPr>
              <w:t>4.94E-05</w:t>
            </w:r>
          </w:p>
        </w:tc>
        <w:tc>
          <w:tcPr>
            <w:tcW w:w="1420" w:type="dxa"/>
            <w:tcBorders>
              <w:top w:val="nil"/>
              <w:left w:val="nil"/>
              <w:bottom w:val="single" w:sz="4" w:space="0" w:color="auto"/>
              <w:right w:val="single" w:sz="4" w:space="0" w:color="auto"/>
            </w:tcBorders>
            <w:shd w:val="clear" w:color="auto" w:fill="auto"/>
            <w:noWrap/>
            <w:vAlign w:val="center"/>
            <w:hideMark/>
          </w:tcPr>
          <w:p w14:paraId="4159C9D1" w14:textId="77777777" w:rsidR="00D24589" w:rsidRDefault="00D24589">
            <w:pPr>
              <w:jc w:val="center"/>
              <w:rPr>
                <w:color w:val="000000"/>
              </w:rPr>
            </w:pPr>
            <w:r>
              <w:rPr>
                <w:color w:val="000000"/>
              </w:rPr>
              <w:t>6.61E-05</w:t>
            </w:r>
          </w:p>
        </w:tc>
        <w:tc>
          <w:tcPr>
            <w:tcW w:w="880" w:type="dxa"/>
            <w:tcBorders>
              <w:top w:val="nil"/>
              <w:left w:val="nil"/>
              <w:bottom w:val="single" w:sz="4" w:space="0" w:color="auto"/>
              <w:right w:val="single" w:sz="4" w:space="0" w:color="auto"/>
            </w:tcBorders>
            <w:shd w:val="clear" w:color="auto" w:fill="auto"/>
            <w:noWrap/>
            <w:vAlign w:val="center"/>
            <w:hideMark/>
          </w:tcPr>
          <w:p w14:paraId="2CA03D34" w14:textId="77777777" w:rsidR="00D24589" w:rsidRDefault="00D24589">
            <w:pPr>
              <w:jc w:val="center"/>
              <w:rPr>
                <w:color w:val="000000"/>
              </w:rPr>
            </w:pPr>
            <w:r>
              <w:rPr>
                <w:color w:val="000000"/>
              </w:rPr>
              <w:t>i, Cal.</w:t>
            </w:r>
          </w:p>
        </w:tc>
      </w:tr>
      <w:tr w:rsidR="00D24589" w14:paraId="045FA508"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B80349D" w14:textId="77777777" w:rsidR="00D24589" w:rsidRDefault="00D24589">
            <w:pPr>
              <w:jc w:val="center"/>
              <w:rPr>
                <w:color w:val="000000"/>
              </w:rPr>
            </w:pPr>
            <w:r>
              <w:rPr>
                <w:color w:val="000000"/>
              </w:rPr>
              <w:t>Ce</w:t>
            </w:r>
          </w:p>
        </w:tc>
        <w:tc>
          <w:tcPr>
            <w:tcW w:w="1420" w:type="dxa"/>
            <w:tcBorders>
              <w:top w:val="nil"/>
              <w:left w:val="nil"/>
              <w:bottom w:val="single" w:sz="4" w:space="0" w:color="auto"/>
              <w:right w:val="single" w:sz="4" w:space="0" w:color="auto"/>
            </w:tcBorders>
            <w:shd w:val="clear" w:color="auto" w:fill="auto"/>
            <w:noWrap/>
            <w:vAlign w:val="center"/>
            <w:hideMark/>
          </w:tcPr>
          <w:p w14:paraId="606F5116" w14:textId="77777777" w:rsidR="00D24589" w:rsidRDefault="00D24589">
            <w:pPr>
              <w:jc w:val="center"/>
              <w:rPr>
                <w:color w:val="000000"/>
              </w:rPr>
            </w:pPr>
            <w:r>
              <w:rPr>
                <w:color w:val="000000"/>
              </w:rPr>
              <w:t>1.81E-04</w:t>
            </w:r>
          </w:p>
        </w:tc>
        <w:tc>
          <w:tcPr>
            <w:tcW w:w="1420" w:type="dxa"/>
            <w:tcBorders>
              <w:top w:val="nil"/>
              <w:left w:val="nil"/>
              <w:bottom w:val="single" w:sz="4" w:space="0" w:color="auto"/>
              <w:right w:val="single" w:sz="4" w:space="0" w:color="auto"/>
            </w:tcBorders>
            <w:shd w:val="clear" w:color="auto" w:fill="auto"/>
            <w:noWrap/>
            <w:vAlign w:val="center"/>
            <w:hideMark/>
          </w:tcPr>
          <w:p w14:paraId="2986A1F8" w14:textId="77777777" w:rsidR="00D24589" w:rsidRDefault="00D24589">
            <w:pPr>
              <w:jc w:val="center"/>
              <w:rPr>
                <w:color w:val="000000"/>
              </w:rPr>
            </w:pPr>
            <w:r>
              <w:rPr>
                <w:color w:val="000000"/>
              </w:rPr>
              <w:t>2.33E-04</w:t>
            </w:r>
          </w:p>
        </w:tc>
        <w:tc>
          <w:tcPr>
            <w:tcW w:w="880" w:type="dxa"/>
            <w:tcBorders>
              <w:top w:val="nil"/>
              <w:left w:val="nil"/>
              <w:bottom w:val="single" w:sz="4" w:space="0" w:color="auto"/>
              <w:right w:val="single" w:sz="4" w:space="0" w:color="auto"/>
            </w:tcBorders>
            <w:shd w:val="clear" w:color="auto" w:fill="auto"/>
            <w:noWrap/>
            <w:vAlign w:val="center"/>
            <w:hideMark/>
          </w:tcPr>
          <w:p w14:paraId="2D006CEE" w14:textId="77777777" w:rsidR="00D24589" w:rsidRDefault="00D24589">
            <w:pPr>
              <w:jc w:val="center"/>
              <w:rPr>
                <w:color w:val="000000"/>
              </w:rPr>
            </w:pPr>
            <w:r>
              <w:rPr>
                <w:color w:val="000000"/>
              </w:rPr>
              <w:t>i, Cal.</w:t>
            </w:r>
          </w:p>
        </w:tc>
      </w:tr>
      <w:tr w:rsidR="00D24589" w14:paraId="0B286659"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44ACAB8" w14:textId="77777777" w:rsidR="00D24589" w:rsidRDefault="00D24589">
            <w:pPr>
              <w:jc w:val="center"/>
              <w:rPr>
                <w:color w:val="000000"/>
              </w:rPr>
            </w:pPr>
            <w:r>
              <w:rPr>
                <w:color w:val="000000"/>
              </w:rPr>
              <w:t>Pr</w:t>
            </w:r>
          </w:p>
        </w:tc>
        <w:tc>
          <w:tcPr>
            <w:tcW w:w="1420" w:type="dxa"/>
            <w:tcBorders>
              <w:top w:val="nil"/>
              <w:left w:val="nil"/>
              <w:bottom w:val="single" w:sz="4" w:space="0" w:color="auto"/>
              <w:right w:val="single" w:sz="4" w:space="0" w:color="auto"/>
            </w:tcBorders>
            <w:shd w:val="clear" w:color="auto" w:fill="auto"/>
            <w:noWrap/>
            <w:vAlign w:val="center"/>
            <w:hideMark/>
          </w:tcPr>
          <w:p w14:paraId="244FD222" w14:textId="77777777" w:rsidR="00D24589" w:rsidRDefault="00D24589">
            <w:pPr>
              <w:jc w:val="center"/>
              <w:rPr>
                <w:color w:val="000000"/>
              </w:rPr>
            </w:pPr>
            <w:r>
              <w:rPr>
                <w:color w:val="000000"/>
              </w:rPr>
              <w:t>5.35E-04</w:t>
            </w:r>
          </w:p>
        </w:tc>
        <w:tc>
          <w:tcPr>
            <w:tcW w:w="1420" w:type="dxa"/>
            <w:tcBorders>
              <w:top w:val="nil"/>
              <w:left w:val="nil"/>
              <w:bottom w:val="single" w:sz="4" w:space="0" w:color="auto"/>
              <w:right w:val="single" w:sz="4" w:space="0" w:color="auto"/>
            </w:tcBorders>
            <w:shd w:val="clear" w:color="auto" w:fill="auto"/>
            <w:noWrap/>
            <w:vAlign w:val="center"/>
            <w:hideMark/>
          </w:tcPr>
          <w:p w14:paraId="253D1B4D" w14:textId="77777777" w:rsidR="00D24589" w:rsidRDefault="00D24589">
            <w:pPr>
              <w:jc w:val="center"/>
              <w:rPr>
                <w:color w:val="000000"/>
              </w:rPr>
            </w:pPr>
            <w:r>
              <w:rPr>
                <w:color w:val="000000"/>
              </w:rPr>
              <w:t>6.64E-04</w:t>
            </w:r>
          </w:p>
        </w:tc>
        <w:tc>
          <w:tcPr>
            <w:tcW w:w="880" w:type="dxa"/>
            <w:tcBorders>
              <w:top w:val="nil"/>
              <w:left w:val="nil"/>
              <w:bottom w:val="single" w:sz="4" w:space="0" w:color="auto"/>
              <w:right w:val="single" w:sz="4" w:space="0" w:color="auto"/>
            </w:tcBorders>
            <w:shd w:val="clear" w:color="auto" w:fill="auto"/>
            <w:noWrap/>
            <w:vAlign w:val="center"/>
            <w:hideMark/>
          </w:tcPr>
          <w:p w14:paraId="344D0E3F" w14:textId="77777777" w:rsidR="00D24589" w:rsidRDefault="00D24589">
            <w:pPr>
              <w:jc w:val="center"/>
              <w:rPr>
                <w:color w:val="000000"/>
              </w:rPr>
            </w:pPr>
            <w:r>
              <w:rPr>
                <w:color w:val="000000"/>
              </w:rPr>
              <w:t>i, Cal.</w:t>
            </w:r>
          </w:p>
        </w:tc>
      </w:tr>
      <w:tr w:rsidR="00D24589" w14:paraId="0727B330"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7EB278B" w14:textId="77777777" w:rsidR="00D24589" w:rsidRDefault="00D24589">
            <w:pPr>
              <w:jc w:val="center"/>
              <w:rPr>
                <w:color w:val="000000"/>
              </w:rPr>
            </w:pPr>
            <w:r>
              <w:rPr>
                <w:color w:val="000000"/>
              </w:rPr>
              <w:t>Nd</w:t>
            </w:r>
          </w:p>
        </w:tc>
        <w:tc>
          <w:tcPr>
            <w:tcW w:w="1420" w:type="dxa"/>
            <w:tcBorders>
              <w:top w:val="nil"/>
              <w:left w:val="nil"/>
              <w:bottom w:val="single" w:sz="4" w:space="0" w:color="auto"/>
              <w:right w:val="single" w:sz="4" w:space="0" w:color="auto"/>
            </w:tcBorders>
            <w:shd w:val="clear" w:color="auto" w:fill="auto"/>
            <w:noWrap/>
            <w:vAlign w:val="center"/>
            <w:hideMark/>
          </w:tcPr>
          <w:p w14:paraId="0358D6B7" w14:textId="77777777" w:rsidR="00D24589" w:rsidRDefault="00D24589">
            <w:pPr>
              <w:jc w:val="center"/>
              <w:rPr>
                <w:color w:val="000000"/>
              </w:rPr>
            </w:pPr>
            <w:r>
              <w:rPr>
                <w:color w:val="000000"/>
              </w:rPr>
              <w:t>7.65E-04</w:t>
            </w:r>
          </w:p>
        </w:tc>
        <w:tc>
          <w:tcPr>
            <w:tcW w:w="1420" w:type="dxa"/>
            <w:tcBorders>
              <w:top w:val="nil"/>
              <w:left w:val="nil"/>
              <w:bottom w:val="single" w:sz="4" w:space="0" w:color="auto"/>
              <w:right w:val="single" w:sz="4" w:space="0" w:color="auto"/>
            </w:tcBorders>
            <w:shd w:val="clear" w:color="auto" w:fill="auto"/>
            <w:noWrap/>
            <w:vAlign w:val="center"/>
            <w:hideMark/>
          </w:tcPr>
          <w:p w14:paraId="0231EE72" w14:textId="77777777" w:rsidR="00D24589" w:rsidRDefault="00D24589">
            <w:pPr>
              <w:jc w:val="center"/>
              <w:rPr>
                <w:color w:val="000000"/>
              </w:rPr>
            </w:pPr>
            <w:r>
              <w:rPr>
                <w:color w:val="000000"/>
              </w:rPr>
              <w:t>9.40E-04</w:t>
            </w:r>
          </w:p>
        </w:tc>
        <w:tc>
          <w:tcPr>
            <w:tcW w:w="880" w:type="dxa"/>
            <w:tcBorders>
              <w:top w:val="nil"/>
              <w:left w:val="nil"/>
              <w:bottom w:val="single" w:sz="4" w:space="0" w:color="auto"/>
              <w:right w:val="single" w:sz="4" w:space="0" w:color="auto"/>
            </w:tcBorders>
            <w:shd w:val="clear" w:color="auto" w:fill="auto"/>
            <w:noWrap/>
            <w:vAlign w:val="center"/>
            <w:hideMark/>
          </w:tcPr>
          <w:p w14:paraId="50953539" w14:textId="77777777" w:rsidR="00D24589" w:rsidRDefault="00D24589">
            <w:pPr>
              <w:jc w:val="center"/>
              <w:rPr>
                <w:color w:val="000000"/>
              </w:rPr>
            </w:pPr>
            <w:r>
              <w:rPr>
                <w:color w:val="000000"/>
              </w:rPr>
              <w:t>i, Cal.</w:t>
            </w:r>
          </w:p>
        </w:tc>
      </w:tr>
      <w:tr w:rsidR="00D24589" w14:paraId="1760DEDF"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911FD00" w14:textId="77777777" w:rsidR="00D24589" w:rsidRDefault="00D24589">
            <w:pPr>
              <w:jc w:val="center"/>
              <w:rPr>
                <w:color w:val="000000"/>
              </w:rPr>
            </w:pPr>
            <w:r>
              <w:rPr>
                <w:color w:val="000000"/>
              </w:rPr>
              <w:t>Sm</w:t>
            </w:r>
          </w:p>
        </w:tc>
        <w:tc>
          <w:tcPr>
            <w:tcW w:w="1420" w:type="dxa"/>
            <w:tcBorders>
              <w:top w:val="nil"/>
              <w:left w:val="nil"/>
              <w:bottom w:val="single" w:sz="4" w:space="0" w:color="auto"/>
              <w:right w:val="single" w:sz="4" w:space="0" w:color="auto"/>
            </w:tcBorders>
            <w:shd w:val="clear" w:color="auto" w:fill="auto"/>
            <w:noWrap/>
            <w:vAlign w:val="center"/>
            <w:hideMark/>
          </w:tcPr>
          <w:p w14:paraId="6223A431" w14:textId="77777777" w:rsidR="00D24589" w:rsidRDefault="00D24589">
            <w:pPr>
              <w:jc w:val="center"/>
              <w:rPr>
                <w:color w:val="000000"/>
              </w:rPr>
            </w:pPr>
            <w:r>
              <w:rPr>
                <w:color w:val="000000"/>
              </w:rPr>
              <w:t>1.44E-03</w:t>
            </w:r>
          </w:p>
        </w:tc>
        <w:tc>
          <w:tcPr>
            <w:tcW w:w="1420" w:type="dxa"/>
            <w:tcBorders>
              <w:top w:val="nil"/>
              <w:left w:val="nil"/>
              <w:bottom w:val="single" w:sz="4" w:space="0" w:color="auto"/>
              <w:right w:val="single" w:sz="4" w:space="0" w:color="auto"/>
            </w:tcBorders>
            <w:shd w:val="clear" w:color="auto" w:fill="auto"/>
            <w:noWrap/>
            <w:vAlign w:val="center"/>
            <w:hideMark/>
          </w:tcPr>
          <w:p w14:paraId="0C5ED8AD" w14:textId="77777777" w:rsidR="00D24589" w:rsidRDefault="00D24589">
            <w:pPr>
              <w:jc w:val="center"/>
              <w:rPr>
                <w:color w:val="000000"/>
              </w:rPr>
            </w:pPr>
            <w:r>
              <w:rPr>
                <w:color w:val="000000"/>
              </w:rPr>
              <w:t>1.74E-03</w:t>
            </w:r>
          </w:p>
        </w:tc>
        <w:tc>
          <w:tcPr>
            <w:tcW w:w="880" w:type="dxa"/>
            <w:tcBorders>
              <w:top w:val="nil"/>
              <w:left w:val="nil"/>
              <w:bottom w:val="single" w:sz="4" w:space="0" w:color="auto"/>
              <w:right w:val="single" w:sz="4" w:space="0" w:color="auto"/>
            </w:tcBorders>
            <w:shd w:val="clear" w:color="auto" w:fill="auto"/>
            <w:noWrap/>
            <w:vAlign w:val="center"/>
            <w:hideMark/>
          </w:tcPr>
          <w:p w14:paraId="2DAB1567" w14:textId="77777777" w:rsidR="00D24589" w:rsidRDefault="00D24589">
            <w:pPr>
              <w:jc w:val="center"/>
              <w:rPr>
                <w:color w:val="000000"/>
              </w:rPr>
            </w:pPr>
            <w:r>
              <w:rPr>
                <w:color w:val="000000"/>
              </w:rPr>
              <w:t>i, Cal.</w:t>
            </w:r>
          </w:p>
        </w:tc>
      </w:tr>
      <w:tr w:rsidR="00D24589" w14:paraId="1A87FC38"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A52CB4D" w14:textId="77777777" w:rsidR="00D24589" w:rsidRDefault="00D24589">
            <w:pPr>
              <w:jc w:val="center"/>
              <w:rPr>
                <w:color w:val="000000"/>
              </w:rPr>
            </w:pPr>
            <w:r>
              <w:rPr>
                <w:color w:val="000000"/>
              </w:rPr>
              <w:t>Eu</w:t>
            </w:r>
          </w:p>
        </w:tc>
        <w:tc>
          <w:tcPr>
            <w:tcW w:w="1420" w:type="dxa"/>
            <w:tcBorders>
              <w:top w:val="nil"/>
              <w:left w:val="nil"/>
              <w:bottom w:val="single" w:sz="4" w:space="0" w:color="auto"/>
              <w:right w:val="single" w:sz="4" w:space="0" w:color="auto"/>
            </w:tcBorders>
            <w:shd w:val="clear" w:color="auto" w:fill="auto"/>
            <w:noWrap/>
            <w:vAlign w:val="center"/>
            <w:hideMark/>
          </w:tcPr>
          <w:p w14:paraId="554E5550" w14:textId="77777777" w:rsidR="00D24589" w:rsidRDefault="00D24589">
            <w:pPr>
              <w:jc w:val="center"/>
              <w:rPr>
                <w:color w:val="000000"/>
              </w:rPr>
            </w:pPr>
            <w:r>
              <w:rPr>
                <w:color w:val="000000"/>
              </w:rPr>
              <w:t>2.79E-03</w:t>
            </w:r>
          </w:p>
        </w:tc>
        <w:tc>
          <w:tcPr>
            <w:tcW w:w="1420" w:type="dxa"/>
            <w:tcBorders>
              <w:top w:val="nil"/>
              <w:left w:val="nil"/>
              <w:bottom w:val="single" w:sz="4" w:space="0" w:color="auto"/>
              <w:right w:val="single" w:sz="4" w:space="0" w:color="auto"/>
            </w:tcBorders>
            <w:shd w:val="clear" w:color="auto" w:fill="auto"/>
            <w:noWrap/>
            <w:vAlign w:val="center"/>
            <w:hideMark/>
          </w:tcPr>
          <w:p w14:paraId="392BC025" w14:textId="77777777" w:rsidR="00D24589" w:rsidRDefault="00D24589">
            <w:pPr>
              <w:jc w:val="center"/>
              <w:rPr>
                <w:color w:val="000000"/>
              </w:rPr>
            </w:pPr>
            <w:r>
              <w:rPr>
                <w:color w:val="000000"/>
              </w:rPr>
              <w:t>3.55E-03</w:t>
            </w:r>
          </w:p>
        </w:tc>
        <w:tc>
          <w:tcPr>
            <w:tcW w:w="880" w:type="dxa"/>
            <w:tcBorders>
              <w:top w:val="nil"/>
              <w:left w:val="nil"/>
              <w:bottom w:val="single" w:sz="4" w:space="0" w:color="auto"/>
              <w:right w:val="single" w:sz="4" w:space="0" w:color="auto"/>
            </w:tcBorders>
            <w:shd w:val="clear" w:color="auto" w:fill="auto"/>
            <w:noWrap/>
            <w:vAlign w:val="center"/>
            <w:hideMark/>
          </w:tcPr>
          <w:p w14:paraId="5E771C5D" w14:textId="77777777" w:rsidR="00D24589" w:rsidRDefault="00D24589">
            <w:pPr>
              <w:jc w:val="center"/>
              <w:rPr>
                <w:color w:val="000000"/>
              </w:rPr>
            </w:pPr>
            <w:r>
              <w:rPr>
                <w:color w:val="000000"/>
              </w:rPr>
              <w:t>Sup.</w:t>
            </w:r>
          </w:p>
        </w:tc>
      </w:tr>
      <w:tr w:rsidR="00D24589" w14:paraId="29C943CA"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DE3C16A" w14:textId="77777777" w:rsidR="00D24589" w:rsidRDefault="00D24589">
            <w:pPr>
              <w:jc w:val="center"/>
              <w:rPr>
                <w:color w:val="000000"/>
              </w:rPr>
            </w:pPr>
            <w:r>
              <w:rPr>
                <w:color w:val="000000"/>
              </w:rPr>
              <w:t>Gd</w:t>
            </w:r>
          </w:p>
        </w:tc>
        <w:tc>
          <w:tcPr>
            <w:tcW w:w="1420" w:type="dxa"/>
            <w:tcBorders>
              <w:top w:val="nil"/>
              <w:left w:val="nil"/>
              <w:bottom w:val="single" w:sz="4" w:space="0" w:color="auto"/>
              <w:right w:val="single" w:sz="4" w:space="0" w:color="auto"/>
            </w:tcBorders>
            <w:shd w:val="clear" w:color="auto" w:fill="auto"/>
            <w:noWrap/>
            <w:vAlign w:val="center"/>
            <w:hideMark/>
          </w:tcPr>
          <w:p w14:paraId="557FEDE0" w14:textId="77777777" w:rsidR="00D24589" w:rsidRDefault="00D24589">
            <w:pPr>
              <w:jc w:val="center"/>
              <w:rPr>
                <w:color w:val="000000"/>
              </w:rPr>
            </w:pPr>
            <w:r>
              <w:rPr>
                <w:color w:val="000000"/>
              </w:rPr>
              <w:t>5.92E-03</w:t>
            </w:r>
          </w:p>
        </w:tc>
        <w:tc>
          <w:tcPr>
            <w:tcW w:w="1420" w:type="dxa"/>
            <w:tcBorders>
              <w:top w:val="nil"/>
              <w:left w:val="nil"/>
              <w:bottom w:val="single" w:sz="4" w:space="0" w:color="auto"/>
              <w:right w:val="single" w:sz="4" w:space="0" w:color="auto"/>
            </w:tcBorders>
            <w:shd w:val="clear" w:color="auto" w:fill="auto"/>
            <w:noWrap/>
            <w:vAlign w:val="center"/>
            <w:hideMark/>
          </w:tcPr>
          <w:p w14:paraId="27D599A5" w14:textId="77777777" w:rsidR="00D24589" w:rsidRDefault="00D24589">
            <w:pPr>
              <w:jc w:val="center"/>
              <w:rPr>
                <w:color w:val="000000"/>
              </w:rPr>
            </w:pPr>
            <w:r>
              <w:rPr>
                <w:color w:val="000000"/>
              </w:rPr>
              <w:t>6.82E-03</w:t>
            </w:r>
          </w:p>
        </w:tc>
        <w:tc>
          <w:tcPr>
            <w:tcW w:w="880" w:type="dxa"/>
            <w:tcBorders>
              <w:top w:val="nil"/>
              <w:left w:val="nil"/>
              <w:bottom w:val="single" w:sz="4" w:space="0" w:color="auto"/>
              <w:right w:val="single" w:sz="4" w:space="0" w:color="auto"/>
            </w:tcBorders>
            <w:shd w:val="clear" w:color="auto" w:fill="auto"/>
            <w:noWrap/>
            <w:vAlign w:val="center"/>
            <w:hideMark/>
          </w:tcPr>
          <w:p w14:paraId="48741EAA" w14:textId="77777777" w:rsidR="00D24589" w:rsidRDefault="00D24589">
            <w:pPr>
              <w:jc w:val="center"/>
              <w:rPr>
                <w:color w:val="000000"/>
              </w:rPr>
            </w:pPr>
            <w:r>
              <w:rPr>
                <w:color w:val="000000"/>
              </w:rPr>
              <w:t>i, Cal.</w:t>
            </w:r>
          </w:p>
        </w:tc>
      </w:tr>
      <w:tr w:rsidR="00D24589" w14:paraId="48442EED"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93A62AB" w14:textId="77777777" w:rsidR="00D24589" w:rsidRDefault="00D24589">
            <w:pPr>
              <w:jc w:val="center"/>
              <w:rPr>
                <w:color w:val="000000"/>
              </w:rPr>
            </w:pPr>
            <w:r>
              <w:rPr>
                <w:color w:val="000000"/>
              </w:rPr>
              <w:t>Tb</w:t>
            </w:r>
          </w:p>
        </w:tc>
        <w:tc>
          <w:tcPr>
            <w:tcW w:w="1420" w:type="dxa"/>
            <w:tcBorders>
              <w:top w:val="nil"/>
              <w:left w:val="nil"/>
              <w:bottom w:val="single" w:sz="4" w:space="0" w:color="auto"/>
              <w:right w:val="single" w:sz="4" w:space="0" w:color="auto"/>
            </w:tcBorders>
            <w:shd w:val="clear" w:color="auto" w:fill="auto"/>
            <w:noWrap/>
            <w:vAlign w:val="center"/>
            <w:hideMark/>
          </w:tcPr>
          <w:p w14:paraId="3FE7FC22" w14:textId="77777777" w:rsidR="00D24589" w:rsidRDefault="00D24589">
            <w:pPr>
              <w:jc w:val="center"/>
              <w:rPr>
                <w:color w:val="000000"/>
              </w:rPr>
            </w:pPr>
            <w:r>
              <w:rPr>
                <w:color w:val="000000"/>
              </w:rPr>
              <w:t>1.06E-02</w:t>
            </w:r>
          </w:p>
        </w:tc>
        <w:tc>
          <w:tcPr>
            <w:tcW w:w="1420" w:type="dxa"/>
            <w:tcBorders>
              <w:top w:val="nil"/>
              <w:left w:val="nil"/>
              <w:bottom w:val="single" w:sz="4" w:space="0" w:color="auto"/>
              <w:right w:val="single" w:sz="4" w:space="0" w:color="auto"/>
            </w:tcBorders>
            <w:shd w:val="clear" w:color="auto" w:fill="auto"/>
            <w:noWrap/>
            <w:vAlign w:val="center"/>
            <w:hideMark/>
          </w:tcPr>
          <w:p w14:paraId="41C07F2A" w14:textId="77777777" w:rsidR="00D24589" w:rsidRDefault="00D24589">
            <w:pPr>
              <w:jc w:val="center"/>
              <w:rPr>
                <w:color w:val="000000"/>
              </w:rPr>
            </w:pPr>
            <w:r>
              <w:rPr>
                <w:color w:val="000000"/>
              </w:rPr>
              <w:t>1.21E-02</w:t>
            </w:r>
          </w:p>
        </w:tc>
        <w:tc>
          <w:tcPr>
            <w:tcW w:w="880" w:type="dxa"/>
            <w:tcBorders>
              <w:top w:val="nil"/>
              <w:left w:val="nil"/>
              <w:bottom w:val="single" w:sz="4" w:space="0" w:color="auto"/>
              <w:right w:val="single" w:sz="4" w:space="0" w:color="auto"/>
            </w:tcBorders>
            <w:shd w:val="clear" w:color="auto" w:fill="auto"/>
            <w:noWrap/>
            <w:vAlign w:val="center"/>
            <w:hideMark/>
          </w:tcPr>
          <w:p w14:paraId="10DB4DCB" w14:textId="77777777" w:rsidR="00D24589" w:rsidRDefault="00D24589">
            <w:pPr>
              <w:jc w:val="center"/>
              <w:rPr>
                <w:color w:val="000000"/>
              </w:rPr>
            </w:pPr>
            <w:r>
              <w:rPr>
                <w:color w:val="000000"/>
              </w:rPr>
              <w:t>i, Cal.</w:t>
            </w:r>
          </w:p>
        </w:tc>
      </w:tr>
      <w:tr w:rsidR="00D24589" w14:paraId="66F76E93"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AC90D31" w14:textId="77777777" w:rsidR="00D24589" w:rsidRDefault="00D24589">
            <w:pPr>
              <w:jc w:val="center"/>
              <w:rPr>
                <w:color w:val="000000"/>
              </w:rPr>
            </w:pPr>
            <w:r>
              <w:rPr>
                <w:color w:val="000000"/>
              </w:rPr>
              <w:t>Dy</w:t>
            </w:r>
          </w:p>
        </w:tc>
        <w:tc>
          <w:tcPr>
            <w:tcW w:w="1420" w:type="dxa"/>
            <w:tcBorders>
              <w:top w:val="nil"/>
              <w:left w:val="nil"/>
              <w:bottom w:val="single" w:sz="4" w:space="0" w:color="auto"/>
              <w:right w:val="single" w:sz="4" w:space="0" w:color="auto"/>
            </w:tcBorders>
            <w:shd w:val="clear" w:color="auto" w:fill="auto"/>
            <w:noWrap/>
            <w:vAlign w:val="center"/>
            <w:hideMark/>
          </w:tcPr>
          <w:p w14:paraId="0E0BFB81" w14:textId="77777777" w:rsidR="00D24589" w:rsidRDefault="00D24589">
            <w:pPr>
              <w:jc w:val="center"/>
              <w:rPr>
                <w:color w:val="000000"/>
              </w:rPr>
            </w:pPr>
            <w:r>
              <w:rPr>
                <w:color w:val="000000"/>
              </w:rPr>
              <w:t>1.59E-02</w:t>
            </w:r>
          </w:p>
        </w:tc>
        <w:tc>
          <w:tcPr>
            <w:tcW w:w="1420" w:type="dxa"/>
            <w:tcBorders>
              <w:top w:val="nil"/>
              <w:left w:val="nil"/>
              <w:bottom w:val="single" w:sz="4" w:space="0" w:color="auto"/>
              <w:right w:val="single" w:sz="4" w:space="0" w:color="auto"/>
            </w:tcBorders>
            <w:shd w:val="clear" w:color="auto" w:fill="auto"/>
            <w:noWrap/>
            <w:vAlign w:val="center"/>
            <w:hideMark/>
          </w:tcPr>
          <w:p w14:paraId="7CBC2A26" w14:textId="77777777" w:rsidR="00D24589" w:rsidRDefault="00D24589">
            <w:pPr>
              <w:jc w:val="center"/>
              <w:rPr>
                <w:color w:val="000000"/>
              </w:rPr>
            </w:pPr>
            <w:r>
              <w:rPr>
                <w:color w:val="000000"/>
              </w:rPr>
              <w:t>1.78E-02</w:t>
            </w:r>
          </w:p>
        </w:tc>
        <w:tc>
          <w:tcPr>
            <w:tcW w:w="880" w:type="dxa"/>
            <w:tcBorders>
              <w:top w:val="nil"/>
              <w:left w:val="nil"/>
              <w:bottom w:val="single" w:sz="4" w:space="0" w:color="auto"/>
              <w:right w:val="single" w:sz="4" w:space="0" w:color="auto"/>
            </w:tcBorders>
            <w:shd w:val="clear" w:color="auto" w:fill="auto"/>
            <w:noWrap/>
            <w:vAlign w:val="center"/>
            <w:hideMark/>
          </w:tcPr>
          <w:p w14:paraId="59A9ED0A" w14:textId="77777777" w:rsidR="00D24589" w:rsidRDefault="00D24589">
            <w:pPr>
              <w:jc w:val="center"/>
              <w:rPr>
                <w:color w:val="000000"/>
              </w:rPr>
            </w:pPr>
            <w:r>
              <w:rPr>
                <w:color w:val="000000"/>
              </w:rPr>
              <w:t>i, Cal.</w:t>
            </w:r>
          </w:p>
        </w:tc>
      </w:tr>
      <w:tr w:rsidR="00D24589" w14:paraId="3AFA33E4"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D59E45B" w14:textId="77777777" w:rsidR="00D24589" w:rsidRDefault="00D24589">
            <w:pPr>
              <w:jc w:val="center"/>
              <w:rPr>
                <w:color w:val="000000"/>
              </w:rPr>
            </w:pPr>
            <w:r>
              <w:rPr>
                <w:color w:val="000000"/>
              </w:rPr>
              <w:t>Y</w:t>
            </w:r>
          </w:p>
        </w:tc>
        <w:tc>
          <w:tcPr>
            <w:tcW w:w="1420" w:type="dxa"/>
            <w:tcBorders>
              <w:top w:val="nil"/>
              <w:left w:val="nil"/>
              <w:bottom w:val="single" w:sz="4" w:space="0" w:color="auto"/>
              <w:right w:val="single" w:sz="4" w:space="0" w:color="auto"/>
            </w:tcBorders>
            <w:shd w:val="clear" w:color="auto" w:fill="auto"/>
            <w:noWrap/>
            <w:vAlign w:val="center"/>
            <w:hideMark/>
          </w:tcPr>
          <w:p w14:paraId="3C9A4090" w14:textId="77777777" w:rsidR="00D24589" w:rsidRDefault="00D24589">
            <w:pPr>
              <w:jc w:val="center"/>
              <w:rPr>
                <w:color w:val="000000"/>
              </w:rPr>
            </w:pPr>
            <w:r>
              <w:rPr>
                <w:color w:val="000000"/>
              </w:rPr>
              <w:t>2.40E-02</w:t>
            </w:r>
          </w:p>
        </w:tc>
        <w:tc>
          <w:tcPr>
            <w:tcW w:w="1420" w:type="dxa"/>
            <w:tcBorders>
              <w:top w:val="nil"/>
              <w:left w:val="nil"/>
              <w:bottom w:val="single" w:sz="4" w:space="0" w:color="auto"/>
              <w:right w:val="single" w:sz="4" w:space="0" w:color="auto"/>
            </w:tcBorders>
            <w:shd w:val="clear" w:color="auto" w:fill="auto"/>
            <w:noWrap/>
            <w:vAlign w:val="center"/>
            <w:hideMark/>
          </w:tcPr>
          <w:p w14:paraId="04ABB56C" w14:textId="77777777" w:rsidR="00D24589" w:rsidRDefault="00D24589">
            <w:pPr>
              <w:jc w:val="center"/>
              <w:rPr>
                <w:color w:val="000000"/>
              </w:rPr>
            </w:pPr>
            <w:r>
              <w:rPr>
                <w:color w:val="000000"/>
              </w:rPr>
              <w:t>2.65E-02</w:t>
            </w:r>
          </w:p>
        </w:tc>
        <w:tc>
          <w:tcPr>
            <w:tcW w:w="880" w:type="dxa"/>
            <w:tcBorders>
              <w:top w:val="nil"/>
              <w:left w:val="nil"/>
              <w:bottom w:val="single" w:sz="4" w:space="0" w:color="auto"/>
              <w:right w:val="single" w:sz="4" w:space="0" w:color="auto"/>
            </w:tcBorders>
            <w:shd w:val="clear" w:color="auto" w:fill="auto"/>
            <w:noWrap/>
            <w:vAlign w:val="center"/>
            <w:hideMark/>
          </w:tcPr>
          <w:p w14:paraId="4A5BB34B" w14:textId="77777777" w:rsidR="00D24589" w:rsidRDefault="00D24589">
            <w:pPr>
              <w:jc w:val="center"/>
              <w:rPr>
                <w:color w:val="000000"/>
              </w:rPr>
            </w:pPr>
            <w:r>
              <w:rPr>
                <w:color w:val="000000"/>
              </w:rPr>
              <w:t>i, Cal.</w:t>
            </w:r>
          </w:p>
        </w:tc>
      </w:tr>
      <w:tr w:rsidR="00D24589" w14:paraId="7A34054B"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BA57E08" w14:textId="77777777" w:rsidR="00D24589" w:rsidRDefault="00D24589">
            <w:pPr>
              <w:jc w:val="center"/>
              <w:rPr>
                <w:color w:val="000000"/>
              </w:rPr>
            </w:pPr>
            <w:r>
              <w:rPr>
                <w:color w:val="000000"/>
              </w:rPr>
              <w:t>Ho</w:t>
            </w:r>
          </w:p>
        </w:tc>
        <w:tc>
          <w:tcPr>
            <w:tcW w:w="1420" w:type="dxa"/>
            <w:tcBorders>
              <w:top w:val="nil"/>
              <w:left w:val="nil"/>
              <w:bottom w:val="single" w:sz="4" w:space="0" w:color="auto"/>
              <w:right w:val="single" w:sz="4" w:space="0" w:color="auto"/>
            </w:tcBorders>
            <w:shd w:val="clear" w:color="auto" w:fill="auto"/>
            <w:noWrap/>
            <w:vAlign w:val="center"/>
            <w:hideMark/>
          </w:tcPr>
          <w:p w14:paraId="06E0C856" w14:textId="77777777" w:rsidR="00D24589" w:rsidRDefault="00D24589">
            <w:pPr>
              <w:jc w:val="center"/>
              <w:rPr>
                <w:color w:val="000000"/>
              </w:rPr>
            </w:pPr>
            <w:r>
              <w:rPr>
                <w:color w:val="000000"/>
              </w:rPr>
              <w:t>2.32E-02</w:t>
            </w:r>
          </w:p>
        </w:tc>
        <w:tc>
          <w:tcPr>
            <w:tcW w:w="1420" w:type="dxa"/>
            <w:tcBorders>
              <w:top w:val="nil"/>
              <w:left w:val="nil"/>
              <w:bottom w:val="single" w:sz="4" w:space="0" w:color="auto"/>
              <w:right w:val="single" w:sz="4" w:space="0" w:color="auto"/>
            </w:tcBorders>
            <w:shd w:val="clear" w:color="auto" w:fill="auto"/>
            <w:noWrap/>
            <w:vAlign w:val="center"/>
            <w:hideMark/>
          </w:tcPr>
          <w:p w14:paraId="78722D08" w14:textId="77777777" w:rsidR="00D24589" w:rsidRDefault="00D24589">
            <w:pPr>
              <w:jc w:val="center"/>
              <w:rPr>
                <w:color w:val="000000"/>
              </w:rPr>
            </w:pPr>
            <w:r>
              <w:rPr>
                <w:color w:val="000000"/>
              </w:rPr>
              <w:t>2.57E-02</w:t>
            </w:r>
          </w:p>
        </w:tc>
        <w:tc>
          <w:tcPr>
            <w:tcW w:w="880" w:type="dxa"/>
            <w:tcBorders>
              <w:top w:val="nil"/>
              <w:left w:val="nil"/>
              <w:bottom w:val="single" w:sz="4" w:space="0" w:color="auto"/>
              <w:right w:val="single" w:sz="4" w:space="0" w:color="auto"/>
            </w:tcBorders>
            <w:shd w:val="clear" w:color="auto" w:fill="auto"/>
            <w:noWrap/>
            <w:vAlign w:val="center"/>
            <w:hideMark/>
          </w:tcPr>
          <w:p w14:paraId="4F368909" w14:textId="77777777" w:rsidR="00D24589" w:rsidRDefault="00D24589">
            <w:pPr>
              <w:jc w:val="center"/>
              <w:rPr>
                <w:color w:val="000000"/>
              </w:rPr>
            </w:pPr>
            <w:r>
              <w:rPr>
                <w:color w:val="000000"/>
              </w:rPr>
              <w:t>i, Cal.</w:t>
            </w:r>
          </w:p>
        </w:tc>
      </w:tr>
      <w:tr w:rsidR="00D24589" w14:paraId="359BD6DE"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8BC0515" w14:textId="77777777" w:rsidR="00D24589" w:rsidRDefault="00D24589">
            <w:pPr>
              <w:jc w:val="center"/>
              <w:rPr>
                <w:color w:val="000000"/>
              </w:rPr>
            </w:pPr>
            <w:r>
              <w:rPr>
                <w:color w:val="000000"/>
              </w:rPr>
              <w:t>Er</w:t>
            </w:r>
          </w:p>
        </w:tc>
        <w:tc>
          <w:tcPr>
            <w:tcW w:w="1420" w:type="dxa"/>
            <w:tcBorders>
              <w:top w:val="nil"/>
              <w:left w:val="nil"/>
              <w:bottom w:val="single" w:sz="4" w:space="0" w:color="auto"/>
              <w:right w:val="single" w:sz="4" w:space="0" w:color="auto"/>
            </w:tcBorders>
            <w:shd w:val="clear" w:color="auto" w:fill="auto"/>
            <w:noWrap/>
            <w:vAlign w:val="center"/>
            <w:hideMark/>
          </w:tcPr>
          <w:p w14:paraId="201BD3C4" w14:textId="77777777" w:rsidR="00D24589" w:rsidRDefault="00D24589">
            <w:pPr>
              <w:jc w:val="center"/>
              <w:rPr>
                <w:color w:val="000000"/>
              </w:rPr>
            </w:pPr>
            <w:r>
              <w:rPr>
                <w:color w:val="000000"/>
              </w:rPr>
              <w:t>3.31E-02</w:t>
            </w:r>
          </w:p>
        </w:tc>
        <w:tc>
          <w:tcPr>
            <w:tcW w:w="1420" w:type="dxa"/>
            <w:tcBorders>
              <w:top w:val="nil"/>
              <w:left w:val="nil"/>
              <w:bottom w:val="single" w:sz="4" w:space="0" w:color="auto"/>
              <w:right w:val="single" w:sz="4" w:space="0" w:color="auto"/>
            </w:tcBorders>
            <w:shd w:val="clear" w:color="auto" w:fill="auto"/>
            <w:noWrap/>
            <w:vAlign w:val="center"/>
            <w:hideMark/>
          </w:tcPr>
          <w:p w14:paraId="6697D793" w14:textId="77777777" w:rsidR="00D24589" w:rsidRDefault="00D24589">
            <w:pPr>
              <w:jc w:val="center"/>
              <w:rPr>
                <w:color w:val="000000"/>
              </w:rPr>
            </w:pPr>
            <w:r>
              <w:rPr>
                <w:color w:val="000000"/>
              </w:rPr>
              <w:t>3.62E-02</w:t>
            </w:r>
          </w:p>
        </w:tc>
        <w:tc>
          <w:tcPr>
            <w:tcW w:w="880" w:type="dxa"/>
            <w:tcBorders>
              <w:top w:val="nil"/>
              <w:left w:val="nil"/>
              <w:bottom w:val="single" w:sz="4" w:space="0" w:color="auto"/>
              <w:right w:val="single" w:sz="4" w:space="0" w:color="auto"/>
            </w:tcBorders>
            <w:shd w:val="clear" w:color="auto" w:fill="auto"/>
            <w:noWrap/>
            <w:vAlign w:val="center"/>
            <w:hideMark/>
          </w:tcPr>
          <w:p w14:paraId="6A360648" w14:textId="77777777" w:rsidR="00D24589" w:rsidRDefault="00D24589">
            <w:pPr>
              <w:jc w:val="center"/>
              <w:rPr>
                <w:color w:val="000000"/>
              </w:rPr>
            </w:pPr>
            <w:r>
              <w:rPr>
                <w:color w:val="000000"/>
              </w:rPr>
              <w:t>i, Cal.</w:t>
            </w:r>
          </w:p>
        </w:tc>
      </w:tr>
      <w:tr w:rsidR="00D24589" w14:paraId="491D9EFF"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68ECCE7" w14:textId="77777777" w:rsidR="00D24589" w:rsidRDefault="00D24589">
            <w:pPr>
              <w:jc w:val="center"/>
              <w:rPr>
                <w:color w:val="000000"/>
              </w:rPr>
            </w:pPr>
            <w:r>
              <w:rPr>
                <w:color w:val="000000"/>
              </w:rPr>
              <w:t>Tm</w:t>
            </w:r>
          </w:p>
        </w:tc>
        <w:tc>
          <w:tcPr>
            <w:tcW w:w="1420" w:type="dxa"/>
            <w:tcBorders>
              <w:top w:val="nil"/>
              <w:left w:val="nil"/>
              <w:bottom w:val="single" w:sz="4" w:space="0" w:color="auto"/>
              <w:right w:val="single" w:sz="4" w:space="0" w:color="auto"/>
            </w:tcBorders>
            <w:shd w:val="clear" w:color="auto" w:fill="auto"/>
            <w:noWrap/>
            <w:vAlign w:val="center"/>
            <w:hideMark/>
          </w:tcPr>
          <w:p w14:paraId="1F5793FC" w14:textId="77777777" w:rsidR="00D24589" w:rsidRDefault="00D24589">
            <w:pPr>
              <w:jc w:val="center"/>
              <w:rPr>
                <w:color w:val="000000"/>
              </w:rPr>
            </w:pPr>
            <w:r>
              <w:rPr>
                <w:color w:val="000000"/>
              </w:rPr>
              <w:t>4.48E-02</w:t>
            </w:r>
          </w:p>
        </w:tc>
        <w:tc>
          <w:tcPr>
            <w:tcW w:w="1420" w:type="dxa"/>
            <w:tcBorders>
              <w:top w:val="nil"/>
              <w:left w:val="nil"/>
              <w:bottom w:val="single" w:sz="4" w:space="0" w:color="auto"/>
              <w:right w:val="single" w:sz="4" w:space="0" w:color="auto"/>
            </w:tcBorders>
            <w:shd w:val="clear" w:color="auto" w:fill="auto"/>
            <w:noWrap/>
            <w:vAlign w:val="center"/>
            <w:hideMark/>
          </w:tcPr>
          <w:p w14:paraId="7DD4EAC2" w14:textId="77777777" w:rsidR="00D24589" w:rsidRDefault="00D24589">
            <w:pPr>
              <w:jc w:val="center"/>
              <w:rPr>
                <w:color w:val="000000"/>
              </w:rPr>
            </w:pPr>
            <w:r>
              <w:rPr>
                <w:color w:val="000000"/>
              </w:rPr>
              <w:t>4.86E-02</w:t>
            </w:r>
          </w:p>
        </w:tc>
        <w:tc>
          <w:tcPr>
            <w:tcW w:w="880" w:type="dxa"/>
            <w:tcBorders>
              <w:top w:val="nil"/>
              <w:left w:val="nil"/>
              <w:bottom w:val="single" w:sz="4" w:space="0" w:color="auto"/>
              <w:right w:val="single" w:sz="4" w:space="0" w:color="auto"/>
            </w:tcBorders>
            <w:shd w:val="clear" w:color="auto" w:fill="auto"/>
            <w:noWrap/>
            <w:vAlign w:val="center"/>
            <w:hideMark/>
          </w:tcPr>
          <w:p w14:paraId="6C3F07DD" w14:textId="77777777" w:rsidR="00D24589" w:rsidRDefault="00D24589">
            <w:pPr>
              <w:jc w:val="center"/>
              <w:rPr>
                <w:color w:val="000000"/>
              </w:rPr>
            </w:pPr>
            <w:r>
              <w:rPr>
                <w:color w:val="000000"/>
              </w:rPr>
              <w:t>i, Cal.</w:t>
            </w:r>
          </w:p>
        </w:tc>
      </w:tr>
      <w:tr w:rsidR="00D24589" w14:paraId="34F3EA32"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0698444" w14:textId="77777777" w:rsidR="00D24589" w:rsidRDefault="00D24589">
            <w:pPr>
              <w:jc w:val="center"/>
              <w:rPr>
                <w:color w:val="000000"/>
              </w:rPr>
            </w:pPr>
            <w:r>
              <w:rPr>
                <w:color w:val="000000"/>
              </w:rPr>
              <w:t>Yb</w:t>
            </w:r>
          </w:p>
        </w:tc>
        <w:tc>
          <w:tcPr>
            <w:tcW w:w="1420" w:type="dxa"/>
            <w:tcBorders>
              <w:top w:val="nil"/>
              <w:left w:val="nil"/>
              <w:bottom w:val="single" w:sz="4" w:space="0" w:color="auto"/>
              <w:right w:val="single" w:sz="4" w:space="0" w:color="auto"/>
            </w:tcBorders>
            <w:shd w:val="clear" w:color="auto" w:fill="auto"/>
            <w:noWrap/>
            <w:vAlign w:val="center"/>
            <w:hideMark/>
          </w:tcPr>
          <w:p w14:paraId="3B03E032" w14:textId="77777777" w:rsidR="00D24589" w:rsidRDefault="00D24589">
            <w:pPr>
              <w:jc w:val="center"/>
              <w:rPr>
                <w:color w:val="000000"/>
              </w:rPr>
            </w:pPr>
            <w:r>
              <w:rPr>
                <w:color w:val="000000"/>
              </w:rPr>
              <w:t>6.29E-02</w:t>
            </w:r>
          </w:p>
        </w:tc>
        <w:tc>
          <w:tcPr>
            <w:tcW w:w="1420" w:type="dxa"/>
            <w:tcBorders>
              <w:top w:val="nil"/>
              <w:left w:val="nil"/>
              <w:bottom w:val="single" w:sz="4" w:space="0" w:color="auto"/>
              <w:right w:val="single" w:sz="4" w:space="0" w:color="auto"/>
            </w:tcBorders>
            <w:shd w:val="clear" w:color="auto" w:fill="auto"/>
            <w:noWrap/>
            <w:vAlign w:val="center"/>
            <w:hideMark/>
          </w:tcPr>
          <w:p w14:paraId="1EBCC08C" w14:textId="77777777" w:rsidR="00D24589" w:rsidRDefault="00D24589">
            <w:pPr>
              <w:jc w:val="center"/>
              <w:rPr>
                <w:color w:val="000000"/>
              </w:rPr>
            </w:pPr>
            <w:r>
              <w:rPr>
                <w:color w:val="000000"/>
              </w:rPr>
              <w:t>6.75E-02</w:t>
            </w:r>
          </w:p>
        </w:tc>
        <w:tc>
          <w:tcPr>
            <w:tcW w:w="880" w:type="dxa"/>
            <w:tcBorders>
              <w:top w:val="nil"/>
              <w:left w:val="nil"/>
              <w:bottom w:val="single" w:sz="4" w:space="0" w:color="auto"/>
              <w:right w:val="single" w:sz="4" w:space="0" w:color="auto"/>
            </w:tcBorders>
            <w:shd w:val="clear" w:color="auto" w:fill="auto"/>
            <w:noWrap/>
            <w:vAlign w:val="center"/>
            <w:hideMark/>
          </w:tcPr>
          <w:p w14:paraId="4A33814B" w14:textId="77777777" w:rsidR="00D24589" w:rsidRDefault="00D24589">
            <w:pPr>
              <w:jc w:val="center"/>
              <w:rPr>
                <w:color w:val="000000"/>
              </w:rPr>
            </w:pPr>
            <w:r>
              <w:rPr>
                <w:color w:val="000000"/>
              </w:rPr>
              <w:t>i, Cal.</w:t>
            </w:r>
          </w:p>
        </w:tc>
      </w:tr>
      <w:tr w:rsidR="00D24589" w14:paraId="32AE95CC"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C6C52BD" w14:textId="77777777" w:rsidR="00D24589" w:rsidRDefault="00D24589">
            <w:pPr>
              <w:jc w:val="center"/>
              <w:rPr>
                <w:color w:val="000000"/>
              </w:rPr>
            </w:pPr>
            <w:r>
              <w:rPr>
                <w:color w:val="000000"/>
              </w:rPr>
              <w:t>Lu</w:t>
            </w:r>
          </w:p>
        </w:tc>
        <w:tc>
          <w:tcPr>
            <w:tcW w:w="1420" w:type="dxa"/>
            <w:tcBorders>
              <w:top w:val="nil"/>
              <w:left w:val="nil"/>
              <w:bottom w:val="single" w:sz="4" w:space="0" w:color="auto"/>
              <w:right w:val="single" w:sz="4" w:space="0" w:color="auto"/>
            </w:tcBorders>
            <w:shd w:val="clear" w:color="auto" w:fill="auto"/>
            <w:noWrap/>
            <w:vAlign w:val="center"/>
            <w:hideMark/>
          </w:tcPr>
          <w:p w14:paraId="32AED695" w14:textId="77777777" w:rsidR="00D24589" w:rsidRDefault="00D24589">
            <w:pPr>
              <w:jc w:val="center"/>
              <w:rPr>
                <w:color w:val="000000"/>
              </w:rPr>
            </w:pPr>
            <w:r>
              <w:rPr>
                <w:color w:val="000000"/>
              </w:rPr>
              <w:t>7.57E-02</w:t>
            </w:r>
          </w:p>
        </w:tc>
        <w:tc>
          <w:tcPr>
            <w:tcW w:w="1420" w:type="dxa"/>
            <w:tcBorders>
              <w:top w:val="nil"/>
              <w:left w:val="nil"/>
              <w:bottom w:val="single" w:sz="4" w:space="0" w:color="auto"/>
              <w:right w:val="single" w:sz="4" w:space="0" w:color="auto"/>
            </w:tcBorders>
            <w:shd w:val="clear" w:color="auto" w:fill="auto"/>
            <w:noWrap/>
            <w:vAlign w:val="center"/>
            <w:hideMark/>
          </w:tcPr>
          <w:p w14:paraId="786AD543" w14:textId="77777777" w:rsidR="00D24589" w:rsidRDefault="00D24589">
            <w:pPr>
              <w:jc w:val="center"/>
              <w:rPr>
                <w:color w:val="000000"/>
              </w:rPr>
            </w:pPr>
            <w:r>
              <w:rPr>
                <w:color w:val="000000"/>
              </w:rPr>
              <w:t>8.07E-02</w:t>
            </w:r>
          </w:p>
        </w:tc>
        <w:tc>
          <w:tcPr>
            <w:tcW w:w="880" w:type="dxa"/>
            <w:tcBorders>
              <w:top w:val="nil"/>
              <w:left w:val="nil"/>
              <w:bottom w:val="single" w:sz="4" w:space="0" w:color="auto"/>
              <w:right w:val="single" w:sz="4" w:space="0" w:color="auto"/>
            </w:tcBorders>
            <w:shd w:val="clear" w:color="auto" w:fill="auto"/>
            <w:noWrap/>
            <w:vAlign w:val="center"/>
            <w:hideMark/>
          </w:tcPr>
          <w:p w14:paraId="358461F4" w14:textId="77777777" w:rsidR="00D24589" w:rsidRDefault="00D24589">
            <w:pPr>
              <w:jc w:val="center"/>
              <w:rPr>
                <w:color w:val="000000"/>
              </w:rPr>
            </w:pPr>
            <w:r>
              <w:rPr>
                <w:color w:val="000000"/>
              </w:rPr>
              <w:t>i, Cal.</w:t>
            </w:r>
          </w:p>
        </w:tc>
      </w:tr>
      <w:tr w:rsidR="00D24589" w14:paraId="4CA611D9"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EB589E0" w14:textId="77777777" w:rsidR="00D24589" w:rsidRDefault="00D24589">
            <w:pPr>
              <w:jc w:val="center"/>
              <w:rPr>
                <w:color w:val="000000"/>
              </w:rPr>
            </w:pPr>
            <w:r>
              <w:rPr>
                <w:color w:val="000000"/>
              </w:rPr>
              <w:t>Hf</w:t>
            </w:r>
          </w:p>
        </w:tc>
        <w:tc>
          <w:tcPr>
            <w:tcW w:w="1420" w:type="dxa"/>
            <w:tcBorders>
              <w:top w:val="nil"/>
              <w:left w:val="nil"/>
              <w:bottom w:val="single" w:sz="4" w:space="0" w:color="auto"/>
              <w:right w:val="single" w:sz="4" w:space="0" w:color="auto"/>
            </w:tcBorders>
            <w:shd w:val="clear" w:color="auto" w:fill="auto"/>
            <w:noWrap/>
            <w:vAlign w:val="center"/>
            <w:hideMark/>
          </w:tcPr>
          <w:p w14:paraId="45773D40" w14:textId="77777777" w:rsidR="00D24589" w:rsidRDefault="00D24589">
            <w:pPr>
              <w:jc w:val="center"/>
              <w:rPr>
                <w:color w:val="000000"/>
              </w:rPr>
            </w:pPr>
            <w:r>
              <w:rPr>
                <w:color w:val="000000"/>
              </w:rPr>
              <w:t>3.73E-01</w:t>
            </w:r>
          </w:p>
        </w:tc>
        <w:tc>
          <w:tcPr>
            <w:tcW w:w="1420" w:type="dxa"/>
            <w:tcBorders>
              <w:top w:val="nil"/>
              <w:left w:val="nil"/>
              <w:bottom w:val="single" w:sz="4" w:space="0" w:color="auto"/>
              <w:right w:val="single" w:sz="4" w:space="0" w:color="auto"/>
            </w:tcBorders>
            <w:shd w:val="clear" w:color="auto" w:fill="auto"/>
            <w:noWrap/>
            <w:vAlign w:val="center"/>
            <w:hideMark/>
          </w:tcPr>
          <w:p w14:paraId="0A75A93A" w14:textId="77777777" w:rsidR="00D24589" w:rsidRDefault="00D24589">
            <w:pPr>
              <w:jc w:val="center"/>
              <w:rPr>
                <w:color w:val="000000"/>
              </w:rPr>
            </w:pPr>
            <w:r>
              <w:rPr>
                <w:color w:val="000000"/>
              </w:rPr>
              <w:t>4.69E-01</w:t>
            </w:r>
          </w:p>
        </w:tc>
        <w:tc>
          <w:tcPr>
            <w:tcW w:w="880" w:type="dxa"/>
            <w:tcBorders>
              <w:top w:val="nil"/>
              <w:left w:val="nil"/>
              <w:bottom w:val="single" w:sz="4" w:space="0" w:color="auto"/>
              <w:right w:val="single" w:sz="4" w:space="0" w:color="auto"/>
            </w:tcBorders>
            <w:shd w:val="clear" w:color="auto" w:fill="auto"/>
            <w:noWrap/>
            <w:vAlign w:val="center"/>
            <w:hideMark/>
          </w:tcPr>
          <w:p w14:paraId="5EE9DBE7" w14:textId="77777777" w:rsidR="00D24589" w:rsidRDefault="00D24589">
            <w:pPr>
              <w:jc w:val="center"/>
              <w:rPr>
                <w:color w:val="000000"/>
              </w:rPr>
            </w:pPr>
            <w:r>
              <w:rPr>
                <w:color w:val="000000"/>
              </w:rPr>
              <w:t>i, Cal.</w:t>
            </w:r>
          </w:p>
        </w:tc>
      </w:tr>
      <w:tr w:rsidR="00D24589" w14:paraId="75015CC2"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A077F03" w14:textId="77777777" w:rsidR="00D24589" w:rsidRDefault="00D24589">
            <w:pPr>
              <w:jc w:val="center"/>
              <w:rPr>
                <w:color w:val="000000"/>
              </w:rPr>
            </w:pPr>
            <w:r>
              <w:rPr>
                <w:color w:val="000000"/>
              </w:rPr>
              <w:t>Melting</w:t>
            </w:r>
          </w:p>
        </w:tc>
        <w:tc>
          <w:tcPr>
            <w:tcW w:w="1420" w:type="dxa"/>
            <w:tcBorders>
              <w:top w:val="nil"/>
              <w:left w:val="nil"/>
              <w:bottom w:val="single" w:sz="4" w:space="0" w:color="auto"/>
              <w:right w:val="single" w:sz="4" w:space="0" w:color="auto"/>
            </w:tcBorders>
            <w:shd w:val="clear" w:color="auto" w:fill="auto"/>
            <w:vAlign w:val="center"/>
            <w:hideMark/>
          </w:tcPr>
          <w:p w14:paraId="2CA04D04" w14:textId="77777777" w:rsidR="00D24589" w:rsidRDefault="00D24589">
            <w:pPr>
              <w:jc w:val="center"/>
              <w:rPr>
                <w:color w:val="000000"/>
              </w:rPr>
            </w:pPr>
            <w:r>
              <w:rPr>
                <w:color w:val="000000"/>
              </w:rPr>
              <w:t>IBC</w:t>
            </w:r>
          </w:p>
        </w:tc>
        <w:tc>
          <w:tcPr>
            <w:tcW w:w="1420" w:type="dxa"/>
            <w:tcBorders>
              <w:top w:val="nil"/>
              <w:left w:val="nil"/>
              <w:bottom w:val="single" w:sz="4" w:space="0" w:color="auto"/>
              <w:right w:val="single" w:sz="4" w:space="0" w:color="auto"/>
            </w:tcBorders>
            <w:shd w:val="clear" w:color="auto" w:fill="auto"/>
            <w:vAlign w:val="center"/>
            <w:hideMark/>
          </w:tcPr>
          <w:p w14:paraId="1CB74B67" w14:textId="77777777" w:rsidR="00D24589" w:rsidRDefault="00D24589">
            <w:pPr>
              <w:jc w:val="center"/>
              <w:rPr>
                <w:color w:val="000000"/>
              </w:rPr>
            </w:pPr>
            <w:r>
              <w:rPr>
                <w:color w:val="000000"/>
              </w:rPr>
              <w:t xml:space="preserve">Hyb. Sr. </w:t>
            </w:r>
          </w:p>
        </w:tc>
        <w:tc>
          <w:tcPr>
            <w:tcW w:w="880" w:type="dxa"/>
            <w:tcBorders>
              <w:top w:val="nil"/>
              <w:left w:val="nil"/>
              <w:bottom w:val="single" w:sz="4" w:space="0" w:color="auto"/>
              <w:right w:val="single" w:sz="4" w:space="0" w:color="auto"/>
            </w:tcBorders>
            <w:shd w:val="clear" w:color="auto" w:fill="auto"/>
            <w:vAlign w:val="center"/>
            <w:hideMark/>
          </w:tcPr>
          <w:p w14:paraId="3ED463B1" w14:textId="77777777" w:rsidR="00D24589" w:rsidRDefault="00D24589">
            <w:pPr>
              <w:jc w:val="center"/>
              <w:rPr>
                <w:color w:val="000000"/>
              </w:rPr>
            </w:pPr>
            <w:r>
              <w:rPr>
                <w:color w:val="000000"/>
              </w:rPr>
              <w:t> </w:t>
            </w:r>
          </w:p>
        </w:tc>
      </w:tr>
      <w:tr w:rsidR="00D24589" w14:paraId="4351FB85"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050680D" w14:textId="77777777" w:rsidR="00D24589" w:rsidRDefault="00D24589">
            <w:pPr>
              <w:jc w:val="center"/>
              <w:rPr>
                <w:color w:val="000000"/>
              </w:rPr>
            </w:pPr>
            <w:r>
              <w:rPr>
                <w:color w:val="000000"/>
              </w:rPr>
              <w:t>T (ºC)</w:t>
            </w:r>
          </w:p>
        </w:tc>
        <w:tc>
          <w:tcPr>
            <w:tcW w:w="1420" w:type="dxa"/>
            <w:tcBorders>
              <w:top w:val="nil"/>
              <w:left w:val="nil"/>
              <w:bottom w:val="single" w:sz="4" w:space="0" w:color="auto"/>
              <w:right w:val="single" w:sz="4" w:space="0" w:color="auto"/>
            </w:tcBorders>
            <w:shd w:val="clear" w:color="auto" w:fill="auto"/>
            <w:noWrap/>
            <w:vAlign w:val="bottom"/>
            <w:hideMark/>
          </w:tcPr>
          <w:p w14:paraId="37B49204" w14:textId="77777777" w:rsidR="00D24589" w:rsidRDefault="00D24589">
            <w:pPr>
              <w:jc w:val="center"/>
              <w:rPr>
                <w:color w:val="000000"/>
              </w:rPr>
            </w:pPr>
            <w:r>
              <w:rPr>
                <w:color w:val="000000"/>
              </w:rPr>
              <w:t>1300</w:t>
            </w:r>
          </w:p>
        </w:tc>
        <w:tc>
          <w:tcPr>
            <w:tcW w:w="1420" w:type="dxa"/>
            <w:tcBorders>
              <w:top w:val="nil"/>
              <w:left w:val="nil"/>
              <w:bottom w:val="single" w:sz="4" w:space="0" w:color="auto"/>
              <w:right w:val="single" w:sz="4" w:space="0" w:color="auto"/>
            </w:tcBorders>
            <w:shd w:val="clear" w:color="auto" w:fill="auto"/>
            <w:noWrap/>
            <w:vAlign w:val="bottom"/>
            <w:hideMark/>
          </w:tcPr>
          <w:p w14:paraId="25526E62" w14:textId="77777777" w:rsidR="00D24589" w:rsidRDefault="00D24589">
            <w:pPr>
              <w:jc w:val="center"/>
              <w:rPr>
                <w:color w:val="000000"/>
              </w:rPr>
            </w:pPr>
            <w:r>
              <w:rPr>
                <w:color w:val="000000"/>
              </w:rPr>
              <w:t>1350</w:t>
            </w:r>
          </w:p>
        </w:tc>
        <w:tc>
          <w:tcPr>
            <w:tcW w:w="880" w:type="dxa"/>
            <w:tcBorders>
              <w:top w:val="nil"/>
              <w:left w:val="nil"/>
              <w:bottom w:val="single" w:sz="4" w:space="0" w:color="auto"/>
              <w:right w:val="single" w:sz="4" w:space="0" w:color="auto"/>
            </w:tcBorders>
            <w:shd w:val="clear" w:color="auto" w:fill="auto"/>
            <w:noWrap/>
            <w:vAlign w:val="bottom"/>
            <w:hideMark/>
          </w:tcPr>
          <w:p w14:paraId="666171A7" w14:textId="77777777" w:rsidR="00D24589" w:rsidRDefault="00D24589">
            <w:pPr>
              <w:jc w:val="center"/>
              <w:rPr>
                <w:color w:val="000000"/>
              </w:rPr>
            </w:pPr>
            <w:r>
              <w:rPr>
                <w:color w:val="000000"/>
              </w:rPr>
              <w:t> </w:t>
            </w:r>
          </w:p>
        </w:tc>
      </w:tr>
      <w:tr w:rsidR="00D24589" w14:paraId="2DB20DCF"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B2AEDB7" w14:textId="77777777" w:rsidR="00D24589" w:rsidRDefault="00D24589">
            <w:pPr>
              <w:jc w:val="center"/>
              <w:rPr>
                <w:color w:val="000000"/>
              </w:rPr>
            </w:pPr>
            <w:r>
              <w:rPr>
                <w:color w:val="000000"/>
              </w:rPr>
              <w:t>P (GPa)</w:t>
            </w:r>
          </w:p>
        </w:tc>
        <w:tc>
          <w:tcPr>
            <w:tcW w:w="1420" w:type="dxa"/>
            <w:tcBorders>
              <w:top w:val="nil"/>
              <w:left w:val="nil"/>
              <w:bottom w:val="single" w:sz="4" w:space="0" w:color="auto"/>
              <w:right w:val="single" w:sz="4" w:space="0" w:color="auto"/>
            </w:tcBorders>
            <w:shd w:val="clear" w:color="auto" w:fill="auto"/>
            <w:noWrap/>
            <w:vAlign w:val="bottom"/>
            <w:hideMark/>
          </w:tcPr>
          <w:p w14:paraId="78EE5B7F" w14:textId="77777777" w:rsidR="00D24589" w:rsidRDefault="00D24589">
            <w:pPr>
              <w:jc w:val="center"/>
              <w:rPr>
                <w:color w:val="000000"/>
              </w:rPr>
            </w:pPr>
            <w:r>
              <w:rPr>
                <w:color w:val="000000"/>
              </w:rPr>
              <w:t>2</w:t>
            </w:r>
          </w:p>
        </w:tc>
        <w:tc>
          <w:tcPr>
            <w:tcW w:w="1420" w:type="dxa"/>
            <w:tcBorders>
              <w:top w:val="nil"/>
              <w:left w:val="nil"/>
              <w:bottom w:val="single" w:sz="4" w:space="0" w:color="auto"/>
              <w:right w:val="single" w:sz="4" w:space="0" w:color="auto"/>
            </w:tcBorders>
            <w:shd w:val="clear" w:color="auto" w:fill="auto"/>
            <w:noWrap/>
            <w:vAlign w:val="bottom"/>
            <w:hideMark/>
          </w:tcPr>
          <w:p w14:paraId="6B39050E" w14:textId="77777777" w:rsidR="00D24589" w:rsidRDefault="00D24589">
            <w:pPr>
              <w:jc w:val="center"/>
              <w:rPr>
                <w:color w:val="000000"/>
              </w:rPr>
            </w:pPr>
            <w:r>
              <w:rPr>
                <w:color w:val="000000"/>
              </w:rPr>
              <w:t>2</w:t>
            </w:r>
          </w:p>
        </w:tc>
        <w:tc>
          <w:tcPr>
            <w:tcW w:w="880" w:type="dxa"/>
            <w:tcBorders>
              <w:top w:val="nil"/>
              <w:left w:val="nil"/>
              <w:bottom w:val="single" w:sz="4" w:space="0" w:color="auto"/>
              <w:right w:val="single" w:sz="4" w:space="0" w:color="auto"/>
            </w:tcBorders>
            <w:shd w:val="clear" w:color="auto" w:fill="auto"/>
            <w:noWrap/>
            <w:vAlign w:val="bottom"/>
            <w:hideMark/>
          </w:tcPr>
          <w:p w14:paraId="0583D5E9" w14:textId="77777777" w:rsidR="00D24589" w:rsidRDefault="00D24589">
            <w:pPr>
              <w:jc w:val="center"/>
              <w:rPr>
                <w:color w:val="000000"/>
              </w:rPr>
            </w:pPr>
            <w:r>
              <w:rPr>
                <w:color w:val="000000"/>
              </w:rPr>
              <w:t> </w:t>
            </w:r>
          </w:p>
        </w:tc>
      </w:tr>
      <w:tr w:rsidR="00D24589" w14:paraId="16DD2DDF"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2C88096" w14:textId="77777777" w:rsidR="00D24589" w:rsidRDefault="00D24589">
            <w:pPr>
              <w:jc w:val="center"/>
              <w:rPr>
                <w:color w:val="000000"/>
              </w:rPr>
            </w:pPr>
            <w:r>
              <w:rPr>
                <w:color w:val="000000"/>
              </w:rPr>
              <w:t>Fo</w:t>
            </w:r>
          </w:p>
        </w:tc>
        <w:tc>
          <w:tcPr>
            <w:tcW w:w="1420" w:type="dxa"/>
            <w:tcBorders>
              <w:top w:val="nil"/>
              <w:left w:val="nil"/>
              <w:bottom w:val="single" w:sz="4" w:space="0" w:color="auto"/>
              <w:right w:val="single" w:sz="4" w:space="0" w:color="auto"/>
            </w:tcBorders>
            <w:shd w:val="clear" w:color="auto" w:fill="auto"/>
            <w:noWrap/>
            <w:vAlign w:val="bottom"/>
            <w:hideMark/>
          </w:tcPr>
          <w:p w14:paraId="00F9D1CA"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0AF1D6F4"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7ACFF454" w14:textId="77777777" w:rsidR="00D24589" w:rsidRDefault="00D24589">
            <w:pPr>
              <w:jc w:val="center"/>
              <w:rPr>
                <w:color w:val="000000"/>
              </w:rPr>
            </w:pPr>
            <w:r>
              <w:rPr>
                <w:color w:val="000000"/>
              </w:rPr>
              <w:t> </w:t>
            </w:r>
          </w:p>
        </w:tc>
      </w:tr>
      <w:tr w:rsidR="00D24589" w14:paraId="23290A95"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E357CBC" w14:textId="77777777" w:rsidR="00D24589" w:rsidRDefault="00D24589">
            <w:pPr>
              <w:jc w:val="center"/>
              <w:rPr>
                <w:color w:val="000000"/>
              </w:rPr>
            </w:pPr>
            <w:r>
              <w:rPr>
                <w:color w:val="000000"/>
              </w:rPr>
              <w:t>Al</w:t>
            </w:r>
            <w:r>
              <w:rPr>
                <w:color w:val="000000"/>
                <w:vertAlign w:val="superscript"/>
              </w:rPr>
              <w:t>ol</w:t>
            </w:r>
          </w:p>
        </w:tc>
        <w:tc>
          <w:tcPr>
            <w:tcW w:w="1420" w:type="dxa"/>
            <w:tcBorders>
              <w:top w:val="nil"/>
              <w:left w:val="nil"/>
              <w:bottom w:val="single" w:sz="4" w:space="0" w:color="auto"/>
              <w:right w:val="single" w:sz="4" w:space="0" w:color="auto"/>
            </w:tcBorders>
            <w:shd w:val="clear" w:color="auto" w:fill="auto"/>
            <w:noWrap/>
            <w:vAlign w:val="bottom"/>
            <w:hideMark/>
          </w:tcPr>
          <w:p w14:paraId="24FEFF08"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658A9B5D"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1177273D" w14:textId="77777777" w:rsidR="00D24589" w:rsidRDefault="00D24589">
            <w:pPr>
              <w:jc w:val="center"/>
              <w:rPr>
                <w:color w:val="000000"/>
              </w:rPr>
            </w:pPr>
            <w:r>
              <w:rPr>
                <w:color w:val="000000"/>
              </w:rPr>
              <w:t> </w:t>
            </w:r>
          </w:p>
        </w:tc>
      </w:tr>
      <w:tr w:rsidR="00D24589" w14:paraId="1EAB37E2"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887AB2D" w14:textId="77777777" w:rsidR="00D24589" w:rsidRDefault="00D24589">
            <w:pPr>
              <w:jc w:val="center"/>
              <w:rPr>
                <w:color w:val="000000"/>
              </w:rPr>
            </w:pPr>
            <w:r>
              <w:rPr>
                <w:i/>
                <w:iCs/>
                <w:color w:val="000000"/>
              </w:rPr>
              <w:t>X</w:t>
            </w:r>
            <w:r>
              <w:rPr>
                <w:color w:val="000000"/>
              </w:rPr>
              <w:t>Ti</w:t>
            </w:r>
            <w:r>
              <w:rPr>
                <w:color w:val="000000"/>
                <w:vertAlign w:val="superscript"/>
              </w:rPr>
              <w:t>melt</w:t>
            </w:r>
          </w:p>
        </w:tc>
        <w:tc>
          <w:tcPr>
            <w:tcW w:w="1420" w:type="dxa"/>
            <w:tcBorders>
              <w:top w:val="nil"/>
              <w:left w:val="nil"/>
              <w:bottom w:val="single" w:sz="4" w:space="0" w:color="auto"/>
              <w:right w:val="single" w:sz="4" w:space="0" w:color="auto"/>
            </w:tcBorders>
            <w:shd w:val="clear" w:color="auto" w:fill="auto"/>
            <w:noWrap/>
            <w:vAlign w:val="bottom"/>
            <w:hideMark/>
          </w:tcPr>
          <w:p w14:paraId="07BECE45"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3DFBD65A"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015B17C3" w14:textId="77777777" w:rsidR="00D24589" w:rsidRDefault="00D24589">
            <w:pPr>
              <w:jc w:val="center"/>
              <w:rPr>
                <w:color w:val="000000"/>
              </w:rPr>
            </w:pPr>
            <w:r>
              <w:rPr>
                <w:color w:val="000000"/>
              </w:rPr>
              <w:t> </w:t>
            </w:r>
          </w:p>
        </w:tc>
      </w:tr>
      <w:tr w:rsidR="00D24589" w14:paraId="0C542754"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98B9ABE" w14:textId="77777777" w:rsidR="00D24589" w:rsidRDefault="00D24589">
            <w:pPr>
              <w:jc w:val="center"/>
              <w:rPr>
                <w:color w:val="000000"/>
              </w:rPr>
            </w:pPr>
            <w:r>
              <w:rPr>
                <w:color w:val="000000"/>
              </w:rPr>
              <w:t>Al</w:t>
            </w:r>
            <w:r>
              <w:rPr>
                <w:color w:val="000000"/>
                <w:vertAlign w:val="superscript"/>
              </w:rPr>
              <w:t>T</w:t>
            </w:r>
          </w:p>
        </w:tc>
        <w:tc>
          <w:tcPr>
            <w:tcW w:w="1420" w:type="dxa"/>
            <w:tcBorders>
              <w:top w:val="nil"/>
              <w:left w:val="nil"/>
              <w:bottom w:val="single" w:sz="4" w:space="0" w:color="auto"/>
              <w:right w:val="single" w:sz="4" w:space="0" w:color="auto"/>
            </w:tcBorders>
            <w:shd w:val="clear" w:color="auto" w:fill="auto"/>
            <w:noWrap/>
            <w:vAlign w:val="bottom"/>
            <w:hideMark/>
          </w:tcPr>
          <w:p w14:paraId="6BBC2E7E"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2D509A90"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08464F12" w14:textId="77777777" w:rsidR="00D24589" w:rsidRDefault="00D24589">
            <w:pPr>
              <w:jc w:val="center"/>
              <w:rPr>
                <w:color w:val="000000"/>
              </w:rPr>
            </w:pPr>
            <w:r>
              <w:rPr>
                <w:color w:val="000000"/>
              </w:rPr>
              <w:t> </w:t>
            </w:r>
          </w:p>
        </w:tc>
      </w:tr>
      <w:tr w:rsidR="00D24589" w14:paraId="1299F8D7"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375876D" w14:textId="77777777" w:rsidR="00D24589" w:rsidRDefault="00D24589">
            <w:pPr>
              <w:jc w:val="center"/>
              <w:rPr>
                <w:color w:val="000000"/>
              </w:rPr>
            </w:pPr>
            <w:r>
              <w:rPr>
                <w:color w:val="000000"/>
              </w:rPr>
              <w:t>Al</w:t>
            </w:r>
            <w:r>
              <w:rPr>
                <w:color w:val="000000"/>
                <w:vertAlign w:val="superscript"/>
              </w:rPr>
              <w:t>M1</w:t>
            </w:r>
          </w:p>
        </w:tc>
        <w:tc>
          <w:tcPr>
            <w:tcW w:w="1420" w:type="dxa"/>
            <w:tcBorders>
              <w:top w:val="nil"/>
              <w:left w:val="nil"/>
              <w:bottom w:val="single" w:sz="4" w:space="0" w:color="auto"/>
              <w:right w:val="single" w:sz="4" w:space="0" w:color="auto"/>
            </w:tcBorders>
            <w:shd w:val="clear" w:color="auto" w:fill="auto"/>
            <w:noWrap/>
            <w:vAlign w:val="bottom"/>
            <w:hideMark/>
          </w:tcPr>
          <w:p w14:paraId="1ED92622"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0B98AF69"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7B8E0670" w14:textId="77777777" w:rsidR="00D24589" w:rsidRDefault="00D24589">
            <w:pPr>
              <w:jc w:val="center"/>
              <w:rPr>
                <w:color w:val="000000"/>
              </w:rPr>
            </w:pPr>
            <w:r>
              <w:rPr>
                <w:color w:val="000000"/>
              </w:rPr>
              <w:t> </w:t>
            </w:r>
          </w:p>
        </w:tc>
      </w:tr>
      <w:tr w:rsidR="00D24589" w14:paraId="3B3378F7"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7EC1737" w14:textId="77777777" w:rsidR="00D24589" w:rsidRDefault="00D24589">
            <w:pPr>
              <w:jc w:val="center"/>
              <w:rPr>
                <w:color w:val="000000"/>
              </w:rPr>
            </w:pPr>
            <w:r>
              <w:rPr>
                <w:color w:val="000000"/>
              </w:rPr>
              <w:t>Ca</w:t>
            </w:r>
            <w:r>
              <w:rPr>
                <w:color w:val="000000"/>
                <w:vertAlign w:val="superscript"/>
              </w:rPr>
              <w:t>M2</w:t>
            </w:r>
          </w:p>
        </w:tc>
        <w:tc>
          <w:tcPr>
            <w:tcW w:w="1420" w:type="dxa"/>
            <w:tcBorders>
              <w:top w:val="nil"/>
              <w:left w:val="nil"/>
              <w:bottom w:val="single" w:sz="4" w:space="0" w:color="auto"/>
              <w:right w:val="single" w:sz="4" w:space="0" w:color="auto"/>
            </w:tcBorders>
            <w:shd w:val="clear" w:color="auto" w:fill="auto"/>
            <w:noWrap/>
            <w:vAlign w:val="bottom"/>
            <w:hideMark/>
          </w:tcPr>
          <w:p w14:paraId="77435AEA"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6E03BD37"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207ECAB6" w14:textId="77777777" w:rsidR="00D24589" w:rsidRDefault="00D24589">
            <w:pPr>
              <w:jc w:val="center"/>
              <w:rPr>
                <w:color w:val="000000"/>
              </w:rPr>
            </w:pPr>
            <w:r>
              <w:rPr>
                <w:color w:val="000000"/>
              </w:rPr>
              <w:t> </w:t>
            </w:r>
          </w:p>
        </w:tc>
      </w:tr>
      <w:tr w:rsidR="00D24589" w14:paraId="1911D40D"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0B47532" w14:textId="77777777" w:rsidR="00D24589" w:rsidRDefault="00D24589">
            <w:pPr>
              <w:jc w:val="center"/>
              <w:rPr>
                <w:color w:val="000000"/>
              </w:rPr>
            </w:pPr>
            <w:r>
              <w:rPr>
                <w:color w:val="000000"/>
              </w:rPr>
              <w:t>Mg</w:t>
            </w:r>
            <w:r>
              <w:rPr>
                <w:color w:val="000000"/>
                <w:vertAlign w:val="superscript"/>
              </w:rPr>
              <w:t>M2</w:t>
            </w:r>
          </w:p>
        </w:tc>
        <w:tc>
          <w:tcPr>
            <w:tcW w:w="1420" w:type="dxa"/>
            <w:tcBorders>
              <w:top w:val="nil"/>
              <w:left w:val="nil"/>
              <w:bottom w:val="single" w:sz="4" w:space="0" w:color="auto"/>
              <w:right w:val="single" w:sz="4" w:space="0" w:color="auto"/>
            </w:tcBorders>
            <w:shd w:val="clear" w:color="auto" w:fill="auto"/>
            <w:noWrap/>
            <w:vAlign w:val="bottom"/>
            <w:hideMark/>
          </w:tcPr>
          <w:p w14:paraId="6600D45B"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48DF950E"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44660670" w14:textId="77777777" w:rsidR="00D24589" w:rsidRDefault="00D24589">
            <w:pPr>
              <w:jc w:val="center"/>
              <w:rPr>
                <w:color w:val="000000"/>
              </w:rPr>
            </w:pPr>
            <w:r>
              <w:rPr>
                <w:color w:val="000000"/>
              </w:rPr>
              <w:t> </w:t>
            </w:r>
          </w:p>
        </w:tc>
      </w:tr>
      <w:tr w:rsidR="00D24589" w14:paraId="75856E96"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C00B6A3" w14:textId="77777777" w:rsidR="00D24589" w:rsidRDefault="00D24589">
            <w:pPr>
              <w:jc w:val="center"/>
              <w:rPr>
                <w:color w:val="000000"/>
              </w:rPr>
            </w:pPr>
            <w:r>
              <w:rPr>
                <w:color w:val="000000"/>
              </w:rPr>
              <w:t>Mg</w:t>
            </w:r>
            <w:r>
              <w:rPr>
                <w:color w:val="000000"/>
                <w:vertAlign w:val="superscript"/>
              </w:rPr>
              <w:t>M1</w:t>
            </w:r>
          </w:p>
        </w:tc>
        <w:tc>
          <w:tcPr>
            <w:tcW w:w="1420" w:type="dxa"/>
            <w:tcBorders>
              <w:top w:val="nil"/>
              <w:left w:val="nil"/>
              <w:bottom w:val="single" w:sz="4" w:space="0" w:color="auto"/>
              <w:right w:val="single" w:sz="4" w:space="0" w:color="auto"/>
            </w:tcBorders>
            <w:shd w:val="clear" w:color="auto" w:fill="auto"/>
            <w:noWrap/>
            <w:vAlign w:val="bottom"/>
            <w:hideMark/>
          </w:tcPr>
          <w:p w14:paraId="226B62BC"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0CB77FC5"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76AD6841" w14:textId="77777777" w:rsidR="00D24589" w:rsidRDefault="00D24589">
            <w:pPr>
              <w:jc w:val="center"/>
              <w:rPr>
                <w:color w:val="000000"/>
              </w:rPr>
            </w:pPr>
            <w:r>
              <w:rPr>
                <w:color w:val="000000"/>
              </w:rPr>
              <w:t> </w:t>
            </w:r>
          </w:p>
        </w:tc>
      </w:tr>
      <w:tr w:rsidR="00D24589" w14:paraId="1B647625"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AF05CC4" w14:textId="77777777" w:rsidR="00D24589" w:rsidRDefault="00D24589">
            <w:pPr>
              <w:jc w:val="center"/>
              <w:rPr>
                <w:color w:val="000000"/>
              </w:rPr>
            </w:pPr>
            <w:r>
              <w:rPr>
                <w:color w:val="000000"/>
              </w:rPr>
              <w:t>Fe</w:t>
            </w:r>
            <w:r>
              <w:rPr>
                <w:color w:val="000000"/>
                <w:vertAlign w:val="superscript"/>
              </w:rPr>
              <w:t>M1</w:t>
            </w:r>
          </w:p>
        </w:tc>
        <w:tc>
          <w:tcPr>
            <w:tcW w:w="1420" w:type="dxa"/>
            <w:tcBorders>
              <w:top w:val="nil"/>
              <w:left w:val="nil"/>
              <w:bottom w:val="single" w:sz="4" w:space="0" w:color="auto"/>
              <w:right w:val="single" w:sz="4" w:space="0" w:color="auto"/>
            </w:tcBorders>
            <w:shd w:val="clear" w:color="auto" w:fill="auto"/>
            <w:noWrap/>
            <w:vAlign w:val="bottom"/>
            <w:hideMark/>
          </w:tcPr>
          <w:p w14:paraId="122390D1"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79774B95"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709B9307" w14:textId="77777777" w:rsidR="00D24589" w:rsidRDefault="00D24589">
            <w:pPr>
              <w:jc w:val="center"/>
              <w:rPr>
                <w:color w:val="000000"/>
              </w:rPr>
            </w:pPr>
            <w:r>
              <w:rPr>
                <w:color w:val="000000"/>
              </w:rPr>
              <w:t> </w:t>
            </w:r>
          </w:p>
        </w:tc>
      </w:tr>
      <w:tr w:rsidR="00D24589" w14:paraId="192368FD"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81533FE" w14:textId="77777777" w:rsidR="00D24589" w:rsidRDefault="00D24589">
            <w:pPr>
              <w:jc w:val="center"/>
              <w:rPr>
                <w:color w:val="000000"/>
              </w:rPr>
            </w:pPr>
            <w:r>
              <w:rPr>
                <w:color w:val="000000"/>
              </w:rPr>
              <w:t>Ca</w:t>
            </w:r>
            <w:r>
              <w:rPr>
                <w:color w:val="000000"/>
                <w:vertAlign w:val="superscript"/>
              </w:rPr>
              <w:t>X</w:t>
            </w:r>
          </w:p>
        </w:tc>
        <w:tc>
          <w:tcPr>
            <w:tcW w:w="1420" w:type="dxa"/>
            <w:tcBorders>
              <w:top w:val="nil"/>
              <w:left w:val="nil"/>
              <w:bottom w:val="single" w:sz="4" w:space="0" w:color="auto"/>
              <w:right w:val="single" w:sz="4" w:space="0" w:color="auto"/>
            </w:tcBorders>
            <w:shd w:val="clear" w:color="auto" w:fill="auto"/>
            <w:noWrap/>
            <w:vAlign w:val="bottom"/>
            <w:hideMark/>
          </w:tcPr>
          <w:p w14:paraId="60788D35" w14:textId="77777777" w:rsidR="00D24589" w:rsidRDefault="00D24589">
            <w:pPr>
              <w:jc w:val="center"/>
              <w:rPr>
                <w:color w:val="000000"/>
              </w:rPr>
            </w:pP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0BCE26DD" w14:textId="77777777" w:rsidR="00D24589" w:rsidRDefault="00D24589">
            <w:pPr>
              <w:jc w:val="center"/>
              <w:rPr>
                <w:color w:val="000000"/>
              </w:rPr>
            </w:pPr>
            <w:r>
              <w:rPr>
                <w:color w:val="000000"/>
              </w:rPr>
              <w:t>-</w:t>
            </w:r>
          </w:p>
        </w:tc>
        <w:tc>
          <w:tcPr>
            <w:tcW w:w="880" w:type="dxa"/>
            <w:tcBorders>
              <w:top w:val="nil"/>
              <w:left w:val="nil"/>
              <w:bottom w:val="single" w:sz="4" w:space="0" w:color="auto"/>
              <w:right w:val="single" w:sz="4" w:space="0" w:color="auto"/>
            </w:tcBorders>
            <w:shd w:val="clear" w:color="auto" w:fill="auto"/>
            <w:noWrap/>
            <w:vAlign w:val="bottom"/>
            <w:hideMark/>
          </w:tcPr>
          <w:p w14:paraId="7EB5A261" w14:textId="77777777" w:rsidR="00D24589" w:rsidRDefault="00D24589">
            <w:pPr>
              <w:jc w:val="center"/>
              <w:rPr>
                <w:color w:val="000000"/>
              </w:rPr>
            </w:pPr>
            <w:r>
              <w:rPr>
                <w:color w:val="000000"/>
              </w:rPr>
              <w:t> </w:t>
            </w:r>
          </w:p>
        </w:tc>
      </w:tr>
      <w:tr w:rsidR="00D24589" w14:paraId="5C270EEF"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E7F6E39" w14:textId="77777777" w:rsidR="00D24589" w:rsidRDefault="00D24589">
            <w:pPr>
              <w:jc w:val="center"/>
              <w:rPr>
                <w:color w:val="000000"/>
              </w:rPr>
            </w:pPr>
            <w:r>
              <w:rPr>
                <w:color w:val="000000"/>
              </w:rPr>
              <w:t>D</w:t>
            </w:r>
            <w:r>
              <w:rPr>
                <w:color w:val="000000"/>
                <w:vertAlign w:val="subscript"/>
              </w:rPr>
              <w:t>0</w:t>
            </w:r>
          </w:p>
        </w:tc>
        <w:tc>
          <w:tcPr>
            <w:tcW w:w="1420" w:type="dxa"/>
            <w:tcBorders>
              <w:top w:val="nil"/>
              <w:left w:val="nil"/>
              <w:bottom w:val="single" w:sz="4" w:space="0" w:color="auto"/>
              <w:right w:val="single" w:sz="4" w:space="0" w:color="auto"/>
            </w:tcBorders>
            <w:shd w:val="clear" w:color="auto" w:fill="auto"/>
            <w:noWrap/>
            <w:vAlign w:val="bottom"/>
            <w:hideMark/>
          </w:tcPr>
          <w:p w14:paraId="79B4895F" w14:textId="77777777" w:rsidR="00D24589" w:rsidRDefault="00D24589">
            <w:pPr>
              <w:jc w:val="center"/>
              <w:rPr>
                <w:color w:val="000000"/>
              </w:rPr>
            </w:pPr>
            <w:r>
              <w:rPr>
                <w:color w:val="000000"/>
              </w:rPr>
              <w:t>0.61</w:t>
            </w:r>
          </w:p>
        </w:tc>
        <w:tc>
          <w:tcPr>
            <w:tcW w:w="1420" w:type="dxa"/>
            <w:tcBorders>
              <w:top w:val="nil"/>
              <w:left w:val="nil"/>
              <w:bottom w:val="single" w:sz="4" w:space="0" w:color="auto"/>
              <w:right w:val="single" w:sz="4" w:space="0" w:color="auto"/>
            </w:tcBorders>
            <w:shd w:val="clear" w:color="auto" w:fill="auto"/>
            <w:noWrap/>
            <w:vAlign w:val="bottom"/>
            <w:hideMark/>
          </w:tcPr>
          <w:p w14:paraId="1E070DB4" w14:textId="77777777" w:rsidR="00D24589" w:rsidRDefault="00D24589">
            <w:pPr>
              <w:jc w:val="center"/>
              <w:rPr>
                <w:color w:val="000000"/>
              </w:rPr>
            </w:pPr>
            <w:r>
              <w:rPr>
                <w:color w:val="000000"/>
              </w:rPr>
              <w:t>0.61</w:t>
            </w:r>
          </w:p>
        </w:tc>
        <w:tc>
          <w:tcPr>
            <w:tcW w:w="880" w:type="dxa"/>
            <w:tcBorders>
              <w:top w:val="nil"/>
              <w:left w:val="nil"/>
              <w:bottom w:val="single" w:sz="4" w:space="0" w:color="auto"/>
              <w:right w:val="single" w:sz="4" w:space="0" w:color="auto"/>
            </w:tcBorders>
            <w:shd w:val="clear" w:color="auto" w:fill="auto"/>
            <w:noWrap/>
            <w:vAlign w:val="bottom"/>
            <w:hideMark/>
          </w:tcPr>
          <w:p w14:paraId="0FA5868A" w14:textId="77777777" w:rsidR="00D24589" w:rsidRDefault="00D24589">
            <w:pPr>
              <w:jc w:val="center"/>
              <w:rPr>
                <w:color w:val="000000"/>
              </w:rPr>
            </w:pPr>
            <w:r>
              <w:rPr>
                <w:color w:val="000000"/>
              </w:rPr>
              <w:t>i</w:t>
            </w:r>
          </w:p>
        </w:tc>
      </w:tr>
      <w:tr w:rsidR="00D24589" w14:paraId="096B9E46"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174C682" w14:textId="77777777" w:rsidR="00D24589" w:rsidRDefault="00D24589">
            <w:pPr>
              <w:jc w:val="center"/>
              <w:rPr>
                <w:color w:val="000000"/>
              </w:rPr>
            </w:pPr>
            <w:r>
              <w:rPr>
                <w:color w:val="000000"/>
              </w:rPr>
              <w:t>r</w:t>
            </w:r>
            <w:r>
              <w:rPr>
                <w:color w:val="000000"/>
                <w:vertAlign w:val="subscript"/>
              </w:rPr>
              <w:t>0</w:t>
            </w:r>
          </w:p>
        </w:tc>
        <w:tc>
          <w:tcPr>
            <w:tcW w:w="1420" w:type="dxa"/>
            <w:tcBorders>
              <w:top w:val="nil"/>
              <w:left w:val="nil"/>
              <w:bottom w:val="single" w:sz="4" w:space="0" w:color="auto"/>
              <w:right w:val="single" w:sz="4" w:space="0" w:color="auto"/>
            </w:tcBorders>
            <w:shd w:val="clear" w:color="auto" w:fill="auto"/>
            <w:noWrap/>
            <w:vAlign w:val="bottom"/>
            <w:hideMark/>
          </w:tcPr>
          <w:p w14:paraId="57F04157" w14:textId="77777777" w:rsidR="00D24589" w:rsidRDefault="00D24589">
            <w:pPr>
              <w:jc w:val="center"/>
              <w:rPr>
                <w:color w:val="000000"/>
              </w:rPr>
            </w:pPr>
            <w:r>
              <w:rPr>
                <w:color w:val="000000"/>
              </w:rPr>
              <w:t>0.688</w:t>
            </w:r>
          </w:p>
        </w:tc>
        <w:tc>
          <w:tcPr>
            <w:tcW w:w="1420" w:type="dxa"/>
            <w:tcBorders>
              <w:top w:val="nil"/>
              <w:left w:val="nil"/>
              <w:bottom w:val="single" w:sz="4" w:space="0" w:color="auto"/>
              <w:right w:val="single" w:sz="4" w:space="0" w:color="auto"/>
            </w:tcBorders>
            <w:shd w:val="clear" w:color="auto" w:fill="auto"/>
            <w:noWrap/>
            <w:vAlign w:val="bottom"/>
            <w:hideMark/>
          </w:tcPr>
          <w:p w14:paraId="370797D3" w14:textId="77777777" w:rsidR="00D24589" w:rsidRDefault="00D24589">
            <w:pPr>
              <w:jc w:val="center"/>
              <w:rPr>
                <w:color w:val="000000"/>
              </w:rPr>
            </w:pPr>
            <w:r>
              <w:rPr>
                <w:color w:val="000000"/>
              </w:rPr>
              <w:t>0.688</w:t>
            </w:r>
          </w:p>
        </w:tc>
        <w:tc>
          <w:tcPr>
            <w:tcW w:w="880" w:type="dxa"/>
            <w:tcBorders>
              <w:top w:val="nil"/>
              <w:left w:val="nil"/>
              <w:bottom w:val="single" w:sz="4" w:space="0" w:color="auto"/>
              <w:right w:val="single" w:sz="4" w:space="0" w:color="auto"/>
            </w:tcBorders>
            <w:shd w:val="clear" w:color="auto" w:fill="auto"/>
            <w:noWrap/>
            <w:vAlign w:val="bottom"/>
            <w:hideMark/>
          </w:tcPr>
          <w:p w14:paraId="39583EBD" w14:textId="77777777" w:rsidR="00D24589" w:rsidRDefault="00D24589">
            <w:pPr>
              <w:jc w:val="center"/>
              <w:rPr>
                <w:color w:val="000000"/>
              </w:rPr>
            </w:pPr>
            <w:r>
              <w:rPr>
                <w:color w:val="000000"/>
              </w:rPr>
              <w:t>i</w:t>
            </w:r>
          </w:p>
        </w:tc>
      </w:tr>
      <w:tr w:rsidR="00D24589" w14:paraId="2604E0F4"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0A38D18" w14:textId="77777777" w:rsidR="00D24589" w:rsidRDefault="00D24589">
            <w:pPr>
              <w:jc w:val="center"/>
              <w:rPr>
                <w:color w:val="000000"/>
              </w:rPr>
            </w:pPr>
            <w:r>
              <w:rPr>
                <w:color w:val="000000"/>
              </w:rPr>
              <w:t>E</w:t>
            </w:r>
          </w:p>
        </w:tc>
        <w:tc>
          <w:tcPr>
            <w:tcW w:w="1420" w:type="dxa"/>
            <w:tcBorders>
              <w:top w:val="nil"/>
              <w:left w:val="nil"/>
              <w:bottom w:val="single" w:sz="4" w:space="0" w:color="auto"/>
              <w:right w:val="single" w:sz="4" w:space="0" w:color="auto"/>
            </w:tcBorders>
            <w:shd w:val="clear" w:color="auto" w:fill="auto"/>
            <w:noWrap/>
            <w:vAlign w:val="bottom"/>
            <w:hideMark/>
          </w:tcPr>
          <w:p w14:paraId="1D6884E6" w14:textId="77777777" w:rsidR="00D24589" w:rsidRDefault="00D24589">
            <w:pPr>
              <w:jc w:val="center"/>
              <w:rPr>
                <w:color w:val="000000"/>
              </w:rPr>
            </w:pPr>
            <w:r>
              <w:rPr>
                <w:color w:val="000000"/>
              </w:rPr>
              <w:t>300</w:t>
            </w:r>
          </w:p>
        </w:tc>
        <w:tc>
          <w:tcPr>
            <w:tcW w:w="1420" w:type="dxa"/>
            <w:tcBorders>
              <w:top w:val="nil"/>
              <w:left w:val="nil"/>
              <w:bottom w:val="single" w:sz="4" w:space="0" w:color="auto"/>
              <w:right w:val="single" w:sz="4" w:space="0" w:color="auto"/>
            </w:tcBorders>
            <w:shd w:val="clear" w:color="auto" w:fill="auto"/>
            <w:noWrap/>
            <w:vAlign w:val="bottom"/>
            <w:hideMark/>
          </w:tcPr>
          <w:p w14:paraId="4DBF215B" w14:textId="77777777" w:rsidR="00D24589" w:rsidRDefault="00D24589">
            <w:pPr>
              <w:jc w:val="center"/>
              <w:rPr>
                <w:color w:val="000000"/>
              </w:rPr>
            </w:pPr>
            <w:r>
              <w:rPr>
                <w:color w:val="000000"/>
              </w:rPr>
              <w:t>300</w:t>
            </w:r>
          </w:p>
        </w:tc>
        <w:tc>
          <w:tcPr>
            <w:tcW w:w="880" w:type="dxa"/>
            <w:tcBorders>
              <w:top w:val="nil"/>
              <w:left w:val="nil"/>
              <w:bottom w:val="single" w:sz="4" w:space="0" w:color="auto"/>
              <w:right w:val="single" w:sz="4" w:space="0" w:color="auto"/>
            </w:tcBorders>
            <w:shd w:val="clear" w:color="auto" w:fill="auto"/>
            <w:noWrap/>
            <w:vAlign w:val="bottom"/>
            <w:hideMark/>
          </w:tcPr>
          <w:p w14:paraId="386F6F12" w14:textId="77777777" w:rsidR="00D24589" w:rsidRDefault="00D24589">
            <w:pPr>
              <w:jc w:val="center"/>
              <w:rPr>
                <w:color w:val="000000"/>
              </w:rPr>
            </w:pPr>
            <w:r>
              <w:rPr>
                <w:color w:val="000000"/>
              </w:rPr>
              <w:t>i</w:t>
            </w:r>
          </w:p>
        </w:tc>
      </w:tr>
      <w:tr w:rsidR="00D24589" w14:paraId="093B7AD8"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436BB32" w14:textId="77777777" w:rsidR="00D24589" w:rsidRDefault="00D24589">
            <w:pPr>
              <w:jc w:val="center"/>
              <w:rPr>
                <w:color w:val="000000"/>
              </w:rPr>
            </w:pPr>
            <w:r>
              <w:rPr>
                <w:color w:val="000000"/>
              </w:rPr>
              <w:t>D(Ti)</w:t>
            </w:r>
          </w:p>
        </w:tc>
        <w:tc>
          <w:tcPr>
            <w:tcW w:w="1420" w:type="dxa"/>
            <w:tcBorders>
              <w:top w:val="nil"/>
              <w:left w:val="nil"/>
              <w:bottom w:val="single" w:sz="4" w:space="0" w:color="auto"/>
              <w:right w:val="single" w:sz="4" w:space="0" w:color="auto"/>
            </w:tcBorders>
            <w:shd w:val="clear" w:color="auto" w:fill="auto"/>
            <w:noWrap/>
            <w:vAlign w:val="bottom"/>
            <w:hideMark/>
          </w:tcPr>
          <w:p w14:paraId="62B83CBC" w14:textId="77777777" w:rsidR="00D24589" w:rsidRDefault="00D24589">
            <w:pPr>
              <w:jc w:val="center"/>
              <w:rPr>
                <w:color w:val="000000"/>
              </w:rPr>
            </w:pPr>
            <w:r>
              <w:rPr>
                <w:color w:val="000000"/>
              </w:rPr>
              <w:t>2.971</w:t>
            </w:r>
          </w:p>
        </w:tc>
        <w:tc>
          <w:tcPr>
            <w:tcW w:w="1420" w:type="dxa"/>
            <w:tcBorders>
              <w:top w:val="nil"/>
              <w:left w:val="nil"/>
              <w:bottom w:val="single" w:sz="4" w:space="0" w:color="auto"/>
              <w:right w:val="single" w:sz="4" w:space="0" w:color="auto"/>
            </w:tcBorders>
            <w:shd w:val="clear" w:color="auto" w:fill="auto"/>
            <w:noWrap/>
            <w:vAlign w:val="bottom"/>
            <w:hideMark/>
          </w:tcPr>
          <w:p w14:paraId="50FEF4C1" w14:textId="77777777" w:rsidR="00D24589" w:rsidRDefault="00D24589">
            <w:pPr>
              <w:jc w:val="center"/>
              <w:rPr>
                <w:color w:val="000000"/>
              </w:rPr>
            </w:pPr>
            <w:r>
              <w:rPr>
                <w:color w:val="000000"/>
              </w:rPr>
              <w:t>2.971</w:t>
            </w:r>
          </w:p>
        </w:tc>
        <w:tc>
          <w:tcPr>
            <w:tcW w:w="880" w:type="dxa"/>
            <w:tcBorders>
              <w:top w:val="nil"/>
              <w:left w:val="nil"/>
              <w:bottom w:val="single" w:sz="4" w:space="0" w:color="auto"/>
              <w:right w:val="single" w:sz="4" w:space="0" w:color="auto"/>
            </w:tcBorders>
            <w:shd w:val="clear" w:color="auto" w:fill="auto"/>
            <w:noWrap/>
            <w:vAlign w:val="bottom"/>
            <w:hideMark/>
          </w:tcPr>
          <w:p w14:paraId="60005EA3" w14:textId="77777777" w:rsidR="00D24589" w:rsidRDefault="00D24589">
            <w:pPr>
              <w:jc w:val="center"/>
              <w:rPr>
                <w:color w:val="000000"/>
              </w:rPr>
            </w:pPr>
            <w:r>
              <w:rPr>
                <w:color w:val="000000"/>
              </w:rPr>
              <w:t>i</w:t>
            </w:r>
          </w:p>
        </w:tc>
      </w:tr>
      <w:tr w:rsidR="00D24589" w14:paraId="447A49C0" w14:textId="77777777" w:rsidTr="00D24589">
        <w:trPr>
          <w:trHeight w:val="300"/>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9E46BF6" w14:textId="77777777" w:rsidR="00D24589" w:rsidRDefault="00D24589">
            <w:pPr>
              <w:jc w:val="center"/>
              <w:rPr>
                <w:color w:val="000000"/>
              </w:rPr>
            </w:pPr>
            <w:r>
              <w:rPr>
                <w:color w:val="000000"/>
              </w:rPr>
              <w:t>Log(ƒO</w:t>
            </w:r>
            <w:r>
              <w:rPr>
                <w:color w:val="000000"/>
                <w:vertAlign w:val="subscript"/>
              </w:rPr>
              <w:t>2</w:t>
            </w:r>
            <w:r>
              <w:rPr>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14:paraId="5B0E9EBF" w14:textId="77777777" w:rsidR="00D24589" w:rsidRDefault="00D24589">
            <w:pPr>
              <w:jc w:val="center"/>
              <w:rPr>
                <w:color w:val="000000"/>
              </w:rPr>
            </w:pPr>
            <w:r>
              <w:rPr>
                <w:color w:val="000000"/>
              </w:rPr>
              <w:t>-10.75</w:t>
            </w:r>
          </w:p>
        </w:tc>
        <w:tc>
          <w:tcPr>
            <w:tcW w:w="1420" w:type="dxa"/>
            <w:tcBorders>
              <w:top w:val="nil"/>
              <w:left w:val="nil"/>
              <w:bottom w:val="single" w:sz="4" w:space="0" w:color="auto"/>
              <w:right w:val="single" w:sz="4" w:space="0" w:color="auto"/>
            </w:tcBorders>
            <w:shd w:val="clear" w:color="auto" w:fill="auto"/>
            <w:noWrap/>
            <w:vAlign w:val="bottom"/>
            <w:hideMark/>
          </w:tcPr>
          <w:p w14:paraId="5AECF22E" w14:textId="77777777" w:rsidR="00D24589" w:rsidRDefault="00D24589">
            <w:pPr>
              <w:jc w:val="center"/>
              <w:rPr>
                <w:color w:val="000000"/>
              </w:rPr>
            </w:pPr>
            <w:r>
              <w:rPr>
                <w:color w:val="000000"/>
              </w:rPr>
              <w:t>-10.22</w:t>
            </w:r>
          </w:p>
        </w:tc>
        <w:tc>
          <w:tcPr>
            <w:tcW w:w="880" w:type="dxa"/>
            <w:tcBorders>
              <w:top w:val="nil"/>
              <w:left w:val="nil"/>
              <w:bottom w:val="single" w:sz="4" w:space="0" w:color="auto"/>
              <w:right w:val="single" w:sz="4" w:space="0" w:color="auto"/>
            </w:tcBorders>
            <w:shd w:val="clear" w:color="auto" w:fill="auto"/>
            <w:noWrap/>
            <w:vAlign w:val="bottom"/>
            <w:hideMark/>
          </w:tcPr>
          <w:p w14:paraId="4F13C506" w14:textId="77777777" w:rsidR="00D24589" w:rsidRDefault="00D24589">
            <w:pPr>
              <w:jc w:val="center"/>
              <w:rPr>
                <w:color w:val="000000"/>
              </w:rPr>
            </w:pPr>
            <w:r>
              <w:rPr>
                <w:color w:val="000000"/>
              </w:rPr>
              <w:t> </w:t>
            </w:r>
          </w:p>
        </w:tc>
      </w:tr>
      <w:tr w:rsidR="00D24589" w14:paraId="7DBF48DB" w14:textId="77777777" w:rsidTr="00D24589">
        <w:trPr>
          <w:trHeight w:val="62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26C2B09" w14:textId="77777777" w:rsidR="00D24589" w:rsidRDefault="00D24589">
            <w:pPr>
              <w:jc w:val="center"/>
              <w:rPr>
                <w:color w:val="000000"/>
              </w:rPr>
            </w:pPr>
            <w:r>
              <w:rPr>
                <w:color w:val="000000"/>
              </w:rPr>
              <w:t>Sample/ Experiment</w:t>
            </w:r>
          </w:p>
        </w:tc>
        <w:tc>
          <w:tcPr>
            <w:tcW w:w="1420" w:type="dxa"/>
            <w:tcBorders>
              <w:top w:val="nil"/>
              <w:left w:val="nil"/>
              <w:bottom w:val="single" w:sz="4" w:space="0" w:color="auto"/>
              <w:right w:val="single" w:sz="4" w:space="0" w:color="auto"/>
            </w:tcBorders>
            <w:shd w:val="clear" w:color="auto" w:fill="auto"/>
            <w:vAlign w:val="center"/>
            <w:hideMark/>
          </w:tcPr>
          <w:p w14:paraId="2ABBBB68" w14:textId="77777777" w:rsidR="00D24589" w:rsidRDefault="00D24589">
            <w:pPr>
              <w:jc w:val="center"/>
              <w:rPr>
                <w:color w:val="000000"/>
              </w:rPr>
            </w:pPr>
            <w:r>
              <w:rPr>
                <w:color w:val="000000"/>
              </w:rPr>
              <w:t>NJD-8M</w:t>
            </w:r>
          </w:p>
        </w:tc>
        <w:tc>
          <w:tcPr>
            <w:tcW w:w="1420" w:type="dxa"/>
            <w:tcBorders>
              <w:top w:val="nil"/>
              <w:left w:val="nil"/>
              <w:bottom w:val="single" w:sz="4" w:space="0" w:color="auto"/>
              <w:right w:val="single" w:sz="4" w:space="0" w:color="auto"/>
            </w:tcBorders>
            <w:shd w:val="clear" w:color="auto" w:fill="auto"/>
            <w:vAlign w:val="center"/>
            <w:hideMark/>
          </w:tcPr>
          <w:p w14:paraId="7F115507" w14:textId="77777777" w:rsidR="00D24589" w:rsidRDefault="00D24589">
            <w:pPr>
              <w:jc w:val="center"/>
              <w:rPr>
                <w:color w:val="000000"/>
              </w:rPr>
            </w:pPr>
            <w:r>
              <w:rPr>
                <w:color w:val="000000"/>
              </w:rPr>
              <w:t>NJD-8M</w:t>
            </w:r>
          </w:p>
        </w:tc>
        <w:tc>
          <w:tcPr>
            <w:tcW w:w="880" w:type="dxa"/>
            <w:tcBorders>
              <w:top w:val="nil"/>
              <w:left w:val="nil"/>
              <w:bottom w:val="single" w:sz="4" w:space="0" w:color="auto"/>
              <w:right w:val="single" w:sz="4" w:space="0" w:color="auto"/>
            </w:tcBorders>
            <w:shd w:val="clear" w:color="auto" w:fill="auto"/>
            <w:vAlign w:val="center"/>
            <w:hideMark/>
          </w:tcPr>
          <w:p w14:paraId="56F7DBFC" w14:textId="77777777" w:rsidR="00D24589" w:rsidRDefault="00D24589">
            <w:pPr>
              <w:jc w:val="center"/>
              <w:rPr>
                <w:color w:val="000000"/>
              </w:rPr>
            </w:pPr>
            <w:r>
              <w:rPr>
                <w:color w:val="000000"/>
              </w:rPr>
              <w:t> </w:t>
            </w:r>
          </w:p>
        </w:tc>
      </w:tr>
    </w:tbl>
    <w:p w14:paraId="5F0850B6" w14:textId="77777777" w:rsidR="001D2CE6" w:rsidRDefault="00D24589">
      <w:r>
        <w:t xml:space="preserve"> </w:t>
      </w:r>
    </w:p>
    <w:p w14:paraId="5EAD9366" w14:textId="77777777" w:rsidR="001D2CE6" w:rsidRDefault="001D2CE6">
      <w:r>
        <w:br w:type="page"/>
      </w:r>
    </w:p>
    <w:p w14:paraId="2F02B305" w14:textId="77777777" w:rsidR="00E82918" w:rsidRPr="00557062" w:rsidRDefault="00E82918" w:rsidP="00E82918">
      <w:pPr>
        <w:rPr>
          <w:color w:val="000000" w:themeColor="text1"/>
        </w:rPr>
      </w:pPr>
      <w:r w:rsidRPr="00D0299F">
        <w:rPr>
          <w:color w:val="000000" w:themeColor="text1"/>
        </w:rPr>
        <w:lastRenderedPageBreak/>
        <w:t>Calculated partition coefficients are indicated in the source column (Cal.). (Sup.) in the source column indicates the partition coefficients were calculated using the lattice strain models in the electronic supplement of this study. Partition coefficients that are not calculated, are taken from partitioning experiments.</w:t>
      </w:r>
    </w:p>
    <w:p w14:paraId="159A9E30" w14:textId="77777777" w:rsidR="00E82918" w:rsidRPr="00557062" w:rsidRDefault="00E82918" w:rsidP="00E82918">
      <w:pPr>
        <w:rPr>
          <w:color w:val="000000" w:themeColor="text1"/>
        </w:rPr>
      </w:pPr>
      <w:r w:rsidRPr="00D0299F">
        <w:rPr>
          <w:color w:val="000000" w:themeColor="text1"/>
        </w:rPr>
        <w:t>Calculation parameters were calculated for mineral compositions from lunar relevant experiments. Studies and experiments that compositions data was sourced from are indicated at the bottom of the table.</w:t>
      </w:r>
    </w:p>
    <w:p w14:paraId="67B342F8" w14:textId="77777777" w:rsidR="00E82918" w:rsidRPr="00557062" w:rsidRDefault="00E82918" w:rsidP="00E82918">
      <w:pPr>
        <w:rPr>
          <w:color w:val="000000" w:themeColor="text1"/>
        </w:rPr>
      </w:pPr>
      <w:r w:rsidRPr="00D0299F">
        <w:rPr>
          <w:color w:val="000000" w:themeColor="text1"/>
        </w:rPr>
        <w:t>Eu partition coefficients for Ol, Opx, Cpx, and Ilm presented in this table assume an ƒO</w:t>
      </w:r>
      <w:r w:rsidRPr="00D0299F">
        <w:rPr>
          <w:color w:val="000000" w:themeColor="text1"/>
          <w:vertAlign w:val="subscript"/>
        </w:rPr>
        <w:t>2</w:t>
      </w:r>
      <w:r w:rsidRPr="00D0299F">
        <w:rPr>
          <w:color w:val="000000" w:themeColor="text1"/>
        </w:rPr>
        <w:t xml:space="preserve"> equal to the IW redox buffer. The Log(ƒO2) of the IW redox buffer for a given temperature was determined using the buffer model from O'Neill and Pownceby (1993).</w:t>
      </w:r>
    </w:p>
    <w:p w14:paraId="631D1263" w14:textId="77777777" w:rsidR="00E82918" w:rsidRPr="00557062" w:rsidRDefault="00E82918" w:rsidP="00E82918">
      <w:pPr>
        <w:rPr>
          <w:color w:val="000000" w:themeColor="text1"/>
        </w:rPr>
      </w:pPr>
      <w:r w:rsidRPr="00D0299F">
        <w:rPr>
          <w:color w:val="000000" w:themeColor="text1"/>
        </w:rPr>
        <w:t xml:space="preserve">The partial melting model in which each set of partition coefficients is used is indicated in the Melting row above the calculation parameters. IBC indicates that the coefficients are used in IBC partial melting models. Hyb. Sr. indicates that the coefficients are used in partial melting models of hybridized mantle sources. Hyb. Sr. #1 is a garnet-free hybridized source. Hyb. Sr. #2 is a garnet-bearing hybridized source. If the hybridized source # is not indicated the partition coefficient set is used in models for both hybridized sources. </w:t>
      </w:r>
    </w:p>
    <w:p w14:paraId="6D574830" w14:textId="77777777" w:rsidR="00E82918" w:rsidRPr="00557062" w:rsidRDefault="00E82918" w:rsidP="00E82918">
      <w:pPr>
        <w:rPr>
          <w:color w:val="000000" w:themeColor="text1"/>
        </w:rPr>
      </w:pPr>
      <w:r w:rsidRPr="00D0299F">
        <w:rPr>
          <w:color w:val="000000" w:themeColor="text1"/>
        </w:rPr>
        <w:t>Olivine (Ol), Orthopyroxene (Opx), Clinopyroxene (Cpx), Pigeonite (Pig), Garnet (Grnt), Ilmenite (Ilm)</w:t>
      </w:r>
    </w:p>
    <w:p w14:paraId="48794CAD" w14:textId="77777777" w:rsidR="00E82918" w:rsidRPr="00557062" w:rsidRDefault="00E82918" w:rsidP="00E82918">
      <w:pPr>
        <w:rPr>
          <w:color w:val="000000" w:themeColor="text1"/>
        </w:rPr>
      </w:pPr>
      <w:r w:rsidRPr="00D0299F">
        <w:rPr>
          <w:color w:val="000000" w:themeColor="text1"/>
          <w:vertAlign w:val="superscript"/>
        </w:rPr>
        <w:t>a</w:t>
      </w:r>
      <w:r w:rsidRPr="00D0299F">
        <w:rPr>
          <w:color w:val="000000" w:themeColor="text1"/>
        </w:rPr>
        <w:t xml:space="preserve">Sun and Liang (2013a), </w:t>
      </w:r>
      <w:r w:rsidRPr="00D0299F">
        <w:rPr>
          <w:color w:val="000000" w:themeColor="text1"/>
          <w:vertAlign w:val="superscript"/>
        </w:rPr>
        <w:t>b</w:t>
      </w:r>
      <w:r w:rsidRPr="00D0299F">
        <w:rPr>
          <w:color w:val="000000" w:themeColor="text1"/>
        </w:rPr>
        <w:t xml:space="preserve">Dalou et al. (2012), </w:t>
      </w:r>
      <w:r w:rsidRPr="00D0299F">
        <w:rPr>
          <w:color w:val="000000" w:themeColor="text1"/>
          <w:vertAlign w:val="superscript"/>
        </w:rPr>
        <w:t>c</w:t>
      </w:r>
      <w:r w:rsidRPr="00D0299F">
        <w:rPr>
          <w:color w:val="000000" w:themeColor="text1"/>
        </w:rPr>
        <w:t xml:space="preserve">Sun and Liang (2013b), </w:t>
      </w:r>
      <w:r w:rsidRPr="00D0299F">
        <w:rPr>
          <w:color w:val="000000" w:themeColor="text1"/>
          <w:vertAlign w:val="superscript"/>
        </w:rPr>
        <w:t>d</w:t>
      </w:r>
      <w:r w:rsidRPr="00D0299F">
        <w:rPr>
          <w:color w:val="000000" w:themeColor="text1"/>
        </w:rPr>
        <w:t xml:space="preserve">Fabbrizio et al. (2021), </w:t>
      </w:r>
      <w:r w:rsidRPr="00D0299F">
        <w:rPr>
          <w:color w:val="000000" w:themeColor="text1"/>
          <w:vertAlign w:val="superscript"/>
        </w:rPr>
        <w:t>e</w:t>
      </w:r>
      <w:r w:rsidRPr="00D0299F">
        <w:rPr>
          <w:color w:val="000000" w:themeColor="text1"/>
        </w:rPr>
        <w:t xml:space="preserve">Dygert et al. (2014), </w:t>
      </w:r>
      <w:r w:rsidRPr="00D0299F">
        <w:rPr>
          <w:color w:val="000000" w:themeColor="text1"/>
          <w:vertAlign w:val="superscript"/>
        </w:rPr>
        <w:t>f</w:t>
      </w:r>
      <w:r w:rsidRPr="00D0299F">
        <w:rPr>
          <w:color w:val="000000" w:themeColor="text1"/>
        </w:rPr>
        <w:t xml:space="preserve">Dygert et al. (2020), </w:t>
      </w:r>
      <w:r w:rsidRPr="00D0299F">
        <w:rPr>
          <w:color w:val="000000" w:themeColor="text1"/>
          <w:vertAlign w:val="superscript"/>
        </w:rPr>
        <w:t>g</w:t>
      </w:r>
      <w:r w:rsidRPr="00D0299F">
        <w:rPr>
          <w:color w:val="000000" w:themeColor="text1"/>
        </w:rPr>
        <w:t xml:space="preserve">Snape et al. (2022), </w:t>
      </w:r>
      <w:r w:rsidRPr="00D0299F">
        <w:rPr>
          <w:color w:val="000000" w:themeColor="text1"/>
          <w:vertAlign w:val="superscript"/>
        </w:rPr>
        <w:t>h</w:t>
      </w:r>
      <w:r w:rsidRPr="00D0299F">
        <w:rPr>
          <w:color w:val="000000" w:themeColor="text1"/>
        </w:rPr>
        <w:t xml:space="preserve">Pertermann et al. (2004), </w:t>
      </w:r>
      <w:r w:rsidRPr="00D0299F">
        <w:rPr>
          <w:color w:val="000000" w:themeColor="text1"/>
          <w:vertAlign w:val="superscript"/>
        </w:rPr>
        <w:t>i</w:t>
      </w:r>
      <w:r w:rsidRPr="00D0299F">
        <w:rPr>
          <w:color w:val="000000" w:themeColor="text1"/>
        </w:rPr>
        <w:t xml:space="preserve">Dygert et al. (2013), </w:t>
      </w:r>
      <w:r w:rsidRPr="00D0299F">
        <w:rPr>
          <w:color w:val="000000" w:themeColor="text1"/>
          <w:vertAlign w:val="superscript"/>
        </w:rPr>
        <w:t>j</w:t>
      </w:r>
      <w:r w:rsidRPr="00D0299F">
        <w:rPr>
          <w:color w:val="000000" w:themeColor="text1"/>
        </w:rPr>
        <w:t xml:space="preserve">Charlier et al. (2018), </w:t>
      </w:r>
      <w:r w:rsidRPr="00D0299F">
        <w:rPr>
          <w:color w:val="000000" w:themeColor="text1"/>
          <w:vertAlign w:val="superscript"/>
        </w:rPr>
        <w:t>k</w:t>
      </w:r>
      <w:r w:rsidRPr="00D0299F">
        <w:rPr>
          <w:color w:val="000000" w:themeColor="text1"/>
        </w:rPr>
        <w:t>Mallik et al. (2019)</w:t>
      </w:r>
    </w:p>
    <w:p w14:paraId="140D3631" w14:textId="5D0D34C0" w:rsidR="00D34F92" w:rsidRDefault="00D34F92">
      <w:pPr>
        <w:rPr>
          <w:b/>
          <w:bCs/>
          <w:iCs/>
          <w:szCs w:val="26"/>
        </w:rPr>
      </w:pPr>
      <w:r>
        <w:br w:type="page"/>
      </w:r>
    </w:p>
    <w:p w14:paraId="0ED7A291" w14:textId="77777777" w:rsidR="00A93F2D" w:rsidRPr="00557062" w:rsidRDefault="00A93F2D" w:rsidP="00A93F2D">
      <w:pPr>
        <w:spacing w:line="480" w:lineRule="auto"/>
        <w:ind w:firstLine="720"/>
        <w:rPr>
          <w:color w:val="000000" w:themeColor="text1"/>
        </w:rPr>
      </w:pPr>
      <w:r w:rsidRPr="00557062">
        <w:rPr>
          <w:color w:val="000000" w:themeColor="text1"/>
        </w:rPr>
        <w:lastRenderedPageBreak/>
        <w:t xml:space="preserve">The implied lunar mantle source pressures suggested by Ol-Opx multi-saturation experiments (i.e., the pressures at which the glasses would be in equilibrium with Ol- and Opx-bearing lunar mantle) are estimated to be between 2.3 GPa and 3.1 GPa for yellow and orange picritic glasses (Krawczynski and Grove, 2012; Brown and Grove, 2015). In addition, the Ol-Opx multi-saturation pressures for red and black glasses are estimated to fall between 1.3 GPa and 2.4 GPa depending on the </w:t>
      </w:r>
      <m:oMath>
        <m:r>
          <w:rPr>
            <w:rFonts w:ascii="Cambria Math" w:hAnsi="Cambria Math"/>
            <w:color w:val="000000" w:themeColor="text1"/>
          </w:rPr>
          <m:t>f</m:t>
        </m:r>
      </m:oMath>
      <w:r w:rsidRPr="00557062">
        <w:rPr>
          <w:color w:val="000000" w:themeColor="text1"/>
        </w:rPr>
        <w:t>O</w:t>
      </w:r>
      <w:r w:rsidRPr="00557062">
        <w:rPr>
          <w:color w:val="000000" w:themeColor="text1"/>
          <w:vertAlign w:val="subscript"/>
        </w:rPr>
        <w:t>2</w:t>
      </w:r>
      <w:r w:rsidRPr="00557062">
        <w:rPr>
          <w:color w:val="000000" w:themeColor="text1"/>
        </w:rPr>
        <w:t xml:space="preserve"> conditions of the lunar mantle (Wagner and Grove, 1997; Krawczynski and Grove, 2012). These multi-saturation pressure estimates indicate that the yellow and orange glasses should be generated at depths of 490-725 km, while the red and black glasses should be generated at depths of 260-525 km. While it is still debated whether the LMO extended to the core-mantle boundary (CMB), the initial LMO cumulates at the picritic glass multi-saturation depths would form between 20-40% solidification (for yellow and orange glasses) and 35-62% solidification (for red and black glasses) assuming the deepest possible magma ocean. If the LMO was shallower, these percentages decrease, and the initial cumulates at those depths would form even earlier in the solidification process. Thus, a hybridized lunar mantle source mixture would most likely contain of the earliest LMO cumulates (dunite or harzburgite and IBC material, Elardo et al., 2011; Lin et al., 2017; Charlier et al., 2018; Rapp and Draper, 2018) as a major component.</w:t>
      </w:r>
    </w:p>
    <w:p w14:paraId="01844143" w14:textId="59E07A2E" w:rsidR="00A93F2D" w:rsidRPr="00557062" w:rsidRDefault="00A93F2D" w:rsidP="00A93F2D">
      <w:pPr>
        <w:spacing w:line="480" w:lineRule="auto"/>
        <w:ind w:firstLine="720"/>
        <w:rPr>
          <w:color w:val="000000" w:themeColor="text1"/>
        </w:rPr>
      </w:pPr>
      <w:r w:rsidRPr="00557062">
        <w:rPr>
          <w:color w:val="000000" w:themeColor="text1"/>
        </w:rPr>
        <w:t xml:space="preserve">The combined enrichment of REE and Hf concentrations and picritic glass-like HREE/LREE ratios of the late-crystallizing LMO cumulates (IBC) are essential to consider when investigating plausible Ti-rich picritic glass sources. With the elevated trace element concentrations in the IBC material (1-30x Chondrite Normalized (CN) </w:t>
      </w:r>
      <w:r w:rsidRPr="00557062">
        <w:rPr>
          <w:color w:val="000000" w:themeColor="text1"/>
        </w:rPr>
        <w:lastRenderedPageBreak/>
        <w:t>values) and the extremely low concentration of EMOC (0.02-0.2x CN values) (</w:t>
      </w:r>
      <w:r w:rsidRPr="00A93F2D">
        <w:rPr>
          <w:b/>
          <w:bCs/>
          <w:color w:val="000000" w:themeColor="text1"/>
        </w:rPr>
        <w:t>Table 2.3</w:t>
      </w:r>
      <w:r w:rsidRPr="00557062">
        <w:rPr>
          <w:color w:val="000000" w:themeColor="text1"/>
        </w:rPr>
        <w:t>), any hybridized EMOC source only needs a minor proportion of IBC material to take on the elevated trace element concentrations and ratios of IBC. This is consistent with calculations presented by Scholpp and Dygert (2024</w:t>
      </w:r>
      <w:r>
        <w:rPr>
          <w:color w:val="000000" w:themeColor="text1"/>
        </w:rPr>
        <w:t>a</w:t>
      </w:r>
      <w:r w:rsidRPr="00557062">
        <w:rPr>
          <w:color w:val="000000" w:themeColor="text1"/>
        </w:rPr>
        <w:t>), which suggest the Mg# of the intermediate-Ti and high-Ti picritic glass sources would likely fall between 65-84 and would be composed primarily of high Mg# EMOC material due to the low Mg# of the hypothetical IBC material (</w:t>
      </w:r>
      <w:r w:rsidRPr="00A93F2D">
        <w:rPr>
          <w:b/>
          <w:bCs/>
          <w:color w:val="000000" w:themeColor="text1"/>
        </w:rPr>
        <w:t>Table 2.5</w:t>
      </w:r>
      <w:r w:rsidRPr="00557062">
        <w:rPr>
          <w:color w:val="000000" w:themeColor="text1"/>
        </w:rPr>
        <w:t xml:space="preserve">). </w:t>
      </w:r>
    </w:p>
    <w:p w14:paraId="26C0F08F" w14:textId="2BAC79A3" w:rsidR="003442C7" w:rsidRDefault="00A93F2D" w:rsidP="00C0621D">
      <w:pPr>
        <w:spacing w:line="480" w:lineRule="auto"/>
        <w:ind w:firstLine="720"/>
        <w:rPr>
          <w:color w:val="000000" w:themeColor="text1"/>
        </w:rPr>
      </w:pPr>
      <w:r w:rsidRPr="00557062">
        <w:rPr>
          <w:color w:val="000000" w:themeColor="text1"/>
        </w:rPr>
        <w:t>The EMOC component in this study assumes an averaged composition of cumulates that formed between 1% and 51% LMO solidification, while the IBC component is an averaged composition of cumulates that formed between 98% and 99.5% solidification. In models that assume the hybridized source forms after mixing between IBC partial melts and EMOC (Scenarios #3-#5), we assume the source contains 10% IBC partial melt and 90% EMOC (</w:t>
      </w:r>
      <w:r w:rsidRPr="00A93F2D">
        <w:rPr>
          <w:b/>
          <w:bCs/>
          <w:color w:val="000000" w:themeColor="text1"/>
        </w:rPr>
        <w:t>Table 2.4</w:t>
      </w:r>
      <w:r w:rsidRPr="00557062">
        <w:rPr>
          <w:color w:val="000000" w:themeColor="text1"/>
        </w:rPr>
        <w:t>). For models where the IBC is assumed to be unmelted (Scenarios #1-#2), the hybridized source is assumed to contain 20% IBC and 80% EMOC (</w:t>
      </w:r>
      <w:r w:rsidRPr="00A93F2D">
        <w:rPr>
          <w:b/>
          <w:bCs/>
          <w:color w:val="000000" w:themeColor="text1"/>
        </w:rPr>
        <w:t>Table 2.4</w:t>
      </w:r>
      <w:r w:rsidRPr="00557062">
        <w:rPr>
          <w:color w:val="000000" w:themeColor="text1"/>
        </w:rPr>
        <w:t>). This divergence in mixing proportions is invoked to account for the effect of partial melting on the abundances of REE and Hf in the assumed IBC component. In IBC partial melts, REE and Hf are enriched relative to the initial IBC cumulate, so it would take less material to create the same level of chemical enrichment in the hybridized source. A comparison of Scenarios #1 and #3 demonstrates the effects of varying these mixing proportions on the trace element ratios in our garnet-free melting models (</w:t>
      </w:r>
      <w:r w:rsidRPr="00A93F2D">
        <w:rPr>
          <w:b/>
          <w:bCs/>
          <w:color w:val="000000" w:themeColor="text1"/>
        </w:rPr>
        <w:t>Table 2.4</w:t>
      </w:r>
      <w:r w:rsidRPr="00557062">
        <w:rPr>
          <w:color w:val="000000" w:themeColor="text1"/>
        </w:rPr>
        <w:t xml:space="preserve">). This tests the possibility that variable mixing </w:t>
      </w:r>
      <w:r w:rsidRPr="00557062">
        <w:rPr>
          <w:color w:val="000000" w:themeColor="text1"/>
        </w:rPr>
        <w:lastRenderedPageBreak/>
        <w:t>proportions could account for the variation in TiO</w:t>
      </w:r>
      <w:r w:rsidRPr="00557062">
        <w:rPr>
          <w:color w:val="000000" w:themeColor="text1"/>
          <w:vertAlign w:val="subscript"/>
        </w:rPr>
        <w:t>2</w:t>
      </w:r>
      <w:r w:rsidRPr="00557062">
        <w:rPr>
          <w:color w:val="000000" w:themeColor="text1"/>
        </w:rPr>
        <w:t xml:space="preserve"> and REE concentrations between intermediate-Ti and high-Ti picritic glasses.</w:t>
      </w:r>
    </w:p>
    <w:p w14:paraId="1C8F8D6D" w14:textId="77777777" w:rsidR="00945203" w:rsidRPr="00557062" w:rsidRDefault="00945203" w:rsidP="00945203">
      <w:pPr>
        <w:pStyle w:val="Heading3"/>
      </w:pPr>
      <w:bookmarkStart w:id="311" w:name="_Toc182995483"/>
      <w:bookmarkStart w:id="312" w:name="_Toc183536601"/>
      <w:bookmarkStart w:id="313" w:name="_Toc184727405"/>
      <w:bookmarkStart w:id="314" w:name="_Toc185325652"/>
      <w:r w:rsidRPr="00557062">
        <w:t>Partial Melting of Hybridized Mantle Sources</w:t>
      </w:r>
      <w:bookmarkEnd w:id="311"/>
      <w:bookmarkEnd w:id="312"/>
      <w:bookmarkEnd w:id="313"/>
      <w:bookmarkEnd w:id="314"/>
    </w:p>
    <w:p w14:paraId="4A316045" w14:textId="77777777" w:rsidR="00945203" w:rsidRDefault="00945203" w:rsidP="00945203">
      <w:pPr>
        <w:spacing w:line="480" w:lineRule="auto"/>
        <w:ind w:firstLine="720"/>
        <w:rPr>
          <w:color w:val="000000" w:themeColor="text1"/>
        </w:rPr>
      </w:pPr>
      <w:r w:rsidRPr="00557062">
        <w:rPr>
          <w:color w:val="000000" w:themeColor="text1"/>
        </w:rPr>
        <w:t>In hybridized source melting calculations, we assume that melting occurs at 2 GPa and 1350ºC. This increase in temperature relative to IBC melting reactions is justified by the refractory nature of the hybridized source, which should be significantly more Mg-rich than the downwelling IBC and would have a higher solidus temperature (e.g., Singletary and Grove, 2008; Thacker et al., 2009; Mallik et al., 2019). When calculating the compositions of partial melts generated by hybridized mantle sources, we use similar mineral proportions and compositions to experiments from Mallik et al., 2019 (V984 for a garnet-free source and V1007 for a garnet-bearing source) (</w:t>
      </w:r>
      <w:r w:rsidRPr="00A7698E">
        <w:rPr>
          <w:b/>
          <w:bCs/>
          <w:color w:val="000000" w:themeColor="text1"/>
        </w:rPr>
        <w:t>Table 2.7</w:t>
      </w:r>
      <w:r w:rsidRPr="00557062">
        <w:rPr>
          <w:color w:val="000000" w:themeColor="text1"/>
        </w:rPr>
        <w:t xml:space="preserve">). For the garnet-bearing sources, the modal abundances of minerals other than garnet were proportionally adjusted as garnet abundance varies. Mineral-melt partition coefficients and calculation parameters for hybridized source partial melting models are reported in </w:t>
      </w:r>
      <w:r w:rsidRPr="00A7698E">
        <w:rPr>
          <w:b/>
          <w:bCs/>
          <w:color w:val="000000" w:themeColor="text1"/>
        </w:rPr>
        <w:t>Table (2.6)</w:t>
      </w:r>
      <w:r w:rsidRPr="00557062">
        <w:rPr>
          <w:color w:val="000000" w:themeColor="text1"/>
        </w:rPr>
        <w:t>.</w:t>
      </w:r>
    </w:p>
    <w:p w14:paraId="6E6167E3" w14:textId="77777777" w:rsidR="00945203" w:rsidRDefault="00945203" w:rsidP="00945203">
      <w:pPr>
        <w:pStyle w:val="Heading3"/>
      </w:pPr>
      <w:bookmarkStart w:id="315" w:name="_Toc182995484"/>
      <w:bookmarkStart w:id="316" w:name="_Toc183536602"/>
      <w:bookmarkStart w:id="317" w:name="_Toc184727406"/>
      <w:bookmarkStart w:id="318" w:name="_Toc185325653"/>
      <w:r w:rsidRPr="00AB5BFA">
        <w:t>Effect of Garnet on Hybridized Source Melt Chemistry</w:t>
      </w:r>
      <w:bookmarkEnd w:id="315"/>
      <w:bookmarkEnd w:id="316"/>
      <w:bookmarkEnd w:id="317"/>
      <w:bookmarkEnd w:id="318"/>
    </w:p>
    <w:p w14:paraId="29DB6A59" w14:textId="77777777" w:rsidR="00945203" w:rsidRPr="00AB5BFA" w:rsidRDefault="00945203" w:rsidP="00945203">
      <w:pPr>
        <w:pStyle w:val="Heading4"/>
      </w:pPr>
      <w:bookmarkStart w:id="319" w:name="_Toc183536603"/>
      <w:bookmarkStart w:id="320" w:name="_Toc184727407"/>
      <w:bookmarkStart w:id="321" w:name="_Toc185325654"/>
      <w:r>
        <w:t>Mechanical Mixing with Solid IBC Material</w:t>
      </w:r>
      <w:bookmarkEnd w:id="319"/>
      <w:bookmarkEnd w:id="320"/>
      <w:bookmarkEnd w:id="321"/>
    </w:p>
    <w:p w14:paraId="328459A7" w14:textId="618BADF9" w:rsidR="00945203" w:rsidRDefault="00945203" w:rsidP="00945203">
      <w:pPr>
        <w:spacing w:line="480" w:lineRule="auto"/>
        <w:ind w:firstLine="720"/>
        <w:rPr>
          <w:color w:val="000000" w:themeColor="text1"/>
        </w:rPr>
      </w:pPr>
      <w:r w:rsidRPr="00557062">
        <w:rPr>
          <w:color w:val="000000" w:themeColor="text1"/>
        </w:rPr>
        <w:t>Two models explored the mechanical mixing of IBC into early LMO cumulates without melting (i.e., simple mechanical mixing of solid LMO cumulates). In Scenario #1, garnet was assumed to be absent from the source (</w:t>
      </w:r>
      <w:r w:rsidRPr="003A47F0">
        <w:rPr>
          <w:b/>
          <w:bCs/>
          <w:color w:val="000000" w:themeColor="text1"/>
        </w:rPr>
        <w:t>Figure 2.8a-c</w:t>
      </w:r>
      <w:r w:rsidRPr="00557062">
        <w:rPr>
          <w:color w:val="000000" w:themeColor="text1"/>
        </w:rPr>
        <w:t>).</w:t>
      </w:r>
    </w:p>
    <w:p w14:paraId="12C33CE2" w14:textId="77777777" w:rsidR="003442C7" w:rsidRDefault="003442C7">
      <w:pPr>
        <w:rPr>
          <w:color w:val="000000" w:themeColor="text1"/>
        </w:rPr>
      </w:pPr>
      <w:r>
        <w:rPr>
          <w:color w:val="000000" w:themeColor="text1"/>
        </w:rPr>
        <w:br w:type="page"/>
      </w:r>
    </w:p>
    <w:p w14:paraId="4293D164" w14:textId="69223837" w:rsidR="009515F0" w:rsidRPr="00557062" w:rsidRDefault="009515F0" w:rsidP="009515F0">
      <w:pPr>
        <w:pStyle w:val="Tables"/>
      </w:pPr>
      <w:bookmarkStart w:id="322" w:name="_Toc185263597"/>
      <w:r w:rsidRPr="00557062">
        <w:rPr>
          <w:b/>
          <w:bCs/>
        </w:rPr>
        <w:lastRenderedPageBreak/>
        <w:t xml:space="preserve">Table </w:t>
      </w:r>
      <w:r w:rsidR="0078052A">
        <w:rPr>
          <w:b/>
          <w:bCs/>
        </w:rPr>
        <w:t>2.</w:t>
      </w:r>
      <w:r w:rsidRPr="00557062">
        <w:rPr>
          <w:b/>
          <w:bCs/>
        </w:rPr>
        <w:t>7.</w:t>
      </w:r>
      <w:r w:rsidRPr="00557062">
        <w:t xml:space="preserve"> Phase proportions of hybridized mantle sources in melting models</w:t>
      </w:r>
      <w:r>
        <w:t>.</w:t>
      </w:r>
      <w:bookmarkEnd w:id="322"/>
    </w:p>
    <w:tbl>
      <w:tblPr>
        <w:tblW w:w="5125" w:type="dxa"/>
        <w:tblLook w:val="04A0" w:firstRow="1" w:lastRow="0" w:firstColumn="1" w:lastColumn="0" w:noHBand="0" w:noVBand="1"/>
      </w:tblPr>
      <w:tblGrid>
        <w:gridCol w:w="1660"/>
        <w:gridCol w:w="1680"/>
        <w:gridCol w:w="1785"/>
      </w:tblGrid>
      <w:tr w:rsidR="009515F0" w:rsidRPr="00C17E4D" w14:paraId="79E4B978" w14:textId="77777777" w:rsidTr="00381517">
        <w:trPr>
          <w:trHeight w:val="700"/>
        </w:trPr>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D4C557" w14:textId="77777777" w:rsidR="009515F0" w:rsidRPr="00C17E4D" w:rsidRDefault="009515F0" w:rsidP="00381517">
            <w:pPr>
              <w:jc w:val="center"/>
              <w:rPr>
                <w:color w:val="000000" w:themeColor="text1"/>
              </w:rPr>
            </w:pPr>
            <w:r w:rsidRPr="00C17E4D">
              <w:rPr>
                <w:color w:val="000000" w:themeColor="text1"/>
              </w:rPr>
              <w:t>Phases</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6CA3768A" w14:textId="77777777" w:rsidR="009515F0" w:rsidRPr="00C17E4D" w:rsidRDefault="009515F0" w:rsidP="00381517">
            <w:pPr>
              <w:jc w:val="center"/>
              <w:rPr>
                <w:color w:val="000000" w:themeColor="text1"/>
              </w:rPr>
            </w:pPr>
            <w:r w:rsidRPr="00C17E4D">
              <w:rPr>
                <w:color w:val="000000" w:themeColor="text1"/>
              </w:rPr>
              <w:t>Garnet-Free Source</w:t>
            </w:r>
          </w:p>
        </w:tc>
        <w:tc>
          <w:tcPr>
            <w:tcW w:w="1785" w:type="dxa"/>
            <w:tcBorders>
              <w:top w:val="single" w:sz="4" w:space="0" w:color="auto"/>
              <w:left w:val="nil"/>
              <w:bottom w:val="single" w:sz="4" w:space="0" w:color="auto"/>
              <w:right w:val="single" w:sz="4" w:space="0" w:color="auto"/>
            </w:tcBorders>
            <w:shd w:val="clear" w:color="auto" w:fill="auto"/>
            <w:vAlign w:val="center"/>
            <w:hideMark/>
          </w:tcPr>
          <w:p w14:paraId="56078777" w14:textId="77777777" w:rsidR="009515F0" w:rsidRPr="00C17E4D" w:rsidRDefault="009515F0" w:rsidP="00381517">
            <w:pPr>
              <w:jc w:val="center"/>
              <w:rPr>
                <w:color w:val="000000" w:themeColor="text1"/>
              </w:rPr>
            </w:pPr>
            <w:r w:rsidRPr="00C17E4D">
              <w:rPr>
                <w:color w:val="000000" w:themeColor="text1"/>
              </w:rPr>
              <w:t>Garnet-Bearing Source</w:t>
            </w:r>
          </w:p>
        </w:tc>
      </w:tr>
      <w:tr w:rsidR="009515F0" w:rsidRPr="00C17E4D" w14:paraId="4DB38E39" w14:textId="77777777" w:rsidTr="00381517">
        <w:trPr>
          <w:trHeight w:val="34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56AC173F" w14:textId="77777777" w:rsidR="009515F0" w:rsidRPr="00C17E4D" w:rsidRDefault="009515F0" w:rsidP="00381517">
            <w:pPr>
              <w:jc w:val="center"/>
              <w:rPr>
                <w:color w:val="000000" w:themeColor="text1"/>
              </w:rPr>
            </w:pPr>
            <w:r w:rsidRPr="00C17E4D">
              <w:rPr>
                <w:color w:val="000000" w:themeColor="text1"/>
              </w:rPr>
              <w:t>Ol</w:t>
            </w:r>
          </w:p>
        </w:tc>
        <w:tc>
          <w:tcPr>
            <w:tcW w:w="1680" w:type="dxa"/>
            <w:tcBorders>
              <w:top w:val="nil"/>
              <w:left w:val="nil"/>
              <w:bottom w:val="single" w:sz="4" w:space="0" w:color="auto"/>
              <w:right w:val="single" w:sz="4" w:space="0" w:color="auto"/>
            </w:tcBorders>
            <w:shd w:val="clear" w:color="auto" w:fill="auto"/>
            <w:noWrap/>
            <w:vAlign w:val="center"/>
            <w:hideMark/>
          </w:tcPr>
          <w:p w14:paraId="2304A009" w14:textId="77777777" w:rsidR="009515F0" w:rsidRPr="00C17E4D" w:rsidRDefault="009515F0" w:rsidP="00381517">
            <w:pPr>
              <w:jc w:val="center"/>
              <w:rPr>
                <w:color w:val="000000" w:themeColor="text1"/>
              </w:rPr>
            </w:pPr>
            <w:r w:rsidRPr="00C17E4D">
              <w:rPr>
                <w:color w:val="000000" w:themeColor="text1"/>
              </w:rPr>
              <w:t>0.243</w:t>
            </w:r>
          </w:p>
        </w:tc>
        <w:tc>
          <w:tcPr>
            <w:tcW w:w="1785" w:type="dxa"/>
            <w:tcBorders>
              <w:top w:val="nil"/>
              <w:left w:val="nil"/>
              <w:bottom w:val="single" w:sz="4" w:space="0" w:color="auto"/>
              <w:right w:val="single" w:sz="4" w:space="0" w:color="auto"/>
            </w:tcBorders>
            <w:shd w:val="clear" w:color="auto" w:fill="auto"/>
            <w:noWrap/>
            <w:vAlign w:val="center"/>
            <w:hideMark/>
          </w:tcPr>
          <w:p w14:paraId="037C2C13" w14:textId="77777777" w:rsidR="009515F0" w:rsidRPr="00C17E4D" w:rsidRDefault="009515F0" w:rsidP="00381517">
            <w:pPr>
              <w:jc w:val="center"/>
              <w:rPr>
                <w:color w:val="000000" w:themeColor="text1"/>
              </w:rPr>
            </w:pPr>
            <w:r w:rsidRPr="00C17E4D">
              <w:rPr>
                <w:color w:val="000000" w:themeColor="text1"/>
              </w:rPr>
              <w:t>0.245</w:t>
            </w:r>
          </w:p>
        </w:tc>
      </w:tr>
      <w:tr w:rsidR="009515F0" w:rsidRPr="00C17E4D" w14:paraId="256A2B8B" w14:textId="77777777" w:rsidTr="00381517">
        <w:trPr>
          <w:trHeight w:val="34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7C63F8D2" w14:textId="77777777" w:rsidR="009515F0" w:rsidRPr="00C17E4D" w:rsidRDefault="009515F0" w:rsidP="00381517">
            <w:pPr>
              <w:jc w:val="center"/>
              <w:rPr>
                <w:color w:val="000000" w:themeColor="text1"/>
              </w:rPr>
            </w:pPr>
            <w:r w:rsidRPr="00C17E4D">
              <w:rPr>
                <w:color w:val="000000" w:themeColor="text1"/>
              </w:rPr>
              <w:t>Opx</w:t>
            </w:r>
          </w:p>
        </w:tc>
        <w:tc>
          <w:tcPr>
            <w:tcW w:w="1680" w:type="dxa"/>
            <w:tcBorders>
              <w:top w:val="nil"/>
              <w:left w:val="nil"/>
              <w:bottom w:val="single" w:sz="4" w:space="0" w:color="auto"/>
              <w:right w:val="single" w:sz="4" w:space="0" w:color="auto"/>
            </w:tcBorders>
            <w:shd w:val="clear" w:color="auto" w:fill="auto"/>
            <w:noWrap/>
            <w:vAlign w:val="center"/>
            <w:hideMark/>
          </w:tcPr>
          <w:p w14:paraId="224D8182" w14:textId="77777777" w:rsidR="009515F0" w:rsidRPr="00C17E4D" w:rsidRDefault="009515F0" w:rsidP="00381517">
            <w:pPr>
              <w:jc w:val="center"/>
              <w:rPr>
                <w:color w:val="000000" w:themeColor="text1"/>
              </w:rPr>
            </w:pPr>
            <w:r w:rsidRPr="00C17E4D">
              <w:rPr>
                <w:color w:val="000000" w:themeColor="text1"/>
              </w:rPr>
              <w:t>0.419</w:t>
            </w:r>
          </w:p>
        </w:tc>
        <w:tc>
          <w:tcPr>
            <w:tcW w:w="1785" w:type="dxa"/>
            <w:tcBorders>
              <w:top w:val="nil"/>
              <w:left w:val="nil"/>
              <w:bottom w:val="single" w:sz="4" w:space="0" w:color="auto"/>
              <w:right w:val="single" w:sz="4" w:space="0" w:color="auto"/>
            </w:tcBorders>
            <w:shd w:val="clear" w:color="auto" w:fill="auto"/>
            <w:noWrap/>
            <w:vAlign w:val="center"/>
            <w:hideMark/>
          </w:tcPr>
          <w:p w14:paraId="126E1D63" w14:textId="77777777" w:rsidR="009515F0" w:rsidRPr="00C17E4D" w:rsidRDefault="009515F0" w:rsidP="00381517">
            <w:pPr>
              <w:jc w:val="center"/>
              <w:rPr>
                <w:color w:val="000000" w:themeColor="text1"/>
              </w:rPr>
            </w:pPr>
            <w:r w:rsidRPr="00C17E4D">
              <w:rPr>
                <w:color w:val="000000" w:themeColor="text1"/>
              </w:rPr>
              <w:t>0.441</w:t>
            </w:r>
          </w:p>
        </w:tc>
      </w:tr>
      <w:tr w:rsidR="009515F0" w:rsidRPr="00C17E4D" w14:paraId="2472A891" w14:textId="77777777" w:rsidTr="00381517">
        <w:trPr>
          <w:trHeight w:val="34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75153F65" w14:textId="77777777" w:rsidR="009515F0" w:rsidRPr="00C17E4D" w:rsidRDefault="009515F0" w:rsidP="00381517">
            <w:pPr>
              <w:jc w:val="center"/>
              <w:rPr>
                <w:color w:val="000000" w:themeColor="text1"/>
              </w:rPr>
            </w:pPr>
            <w:r w:rsidRPr="00C17E4D">
              <w:rPr>
                <w:color w:val="000000" w:themeColor="text1"/>
              </w:rPr>
              <w:t>Cpx</w:t>
            </w:r>
          </w:p>
        </w:tc>
        <w:tc>
          <w:tcPr>
            <w:tcW w:w="1680" w:type="dxa"/>
            <w:tcBorders>
              <w:top w:val="nil"/>
              <w:left w:val="nil"/>
              <w:bottom w:val="single" w:sz="4" w:space="0" w:color="auto"/>
              <w:right w:val="single" w:sz="4" w:space="0" w:color="auto"/>
            </w:tcBorders>
            <w:shd w:val="clear" w:color="auto" w:fill="auto"/>
            <w:noWrap/>
            <w:vAlign w:val="center"/>
            <w:hideMark/>
          </w:tcPr>
          <w:p w14:paraId="4B2E05F8" w14:textId="77777777" w:rsidR="009515F0" w:rsidRPr="00C17E4D" w:rsidRDefault="009515F0" w:rsidP="00381517">
            <w:pPr>
              <w:jc w:val="center"/>
              <w:rPr>
                <w:color w:val="000000" w:themeColor="text1"/>
              </w:rPr>
            </w:pPr>
            <w:r w:rsidRPr="00C17E4D">
              <w:rPr>
                <w:color w:val="000000" w:themeColor="text1"/>
              </w:rPr>
              <w:t>0.276</w:t>
            </w:r>
          </w:p>
        </w:tc>
        <w:tc>
          <w:tcPr>
            <w:tcW w:w="1785" w:type="dxa"/>
            <w:tcBorders>
              <w:top w:val="nil"/>
              <w:left w:val="nil"/>
              <w:bottom w:val="single" w:sz="4" w:space="0" w:color="auto"/>
              <w:right w:val="single" w:sz="4" w:space="0" w:color="auto"/>
            </w:tcBorders>
            <w:shd w:val="clear" w:color="auto" w:fill="auto"/>
            <w:noWrap/>
            <w:vAlign w:val="center"/>
            <w:hideMark/>
          </w:tcPr>
          <w:p w14:paraId="3FA7D3BC" w14:textId="77777777" w:rsidR="009515F0" w:rsidRPr="00C17E4D" w:rsidRDefault="009515F0" w:rsidP="00381517">
            <w:pPr>
              <w:jc w:val="center"/>
              <w:rPr>
                <w:color w:val="000000" w:themeColor="text1"/>
              </w:rPr>
            </w:pPr>
            <w:r w:rsidRPr="00C17E4D">
              <w:rPr>
                <w:color w:val="000000" w:themeColor="text1"/>
              </w:rPr>
              <w:t>0.233</w:t>
            </w:r>
          </w:p>
        </w:tc>
      </w:tr>
      <w:tr w:rsidR="009515F0" w:rsidRPr="00C17E4D" w14:paraId="6F296BC3" w14:textId="77777777" w:rsidTr="00381517">
        <w:trPr>
          <w:trHeight w:val="34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5DB99146" w14:textId="77777777" w:rsidR="009515F0" w:rsidRPr="00C17E4D" w:rsidRDefault="009515F0" w:rsidP="00381517">
            <w:pPr>
              <w:jc w:val="center"/>
              <w:rPr>
                <w:color w:val="000000" w:themeColor="text1"/>
              </w:rPr>
            </w:pPr>
            <w:r w:rsidRPr="00C17E4D">
              <w:rPr>
                <w:color w:val="000000" w:themeColor="text1"/>
              </w:rPr>
              <w:t>Grnt</w:t>
            </w:r>
          </w:p>
        </w:tc>
        <w:tc>
          <w:tcPr>
            <w:tcW w:w="1680" w:type="dxa"/>
            <w:tcBorders>
              <w:top w:val="nil"/>
              <w:left w:val="nil"/>
              <w:bottom w:val="single" w:sz="4" w:space="0" w:color="auto"/>
              <w:right w:val="single" w:sz="4" w:space="0" w:color="auto"/>
            </w:tcBorders>
            <w:shd w:val="clear" w:color="auto" w:fill="auto"/>
            <w:noWrap/>
            <w:vAlign w:val="center"/>
            <w:hideMark/>
          </w:tcPr>
          <w:p w14:paraId="33071906" w14:textId="77777777" w:rsidR="009515F0" w:rsidRPr="00C17E4D" w:rsidRDefault="009515F0" w:rsidP="00381517">
            <w:pPr>
              <w:jc w:val="center"/>
              <w:rPr>
                <w:color w:val="000000" w:themeColor="text1"/>
              </w:rPr>
            </w:pPr>
            <w:r w:rsidRPr="00C17E4D">
              <w:rPr>
                <w:color w:val="000000" w:themeColor="text1"/>
              </w:rPr>
              <w:t>0.000</w:t>
            </w:r>
          </w:p>
        </w:tc>
        <w:tc>
          <w:tcPr>
            <w:tcW w:w="1785" w:type="dxa"/>
            <w:tcBorders>
              <w:top w:val="nil"/>
              <w:left w:val="nil"/>
              <w:bottom w:val="single" w:sz="4" w:space="0" w:color="auto"/>
              <w:right w:val="single" w:sz="4" w:space="0" w:color="auto"/>
            </w:tcBorders>
            <w:shd w:val="clear" w:color="auto" w:fill="auto"/>
            <w:noWrap/>
            <w:vAlign w:val="center"/>
            <w:hideMark/>
          </w:tcPr>
          <w:p w14:paraId="3257D8EB" w14:textId="77777777" w:rsidR="009515F0" w:rsidRPr="00C17E4D" w:rsidRDefault="009515F0" w:rsidP="00381517">
            <w:pPr>
              <w:jc w:val="center"/>
              <w:rPr>
                <w:color w:val="000000" w:themeColor="text1"/>
              </w:rPr>
            </w:pPr>
            <w:r w:rsidRPr="00C17E4D">
              <w:rPr>
                <w:color w:val="000000" w:themeColor="text1"/>
              </w:rPr>
              <w:t>0.012</w:t>
            </w:r>
          </w:p>
        </w:tc>
      </w:tr>
      <w:tr w:rsidR="009515F0" w:rsidRPr="00C17E4D" w14:paraId="2A8DD7A9" w14:textId="77777777" w:rsidTr="00381517">
        <w:trPr>
          <w:trHeight w:val="34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2318011E" w14:textId="77777777" w:rsidR="009515F0" w:rsidRPr="00C17E4D" w:rsidRDefault="009515F0" w:rsidP="00381517">
            <w:pPr>
              <w:jc w:val="center"/>
              <w:rPr>
                <w:color w:val="000000" w:themeColor="text1"/>
              </w:rPr>
            </w:pPr>
            <w:r w:rsidRPr="00C17E4D">
              <w:rPr>
                <w:color w:val="000000" w:themeColor="text1"/>
              </w:rPr>
              <w:t>Ilm</w:t>
            </w:r>
          </w:p>
        </w:tc>
        <w:tc>
          <w:tcPr>
            <w:tcW w:w="1680" w:type="dxa"/>
            <w:tcBorders>
              <w:top w:val="nil"/>
              <w:left w:val="nil"/>
              <w:bottom w:val="single" w:sz="4" w:space="0" w:color="auto"/>
              <w:right w:val="single" w:sz="4" w:space="0" w:color="auto"/>
            </w:tcBorders>
            <w:shd w:val="clear" w:color="auto" w:fill="auto"/>
            <w:noWrap/>
            <w:vAlign w:val="center"/>
            <w:hideMark/>
          </w:tcPr>
          <w:p w14:paraId="6AEF9750" w14:textId="77777777" w:rsidR="009515F0" w:rsidRPr="00C17E4D" w:rsidRDefault="009515F0" w:rsidP="00381517">
            <w:pPr>
              <w:jc w:val="center"/>
              <w:rPr>
                <w:color w:val="000000" w:themeColor="text1"/>
              </w:rPr>
            </w:pPr>
            <w:r w:rsidRPr="00C17E4D">
              <w:rPr>
                <w:color w:val="000000" w:themeColor="text1"/>
              </w:rPr>
              <w:t>0.062</w:t>
            </w:r>
          </w:p>
        </w:tc>
        <w:tc>
          <w:tcPr>
            <w:tcW w:w="1785" w:type="dxa"/>
            <w:tcBorders>
              <w:top w:val="nil"/>
              <w:left w:val="nil"/>
              <w:bottom w:val="single" w:sz="4" w:space="0" w:color="auto"/>
              <w:right w:val="single" w:sz="4" w:space="0" w:color="auto"/>
            </w:tcBorders>
            <w:shd w:val="clear" w:color="auto" w:fill="auto"/>
            <w:noWrap/>
            <w:vAlign w:val="center"/>
            <w:hideMark/>
          </w:tcPr>
          <w:p w14:paraId="048CD9D8" w14:textId="77777777" w:rsidR="009515F0" w:rsidRPr="00C17E4D" w:rsidRDefault="009515F0" w:rsidP="00381517">
            <w:pPr>
              <w:jc w:val="center"/>
              <w:rPr>
                <w:color w:val="000000" w:themeColor="text1"/>
              </w:rPr>
            </w:pPr>
            <w:r w:rsidRPr="00C17E4D">
              <w:rPr>
                <w:color w:val="000000" w:themeColor="text1"/>
              </w:rPr>
              <w:t>0.069</w:t>
            </w:r>
          </w:p>
        </w:tc>
      </w:tr>
    </w:tbl>
    <w:p w14:paraId="1E973DF9" w14:textId="77777777" w:rsidR="009515F0" w:rsidRPr="00557062" w:rsidRDefault="009515F0" w:rsidP="009515F0">
      <w:pPr>
        <w:rPr>
          <w:color w:val="000000" w:themeColor="text1"/>
        </w:rPr>
      </w:pPr>
      <w:r w:rsidRPr="00C17E4D">
        <w:rPr>
          <w:color w:val="000000" w:themeColor="text1"/>
        </w:rPr>
        <w:t xml:space="preserve">Modal mineralogy for a garnet-free source </w:t>
      </w:r>
      <w:r w:rsidRPr="00557062">
        <w:rPr>
          <w:color w:val="000000" w:themeColor="text1"/>
        </w:rPr>
        <w:t>were</w:t>
      </w:r>
      <w:r w:rsidRPr="00C17E4D">
        <w:rPr>
          <w:color w:val="000000" w:themeColor="text1"/>
        </w:rPr>
        <w:t xml:space="preserve"> based on experiment V984 from Mallik et al. (2019)</w:t>
      </w:r>
    </w:p>
    <w:p w14:paraId="2B312930" w14:textId="77777777" w:rsidR="009515F0" w:rsidRPr="00557062" w:rsidRDefault="009515F0" w:rsidP="009515F0">
      <w:pPr>
        <w:rPr>
          <w:color w:val="000000" w:themeColor="text1"/>
        </w:rPr>
      </w:pPr>
      <w:r w:rsidRPr="00C17E4D">
        <w:rPr>
          <w:color w:val="000000" w:themeColor="text1"/>
        </w:rPr>
        <w:t>Modal mineralogy for a garnet-bearing source were based on experiment V984 from Mallik et al. (2019)</w:t>
      </w:r>
    </w:p>
    <w:p w14:paraId="1805E4F7" w14:textId="77777777" w:rsidR="009515F0" w:rsidRPr="00557062" w:rsidRDefault="009515F0" w:rsidP="009515F0">
      <w:pPr>
        <w:rPr>
          <w:color w:val="000000" w:themeColor="text1"/>
        </w:rPr>
      </w:pPr>
      <w:r w:rsidRPr="00C17E4D">
        <w:rPr>
          <w:color w:val="000000" w:themeColor="text1"/>
        </w:rPr>
        <w:t>Olivine (Ol), Orthopyroxene (Opx), Clinopyroxene (Cpx), Garnet (Grnt), Ilmenite (Ilm)</w:t>
      </w:r>
    </w:p>
    <w:p w14:paraId="47ABFA41" w14:textId="288A6AC7" w:rsidR="00945203" w:rsidRDefault="00945203">
      <w:pPr>
        <w:rPr>
          <w:color w:val="000000" w:themeColor="text1"/>
        </w:rPr>
      </w:pPr>
      <w:r>
        <w:rPr>
          <w:color w:val="000000" w:themeColor="text1"/>
        </w:rPr>
        <w:br w:type="page"/>
      </w:r>
    </w:p>
    <w:p w14:paraId="662E3C74" w14:textId="77777777" w:rsidR="00945203" w:rsidRDefault="00945203" w:rsidP="00945203">
      <w:pPr>
        <w:pStyle w:val="FigureCaption"/>
      </w:pPr>
      <w:bookmarkStart w:id="323" w:name="_Toc182944868"/>
      <w:bookmarkStart w:id="324" w:name="_Toc183019415"/>
      <w:bookmarkStart w:id="325" w:name="_Toc185263425"/>
      <w:r w:rsidRPr="00A22A17">
        <w:rPr>
          <w:b/>
          <w:bCs/>
        </w:rPr>
        <w:lastRenderedPageBreak/>
        <w:t>Figure 2.8.</w:t>
      </w:r>
      <w:r w:rsidRPr="006359A5">
        <w:t xml:space="preserve"> </w:t>
      </w:r>
      <w:r w:rsidRPr="002458F8">
        <w:t>Partial melts of garnet-free and garnet-bearing hybridized sources, assuming that during hybridization, the IBC material was below its solidus and was mechanically mixed into EMOC. Panel (a) shows the mixing end member, mineralogy, and mixing mechanism assumptions for Scenario #1 (Table 2.4). Circling arrows between each endmember and the hybrid source indicate that mechanical mixing occurs to form the source before subsequent partial melting. Panels (b) and (c) show the trend of melts produced by partial melting of a garnet-free hybridized mantle source (Scenario #1). For these models, the proportion of EMOC and IBC material is adjusted to demonstrate the effects of each cumulate reservoir, the hybridized sources, and partial melts. Panel (c) shows the mixing end member, mineralogy, and mixing mechanism assumptions for the Scenario #2 (Table 2.4) hybridization process. Scenario #2 differs from Scenario #1 because the hybridized source for Scenario #2 is garnet-bearing. Panels (b) and (c) show the trend of melts produced by partial melting of a garnet-bearing source (Scenario #2). For these models, the modal abundance of hybridized source garnet varies between 0.25% and 5% to demonstrate the effects of garnet abundance. Stars represent the initial composition of the hybridized source. Black percentages represent the percentage of melting. (Lu/Hf)</w:t>
      </w:r>
      <w:r w:rsidRPr="002458F8">
        <w:rPr>
          <w:vertAlign w:val="subscript"/>
        </w:rPr>
        <w:t>N</w:t>
      </w:r>
      <w:r w:rsidRPr="002458F8">
        <w:t xml:space="preserve"> and (Sm/Nd)</w:t>
      </w:r>
      <w:r w:rsidRPr="002458F8">
        <w:rPr>
          <w:vertAlign w:val="subscript"/>
        </w:rPr>
        <w:t>N</w:t>
      </w:r>
      <w:r w:rsidRPr="002458F8">
        <w:t xml:space="preserve"> are chondrite normalized ratios. References for lunar sample compositions can be found in the caption to Figure 2.2. Low-Ti picritic glasses: VLT glass &amp; green glass groups. These models demonstrate that garnet-free hybridized mantle sources can account for the trace element patterns in yellow, red, and black picritic glasses; however, garnet-bearing hybridized mantle sources would be required to explain the trace element patterns of lunar orange glasses.</w:t>
      </w:r>
      <w:bookmarkEnd w:id="323"/>
      <w:bookmarkEnd w:id="324"/>
      <w:bookmarkEnd w:id="325"/>
    </w:p>
    <w:p w14:paraId="24337C24" w14:textId="77777777" w:rsidR="00945203" w:rsidRDefault="00945203">
      <w:pPr>
        <w:rPr>
          <w:color w:val="000000" w:themeColor="text1"/>
        </w:rPr>
      </w:pPr>
      <w:r>
        <w:rPr>
          <w:color w:val="000000" w:themeColor="text1"/>
        </w:rPr>
        <w:br w:type="page"/>
      </w:r>
    </w:p>
    <w:p w14:paraId="612F17BA" w14:textId="2EFFBE47" w:rsidR="00A93F2D" w:rsidRPr="00557062" w:rsidRDefault="00945203" w:rsidP="00945203">
      <w:pPr>
        <w:spacing w:line="480" w:lineRule="auto"/>
        <w:rPr>
          <w:color w:val="000000" w:themeColor="text1"/>
        </w:rPr>
      </w:pPr>
      <w:r>
        <w:rPr>
          <w:noProof/>
          <w:color w:val="000000" w:themeColor="text1"/>
        </w:rPr>
        <w:lastRenderedPageBreak/>
        <w:drawing>
          <wp:inline distT="0" distB="0" distL="0" distR="0" wp14:anchorId="69967D74" wp14:editId="6AFE87F1">
            <wp:extent cx="5486400" cy="5463540"/>
            <wp:effectExtent l="0" t="0" r="0" b="0"/>
            <wp:docPr id="1359158552" name="Picture 49" descr="A collage of images of different types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158552" name="Picture 49" descr="A collage of images of different types of objects&#10;&#10;Description automatically generated with medium confidence"/>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5486400" cy="5463540"/>
                    </a:xfrm>
                    <a:prstGeom prst="rect">
                      <a:avLst/>
                    </a:prstGeom>
                  </pic:spPr>
                </pic:pic>
              </a:graphicData>
            </a:graphic>
          </wp:inline>
        </w:drawing>
      </w:r>
    </w:p>
    <w:p w14:paraId="05ED96AB" w14:textId="77777777" w:rsidR="003442C7" w:rsidRDefault="003442C7">
      <w:pPr>
        <w:rPr>
          <w:b/>
          <w:bCs/>
          <w:iCs/>
          <w:szCs w:val="26"/>
        </w:rPr>
      </w:pPr>
      <w:r>
        <w:br w:type="page"/>
      </w:r>
    </w:p>
    <w:p w14:paraId="31B0BC8E" w14:textId="0733EEEB" w:rsidR="009F4042" w:rsidRDefault="009F4042" w:rsidP="00945203">
      <w:pPr>
        <w:spacing w:line="480" w:lineRule="auto"/>
        <w:rPr>
          <w:color w:val="000000" w:themeColor="text1"/>
        </w:rPr>
      </w:pPr>
      <w:r w:rsidRPr="00557062">
        <w:rPr>
          <w:color w:val="000000" w:themeColor="text1"/>
        </w:rPr>
        <w:lastRenderedPageBreak/>
        <w:t>In Scenario #2, garnet was assumed to be present in the source (</w:t>
      </w:r>
      <w:r w:rsidRPr="003A47F0">
        <w:rPr>
          <w:b/>
          <w:bCs/>
          <w:color w:val="000000" w:themeColor="text1"/>
        </w:rPr>
        <w:t>Figure 2.8d-f</w:t>
      </w:r>
      <w:r w:rsidRPr="00557062">
        <w:rPr>
          <w:color w:val="000000" w:themeColor="text1"/>
        </w:rPr>
        <w:t>). The melts produced by (Scenario #1) fit the (Yb/Sm)</w:t>
      </w:r>
      <w:r w:rsidRPr="00557062">
        <w:rPr>
          <w:color w:val="000000" w:themeColor="text1"/>
          <w:vertAlign w:val="subscript"/>
        </w:rPr>
        <w:t>N</w:t>
      </w:r>
      <w:r w:rsidRPr="00557062">
        <w:rPr>
          <w:color w:val="000000" w:themeColor="text1"/>
        </w:rPr>
        <w:t xml:space="preserve"> and (Ce/Sm)</w:t>
      </w:r>
      <w:r w:rsidRPr="00557062">
        <w:rPr>
          <w:color w:val="000000" w:themeColor="text1"/>
          <w:vertAlign w:val="subscript"/>
        </w:rPr>
        <w:t>N</w:t>
      </w:r>
      <w:r w:rsidRPr="00557062">
        <w:rPr>
          <w:color w:val="000000" w:themeColor="text1"/>
        </w:rPr>
        <w:t xml:space="preserve"> trends of yellow, red, and black glasses remarkably well (</w:t>
      </w:r>
      <w:r w:rsidRPr="003A47F0">
        <w:rPr>
          <w:b/>
          <w:bCs/>
          <w:color w:val="000000" w:themeColor="text1"/>
        </w:rPr>
        <w:t>Figure 2.8b</w:t>
      </w:r>
      <w:r w:rsidRPr="00557062">
        <w:rPr>
          <w:color w:val="000000" w:themeColor="text1"/>
        </w:rPr>
        <w:t>). While there is a notable lack of Hf data for lunar picritic glasses, partial melts produced from this modeled scenario fit the (Lu/Hf)</w:t>
      </w:r>
      <w:r w:rsidRPr="00557062">
        <w:rPr>
          <w:color w:val="000000" w:themeColor="text1"/>
          <w:vertAlign w:val="subscript"/>
        </w:rPr>
        <w:t>N</w:t>
      </w:r>
      <w:r w:rsidRPr="00557062">
        <w:rPr>
          <w:color w:val="000000" w:themeColor="text1"/>
        </w:rPr>
        <w:t xml:space="preserve"> and (Sm/Nd)</w:t>
      </w:r>
      <w:r w:rsidRPr="00557062">
        <w:rPr>
          <w:color w:val="000000" w:themeColor="text1"/>
          <w:vertAlign w:val="subscript"/>
        </w:rPr>
        <w:t>N</w:t>
      </w:r>
      <w:r w:rsidRPr="00557062">
        <w:rPr>
          <w:color w:val="000000" w:themeColor="text1"/>
        </w:rPr>
        <w:t xml:space="preserve"> data similarly well to the (Yb/Sm)</w:t>
      </w:r>
      <w:r w:rsidRPr="00557062">
        <w:rPr>
          <w:color w:val="000000" w:themeColor="text1"/>
          <w:vertAlign w:val="subscript"/>
        </w:rPr>
        <w:t>N</w:t>
      </w:r>
      <w:r w:rsidRPr="00557062">
        <w:rPr>
          <w:color w:val="000000" w:themeColor="text1"/>
        </w:rPr>
        <w:t xml:space="preserve"> and (Ce/Sm)</w:t>
      </w:r>
      <w:r w:rsidRPr="00557062">
        <w:rPr>
          <w:color w:val="000000" w:themeColor="text1"/>
          <w:vertAlign w:val="subscript"/>
        </w:rPr>
        <w:t>N</w:t>
      </w:r>
      <w:r w:rsidRPr="00557062">
        <w:rPr>
          <w:color w:val="000000" w:themeColor="text1"/>
        </w:rPr>
        <w:t xml:space="preserve"> data for yellow, red, and black glasses (</w:t>
      </w:r>
      <w:r w:rsidRPr="003A47F0">
        <w:rPr>
          <w:b/>
          <w:bCs/>
          <w:color w:val="000000" w:themeColor="text1"/>
        </w:rPr>
        <w:t>Figure 2.8c</w:t>
      </w:r>
      <w:r w:rsidRPr="00557062">
        <w:rPr>
          <w:color w:val="000000" w:themeColor="text1"/>
        </w:rPr>
        <w:t>). If the proportion of EMOC material in the hybridized source increases, the melting trends fan upwards and across the yellow glass field and towards the low-Ti glass field. Melts from this garnet-free source only overlap with a small portion of the (Yb/Sm)</w:t>
      </w:r>
      <w:r w:rsidRPr="00557062">
        <w:rPr>
          <w:color w:val="000000" w:themeColor="text1"/>
          <w:vertAlign w:val="subscript"/>
        </w:rPr>
        <w:t>N</w:t>
      </w:r>
      <w:r w:rsidRPr="00557062">
        <w:rPr>
          <w:color w:val="000000" w:themeColor="text1"/>
        </w:rPr>
        <w:t>-(Ce/Sm)</w:t>
      </w:r>
      <w:r w:rsidRPr="00557062">
        <w:rPr>
          <w:color w:val="000000" w:themeColor="text1"/>
          <w:vertAlign w:val="subscript"/>
        </w:rPr>
        <w:t>N</w:t>
      </w:r>
      <w:r w:rsidRPr="00557062">
        <w:rPr>
          <w:color w:val="000000" w:themeColor="text1"/>
        </w:rPr>
        <w:t xml:space="preserve"> field for the high-Ti orange glasses and never overlap the (Lu/Hf)</w:t>
      </w:r>
      <w:r w:rsidRPr="00557062">
        <w:rPr>
          <w:color w:val="000000" w:themeColor="text1"/>
          <w:vertAlign w:val="subscript"/>
        </w:rPr>
        <w:t>N</w:t>
      </w:r>
      <w:r w:rsidRPr="00557062">
        <w:rPr>
          <w:color w:val="000000" w:themeColor="text1"/>
        </w:rPr>
        <w:t>-(Sm/Nd)</w:t>
      </w:r>
      <w:r w:rsidRPr="00557062">
        <w:rPr>
          <w:color w:val="000000" w:themeColor="text1"/>
          <w:vertAlign w:val="subscript"/>
        </w:rPr>
        <w:t>N</w:t>
      </w:r>
      <w:r w:rsidRPr="00557062">
        <w:rPr>
          <w:color w:val="000000" w:themeColor="text1"/>
        </w:rPr>
        <w:t xml:space="preserve"> field. Adding garnet to the hybridized source (Scenario #2: </w:t>
      </w:r>
      <w:r w:rsidRPr="003A47F0">
        <w:rPr>
          <w:b/>
          <w:bCs/>
          <w:color w:val="000000" w:themeColor="text1"/>
        </w:rPr>
        <w:t>Table 2.4</w:t>
      </w:r>
      <w:r w:rsidRPr="00557062">
        <w:rPr>
          <w:color w:val="000000" w:themeColor="text1"/>
        </w:rPr>
        <w:t>) results in a significant depletion of HREE (</w:t>
      </w:r>
      <w:r w:rsidRPr="003A47F0">
        <w:rPr>
          <w:b/>
          <w:bCs/>
          <w:color w:val="000000" w:themeColor="text1"/>
        </w:rPr>
        <w:t>Figure 2.8e-f</w:t>
      </w:r>
      <w:r w:rsidRPr="00557062">
        <w:rPr>
          <w:color w:val="000000" w:themeColor="text1"/>
        </w:rPr>
        <w:t>). Melts of this garnet-bearing source overlap with both the (Yb/Sm)</w:t>
      </w:r>
      <w:r w:rsidRPr="00557062">
        <w:rPr>
          <w:color w:val="000000" w:themeColor="text1"/>
          <w:vertAlign w:val="subscript"/>
        </w:rPr>
        <w:t>N</w:t>
      </w:r>
      <w:r w:rsidRPr="00557062">
        <w:rPr>
          <w:color w:val="000000" w:themeColor="text1"/>
        </w:rPr>
        <w:t>-(Ce/Sm)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-(Sm/Nd)</w:t>
      </w:r>
      <w:r w:rsidRPr="00557062">
        <w:rPr>
          <w:color w:val="000000" w:themeColor="text1"/>
          <w:vertAlign w:val="subscript"/>
        </w:rPr>
        <w:t>N</w:t>
      </w:r>
      <w:r w:rsidRPr="00557062">
        <w:rPr>
          <w:color w:val="000000" w:themeColor="text1"/>
        </w:rPr>
        <w:t xml:space="preserve"> fields for orange glasses. These models suggest that 0.25% to 2.5% garnet in a hybridized mantle source could explain the HREE depletion in orange glasses.</w:t>
      </w:r>
    </w:p>
    <w:p w14:paraId="69B313C8" w14:textId="77777777" w:rsidR="009F4042" w:rsidRPr="00557062" w:rsidRDefault="009F4042" w:rsidP="009F4042">
      <w:pPr>
        <w:pStyle w:val="Heading4"/>
      </w:pPr>
      <w:bookmarkStart w:id="326" w:name="_Toc183536604"/>
      <w:bookmarkStart w:id="327" w:name="_Toc184727408"/>
      <w:bookmarkStart w:id="328" w:name="_Toc185325655"/>
      <w:r w:rsidRPr="00557062">
        <w:t>Garnet-Free IBC</w:t>
      </w:r>
      <w:bookmarkEnd w:id="326"/>
      <w:bookmarkEnd w:id="327"/>
      <w:bookmarkEnd w:id="328"/>
    </w:p>
    <w:p w14:paraId="08C1BBE2" w14:textId="41D849AB" w:rsidR="009F4042" w:rsidRPr="00557062" w:rsidRDefault="009F4042" w:rsidP="00945203">
      <w:pPr>
        <w:spacing w:line="480" w:lineRule="auto"/>
        <w:ind w:firstLine="720"/>
        <w:rPr>
          <w:color w:val="000000" w:themeColor="text1"/>
        </w:rPr>
      </w:pPr>
      <w:r w:rsidRPr="00557062">
        <w:rPr>
          <w:color w:val="000000" w:themeColor="text1"/>
        </w:rPr>
        <w:t>Scenario #3 evaluates mantle sources hybridized by partial melts of garnet-free IBC (</w:t>
      </w:r>
      <w:r w:rsidRPr="004F6B51">
        <w:rPr>
          <w:b/>
          <w:bCs/>
          <w:color w:val="000000" w:themeColor="text1"/>
        </w:rPr>
        <w:t>Table 2.4</w:t>
      </w:r>
      <w:r w:rsidRPr="00557062">
        <w:rPr>
          <w:color w:val="000000" w:themeColor="text1"/>
        </w:rPr>
        <w:t>). These sources can also produce melts that reproduce the (Yb/Sm)</w:t>
      </w:r>
      <w:r w:rsidRPr="00557062">
        <w:rPr>
          <w:color w:val="000000" w:themeColor="text1"/>
          <w:vertAlign w:val="subscript"/>
        </w:rPr>
        <w:t>N</w:t>
      </w:r>
      <w:r w:rsidRPr="00557062">
        <w:rPr>
          <w:color w:val="000000" w:themeColor="text1"/>
        </w:rPr>
        <w:t>-(Ce/Sm)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-(Sm/Nd)</w:t>
      </w:r>
      <w:r w:rsidRPr="00557062">
        <w:rPr>
          <w:color w:val="000000" w:themeColor="text1"/>
          <w:vertAlign w:val="subscript"/>
        </w:rPr>
        <w:t>N</w:t>
      </w:r>
      <w:r w:rsidRPr="00557062">
        <w:rPr>
          <w:color w:val="000000" w:themeColor="text1"/>
        </w:rPr>
        <w:t xml:space="preserve"> trends observed in yellow, red, and black picritic glasses (</w:t>
      </w:r>
      <w:r w:rsidRPr="004F6B51">
        <w:rPr>
          <w:b/>
          <w:bCs/>
          <w:color w:val="000000" w:themeColor="text1"/>
        </w:rPr>
        <w:t>Figure 2.9b-c</w:t>
      </w:r>
      <w:r w:rsidRPr="00557062">
        <w:rPr>
          <w:color w:val="000000" w:themeColor="text1"/>
        </w:rPr>
        <w:t>). The modeled melts trend just below the yellow, red, and black glass fields and just above the orange glass field with respect to (Lu/Hf)</w:t>
      </w:r>
      <w:r w:rsidRPr="00557062">
        <w:rPr>
          <w:color w:val="000000" w:themeColor="text1"/>
          <w:vertAlign w:val="subscript"/>
        </w:rPr>
        <w:t>N</w:t>
      </w:r>
      <w:r w:rsidRPr="00557062">
        <w:rPr>
          <w:color w:val="000000" w:themeColor="text1"/>
        </w:rPr>
        <w:t>-(Sm/Nd)</w:t>
      </w:r>
      <w:r w:rsidRPr="00557062">
        <w:rPr>
          <w:color w:val="000000" w:themeColor="text1"/>
          <w:vertAlign w:val="subscript"/>
        </w:rPr>
        <w:t>N</w:t>
      </w:r>
      <w:r w:rsidRPr="00557062">
        <w:rPr>
          <w:color w:val="000000" w:themeColor="text1"/>
        </w:rPr>
        <w:t xml:space="preserve"> (</w:t>
      </w:r>
      <w:r w:rsidRPr="004F6B51">
        <w:rPr>
          <w:b/>
          <w:bCs/>
          <w:color w:val="000000" w:themeColor="text1"/>
        </w:rPr>
        <w:t>Figure 2.9c</w:t>
      </w:r>
      <w:r w:rsidRPr="00557062">
        <w:rPr>
          <w:color w:val="000000" w:themeColor="text1"/>
        </w:rPr>
        <w:t xml:space="preserve">). </w:t>
      </w:r>
    </w:p>
    <w:p w14:paraId="407D1DC0" w14:textId="77777777" w:rsidR="009F4042" w:rsidRDefault="009F4042" w:rsidP="00A7698E">
      <w:pPr>
        <w:spacing w:line="480" w:lineRule="auto"/>
        <w:ind w:firstLine="720"/>
        <w:rPr>
          <w:color w:val="000000" w:themeColor="text1"/>
        </w:rPr>
      </w:pPr>
    </w:p>
    <w:p w14:paraId="53FCF468" w14:textId="77777777" w:rsidR="00F82D8F" w:rsidRDefault="00F82D8F" w:rsidP="00F82D8F">
      <w:pPr>
        <w:pStyle w:val="FigureCaption"/>
      </w:pPr>
      <w:bookmarkStart w:id="329" w:name="_Toc182944869"/>
      <w:bookmarkStart w:id="330" w:name="_Toc183019416"/>
      <w:bookmarkStart w:id="331" w:name="_Toc185263426"/>
      <w:r w:rsidRPr="009C7265">
        <w:rPr>
          <w:b/>
          <w:bCs/>
        </w:rPr>
        <w:lastRenderedPageBreak/>
        <w:t>Figure 2.9.</w:t>
      </w:r>
      <w:r w:rsidRPr="00557062">
        <w:t xml:space="preserve"> </w:t>
      </w:r>
      <w:r w:rsidRPr="002458F8">
        <w:t>Partial melting models for garnet-free and garnet-bearing sources that were hybridized by partial melts from downwelling garnet-free IBC prior to subsequent melting. Panel (a) shows the mixing end member, mineralogy, and mixing mechanism assumptions for the Scenario #3 (Table 2.4) hybridization process. Panels (b) and (c) show the trend of melts produced by partial melting of a garnet-free hybridized mantle source (Scenario #3). For these models, the proportion of EMOC and IBC material is adjusted to demonstrate the effects of each cumulate reservoir, the hybridized sources, and partial melts. Panel (c) shows the mixing end member, mineralogy, and mixing mechanism assumptions for the Scenario #4 (Table 2.4) hybridization process. Wavy arrows between the IBC and the hybrid source indicate that partial melts interact and mix with EMOC material to form the hybridized source. Panels (b) and (c) show the trend of melts produced by partial melting of a garnet-bearing hybridized mantle source (Scenario #4). For these models, the modal abundance of garnet in the hybridized source varies between 0.25% and 5% to demonstrate the effects of garnet abundance in the hybridized source. Stars represent the initial composition of the hybridized source. Black percentages represent the percentage of melting. (Lu/Hf)</w:t>
      </w:r>
      <w:r w:rsidRPr="002458F8">
        <w:rPr>
          <w:vertAlign w:val="subscript"/>
        </w:rPr>
        <w:t>N</w:t>
      </w:r>
      <w:r w:rsidRPr="002458F8">
        <w:t xml:space="preserve"> and (Sm/Nd)</w:t>
      </w:r>
      <w:r w:rsidRPr="002458F8">
        <w:rPr>
          <w:vertAlign w:val="subscript"/>
        </w:rPr>
        <w:t>N</w:t>
      </w:r>
      <w:r w:rsidRPr="002458F8">
        <w:t xml:space="preserve"> are chondrite normalized ratios. References for lunar sample compositions can be found in the caption to Figure 2.2. Low-Ti picritic glasses: VLT glass &amp; green glass groups. These models further demonstrate that garnet-free hybridized mantle sources can account for the trace element patterns in yellow, red, and black picritic glasses; however, garnet-bearing hybridized mantle sources would be required to explain the trace element patterns of lunar orange glasses.</w:t>
      </w:r>
      <w:bookmarkEnd w:id="329"/>
      <w:bookmarkEnd w:id="330"/>
      <w:bookmarkEnd w:id="331"/>
    </w:p>
    <w:p w14:paraId="58DC45C2" w14:textId="16BC097E" w:rsidR="00FE7396" w:rsidRPr="00945203" w:rsidRDefault="00FE7396">
      <w:pPr>
        <w:rPr>
          <w:color w:val="000000" w:themeColor="text1"/>
        </w:rPr>
      </w:pPr>
      <w:r>
        <w:rPr>
          <w:color w:val="000000" w:themeColor="text1"/>
        </w:rPr>
        <w:br w:type="page"/>
      </w:r>
    </w:p>
    <w:p w14:paraId="55F8F9B5" w14:textId="0357F938" w:rsidR="00AB0FF7" w:rsidRDefault="00163A3B" w:rsidP="00163A3B">
      <w:r>
        <w:rPr>
          <w:noProof/>
        </w:rPr>
        <w:lastRenderedPageBreak/>
        <w:drawing>
          <wp:inline distT="0" distB="0" distL="0" distR="0" wp14:anchorId="61009223" wp14:editId="62A63B8A">
            <wp:extent cx="5486400" cy="5463540"/>
            <wp:effectExtent l="0" t="0" r="0" b="0"/>
            <wp:docPr id="1642111222" name="Picture 50" descr="A collage of images of a ce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11222" name="Picture 50" descr="A collage of images of a cell&#10;&#10;Description automatically generated with medium confidence"/>
                    <pic:cNvPicPr/>
                  </pic:nvPicPr>
                  <pic:blipFill>
                    <a:blip r:embed="rId199" cstate="print">
                      <a:extLst>
                        <a:ext uri="{28A0092B-C50C-407E-A947-70E740481C1C}">
                          <a14:useLocalDpi xmlns:a14="http://schemas.microsoft.com/office/drawing/2010/main" val="0"/>
                        </a:ext>
                      </a:extLst>
                    </a:blip>
                    <a:stretch>
                      <a:fillRect/>
                    </a:stretch>
                  </pic:blipFill>
                  <pic:spPr>
                    <a:xfrm>
                      <a:off x="0" y="0"/>
                      <a:ext cx="5486400" cy="5463540"/>
                    </a:xfrm>
                    <a:prstGeom prst="rect">
                      <a:avLst/>
                    </a:prstGeom>
                  </pic:spPr>
                </pic:pic>
              </a:graphicData>
            </a:graphic>
          </wp:inline>
        </w:drawing>
      </w:r>
    </w:p>
    <w:p w14:paraId="614A2E7F" w14:textId="6A08F410" w:rsidR="00945203" w:rsidRPr="00F82D8F" w:rsidRDefault="00163A3B">
      <w:pPr>
        <w:rPr>
          <w:b/>
          <w:bCs/>
          <w:iCs/>
          <w:color w:val="000000" w:themeColor="text1"/>
          <w:szCs w:val="22"/>
        </w:rPr>
      </w:pPr>
      <w:r>
        <w:rPr>
          <w:b/>
          <w:bCs/>
        </w:rPr>
        <w:br w:type="page"/>
      </w:r>
    </w:p>
    <w:p w14:paraId="6E188263" w14:textId="77777777" w:rsidR="00945203" w:rsidRPr="00557062" w:rsidRDefault="00945203" w:rsidP="00945203">
      <w:pPr>
        <w:spacing w:line="480" w:lineRule="auto"/>
        <w:ind w:firstLine="720"/>
        <w:rPr>
          <w:color w:val="000000" w:themeColor="text1"/>
        </w:rPr>
      </w:pPr>
      <w:r w:rsidRPr="00557062">
        <w:rPr>
          <w:color w:val="000000" w:themeColor="text1"/>
        </w:rPr>
        <w:lastRenderedPageBreak/>
        <w:t>Increasing the proportion of EMOC material in the hybridized source shifts the melting trends toward the yellow, red, and black glass fields (</w:t>
      </w:r>
      <w:r w:rsidRPr="004F6B51">
        <w:rPr>
          <w:b/>
          <w:bCs/>
          <w:color w:val="000000" w:themeColor="text1"/>
        </w:rPr>
        <w:t>Figure 2.9c</w:t>
      </w:r>
      <w:r w:rsidRPr="00557062">
        <w:rPr>
          <w:color w:val="000000" w:themeColor="text1"/>
        </w:rPr>
        <w:t>); however, the effect on melts is less significant than that observed in Scenario #1 (</w:t>
      </w:r>
      <w:r w:rsidRPr="004F6B51">
        <w:rPr>
          <w:b/>
          <w:bCs/>
          <w:color w:val="000000" w:themeColor="text1"/>
        </w:rPr>
        <w:t>Figure 2.8c</w:t>
      </w:r>
      <w:r w:rsidRPr="00557062">
        <w:rPr>
          <w:color w:val="000000" w:themeColor="text1"/>
        </w:rPr>
        <w:t>). Melts from this garnet-free hybridized source trend above the majority of orange glass (Yb/Sm)</w:t>
      </w:r>
      <w:r w:rsidRPr="00557062">
        <w:rPr>
          <w:color w:val="000000" w:themeColor="text1"/>
          <w:vertAlign w:val="subscript"/>
        </w:rPr>
        <w:t>N</w:t>
      </w:r>
      <w:r w:rsidRPr="00557062">
        <w:rPr>
          <w:color w:val="000000" w:themeColor="text1"/>
        </w:rPr>
        <w:t>-(Ce/Sm)</w:t>
      </w:r>
      <w:r w:rsidRPr="00557062">
        <w:rPr>
          <w:color w:val="000000" w:themeColor="text1"/>
          <w:vertAlign w:val="subscript"/>
        </w:rPr>
        <w:t>N</w:t>
      </w:r>
      <w:r w:rsidRPr="00557062">
        <w:rPr>
          <w:color w:val="000000" w:themeColor="text1"/>
        </w:rPr>
        <w:t xml:space="preserve"> data and all available (Lu/Hf)</w:t>
      </w:r>
      <w:r w:rsidRPr="00557062">
        <w:rPr>
          <w:color w:val="000000" w:themeColor="text1"/>
          <w:vertAlign w:val="subscript"/>
        </w:rPr>
        <w:t>N</w:t>
      </w:r>
      <w:r w:rsidRPr="00557062">
        <w:rPr>
          <w:color w:val="000000" w:themeColor="text1"/>
        </w:rPr>
        <w:t>-(Sm/Nd)</w:t>
      </w:r>
      <w:r w:rsidRPr="00557062">
        <w:rPr>
          <w:color w:val="000000" w:themeColor="text1"/>
          <w:vertAlign w:val="subscript"/>
        </w:rPr>
        <w:t>N</w:t>
      </w:r>
      <w:r w:rsidRPr="00557062">
        <w:rPr>
          <w:color w:val="000000" w:themeColor="text1"/>
        </w:rPr>
        <w:t xml:space="preserve"> data (</w:t>
      </w:r>
      <w:r w:rsidRPr="004F6B51">
        <w:rPr>
          <w:b/>
          <w:bCs/>
          <w:color w:val="000000" w:themeColor="text1"/>
        </w:rPr>
        <w:t>Figure 2.9b-c</w:t>
      </w:r>
      <w:r w:rsidRPr="00557062">
        <w:rPr>
          <w:color w:val="000000" w:themeColor="text1"/>
        </w:rPr>
        <w:t>). Scenario #4 evaluates the presence of garnet in this hybridized source, resulting in similar levels of HREE depletion as the garnet-bearing solid-solid mixing scenario (Scenario #2) (</w:t>
      </w:r>
      <w:r w:rsidRPr="004F6B51">
        <w:rPr>
          <w:b/>
          <w:bCs/>
          <w:color w:val="000000" w:themeColor="text1"/>
        </w:rPr>
        <w:t>Figure 2.9e-d</w:t>
      </w:r>
      <w:r w:rsidRPr="00557062">
        <w:rPr>
          <w:color w:val="000000" w:themeColor="text1"/>
        </w:rPr>
        <w:t>). Melts of the Scenario #4 garnet-bearing source overlap with both the (Yb/Sm)</w:t>
      </w:r>
      <w:r w:rsidRPr="00557062">
        <w:rPr>
          <w:color w:val="000000" w:themeColor="text1"/>
          <w:vertAlign w:val="subscript"/>
        </w:rPr>
        <w:t>N</w:t>
      </w:r>
      <w:r w:rsidRPr="00557062">
        <w:rPr>
          <w:color w:val="000000" w:themeColor="text1"/>
        </w:rPr>
        <w:t>-(Ce/Sm)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-(Sm/Nd)</w:t>
      </w:r>
      <w:r w:rsidRPr="00557062">
        <w:rPr>
          <w:color w:val="000000" w:themeColor="text1"/>
          <w:vertAlign w:val="subscript"/>
        </w:rPr>
        <w:t>N</w:t>
      </w:r>
      <w:r w:rsidRPr="00557062">
        <w:rPr>
          <w:color w:val="000000" w:themeColor="text1"/>
        </w:rPr>
        <w:t xml:space="preserve"> fields for orange glasses and fall well beneath the yellow, red, and black glass fields.</w:t>
      </w:r>
    </w:p>
    <w:p w14:paraId="3D4EFF29" w14:textId="77777777" w:rsidR="00945203" w:rsidRPr="00557062" w:rsidRDefault="00945203" w:rsidP="00945203">
      <w:pPr>
        <w:pStyle w:val="Heading4"/>
      </w:pPr>
      <w:bookmarkStart w:id="332" w:name="_Toc183536605"/>
      <w:bookmarkStart w:id="333" w:name="_Toc184727409"/>
      <w:bookmarkStart w:id="334" w:name="_Toc185325656"/>
      <w:r w:rsidRPr="00557062">
        <w:t>Garnet-Bearing IBC</w:t>
      </w:r>
      <w:bookmarkEnd w:id="332"/>
      <w:bookmarkEnd w:id="333"/>
      <w:bookmarkEnd w:id="334"/>
      <w:r w:rsidRPr="00557062">
        <w:t xml:space="preserve"> </w:t>
      </w:r>
    </w:p>
    <w:p w14:paraId="00325F96" w14:textId="77777777" w:rsidR="00E51F78" w:rsidRDefault="00945203" w:rsidP="00945203">
      <w:pPr>
        <w:spacing w:line="480" w:lineRule="auto"/>
        <w:ind w:firstLine="720"/>
        <w:rPr>
          <w:color w:val="000000" w:themeColor="text1"/>
        </w:rPr>
      </w:pPr>
      <w:r w:rsidRPr="00557062">
        <w:rPr>
          <w:color w:val="000000" w:themeColor="text1"/>
        </w:rPr>
        <w:t>Scenario #5 tests mantle sources hybridized by partial melts of garnet-bearing IBC containing 0.25% to 2.5% garnet. These sources produce similar trace element patterns as garnet-bearing sources hybridized by partial melts from a garnet-free IBC (Scenario #2) (</w:t>
      </w:r>
      <w:r w:rsidRPr="004F6B51">
        <w:rPr>
          <w:b/>
          <w:bCs/>
          <w:color w:val="000000" w:themeColor="text1"/>
        </w:rPr>
        <w:t>Figure 2.10</w:t>
      </w:r>
      <w:r w:rsidRPr="00557062">
        <w:rPr>
          <w:color w:val="000000" w:themeColor="text1"/>
        </w:rPr>
        <w:t>). Scenario #5 hybridized source melts overlap with the fields of some yellow, red, and black glasses and the least HREE-depleted orange glasses in (Yb/Sm)</w:t>
      </w:r>
      <w:r w:rsidRPr="00557062">
        <w:rPr>
          <w:color w:val="000000" w:themeColor="text1"/>
          <w:vertAlign w:val="subscript"/>
        </w:rPr>
        <w:t>N</w:t>
      </w:r>
      <w:r w:rsidRPr="00557062">
        <w:rPr>
          <w:color w:val="000000" w:themeColor="text1"/>
        </w:rPr>
        <w:t>-(Ce/Sm)</w:t>
      </w:r>
      <w:r w:rsidRPr="00557062">
        <w:rPr>
          <w:color w:val="000000" w:themeColor="text1"/>
          <w:vertAlign w:val="subscript"/>
        </w:rPr>
        <w:t>N</w:t>
      </w:r>
      <w:r w:rsidRPr="00557062">
        <w:rPr>
          <w:color w:val="000000" w:themeColor="text1"/>
        </w:rPr>
        <w:t xml:space="preserve"> space if the abundance of garnet in the IBC falls between 0.25% and 1% (</w:t>
      </w:r>
      <w:r w:rsidRPr="004F6B51">
        <w:rPr>
          <w:b/>
          <w:bCs/>
          <w:color w:val="000000" w:themeColor="text1"/>
        </w:rPr>
        <w:t>Figure 2.10b</w:t>
      </w:r>
      <w:r w:rsidRPr="00557062">
        <w:rPr>
          <w:color w:val="000000" w:themeColor="text1"/>
        </w:rPr>
        <w:t>). The most HREE-depleted orange glasses would require 1% to 2.5% garnet in both (Yb/Sm)</w:t>
      </w:r>
      <w:r w:rsidRPr="00557062">
        <w:rPr>
          <w:color w:val="000000" w:themeColor="text1"/>
          <w:vertAlign w:val="subscript"/>
        </w:rPr>
        <w:t>N</w:t>
      </w:r>
      <w:r w:rsidRPr="00557062">
        <w:rPr>
          <w:color w:val="000000" w:themeColor="text1"/>
        </w:rPr>
        <w:t>-(Ce/Sm)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-(Sm/Nd)</w:t>
      </w:r>
      <w:r w:rsidRPr="00557062">
        <w:rPr>
          <w:color w:val="000000" w:themeColor="text1"/>
          <w:vertAlign w:val="subscript"/>
        </w:rPr>
        <w:t>N</w:t>
      </w:r>
      <w:r w:rsidRPr="00557062">
        <w:rPr>
          <w:color w:val="000000" w:themeColor="text1"/>
        </w:rPr>
        <w:t xml:space="preserve"> space (</w:t>
      </w:r>
      <w:r w:rsidRPr="004F6B51">
        <w:rPr>
          <w:b/>
          <w:bCs/>
          <w:color w:val="000000" w:themeColor="text1"/>
        </w:rPr>
        <w:t>Figure 2.10c</w:t>
      </w:r>
      <w:r w:rsidRPr="00557062">
        <w:rPr>
          <w:color w:val="000000" w:themeColor="text1"/>
        </w:rPr>
        <w:t>).</w:t>
      </w:r>
    </w:p>
    <w:p w14:paraId="68BE671C" w14:textId="77777777" w:rsidR="00E51F78" w:rsidRDefault="00E51F78" w:rsidP="00945203">
      <w:pPr>
        <w:spacing w:line="480" w:lineRule="auto"/>
        <w:ind w:firstLine="720"/>
        <w:rPr>
          <w:color w:val="000000" w:themeColor="text1"/>
        </w:rPr>
      </w:pPr>
    </w:p>
    <w:p w14:paraId="1A9F90A7" w14:textId="2789B3AB" w:rsidR="00945203" w:rsidRPr="004F6B51" w:rsidRDefault="00945203" w:rsidP="00945203">
      <w:pPr>
        <w:spacing w:line="480" w:lineRule="auto"/>
        <w:ind w:firstLine="720"/>
        <w:rPr>
          <w:color w:val="000000" w:themeColor="text1"/>
        </w:rPr>
      </w:pPr>
      <w:r w:rsidRPr="00557062">
        <w:rPr>
          <w:color w:val="000000" w:themeColor="text1"/>
        </w:rPr>
        <w:t xml:space="preserve"> </w:t>
      </w:r>
    </w:p>
    <w:p w14:paraId="767D1874" w14:textId="77777777" w:rsidR="00945203" w:rsidRPr="00557062" w:rsidRDefault="00945203" w:rsidP="00945203">
      <w:pPr>
        <w:pStyle w:val="Heading4"/>
      </w:pPr>
      <w:bookmarkStart w:id="335" w:name="_Toc183536606"/>
      <w:bookmarkStart w:id="336" w:name="_Toc184727410"/>
      <w:bookmarkStart w:id="337" w:name="_Toc185325657"/>
      <w:r w:rsidRPr="00557062">
        <w:lastRenderedPageBreak/>
        <w:t>Summary of Partial Melting Models Assuming No Late Cumulate Mixing (Scenarios #1-#5)</w:t>
      </w:r>
      <w:bookmarkEnd w:id="335"/>
      <w:bookmarkEnd w:id="336"/>
      <w:bookmarkEnd w:id="337"/>
    </w:p>
    <w:p w14:paraId="3820066A" w14:textId="77777777" w:rsidR="00945203" w:rsidRPr="00557062" w:rsidRDefault="00945203" w:rsidP="00945203">
      <w:pPr>
        <w:spacing w:line="480" w:lineRule="auto"/>
        <w:ind w:firstLine="720"/>
        <w:rPr>
          <w:color w:val="000000" w:themeColor="text1"/>
        </w:rPr>
      </w:pPr>
      <w:r w:rsidRPr="00557062">
        <w:rPr>
          <w:color w:val="000000" w:themeColor="text1"/>
        </w:rPr>
        <w:t>The hybridization and partial melting models presented above demonstrate that the compositions of yellow, orange, red, and black lunar picritic glasses cannot all be explained by the same hybridization scenario. Regardless of the physical state of the IBC components contributing to the hybridized source (i.e., molten or solid), the yellow, red, and black lunar picritic glasses are fit best by models that assume garnet-free IBC and garnet-free hybridized sources (Scenarios #1 and #3) (</w:t>
      </w:r>
      <w:r w:rsidRPr="005C7D96">
        <w:rPr>
          <w:b/>
          <w:bCs/>
          <w:color w:val="000000" w:themeColor="text1"/>
        </w:rPr>
        <w:t>Figures 2.8b-c and 2.9b-c</w:t>
      </w:r>
      <w:r w:rsidRPr="00557062">
        <w:rPr>
          <w:color w:val="000000" w:themeColor="text1"/>
        </w:rPr>
        <w:t>). The yellow and black glass data are also consistent with progressive melting of a hybridized garnet-free source at extents of melting of 1% to 10%. These scenarios demonstrate that the (Yb/Sm)</w:t>
      </w:r>
      <w:r w:rsidRPr="00557062">
        <w:rPr>
          <w:color w:val="000000" w:themeColor="text1"/>
          <w:vertAlign w:val="subscript"/>
        </w:rPr>
        <w:t>N</w:t>
      </w:r>
      <w:r w:rsidRPr="00557062">
        <w:rPr>
          <w:color w:val="000000" w:themeColor="text1"/>
        </w:rPr>
        <w:t>-(Ce/Sm)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-(Sm/Nd)</w:t>
      </w:r>
      <w:r w:rsidRPr="00557062">
        <w:rPr>
          <w:color w:val="000000" w:themeColor="text1"/>
          <w:vertAlign w:val="subscript"/>
        </w:rPr>
        <w:t>N</w:t>
      </w:r>
      <w:r w:rsidRPr="00557062">
        <w:rPr>
          <w:color w:val="000000" w:themeColor="text1"/>
        </w:rPr>
        <w:t xml:space="preserve"> chemical variation among yellow, red, and black glass data could be related to variations in the proportion of EMOC and IBC material in their respective hybridized sources.</w:t>
      </w:r>
    </w:p>
    <w:p w14:paraId="20F18294" w14:textId="6B868A0A" w:rsidR="00EC5596" w:rsidRPr="00E51F78" w:rsidRDefault="00945203" w:rsidP="00E51F78">
      <w:pPr>
        <w:spacing w:line="480" w:lineRule="auto"/>
        <w:ind w:firstLine="720"/>
        <w:rPr>
          <w:color w:val="000000" w:themeColor="text1"/>
        </w:rPr>
      </w:pPr>
      <w:r w:rsidRPr="00557062">
        <w:rPr>
          <w:color w:val="000000" w:themeColor="text1"/>
        </w:rPr>
        <w:t>In contrast to the yellow, red, and black glasses, none of the orange glass (Lu/Hf)</w:t>
      </w:r>
      <w:r w:rsidRPr="00557062">
        <w:rPr>
          <w:color w:val="000000" w:themeColor="text1"/>
          <w:vertAlign w:val="subscript"/>
        </w:rPr>
        <w:t>N</w:t>
      </w:r>
      <w:r w:rsidRPr="00557062">
        <w:rPr>
          <w:color w:val="000000" w:themeColor="text1"/>
        </w:rPr>
        <w:t xml:space="preserve"> and (Sm/Nd)</w:t>
      </w:r>
      <w:r w:rsidRPr="00557062">
        <w:rPr>
          <w:color w:val="000000" w:themeColor="text1"/>
          <w:vertAlign w:val="subscript"/>
        </w:rPr>
        <w:t>N</w:t>
      </w:r>
      <w:r w:rsidRPr="00557062">
        <w:rPr>
          <w:color w:val="000000" w:themeColor="text1"/>
        </w:rPr>
        <w:t xml:space="preserve"> ratios are consistent with melting trends produced by garnet-free source scenarios. The most HREE-depleted orange glass data are better fit by Scenarios #2 and #4 where 0.25-2.5% garnet is in their source (</w:t>
      </w:r>
      <w:r w:rsidRPr="00E8443A">
        <w:rPr>
          <w:b/>
          <w:bCs/>
          <w:color w:val="000000" w:themeColor="text1"/>
        </w:rPr>
        <w:t>Figures 2.8e-f and 2.9e-f</w:t>
      </w:r>
      <w:r w:rsidRPr="00557062">
        <w:rPr>
          <w:color w:val="000000" w:themeColor="text1"/>
        </w:rPr>
        <w:t>), or where garnet was a stable phase in the downwelling IBC that melted and hybridized the deep EMOC material (Scenario #5) (</w:t>
      </w:r>
      <w:r w:rsidRPr="00ED39AB">
        <w:rPr>
          <w:b/>
          <w:bCs/>
          <w:color w:val="000000" w:themeColor="text1"/>
        </w:rPr>
        <w:t>Figures 2.10b-c</w:t>
      </w:r>
      <w:r w:rsidRPr="00557062">
        <w:rPr>
          <w:color w:val="000000" w:themeColor="text1"/>
        </w:rPr>
        <w:t xml:space="preserve">). Thus, the models indicate that garnet is required to explain the orange picritic glass data; however, the location of the garnet (i.e., the hybridized source or the downwelling IBC material) is not revealed by the melting models. </w:t>
      </w:r>
      <w:r w:rsidR="00163A3B">
        <w:br w:type="page"/>
      </w:r>
    </w:p>
    <w:p w14:paraId="70EBB4A8" w14:textId="77777777" w:rsidR="00945203" w:rsidRPr="00557062" w:rsidRDefault="00945203" w:rsidP="00945203">
      <w:pPr>
        <w:pStyle w:val="FigureCaption"/>
      </w:pPr>
      <w:bookmarkStart w:id="338" w:name="_Toc182944870"/>
      <w:bookmarkStart w:id="339" w:name="_Toc183019417"/>
      <w:bookmarkStart w:id="340" w:name="_Toc185263427"/>
      <w:r w:rsidRPr="004C248F">
        <w:rPr>
          <w:b/>
          <w:bCs/>
        </w:rPr>
        <w:lastRenderedPageBreak/>
        <w:t>Figure 2.10.</w:t>
      </w:r>
      <w:r w:rsidRPr="00557062">
        <w:t xml:space="preserve"> </w:t>
      </w:r>
      <w:r w:rsidRPr="002458F8">
        <w:t>Partial melting models for garnet-free hybridized sources that were hybridized by partial melts from a garnet-bearing IBC prior to subsequent melting. Panel (a) shows the mixing end member, mineralogy, and mixing mechanism assumptions for Scenario #5 (Table 2.4). Wavy arrows between the IBC and the hybrid source indicate that partial melts interact and mix with EMOC material to form the hybridized source. Panels (b) and (c) show the trend of melts produced by partial melting of a garnet-bearing hybridized mantle source. For these models, the modal abundance of IBC-hosted garnet varies between 0.25% and 5% to demonstrate the effects of garnet abundance on the garnet-free hybridized source and partial melts generated by that source. Stars represent the initial composition of the hybridized source. Black percentages represent the percentage of melting. (Lu/Hf)</w:t>
      </w:r>
      <w:r w:rsidRPr="002458F8">
        <w:rPr>
          <w:vertAlign w:val="subscript"/>
        </w:rPr>
        <w:t>N</w:t>
      </w:r>
      <w:r w:rsidRPr="002458F8">
        <w:t xml:space="preserve"> and (Sm/Nd)</w:t>
      </w:r>
      <w:r w:rsidRPr="002458F8">
        <w:rPr>
          <w:vertAlign w:val="subscript"/>
        </w:rPr>
        <w:t>N</w:t>
      </w:r>
      <w:r w:rsidRPr="002458F8">
        <w:t xml:space="preserve"> are chondrite normalized ratios. References for lunar sample compositions can be found in the caption to Figure 2.2. Low-Ti picritic glasses: VLT glass &amp; green glass groups. These models demonstrate that a garnet-bearing IBC could undergo partial melting before source hybridization and still generate the trace element patterns of lunar orange glasses. Whether garnet is a stable phase in the source or the downwelling cumulates, the trace element effects produced are nearly identical when considering secondary melt products (i.e., basalts and picritic glasses), as long as garnet was present.</w:t>
      </w:r>
      <w:bookmarkEnd w:id="338"/>
      <w:bookmarkEnd w:id="339"/>
      <w:bookmarkEnd w:id="340"/>
    </w:p>
    <w:p w14:paraId="729C4ABA" w14:textId="77777777" w:rsidR="00945203" w:rsidRDefault="00945203">
      <w:pPr>
        <w:rPr>
          <w:color w:val="000000" w:themeColor="text1"/>
        </w:rPr>
      </w:pPr>
      <w:r>
        <w:rPr>
          <w:color w:val="000000" w:themeColor="text1"/>
        </w:rPr>
        <w:br w:type="page"/>
      </w:r>
    </w:p>
    <w:p w14:paraId="7E223360" w14:textId="344FC098" w:rsidR="00EC5596" w:rsidRDefault="00EC5596" w:rsidP="0006151D">
      <w:pPr>
        <w:jc w:val="center"/>
        <w:rPr>
          <w:color w:val="000000" w:themeColor="text1"/>
        </w:rPr>
      </w:pPr>
      <w:r>
        <w:rPr>
          <w:noProof/>
          <w:color w:val="000000" w:themeColor="text1"/>
        </w:rPr>
        <w:lastRenderedPageBreak/>
        <w:drawing>
          <wp:inline distT="0" distB="0" distL="0" distR="0" wp14:anchorId="3CAAF965" wp14:editId="7CD8E96A">
            <wp:extent cx="3837117" cy="7666892"/>
            <wp:effectExtent l="0" t="0" r="0" b="4445"/>
            <wp:docPr id="1413942093" name="Picture 51" descr="A diagram of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942093" name="Picture 51" descr="A diagram of a hat&#10;&#10;Description automatically generated"/>
                    <pic:cNvPicPr/>
                  </pic:nvPicPr>
                  <pic:blipFill>
                    <a:blip r:embed="rId200" cstate="print">
                      <a:extLst>
                        <a:ext uri="{28A0092B-C50C-407E-A947-70E740481C1C}">
                          <a14:useLocalDpi xmlns:a14="http://schemas.microsoft.com/office/drawing/2010/main" val="0"/>
                        </a:ext>
                      </a:extLst>
                    </a:blip>
                    <a:stretch>
                      <a:fillRect/>
                    </a:stretch>
                  </pic:blipFill>
                  <pic:spPr>
                    <a:xfrm>
                      <a:off x="0" y="0"/>
                      <a:ext cx="3852370" cy="7697368"/>
                    </a:xfrm>
                    <a:prstGeom prst="rect">
                      <a:avLst/>
                    </a:prstGeom>
                  </pic:spPr>
                </pic:pic>
              </a:graphicData>
            </a:graphic>
          </wp:inline>
        </w:drawing>
      </w:r>
    </w:p>
    <w:p w14:paraId="6FC908D7" w14:textId="11F499F9" w:rsidR="002B7369" w:rsidRPr="00945203" w:rsidRDefault="00EC5596" w:rsidP="00945203">
      <w:pPr>
        <w:rPr>
          <w:color w:val="000000" w:themeColor="text1"/>
        </w:rPr>
      </w:pPr>
      <w:r>
        <w:rPr>
          <w:color w:val="000000" w:themeColor="text1"/>
        </w:rPr>
        <w:br w:type="page"/>
      </w:r>
    </w:p>
    <w:p w14:paraId="6A9AC1DF" w14:textId="77777777" w:rsidR="009F4042" w:rsidRPr="00557062" w:rsidRDefault="009F4042" w:rsidP="006E67B1">
      <w:pPr>
        <w:pStyle w:val="Heading3"/>
      </w:pPr>
      <w:bookmarkStart w:id="341" w:name="_Toc182995485"/>
      <w:bookmarkStart w:id="342" w:name="_Toc183536607"/>
      <w:bookmarkStart w:id="343" w:name="_Toc184727411"/>
      <w:bookmarkStart w:id="344" w:name="_Toc185325658"/>
      <w:r w:rsidRPr="00ED39AB">
        <w:rPr>
          <w:rFonts w:eastAsiaTheme="majorEastAsia"/>
        </w:rPr>
        <w:lastRenderedPageBreak/>
        <w:t>Early Mixing During LMO Solidification</w:t>
      </w:r>
      <w:bookmarkEnd w:id="341"/>
      <w:bookmarkEnd w:id="342"/>
      <w:bookmarkEnd w:id="343"/>
      <w:bookmarkEnd w:id="344"/>
    </w:p>
    <w:p w14:paraId="1006A954" w14:textId="4E0C775B" w:rsidR="009F4042" w:rsidRDefault="009F4042" w:rsidP="009F4042">
      <w:pPr>
        <w:spacing w:line="480" w:lineRule="auto"/>
        <w:ind w:firstLine="720"/>
        <w:rPr>
          <w:color w:val="000000" w:themeColor="text1"/>
        </w:rPr>
      </w:pPr>
      <w:r w:rsidRPr="00557062">
        <w:rPr>
          <w:color w:val="000000" w:themeColor="text1"/>
        </w:rPr>
        <w:t>Previous studies hypothesized that late LMO cumulate sinking occurred while magma ocean solidification was active, forming a thickened IBC layer before a larger-scale overturn event that transported the IBC material to the lower lunar mantle (Hess and Parmentier, 1995; Parmentier et al., 2002; Li et al., 2019). If the LMO initially extended from the CMB to the lunar surface, and small-scale mixing events occurred, forming a thickened IBC layer of ~100 km, this would imply that the IBC material would consist of cumulates that precipitated between 88% to ~100% LMO solidification. This thickened IBC would have lower overall REE and Hf abundances and higher (Yb/Sm)N and (Lu/Hf)N ratios (</w:t>
      </w:r>
      <w:r w:rsidRPr="00236A15">
        <w:rPr>
          <w:b/>
          <w:bCs/>
          <w:color w:val="000000" w:themeColor="text1"/>
        </w:rPr>
        <w:t>Table 2.3</w:t>
      </w:r>
      <w:r w:rsidRPr="00557062">
        <w:rPr>
          <w:color w:val="000000" w:themeColor="text1"/>
        </w:rPr>
        <w:t xml:space="preserve">; </w:t>
      </w:r>
      <w:r w:rsidRPr="00236A15">
        <w:rPr>
          <w:b/>
          <w:bCs/>
          <w:color w:val="000000" w:themeColor="text1"/>
        </w:rPr>
        <w:t>Figure 2.11</w:t>
      </w:r>
      <w:r w:rsidRPr="00557062">
        <w:rPr>
          <w:color w:val="000000" w:themeColor="text1"/>
        </w:rPr>
        <w:t>) and a higher Mg# than the thin IBC (</w:t>
      </w:r>
      <w:r w:rsidRPr="00236A15">
        <w:rPr>
          <w:b/>
          <w:bCs/>
          <w:color w:val="000000" w:themeColor="text1"/>
        </w:rPr>
        <w:t>Table 2.5</w:t>
      </w:r>
      <w:r w:rsidRPr="00557062">
        <w:rPr>
          <w:color w:val="000000" w:themeColor="text1"/>
        </w:rPr>
        <w:t>).</w:t>
      </w:r>
    </w:p>
    <w:p w14:paraId="552E6ABD" w14:textId="77777777" w:rsidR="00945203" w:rsidRDefault="00E8443A" w:rsidP="005C5479">
      <w:pPr>
        <w:spacing w:line="480" w:lineRule="auto"/>
        <w:ind w:firstLine="720"/>
        <w:rPr>
          <w:color w:val="000000" w:themeColor="text1"/>
        </w:rPr>
      </w:pPr>
      <w:r w:rsidRPr="00557062">
        <w:rPr>
          <w:color w:val="000000" w:themeColor="text1"/>
        </w:rPr>
        <w:t xml:space="preserve">The lower minimum estimated mantle Mg#s of intermediate- and high-Ti lunar picritic glasses (e.g., 67.71 and 65.06 respectively) and higher estimated Mg# thickened IBC (~53) make it possible for melts of this thickened IBC to explain the Mg# of the intermediate- and high-Ti lunar picritic glasses. </w:t>
      </w:r>
      <w:r w:rsidRPr="00557062">
        <w:rPr>
          <w:bCs/>
          <w:color w:val="000000" w:themeColor="text1"/>
        </w:rPr>
        <w:t>This would require some amount of re-equilibration between the melts and displaced mafic mantle cumulates during their ascent to increase the Mg# (e.g., Klaver et al., 2023; Scholpp and Dygert, 2024</w:t>
      </w:r>
      <w:r>
        <w:rPr>
          <w:bCs/>
          <w:color w:val="000000" w:themeColor="text1"/>
        </w:rPr>
        <w:t>a</w:t>
      </w:r>
      <w:r w:rsidRPr="00557062">
        <w:rPr>
          <w:bCs/>
          <w:color w:val="000000" w:themeColor="text1"/>
        </w:rPr>
        <w:t>); however, this re-equilibration process would likely have an insignificant effect on the REE+Hf compositions of the melts due to their slow diffusivities (e.g., Cherniak and Liang, 2007; Cherniak, 2010) and high concentrations within the melts (</w:t>
      </w:r>
      <w:r w:rsidRPr="004C6A1D">
        <w:rPr>
          <w:b/>
          <w:color w:val="000000" w:themeColor="text1"/>
        </w:rPr>
        <w:t xml:space="preserve">Figure </w:t>
      </w:r>
      <w:r w:rsidR="004C6A1D" w:rsidRPr="004C6A1D">
        <w:rPr>
          <w:b/>
          <w:color w:val="000000" w:themeColor="text1"/>
        </w:rPr>
        <w:t>B</w:t>
      </w:r>
      <w:r w:rsidRPr="004C6A1D">
        <w:rPr>
          <w:b/>
          <w:color w:val="000000" w:themeColor="text1"/>
        </w:rPr>
        <w:t>7</w:t>
      </w:r>
      <w:r w:rsidRPr="00557062">
        <w:rPr>
          <w:bCs/>
          <w:color w:val="000000" w:themeColor="text1"/>
        </w:rPr>
        <w:t>).</w:t>
      </w:r>
      <w:r w:rsidRPr="00557062">
        <w:rPr>
          <w:color w:val="000000" w:themeColor="text1"/>
        </w:rPr>
        <w:t xml:space="preserve"> </w:t>
      </w:r>
    </w:p>
    <w:p w14:paraId="50F43A4F" w14:textId="77777777" w:rsidR="00945203" w:rsidRDefault="00945203">
      <w:pPr>
        <w:rPr>
          <w:color w:val="000000" w:themeColor="text1"/>
        </w:rPr>
      </w:pPr>
      <w:r>
        <w:rPr>
          <w:color w:val="000000" w:themeColor="text1"/>
        </w:rPr>
        <w:br w:type="page"/>
      </w:r>
    </w:p>
    <w:p w14:paraId="367253CF" w14:textId="77777777" w:rsidR="00945203" w:rsidRDefault="00945203" w:rsidP="00482FA5">
      <w:pPr>
        <w:pStyle w:val="FigureCaption"/>
      </w:pPr>
      <w:bookmarkStart w:id="345" w:name="_Toc182944871"/>
      <w:bookmarkStart w:id="346" w:name="_Toc183019418"/>
      <w:bookmarkStart w:id="347" w:name="_Toc185263428"/>
      <w:r w:rsidRPr="001C3FB6">
        <w:rPr>
          <w:b/>
          <w:bCs/>
        </w:rPr>
        <w:lastRenderedPageBreak/>
        <w:t>Figure 2.11.</w:t>
      </w:r>
      <w:r w:rsidRPr="00557062">
        <w:t xml:space="preserve"> </w:t>
      </w:r>
      <w:r w:rsidRPr="00325EAD">
        <w:t>Partial melting models for a hybridized source and IBC, assuming a thickened layer of IBC material did not experience melting during the hybridization process (i.e., solid-solid mechanical mixing) prior to subsequent melting. These models assume that the IBC material consists of cumulates that form between 88% and 100% LMO solidification due to small-scale overturn events during LMO solidification (e.g., Figure 2.1). Panel (a) shows the assumption for Scenario #6 (Table 2.4) that a thickened IBC never mixes with the EMOC material. Panels (b) and (c) show the trend of melts produced by partial melting of a thickened garnet-bearing IBC. For these models, the modal abundance of IBC-hosted garnet varies between 0% and 5%. The square represents the initial composition of the thickened IBC. Panel (d) shows the mixing end member, mineralogy, and mixing mechanism assumptions for the Scenario #7 (Table 2.4) hybridization process. Circling arrows between each endmember and the hybrid source indicate that mechanical mixing occurs without partial melting. Panels (e) and (f) show the trend of melts produced by partial melting of a garnet-bearing hybridized mantle source. For these models, the modal abundance of garnet in the hybridized source varies between 0.25% and 5% to demonstrate the effects of garnet abundance in the hybridized source and partial melts generated by that source. The star represents the initial composition of the hybridized source. Black percentages represent the percentage of melting. (Lu/Hf)</w:t>
      </w:r>
      <w:r w:rsidRPr="00325EAD">
        <w:rPr>
          <w:vertAlign w:val="subscript"/>
        </w:rPr>
        <w:t>N</w:t>
      </w:r>
      <w:r w:rsidRPr="00325EAD">
        <w:t xml:space="preserve"> and (Sm/Nd)</w:t>
      </w:r>
      <w:r w:rsidRPr="00325EAD">
        <w:rPr>
          <w:vertAlign w:val="subscript"/>
        </w:rPr>
        <w:t>N</w:t>
      </w:r>
      <w:r w:rsidRPr="00325EAD">
        <w:t xml:space="preserve"> are chondrite normalized ratios. References for lunar sample compositions can be found in Figure 2.2. Low-Ti picritic glasses: VLT glass &amp; green glass groups. These models demonstrate that a garnet-bearing hybridized mantle source would be required to explain the trace element patterns of all lunar picritic glasses if early cumulate mixing occurred during LMO solidification.</w:t>
      </w:r>
      <w:bookmarkEnd w:id="345"/>
      <w:bookmarkEnd w:id="346"/>
      <w:bookmarkEnd w:id="347"/>
    </w:p>
    <w:p w14:paraId="1189FAA7" w14:textId="018B8C26" w:rsidR="00945203" w:rsidRDefault="00945203">
      <w:r>
        <w:br w:type="page"/>
      </w:r>
    </w:p>
    <w:p w14:paraId="618C4CE5" w14:textId="6E2442AF" w:rsidR="00945203" w:rsidRDefault="00945203">
      <w:r>
        <w:rPr>
          <w:noProof/>
          <w:color w:val="000000" w:themeColor="text1"/>
        </w:rPr>
        <w:lastRenderedPageBreak/>
        <w:drawing>
          <wp:inline distT="0" distB="0" distL="0" distR="0" wp14:anchorId="001F2B3D" wp14:editId="1A6D7F48">
            <wp:extent cx="5486400" cy="5463540"/>
            <wp:effectExtent l="0" t="0" r="0" b="0"/>
            <wp:docPr id="259508089" name="Picture 52" descr="A collage of graphs and diagr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508089" name="Picture 52" descr="A collage of graphs and diagrams&#10;&#10;Description automatically generated"/>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5486400" cy="5463540"/>
                    </a:xfrm>
                    <a:prstGeom prst="rect">
                      <a:avLst/>
                    </a:prstGeom>
                  </pic:spPr>
                </pic:pic>
              </a:graphicData>
            </a:graphic>
          </wp:inline>
        </w:drawing>
      </w:r>
    </w:p>
    <w:p w14:paraId="3AFC7118" w14:textId="77777777" w:rsidR="00945203" w:rsidRDefault="00945203"/>
    <w:p w14:paraId="44455D5A" w14:textId="756190C9" w:rsidR="00945203" w:rsidRDefault="00945203">
      <w:pPr>
        <w:rPr>
          <w:color w:val="000000" w:themeColor="text1"/>
        </w:rPr>
      </w:pPr>
      <w:r>
        <w:rPr>
          <w:color w:val="000000" w:themeColor="text1"/>
        </w:rPr>
        <w:br w:type="page"/>
      </w:r>
    </w:p>
    <w:p w14:paraId="3138AC92" w14:textId="446DD306" w:rsidR="00E8443A" w:rsidRPr="00557062" w:rsidRDefault="00E8443A" w:rsidP="00945203">
      <w:pPr>
        <w:spacing w:line="480" w:lineRule="auto"/>
        <w:rPr>
          <w:color w:val="000000" w:themeColor="text1"/>
        </w:rPr>
      </w:pPr>
      <w:r w:rsidRPr="00557062">
        <w:rPr>
          <w:color w:val="000000" w:themeColor="text1"/>
        </w:rPr>
        <w:lastRenderedPageBreak/>
        <w:t>While it may be possible to explain the major element composition of intermediate- and high-Ti lunar picritic glasses with reactive re-equilibration during melt ascent, we propose that mantle hybridization is equally as likely to occur. Scenarios #6 and #7 explore REE and Hf fractionation produced by partial melting of a thickened IBC and partial melting of a source hybridized by this thickened IBC.</w:t>
      </w:r>
    </w:p>
    <w:p w14:paraId="664126C4" w14:textId="77777777" w:rsidR="00E8443A" w:rsidRPr="00557062" w:rsidRDefault="00E8443A" w:rsidP="005C5479">
      <w:pPr>
        <w:pStyle w:val="Heading4"/>
        <w:rPr>
          <w:rFonts w:eastAsiaTheme="majorEastAsia"/>
        </w:rPr>
      </w:pPr>
      <w:bookmarkStart w:id="348" w:name="_Toc183536608"/>
      <w:bookmarkStart w:id="349" w:name="_Toc184727412"/>
      <w:bookmarkStart w:id="350" w:name="_Toc185325659"/>
      <w:r w:rsidRPr="00557062">
        <w:rPr>
          <w:rFonts w:eastAsiaTheme="majorEastAsia"/>
        </w:rPr>
        <w:t>Partial Melting of a Thickened IBC</w:t>
      </w:r>
      <w:bookmarkEnd w:id="348"/>
      <w:bookmarkEnd w:id="349"/>
      <w:bookmarkEnd w:id="350"/>
    </w:p>
    <w:p w14:paraId="6C792336" w14:textId="69ACE59D" w:rsidR="00E8443A" w:rsidRPr="00557062" w:rsidRDefault="00E8443A" w:rsidP="005C5479">
      <w:pPr>
        <w:spacing w:line="480" w:lineRule="auto"/>
        <w:ind w:firstLine="720"/>
        <w:rPr>
          <w:color w:val="000000" w:themeColor="text1"/>
        </w:rPr>
      </w:pPr>
      <w:r w:rsidRPr="00557062">
        <w:rPr>
          <w:color w:val="000000" w:themeColor="text1"/>
        </w:rPr>
        <w:t>Scenario #6 tests the effect of partial melting on a thickened IBC.</w:t>
      </w:r>
      <w:r w:rsidRPr="00557062">
        <w:rPr>
          <w:b/>
          <w:color w:val="000000" w:themeColor="text1"/>
        </w:rPr>
        <w:t xml:space="preserve"> </w:t>
      </w:r>
      <w:r w:rsidRPr="00557062">
        <w:rPr>
          <w:color w:val="000000" w:themeColor="text1"/>
        </w:rPr>
        <w:t>The melts produced by (Scenario #6) fit the (Yb/Sm)</w:t>
      </w:r>
      <w:r w:rsidRPr="00557062">
        <w:rPr>
          <w:color w:val="000000" w:themeColor="text1"/>
          <w:vertAlign w:val="subscript"/>
        </w:rPr>
        <w:t>N</w:t>
      </w:r>
      <w:r w:rsidRPr="00557062">
        <w:rPr>
          <w:color w:val="000000" w:themeColor="text1"/>
        </w:rPr>
        <w:t>-(Ce/Sm)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-(Sm/Nd)</w:t>
      </w:r>
      <w:r w:rsidRPr="00557062">
        <w:rPr>
          <w:color w:val="000000" w:themeColor="text1"/>
          <w:vertAlign w:val="subscript"/>
        </w:rPr>
        <w:t>N</w:t>
      </w:r>
      <w:r w:rsidRPr="00557062">
        <w:rPr>
          <w:color w:val="000000" w:themeColor="text1"/>
        </w:rPr>
        <w:t xml:space="preserve"> trends of yellow, red, and black glasses remarkably well (</w:t>
      </w:r>
      <w:r w:rsidRPr="004C6A1D">
        <w:rPr>
          <w:b/>
          <w:bCs/>
          <w:color w:val="000000" w:themeColor="text1"/>
        </w:rPr>
        <w:t xml:space="preserve">Figure </w:t>
      </w:r>
      <w:r w:rsidR="004C6A1D" w:rsidRPr="004C6A1D">
        <w:rPr>
          <w:b/>
          <w:bCs/>
          <w:color w:val="000000" w:themeColor="text1"/>
        </w:rPr>
        <w:t>2.</w:t>
      </w:r>
      <w:r w:rsidRPr="004C6A1D">
        <w:rPr>
          <w:b/>
          <w:bCs/>
          <w:color w:val="000000" w:themeColor="text1"/>
        </w:rPr>
        <w:t>11a-c</w:t>
      </w:r>
      <w:r w:rsidRPr="00557062">
        <w:rPr>
          <w:color w:val="000000" w:themeColor="text1"/>
        </w:rPr>
        <w:t>) if the abundance of garnet in the thickened IBC falls between 0.25% and 1%. To explain the (Yb/Sm)</w:t>
      </w:r>
      <w:r w:rsidRPr="00557062">
        <w:rPr>
          <w:color w:val="000000" w:themeColor="text1"/>
          <w:vertAlign w:val="subscript"/>
        </w:rPr>
        <w:t>N</w:t>
      </w:r>
      <w:r w:rsidRPr="00557062">
        <w:rPr>
          <w:color w:val="000000" w:themeColor="text1"/>
        </w:rPr>
        <w:t>-(Ce/Sm)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-(Sm/Nd)</w:t>
      </w:r>
      <w:r w:rsidRPr="00557062">
        <w:rPr>
          <w:color w:val="000000" w:themeColor="text1"/>
          <w:vertAlign w:val="subscript"/>
        </w:rPr>
        <w:t>N</w:t>
      </w:r>
      <w:r w:rsidRPr="00557062">
        <w:rPr>
          <w:color w:val="000000" w:themeColor="text1"/>
        </w:rPr>
        <w:t xml:space="preserve"> trends of most orange picritic glasses, 1-5% garnet would be required. The absence of garnet pushes the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above the trends of yellow, red, and black glasses, indicating garnet would likely be required if a thickened IBC was the source of intermediate- and high-Ti lunar picritic glasses.</w:t>
      </w:r>
    </w:p>
    <w:p w14:paraId="6B35579D" w14:textId="77777777" w:rsidR="005C5479" w:rsidRPr="00557062" w:rsidRDefault="005C5479" w:rsidP="005C5479">
      <w:pPr>
        <w:pStyle w:val="Heading4"/>
      </w:pPr>
      <w:bookmarkStart w:id="351" w:name="_Toc183536609"/>
      <w:bookmarkStart w:id="352" w:name="_Toc184727413"/>
      <w:bookmarkStart w:id="353" w:name="_Toc185325660"/>
      <w:r w:rsidRPr="00557062">
        <w:t>Partial Melting Source Hybridized by a Thickened IBC</w:t>
      </w:r>
      <w:bookmarkEnd w:id="351"/>
      <w:bookmarkEnd w:id="352"/>
      <w:bookmarkEnd w:id="353"/>
    </w:p>
    <w:p w14:paraId="786EFF65" w14:textId="548CBA2D" w:rsidR="005C5479" w:rsidRPr="00557062" w:rsidRDefault="005C5479" w:rsidP="005C5479">
      <w:pPr>
        <w:spacing w:line="480" w:lineRule="auto"/>
        <w:ind w:firstLine="720"/>
        <w:rPr>
          <w:color w:val="000000" w:themeColor="text1"/>
        </w:rPr>
      </w:pPr>
      <w:r w:rsidRPr="00557062">
        <w:rPr>
          <w:color w:val="000000" w:themeColor="text1"/>
        </w:rPr>
        <w:t>Scenario #7 investigates the effect of partial melting on a source hybridized by a thickened IBC. Due to the lower overall REE and Hf abundances of the thickened IBC (</w:t>
      </w:r>
      <w:r w:rsidRPr="005C5479">
        <w:rPr>
          <w:b/>
          <w:bCs/>
          <w:color w:val="000000" w:themeColor="text1"/>
        </w:rPr>
        <w:t>Table 2.3</w:t>
      </w:r>
      <w:r w:rsidRPr="00557062">
        <w:rPr>
          <w:color w:val="000000" w:themeColor="text1"/>
        </w:rPr>
        <w:t xml:space="preserve">), hybridized sources that formed in scenarios that invoke thickened IBC layers would also have to contain more thickened IBC material (i.e., 40-60% based on iterative models) to account for the overall REE and Hf abundances of the intermediate- and high-Ti picritic melts. For Scenario #7, we assume that the hybridized source represents a simple mechanical mixture of 55% EMOC and 45% IBC and uses the same modal </w:t>
      </w:r>
      <w:r w:rsidRPr="00557062">
        <w:rPr>
          <w:color w:val="000000" w:themeColor="text1"/>
        </w:rPr>
        <w:lastRenderedPageBreak/>
        <w:t>mineralogy from the previous models of garnet-free and garnet-bearing hybridized sources (</w:t>
      </w:r>
      <w:r w:rsidRPr="005C5479">
        <w:rPr>
          <w:b/>
          <w:bCs/>
          <w:color w:val="000000" w:themeColor="text1"/>
        </w:rPr>
        <w:t>Table 2.7</w:t>
      </w:r>
      <w:r w:rsidRPr="00557062">
        <w:rPr>
          <w:color w:val="000000" w:themeColor="text1"/>
        </w:rPr>
        <w:t xml:space="preserve">). </w:t>
      </w:r>
    </w:p>
    <w:p w14:paraId="5FFFE06D" w14:textId="139B4A67" w:rsidR="005C5479" w:rsidRPr="00557062" w:rsidRDefault="005C5479" w:rsidP="00FA40CF">
      <w:pPr>
        <w:spacing w:line="480" w:lineRule="auto"/>
        <w:ind w:firstLine="720"/>
        <w:rPr>
          <w:color w:val="000000" w:themeColor="text1"/>
        </w:rPr>
      </w:pPr>
      <w:r w:rsidRPr="00557062">
        <w:rPr>
          <w:color w:val="000000" w:themeColor="text1"/>
        </w:rPr>
        <w:t>In this scenario (i.e., Scenario #7), the hybridized source would have to contain ~5% garnet to account for the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of the most HREE depleted lunar orange glasses (</w:t>
      </w:r>
      <w:r w:rsidRPr="005C5479">
        <w:rPr>
          <w:b/>
          <w:bCs/>
          <w:color w:val="000000" w:themeColor="text1"/>
        </w:rPr>
        <w:t>Figure 2.11a-c</w:t>
      </w:r>
      <w:r w:rsidRPr="00557062">
        <w:rPr>
          <w:color w:val="000000" w:themeColor="text1"/>
        </w:rPr>
        <w:t>). In addition, the models indicate that &gt;0.5% garnet would be required to account for the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of yellow, red, and black picritic glasses. Thus, if pre-overturn mixing occurred and a hybridized source formed, garnet must be present in the hybridized mantle source to generate trace element trends of all intermediate to high-Ti lunar picritic glasses.</w:t>
      </w:r>
    </w:p>
    <w:p w14:paraId="76519427" w14:textId="77777777" w:rsidR="005C5479" w:rsidRPr="00557062" w:rsidRDefault="005C5479" w:rsidP="00FA40CF">
      <w:pPr>
        <w:pStyle w:val="Heading4"/>
      </w:pPr>
      <w:bookmarkStart w:id="354" w:name="_Toc183536610"/>
      <w:bookmarkStart w:id="355" w:name="_Toc184727414"/>
      <w:bookmarkStart w:id="356" w:name="_Toc185325661"/>
      <w:r w:rsidRPr="00557062">
        <w:t>Summary of Partial Melting Models Assuming Late Cumulate Mixing Occurred (Scenarios #6-#7)</w:t>
      </w:r>
      <w:bookmarkEnd w:id="354"/>
      <w:bookmarkEnd w:id="355"/>
      <w:bookmarkEnd w:id="356"/>
    </w:p>
    <w:p w14:paraId="4AA7EAFF" w14:textId="53450DF7" w:rsidR="005C5479" w:rsidRPr="00557062" w:rsidRDefault="005C5479" w:rsidP="00D86119">
      <w:pPr>
        <w:spacing w:line="480" w:lineRule="auto"/>
        <w:ind w:firstLine="720"/>
        <w:rPr>
          <w:color w:val="000000" w:themeColor="text1"/>
        </w:rPr>
      </w:pPr>
      <w:r w:rsidRPr="00557062">
        <w:rPr>
          <w:color w:val="000000" w:themeColor="text1"/>
        </w:rPr>
        <w:t>The pre-overturn mixing process would have a significant effect on the overall composition of the IBC, most notably the requirement for residual garnet in the mantle source to explain the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of most intermediate to high-Ti lunar picritic glasses with and without hybridization. If mantle hybridization occurred, hybridized sources would have to contain 2-3x more IBC material than models that lack late cumulate mixing to account for the overall REE and Hf abundances of intermediate to high-Ti lunar picritic melts. It should also be noted that the amount of garnet required in the lunar mantle to explain the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of lunar orange picritic glasses roughly doubles in Scenarios #6 and #7 (</w:t>
      </w:r>
      <w:r w:rsidRPr="008954C4">
        <w:rPr>
          <w:b/>
          <w:bCs/>
          <w:color w:val="000000" w:themeColor="text1"/>
        </w:rPr>
        <w:t xml:space="preserve">Figure </w:t>
      </w:r>
      <w:r w:rsidR="008954C4" w:rsidRPr="008954C4">
        <w:rPr>
          <w:b/>
          <w:bCs/>
          <w:color w:val="000000" w:themeColor="text1"/>
        </w:rPr>
        <w:t>2.</w:t>
      </w:r>
      <w:r w:rsidRPr="008954C4">
        <w:rPr>
          <w:b/>
          <w:bCs/>
          <w:color w:val="000000" w:themeColor="text1"/>
        </w:rPr>
        <w:t>11a-c</w:t>
      </w:r>
      <w:r w:rsidRPr="00557062">
        <w:rPr>
          <w:color w:val="000000" w:themeColor="text1"/>
        </w:rPr>
        <w:t>). Although this is generally consistent with thermodynamic models for the mineralogy of an IBC cumulate that experienced late cumulate mixing (</w:t>
      </w:r>
      <w:r w:rsidRPr="008954C4">
        <w:rPr>
          <w:b/>
          <w:bCs/>
          <w:color w:val="000000" w:themeColor="text1"/>
        </w:rPr>
        <w:t xml:space="preserve">Figure </w:t>
      </w:r>
      <w:r w:rsidR="008954C4" w:rsidRPr="008954C4">
        <w:rPr>
          <w:b/>
          <w:bCs/>
          <w:color w:val="000000" w:themeColor="text1"/>
        </w:rPr>
        <w:t>2.</w:t>
      </w:r>
      <w:r w:rsidRPr="008954C4">
        <w:rPr>
          <w:b/>
          <w:bCs/>
          <w:color w:val="000000" w:themeColor="text1"/>
        </w:rPr>
        <w:t>6b</w:t>
      </w:r>
      <w:r w:rsidRPr="00557062">
        <w:rPr>
          <w:color w:val="000000" w:themeColor="text1"/>
        </w:rPr>
        <w:t xml:space="preserve">), the ~5% garnet requirement would </w:t>
      </w:r>
      <w:r w:rsidRPr="00557062">
        <w:rPr>
          <w:color w:val="000000" w:themeColor="text1"/>
        </w:rPr>
        <w:lastRenderedPageBreak/>
        <w:t>be significantly higher than thermodynamic modeling estimates for a corresponding hybridized source (</w:t>
      </w:r>
      <w:r w:rsidRPr="008954C4">
        <w:rPr>
          <w:b/>
          <w:bCs/>
          <w:color w:val="000000" w:themeColor="text1"/>
        </w:rPr>
        <w:t xml:space="preserve">Figure </w:t>
      </w:r>
      <w:r w:rsidR="008954C4" w:rsidRPr="008954C4">
        <w:rPr>
          <w:b/>
          <w:bCs/>
          <w:color w:val="000000" w:themeColor="text1"/>
        </w:rPr>
        <w:t>B</w:t>
      </w:r>
      <w:r w:rsidRPr="008954C4">
        <w:rPr>
          <w:b/>
          <w:bCs/>
          <w:color w:val="000000" w:themeColor="text1"/>
        </w:rPr>
        <w:t>8</w:t>
      </w:r>
      <w:r w:rsidRPr="00557062">
        <w:rPr>
          <w:color w:val="000000" w:themeColor="text1"/>
        </w:rPr>
        <w:t>).</w:t>
      </w:r>
    </w:p>
    <w:p w14:paraId="26EF256F" w14:textId="77777777" w:rsidR="005C5479" w:rsidRPr="00BA14A7" w:rsidRDefault="005C5479" w:rsidP="002F7368">
      <w:pPr>
        <w:pStyle w:val="Heading2"/>
      </w:pPr>
      <w:bookmarkStart w:id="357" w:name="_Toc182995486"/>
      <w:bookmarkStart w:id="358" w:name="_Toc183536611"/>
      <w:bookmarkStart w:id="359" w:name="_Toc184727415"/>
      <w:bookmarkStart w:id="360" w:name="_Toc185325662"/>
      <w:r w:rsidRPr="00BA14A7">
        <w:t xml:space="preserve">Parameters </w:t>
      </w:r>
      <w:r w:rsidRPr="00BA14A7">
        <w:rPr>
          <w:rStyle w:val="Heading3Char"/>
          <w:rFonts w:eastAsiaTheme="majorEastAsia"/>
          <w:b/>
          <w:bCs/>
          <w:iCs/>
          <w:szCs w:val="24"/>
        </w:rPr>
        <w:t>T</w:t>
      </w:r>
      <w:r w:rsidRPr="00BA14A7">
        <w:t>hat C</w:t>
      </w:r>
      <w:r w:rsidRPr="00BA14A7">
        <w:rPr>
          <w:rStyle w:val="Heading3Char"/>
          <w:rFonts w:eastAsiaTheme="majorEastAsia"/>
          <w:b/>
          <w:bCs/>
          <w:iCs/>
          <w:szCs w:val="24"/>
        </w:rPr>
        <w:t>ould</w:t>
      </w:r>
      <w:r w:rsidRPr="00BA14A7">
        <w:t xml:space="preserve"> Affect Model</w:t>
      </w:r>
      <w:r w:rsidRPr="00BA14A7">
        <w:rPr>
          <w:rStyle w:val="Heading3Char"/>
          <w:rFonts w:eastAsiaTheme="majorEastAsia"/>
          <w:b/>
          <w:bCs/>
          <w:iCs/>
          <w:szCs w:val="24"/>
        </w:rPr>
        <w:t xml:space="preserve"> Results</w:t>
      </w:r>
      <w:bookmarkEnd w:id="357"/>
      <w:bookmarkEnd w:id="358"/>
      <w:bookmarkEnd w:id="359"/>
      <w:bookmarkEnd w:id="360"/>
    </w:p>
    <w:p w14:paraId="3F7BE346" w14:textId="77777777" w:rsidR="005C5479" w:rsidRPr="00D86119" w:rsidRDefault="005C5479" w:rsidP="006E67B1">
      <w:pPr>
        <w:pStyle w:val="Heading3"/>
        <w:rPr>
          <w:rFonts w:eastAsiaTheme="majorEastAsia"/>
        </w:rPr>
      </w:pPr>
      <w:r w:rsidRPr="00D86119">
        <w:rPr>
          <w:rFonts w:eastAsiaTheme="majorEastAsia"/>
        </w:rPr>
        <w:t xml:space="preserve"> </w:t>
      </w:r>
      <w:bookmarkStart w:id="361" w:name="_Toc182995487"/>
      <w:bookmarkStart w:id="362" w:name="_Toc183536612"/>
      <w:bookmarkStart w:id="363" w:name="_Toc184727416"/>
      <w:bookmarkStart w:id="364" w:name="_Toc185325663"/>
      <w:r w:rsidRPr="00D86119">
        <w:rPr>
          <w:rFonts w:eastAsiaTheme="majorEastAsia"/>
        </w:rPr>
        <w:t>LMO Cumulate Mineralogy</w:t>
      </w:r>
      <w:bookmarkEnd w:id="361"/>
      <w:bookmarkEnd w:id="362"/>
      <w:bookmarkEnd w:id="363"/>
      <w:bookmarkEnd w:id="364"/>
    </w:p>
    <w:p w14:paraId="0ECAC701" w14:textId="1A7D9B8B" w:rsidR="005C5479" w:rsidRPr="00557062" w:rsidRDefault="005C5479" w:rsidP="00D86119">
      <w:pPr>
        <w:spacing w:line="480" w:lineRule="auto"/>
        <w:ind w:firstLine="720"/>
        <w:rPr>
          <w:color w:val="000000" w:themeColor="text1"/>
        </w:rPr>
      </w:pPr>
      <w:r w:rsidRPr="00557062">
        <w:rPr>
          <w:color w:val="000000" w:themeColor="text1"/>
        </w:rPr>
        <w:t>Geochemical evidence of garnet in the lunar mantle hinges on the HREE to LREE and HREE to Hf ratios of lunar samples. While garnet is called upon to explain the HREE depleted signatures of some lunar samples in previous studies (Beard et al., 1998; Neal, 2001; Draper et al., 2006), the mineralogy of the IBC material can notably affect these ratios as well. While studies of LMO solidification agree on the early crystallizing phases, these same studies often indicate the mineralogy and modal mineral proportions of late crystallizing cumulates could vary slightly (Snyder et al., 1992; Elardo et al., 2011; Elkins-Tanton et al., 2011; Lin et al., 2016, 2017; Charlier et al., 2018). Crystallization of the LMO generally results in progressive depletion of the (Lu/Hf)</w:t>
      </w:r>
      <w:r w:rsidRPr="00557062">
        <w:rPr>
          <w:color w:val="000000" w:themeColor="text1"/>
          <w:vertAlign w:val="subscript"/>
        </w:rPr>
        <w:t>N</w:t>
      </w:r>
      <w:r w:rsidRPr="00557062">
        <w:rPr>
          <w:color w:val="000000" w:themeColor="text1"/>
        </w:rPr>
        <w:t xml:space="preserve"> and (Yb/Sm)</w:t>
      </w:r>
      <w:r w:rsidRPr="00557062">
        <w:rPr>
          <w:color w:val="000000" w:themeColor="text1"/>
          <w:vertAlign w:val="subscript"/>
        </w:rPr>
        <w:t>N</w:t>
      </w:r>
      <w:r w:rsidRPr="00557062">
        <w:rPr>
          <w:color w:val="000000" w:themeColor="text1"/>
        </w:rPr>
        <w:t xml:space="preserve"> ratios in the residual magma ocean liquids (</w:t>
      </w:r>
      <w:r w:rsidRPr="00D86119">
        <w:rPr>
          <w:b/>
          <w:bCs/>
          <w:color w:val="000000" w:themeColor="text1"/>
        </w:rPr>
        <w:t xml:space="preserve">Figure </w:t>
      </w:r>
      <w:r w:rsidR="00D86119" w:rsidRPr="00D86119">
        <w:rPr>
          <w:b/>
          <w:bCs/>
          <w:color w:val="000000" w:themeColor="text1"/>
        </w:rPr>
        <w:t>2.</w:t>
      </w:r>
      <w:r w:rsidRPr="00D86119">
        <w:rPr>
          <w:b/>
          <w:bCs/>
          <w:color w:val="000000" w:themeColor="text1"/>
        </w:rPr>
        <w:t>3</w:t>
      </w:r>
      <w:r w:rsidRPr="00557062">
        <w:rPr>
          <w:color w:val="000000" w:themeColor="text1"/>
        </w:rPr>
        <w:t>). This progressive depletion in the residual LMO liquid results in a related depletion in the LMO cumulates. The chemical evolution of (Lu/Hf)N and (Yb/Sm)N ratios in LMO cumulates and residual liquids are primarily controlled by four late-crystallizing mineral phases: (1) Plag, (2) Cpx, (3) Ilm, (4) Apatite. Here we consider how differing proportions of these phases in the LMO solidification sequence would affect elemental fractionation in the LMO cumulates.</w:t>
      </w:r>
    </w:p>
    <w:p w14:paraId="14412B49" w14:textId="737809B8" w:rsidR="005C5479" w:rsidRPr="00557062" w:rsidRDefault="005C5479" w:rsidP="00D86119">
      <w:pPr>
        <w:spacing w:line="480" w:lineRule="auto"/>
        <w:ind w:firstLine="720"/>
        <w:rPr>
          <w:color w:val="000000" w:themeColor="text1"/>
        </w:rPr>
      </w:pPr>
      <w:r w:rsidRPr="00557062">
        <w:rPr>
          <w:color w:val="000000" w:themeColor="text1"/>
        </w:rPr>
        <w:t>Plagioclase and Cpx are relatively abundant, and the REE partitioning behavior of these minerals differs significantly from other common LMO cumulate phases (</w:t>
      </w:r>
      <w:r w:rsidRPr="00D86119">
        <w:rPr>
          <w:b/>
          <w:bCs/>
          <w:color w:val="000000" w:themeColor="text1"/>
        </w:rPr>
        <w:t xml:space="preserve">Table </w:t>
      </w:r>
      <w:r w:rsidR="00D86119" w:rsidRPr="00D86119">
        <w:rPr>
          <w:b/>
          <w:bCs/>
          <w:color w:val="000000" w:themeColor="text1"/>
        </w:rPr>
        <w:lastRenderedPageBreak/>
        <w:t>2.</w:t>
      </w:r>
      <w:r w:rsidRPr="00D86119">
        <w:rPr>
          <w:b/>
          <w:bCs/>
          <w:color w:val="000000" w:themeColor="text1"/>
        </w:rPr>
        <w:t>2</w:t>
      </w:r>
      <w:r w:rsidRPr="00557062">
        <w:rPr>
          <w:color w:val="000000" w:themeColor="text1"/>
        </w:rPr>
        <w:t>). The impact of these minerals on cumulate and residual liquid compositions is observable by the significant shift in cumulate (Lu/Hf)N and (Yb/Sm)N ratios around 80% LMO solidification (</w:t>
      </w:r>
      <w:r w:rsidRPr="00D86119">
        <w:rPr>
          <w:b/>
          <w:bCs/>
          <w:color w:val="000000" w:themeColor="text1"/>
        </w:rPr>
        <w:t xml:space="preserve">Figure </w:t>
      </w:r>
      <w:r w:rsidR="00D86119" w:rsidRPr="00D86119">
        <w:rPr>
          <w:b/>
          <w:bCs/>
          <w:color w:val="000000" w:themeColor="text1"/>
        </w:rPr>
        <w:t>2.</w:t>
      </w:r>
      <w:r w:rsidRPr="00D86119">
        <w:rPr>
          <w:b/>
          <w:bCs/>
          <w:color w:val="000000" w:themeColor="text1"/>
        </w:rPr>
        <w:t>3</w:t>
      </w:r>
      <w:r w:rsidRPr="00557062">
        <w:rPr>
          <w:color w:val="000000" w:themeColor="text1"/>
        </w:rPr>
        <w:t>). Plagioclase produces the most obvious difference in REE partitioning as LREE are more compatible than HREE, which differs from all other LMO cumulate minerals and would appear to have a significant impact on the (Yb/Sm)</w:t>
      </w:r>
      <w:r w:rsidRPr="00557062">
        <w:rPr>
          <w:color w:val="000000" w:themeColor="text1"/>
          <w:vertAlign w:val="subscript"/>
        </w:rPr>
        <w:t>N</w:t>
      </w:r>
      <w:r w:rsidRPr="00557062">
        <w:rPr>
          <w:color w:val="000000" w:themeColor="text1"/>
        </w:rPr>
        <w:t xml:space="preserve"> ratios of cumulates and residual liquids (</w:t>
      </w:r>
      <w:r w:rsidRPr="00D86119">
        <w:rPr>
          <w:b/>
          <w:bCs/>
          <w:color w:val="000000" w:themeColor="text1"/>
        </w:rPr>
        <w:t xml:space="preserve">Table </w:t>
      </w:r>
      <w:r w:rsidR="00D86119" w:rsidRPr="00D86119">
        <w:rPr>
          <w:b/>
          <w:bCs/>
          <w:color w:val="000000" w:themeColor="text1"/>
        </w:rPr>
        <w:t>2.</w:t>
      </w:r>
      <w:r w:rsidRPr="00D86119">
        <w:rPr>
          <w:b/>
          <w:bCs/>
          <w:color w:val="000000" w:themeColor="text1"/>
        </w:rPr>
        <w:t>2</w:t>
      </w:r>
      <w:r w:rsidRPr="00557062">
        <w:rPr>
          <w:color w:val="000000" w:themeColor="text1"/>
        </w:rPr>
        <w:t>) (e.g., Sun et al., 2017; Dygert et al., 2020; Snape et al., 2022; and references therein). While this would affect the (Yb/Sm)</w:t>
      </w:r>
      <w:r w:rsidRPr="00557062">
        <w:rPr>
          <w:color w:val="000000" w:themeColor="text1"/>
          <w:vertAlign w:val="subscript"/>
        </w:rPr>
        <w:t>N</w:t>
      </w:r>
      <w:r w:rsidRPr="00557062">
        <w:rPr>
          <w:color w:val="000000" w:themeColor="text1"/>
        </w:rPr>
        <w:t xml:space="preserve"> ratios of LMO mantle cumulate significantly if floatation was relatively inefficient, models from this study assume the majority of Plag is removed from the LMO mantle cumulate piles to form the lunar anorthosite crust, decreasing its overall impact on LMO mantle cumulates. </w:t>
      </w:r>
    </w:p>
    <w:p w14:paraId="232652A8" w14:textId="56D413C6" w:rsidR="005C5479" w:rsidRPr="00557062" w:rsidRDefault="005C5479" w:rsidP="00D86119">
      <w:pPr>
        <w:spacing w:line="480" w:lineRule="auto"/>
        <w:ind w:firstLine="720"/>
        <w:rPr>
          <w:color w:val="000000" w:themeColor="text1"/>
        </w:rPr>
      </w:pPr>
      <w:r w:rsidRPr="00557062">
        <w:rPr>
          <w:color w:val="000000" w:themeColor="text1"/>
        </w:rPr>
        <w:t>Since the majority of Plag is removed from late-crystallizing LMO mantle cumulates, Cpx is the primary mineral driving the decrease in modeled (Lu/Hf)</w:t>
      </w:r>
      <w:r w:rsidRPr="00557062">
        <w:rPr>
          <w:color w:val="000000" w:themeColor="text1"/>
          <w:vertAlign w:val="subscript"/>
        </w:rPr>
        <w:t>N</w:t>
      </w:r>
      <w:r w:rsidRPr="00557062">
        <w:rPr>
          <w:color w:val="000000" w:themeColor="text1"/>
        </w:rPr>
        <w:t xml:space="preserve"> and (Yb/Sm)</w:t>
      </w:r>
      <w:r w:rsidRPr="00557062">
        <w:rPr>
          <w:color w:val="000000" w:themeColor="text1"/>
          <w:vertAlign w:val="subscript"/>
        </w:rPr>
        <w:t>N</w:t>
      </w:r>
      <w:r w:rsidRPr="00557062">
        <w:rPr>
          <w:color w:val="000000" w:themeColor="text1"/>
        </w:rPr>
        <w:t xml:space="preserve"> ratios of mantle cumulates from ~80-95% LMO solidification (</w:t>
      </w:r>
      <w:r w:rsidRPr="00D86119">
        <w:rPr>
          <w:b/>
          <w:bCs/>
          <w:color w:val="000000" w:themeColor="text1"/>
        </w:rPr>
        <w:t xml:space="preserve">Figure </w:t>
      </w:r>
      <w:r w:rsidR="00D86119" w:rsidRPr="00D86119">
        <w:rPr>
          <w:b/>
          <w:bCs/>
          <w:color w:val="000000" w:themeColor="text1"/>
        </w:rPr>
        <w:t>2.</w:t>
      </w:r>
      <w:r w:rsidRPr="00D86119">
        <w:rPr>
          <w:b/>
          <w:bCs/>
          <w:color w:val="000000" w:themeColor="text1"/>
        </w:rPr>
        <w:t>3</w:t>
      </w:r>
      <w:r w:rsidRPr="00557062">
        <w:rPr>
          <w:color w:val="000000" w:themeColor="text1"/>
        </w:rPr>
        <w:t>). Clinopyroxene has a relatively flat middle REE (MREE: Sm-Ho) to HREE partitioning trend with a decrease in compatibility for LREE from Nd to La. While this partitioning trend does not significantly differ from phases like Ol, Opx, and Pig (</w:t>
      </w:r>
      <w:r w:rsidRPr="00D86119">
        <w:rPr>
          <w:b/>
          <w:bCs/>
          <w:color w:val="000000" w:themeColor="text1"/>
        </w:rPr>
        <w:t xml:space="preserve">Table </w:t>
      </w:r>
      <w:r w:rsidR="00D86119" w:rsidRPr="00D86119">
        <w:rPr>
          <w:b/>
          <w:bCs/>
          <w:color w:val="000000" w:themeColor="text1"/>
        </w:rPr>
        <w:t>2.</w:t>
      </w:r>
      <w:r w:rsidRPr="00D86119">
        <w:rPr>
          <w:b/>
          <w:bCs/>
          <w:color w:val="000000" w:themeColor="text1"/>
        </w:rPr>
        <w:t>2</w:t>
      </w:r>
      <w:r w:rsidRPr="00557062">
        <w:rPr>
          <w:color w:val="000000" w:themeColor="text1"/>
        </w:rPr>
        <w:t xml:space="preserve">), these other phases have partitioning trends that steeply increase in elemental compatibility from LREE to HREE (e.g., Sun and Liang, 2013a, 2013b; Dygert et al., 2014, 2020; Snape et al., 2022; Haupt et al., 2024; and references therein). The relatively flat partitioning MREE to HREE trend in Cpx results would likely result in a decreased </w:t>
      </w:r>
      <w:r w:rsidRPr="00557062">
        <w:rPr>
          <w:color w:val="000000" w:themeColor="text1"/>
        </w:rPr>
        <w:lastRenderedPageBreak/>
        <w:t>(Yb/Sm)</w:t>
      </w:r>
      <w:r w:rsidRPr="00557062">
        <w:rPr>
          <w:color w:val="000000" w:themeColor="text1"/>
          <w:vertAlign w:val="subscript"/>
        </w:rPr>
        <w:t>N</w:t>
      </w:r>
      <w:r w:rsidRPr="00557062">
        <w:rPr>
          <w:color w:val="000000" w:themeColor="text1"/>
        </w:rPr>
        <w:t xml:space="preserve"> ratio for the mantle cumulates; however, this is unlikely to account for the (Lu/Hf)</w:t>
      </w:r>
      <w:r w:rsidRPr="00557062">
        <w:rPr>
          <w:color w:val="000000" w:themeColor="text1"/>
          <w:vertAlign w:val="subscript"/>
        </w:rPr>
        <w:t>N</w:t>
      </w:r>
      <w:r w:rsidRPr="00557062">
        <w:rPr>
          <w:color w:val="000000" w:themeColor="text1"/>
        </w:rPr>
        <w:t xml:space="preserve"> ratio required to explain the lunar orange glass compositions. </w:t>
      </w:r>
    </w:p>
    <w:p w14:paraId="103DC748" w14:textId="22CB7BDC" w:rsidR="005C5479" w:rsidRPr="00557062" w:rsidRDefault="005C5479" w:rsidP="00D86119">
      <w:pPr>
        <w:spacing w:line="480" w:lineRule="auto"/>
        <w:ind w:firstLine="720"/>
        <w:rPr>
          <w:color w:val="000000" w:themeColor="text1"/>
        </w:rPr>
      </w:pPr>
      <w:r w:rsidRPr="00557062">
        <w:rPr>
          <w:color w:val="000000" w:themeColor="text1"/>
        </w:rPr>
        <w:t>The abundance of Ilm can also significantly impact the Lu/Hf ratios of IBC material. Ilmenite has a notable effect on the (Lu/Hf)</w:t>
      </w:r>
      <w:r w:rsidRPr="00557062">
        <w:rPr>
          <w:color w:val="000000" w:themeColor="text1"/>
          <w:vertAlign w:val="subscript"/>
        </w:rPr>
        <w:t>N</w:t>
      </w:r>
      <w:r w:rsidRPr="00557062">
        <w:rPr>
          <w:color w:val="000000" w:themeColor="text1"/>
        </w:rPr>
        <w:t>, as it and Qtz are the only phases to crystallize during LMO solidification in which Hf is more compatible than Lu (</w:t>
      </w:r>
      <w:r w:rsidRPr="00D86119">
        <w:rPr>
          <w:b/>
          <w:bCs/>
          <w:color w:val="000000" w:themeColor="text1"/>
        </w:rPr>
        <w:t xml:space="preserve">Table </w:t>
      </w:r>
      <w:r w:rsidR="00D86119" w:rsidRPr="00D86119">
        <w:rPr>
          <w:b/>
          <w:bCs/>
          <w:color w:val="000000" w:themeColor="text1"/>
        </w:rPr>
        <w:t>2.</w:t>
      </w:r>
      <w:r w:rsidRPr="00D86119">
        <w:rPr>
          <w:b/>
          <w:bCs/>
          <w:color w:val="000000" w:themeColor="text1"/>
        </w:rPr>
        <w:t>2</w:t>
      </w:r>
      <w:r w:rsidRPr="00557062">
        <w:rPr>
          <w:color w:val="000000" w:themeColor="text1"/>
        </w:rPr>
        <w:t>) (e.g., Klemme et al., 2006; Van Kan Parker et al., 2011; Dygert et al., 2013; Shepherd et al., 2022; Snape et al., 2022). The effect of Ilm crystallization on mantle cumulates is evident due to the significant downward shift in mantle cumulate (Lu/Hf)</w:t>
      </w:r>
      <w:r w:rsidRPr="00557062">
        <w:rPr>
          <w:color w:val="000000" w:themeColor="text1"/>
          <w:vertAlign w:val="subscript"/>
        </w:rPr>
        <w:t>N</w:t>
      </w:r>
      <w:r w:rsidRPr="00557062">
        <w:rPr>
          <w:color w:val="000000" w:themeColor="text1"/>
        </w:rPr>
        <w:t xml:space="preserve"> ratios between 95% and 99% LMO solidification (</w:t>
      </w:r>
      <w:r w:rsidRPr="00D86119">
        <w:rPr>
          <w:b/>
          <w:bCs/>
          <w:color w:val="000000" w:themeColor="text1"/>
        </w:rPr>
        <w:t xml:space="preserve">Figure </w:t>
      </w:r>
      <w:r w:rsidR="00D86119" w:rsidRPr="00D86119">
        <w:rPr>
          <w:b/>
          <w:bCs/>
          <w:color w:val="000000" w:themeColor="text1"/>
        </w:rPr>
        <w:t>2.</w:t>
      </w:r>
      <w:r w:rsidRPr="00D86119">
        <w:rPr>
          <w:b/>
          <w:bCs/>
          <w:color w:val="000000" w:themeColor="text1"/>
        </w:rPr>
        <w:t>3b</w:t>
      </w:r>
      <w:r w:rsidRPr="00557062">
        <w:rPr>
          <w:color w:val="000000" w:themeColor="text1"/>
        </w:rPr>
        <w:t>). If the abundance of Ilm in IBC material increased, the (Lu/Hf)</w:t>
      </w:r>
      <w:r w:rsidRPr="00557062">
        <w:rPr>
          <w:color w:val="000000" w:themeColor="text1"/>
          <w:vertAlign w:val="subscript"/>
        </w:rPr>
        <w:t>N</w:t>
      </w:r>
      <w:r w:rsidRPr="00557062">
        <w:rPr>
          <w:color w:val="000000" w:themeColor="text1"/>
        </w:rPr>
        <w:t xml:space="preserve"> ratio for the IBC material would decrease slightly. While this could result in a similar signature to residual garnet during partial melting in (Lu/Hf)</w:t>
      </w:r>
      <w:r w:rsidRPr="00557062">
        <w:rPr>
          <w:color w:val="000000" w:themeColor="text1"/>
          <w:vertAlign w:val="subscript"/>
        </w:rPr>
        <w:t>N</w:t>
      </w:r>
      <w:r w:rsidRPr="00557062">
        <w:rPr>
          <w:color w:val="000000" w:themeColor="text1"/>
        </w:rPr>
        <w:t xml:space="preserve"> space, it would likely result in the opposite effect in (Yb/Sm)</w:t>
      </w:r>
      <w:r w:rsidRPr="00557062">
        <w:rPr>
          <w:color w:val="000000" w:themeColor="text1"/>
          <w:vertAlign w:val="subscript"/>
        </w:rPr>
        <w:t>N</w:t>
      </w:r>
      <w:r w:rsidRPr="00557062">
        <w:rPr>
          <w:color w:val="000000" w:themeColor="text1"/>
        </w:rPr>
        <w:t xml:space="preserve"> space. Yb is significantly more compatible than Sm in Ilm, similar to Ol, Opx, and Pig (</w:t>
      </w:r>
      <w:r w:rsidRPr="00D86119">
        <w:rPr>
          <w:b/>
          <w:bCs/>
          <w:color w:val="000000" w:themeColor="text1"/>
        </w:rPr>
        <w:t xml:space="preserve">Table </w:t>
      </w:r>
      <w:r w:rsidR="00D86119" w:rsidRPr="00D86119">
        <w:rPr>
          <w:b/>
          <w:bCs/>
          <w:color w:val="000000" w:themeColor="text1"/>
        </w:rPr>
        <w:t>2.</w:t>
      </w:r>
      <w:r w:rsidRPr="00D86119">
        <w:rPr>
          <w:b/>
          <w:bCs/>
          <w:color w:val="000000" w:themeColor="text1"/>
        </w:rPr>
        <w:t>2</w:t>
      </w:r>
      <w:r w:rsidRPr="00557062">
        <w:rPr>
          <w:color w:val="000000" w:themeColor="text1"/>
        </w:rPr>
        <w:t>), so increasing the abundance of Ilm in the IBC would increase the need for garnet in the IBC material or hybridized source to explain the (Yb/Sm)</w:t>
      </w:r>
      <w:r w:rsidRPr="00557062">
        <w:rPr>
          <w:color w:val="000000" w:themeColor="text1"/>
          <w:vertAlign w:val="subscript"/>
        </w:rPr>
        <w:t>N</w:t>
      </w:r>
      <w:r w:rsidRPr="00557062">
        <w:rPr>
          <w:color w:val="000000" w:themeColor="text1"/>
        </w:rPr>
        <w:t xml:space="preserve"> ratios of orange glasses.</w:t>
      </w:r>
    </w:p>
    <w:p w14:paraId="47BE3CF5" w14:textId="51B6D802" w:rsidR="005C5479" w:rsidRPr="00557062" w:rsidRDefault="005C5479" w:rsidP="00AD593D">
      <w:pPr>
        <w:spacing w:line="480" w:lineRule="auto"/>
        <w:ind w:firstLine="720"/>
        <w:rPr>
          <w:color w:val="000000" w:themeColor="text1"/>
        </w:rPr>
      </w:pPr>
      <w:r w:rsidRPr="00557062">
        <w:rPr>
          <w:color w:val="000000" w:themeColor="text1"/>
        </w:rPr>
        <w:t xml:space="preserve">The experimental results of Rapp and Draper (2018) indicate that apatite could be present in the late-crystallizing LMO cumulates and, specifically, the hypothesized IBC material. The addition of apatite to the IBC material could have a notable effect on the Eu anomaly (see section </w:t>
      </w:r>
      <w:r w:rsidR="00D86119">
        <w:rPr>
          <w:color w:val="000000" w:themeColor="text1"/>
        </w:rPr>
        <w:t>2.</w:t>
      </w:r>
      <w:r w:rsidRPr="00557062">
        <w:rPr>
          <w:color w:val="000000" w:themeColor="text1"/>
        </w:rPr>
        <w:t xml:space="preserve">2.3. for further discussion and </w:t>
      </w:r>
      <w:r w:rsidRPr="00D86119">
        <w:rPr>
          <w:b/>
          <w:bCs/>
          <w:color w:val="000000" w:themeColor="text1"/>
        </w:rPr>
        <w:t xml:space="preserve">Figure </w:t>
      </w:r>
      <w:r w:rsidR="00D86119" w:rsidRPr="00D86119">
        <w:rPr>
          <w:b/>
          <w:bCs/>
          <w:color w:val="000000" w:themeColor="text1"/>
        </w:rPr>
        <w:t>B</w:t>
      </w:r>
      <w:r w:rsidRPr="00D86119">
        <w:rPr>
          <w:b/>
          <w:bCs/>
          <w:color w:val="000000" w:themeColor="text1"/>
        </w:rPr>
        <w:t>4</w:t>
      </w:r>
      <w:r w:rsidRPr="00557062">
        <w:rPr>
          <w:color w:val="000000" w:themeColor="text1"/>
        </w:rPr>
        <w:t>) and the (Yb/Sm)</w:t>
      </w:r>
      <w:r w:rsidRPr="00557062">
        <w:rPr>
          <w:color w:val="000000" w:themeColor="text1"/>
          <w:vertAlign w:val="subscript"/>
        </w:rPr>
        <w:t>N</w:t>
      </w:r>
      <w:r w:rsidRPr="00557062">
        <w:rPr>
          <w:color w:val="000000" w:themeColor="text1"/>
        </w:rPr>
        <w:t xml:space="preserve"> ratios given the relatively compatible REE partitioning behavior and generally flat trend from LREE-HREE relative to other LMO cumulate minerals (e.g., Prowatke and Klemme, 2006; Li et al., 2023; Ji and Dygert, 2024). Hf is significantly less compatible </w:t>
      </w:r>
      <w:r w:rsidRPr="00557062">
        <w:rPr>
          <w:color w:val="000000" w:themeColor="text1"/>
        </w:rPr>
        <w:lastRenderedPageBreak/>
        <w:t>than Lu in apatite, and Lu is considerably more compatible in apatite than Hf is in Ilm (Prowatke and Klemme, 2006; Li et al., 2023). Thus, adding any notable amount of apatite to the IBC would counteract the effects of Ilm and elevate the (Lu/Hf)</w:t>
      </w:r>
      <w:r w:rsidRPr="00557062">
        <w:rPr>
          <w:color w:val="000000" w:themeColor="text1"/>
          <w:vertAlign w:val="subscript"/>
        </w:rPr>
        <w:t>N</w:t>
      </w:r>
      <w:r w:rsidRPr="00557062">
        <w:rPr>
          <w:color w:val="000000" w:themeColor="text1"/>
        </w:rPr>
        <w:t xml:space="preserve"> ratio. With this in mind, it is unlikely that a different solidification sequence with an apatite-bearing IBC would explain the low (Lu/Hf)</w:t>
      </w:r>
      <w:r w:rsidRPr="00557062">
        <w:rPr>
          <w:color w:val="000000" w:themeColor="text1"/>
          <w:vertAlign w:val="subscript"/>
        </w:rPr>
        <w:t>N</w:t>
      </w:r>
      <w:r w:rsidRPr="00557062">
        <w:rPr>
          <w:color w:val="000000" w:themeColor="text1"/>
        </w:rPr>
        <w:t xml:space="preserve"> and (Yb/Sm)</w:t>
      </w:r>
      <w:r w:rsidRPr="00557062">
        <w:rPr>
          <w:color w:val="000000" w:themeColor="text1"/>
          <w:vertAlign w:val="subscript"/>
        </w:rPr>
        <w:t>N</w:t>
      </w:r>
      <w:r w:rsidRPr="00557062">
        <w:rPr>
          <w:color w:val="000000" w:themeColor="text1"/>
        </w:rPr>
        <w:t xml:space="preserve"> ratios observed in orange picritic glasses (</w:t>
      </w:r>
      <w:r w:rsidRPr="00D86119">
        <w:rPr>
          <w:b/>
          <w:bCs/>
          <w:color w:val="000000" w:themeColor="text1"/>
        </w:rPr>
        <w:t xml:space="preserve">Figure </w:t>
      </w:r>
      <w:r w:rsidR="00D86119" w:rsidRPr="00D86119">
        <w:rPr>
          <w:b/>
          <w:bCs/>
          <w:color w:val="000000" w:themeColor="text1"/>
        </w:rPr>
        <w:t>B</w:t>
      </w:r>
      <w:r w:rsidRPr="00D86119">
        <w:rPr>
          <w:b/>
          <w:bCs/>
          <w:color w:val="000000" w:themeColor="text1"/>
        </w:rPr>
        <w:t>5</w:t>
      </w:r>
      <w:r w:rsidRPr="00557062">
        <w:rPr>
          <w:color w:val="000000" w:themeColor="text1"/>
        </w:rPr>
        <w:t>).</w:t>
      </w:r>
    </w:p>
    <w:p w14:paraId="68356E00" w14:textId="77777777" w:rsidR="005C5479" w:rsidRPr="00557062" w:rsidRDefault="005C5479" w:rsidP="002F7368">
      <w:pPr>
        <w:pStyle w:val="Heading2"/>
      </w:pPr>
      <w:bookmarkStart w:id="365" w:name="_Toc182995488"/>
      <w:bookmarkStart w:id="366" w:name="_Toc183536613"/>
      <w:bookmarkStart w:id="367" w:name="_Toc184727417"/>
      <w:bookmarkStart w:id="368" w:name="_Toc185325664"/>
      <w:r w:rsidRPr="00557062">
        <w:t>Garnet in the Lunar Mantle</w:t>
      </w:r>
      <w:bookmarkEnd w:id="365"/>
      <w:bookmarkEnd w:id="366"/>
      <w:bookmarkEnd w:id="367"/>
      <w:bookmarkEnd w:id="368"/>
    </w:p>
    <w:p w14:paraId="64C9DE86" w14:textId="77777777" w:rsidR="005C5479" w:rsidRPr="00557062" w:rsidRDefault="005C5479" w:rsidP="006E67B1">
      <w:pPr>
        <w:pStyle w:val="Heading3"/>
      </w:pPr>
      <w:r w:rsidRPr="00557062">
        <w:t xml:space="preserve"> </w:t>
      </w:r>
      <w:bookmarkStart w:id="369" w:name="_Toc182995489"/>
      <w:bookmarkStart w:id="370" w:name="_Toc183536614"/>
      <w:bookmarkStart w:id="371" w:name="_Toc184727418"/>
      <w:bookmarkStart w:id="372" w:name="_Toc185325665"/>
      <w:r w:rsidRPr="00557062">
        <w:t>Garnet in a primitive lunar mantle reservoir?</w:t>
      </w:r>
      <w:bookmarkEnd w:id="369"/>
      <w:bookmarkEnd w:id="370"/>
      <w:bookmarkEnd w:id="371"/>
      <w:bookmarkEnd w:id="372"/>
      <w:r w:rsidRPr="00557062">
        <w:t xml:space="preserve"> </w:t>
      </w:r>
    </w:p>
    <w:p w14:paraId="2F6AA36E" w14:textId="77777777" w:rsidR="005C5479" w:rsidRPr="00557062" w:rsidRDefault="005C5479" w:rsidP="00AD593D">
      <w:pPr>
        <w:spacing w:line="480" w:lineRule="auto"/>
        <w:ind w:firstLine="720"/>
        <w:rPr>
          <w:color w:val="000000" w:themeColor="text1"/>
        </w:rPr>
      </w:pPr>
      <w:r w:rsidRPr="00557062">
        <w:rPr>
          <w:color w:val="000000" w:themeColor="text1"/>
        </w:rPr>
        <w:t xml:space="preserve">Although the Moon is believed to have formed after a relatively high energy impact, previous studies indicate that the LMO may have been relatively shallow and limited to the upper 1200 km or less of the lunar interior (Solomon and Longhi, 1977; Shearer et al., 2006; Elkins-Tanton et al., 2011; Charlier et al., 2018) based on the estimated cooling rates and crustal thickness of the Moon. This implies that the material underlying the LMO could consist of undifferentiated material that has the same composition as the initial LMO or LMO cumulates that crystallized rapidly and in equilibrium with the LMO liquid via a batch crystallization process (Hess and Parmentier, 1995; Elardo et al., 2011; Charlier et al., 2018; Rapp and Draper, 2018; Jing et al., 2022). If either of these processes occurred, the lower lunar mantle would have a more Al-rich composition than the early crystallizing cumulates (Elardo et al., 2011; Jing et al., 2022; Kraettli et al., 2022). This relatively Al-rich composition of the undifferentiated or batch crystallized lower mantle region would have a greater chance to stabilize garnet at or below the depths where the lunar picritic glasses are sourced (i.e., </w:t>
      </w:r>
      <w:r w:rsidRPr="00557062">
        <w:rPr>
          <w:color w:val="000000" w:themeColor="text1"/>
        </w:rPr>
        <w:lastRenderedPageBreak/>
        <w:t>~260-725 km and 1.3-3.1 GPa) (Johnson et al., 2021; Jing et al., 2022); however, the major and trace element systematics demonstrate a primitive garnet-bearing source cannot explain the picritic glass trends.</w:t>
      </w:r>
    </w:p>
    <w:p w14:paraId="290C8A41" w14:textId="77777777" w:rsidR="005C5479" w:rsidRPr="00557062" w:rsidRDefault="005C5479" w:rsidP="00AD593D">
      <w:pPr>
        <w:spacing w:line="480" w:lineRule="auto"/>
        <w:ind w:firstLine="720"/>
        <w:rPr>
          <w:color w:val="000000" w:themeColor="text1"/>
        </w:rPr>
      </w:pPr>
      <w:r w:rsidRPr="00557062">
        <w:rPr>
          <w:color w:val="000000" w:themeColor="text1"/>
        </w:rPr>
        <w:t>If we consider the effects of batch crystallization of a well-mixed LMO, the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of these deep lunar cumulates would be similar to that of the EMOC (i.e., ~2.8 and ~2.9, respectively) regardless of the assumed LMO bulk composition (i.e., LPUM or TWM) (Elardo et al., 2011; Johnson et al., 2021; Jing et al., 2022). The elevated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in the source would require an abundance of garnet to explain the low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of the orange picritic glasses. Although a batch crystallized lower lunar mantle would have higher Al</w:t>
      </w:r>
      <w:r w:rsidRPr="00557062">
        <w:rPr>
          <w:color w:val="000000" w:themeColor="text1"/>
          <w:vertAlign w:val="subscript"/>
        </w:rPr>
        <w:t>2</w:t>
      </w:r>
      <w:r w:rsidRPr="00557062">
        <w:rPr>
          <w:color w:val="000000" w:themeColor="text1"/>
        </w:rPr>
        <w:t>O</w:t>
      </w:r>
      <w:r w:rsidRPr="00557062">
        <w:rPr>
          <w:color w:val="000000" w:themeColor="text1"/>
          <w:vertAlign w:val="subscript"/>
        </w:rPr>
        <w:t>3</w:t>
      </w:r>
      <w:r w:rsidRPr="00557062">
        <w:rPr>
          <w:color w:val="000000" w:themeColor="text1"/>
        </w:rPr>
        <w:t xml:space="preserve"> contents than a fractionally crystallized lower mantle, the results of Elardo et al. (2011) and Johnson et al. (2021) suggest garnet would be absent or in trace abundances in the lower mantle assuming an LPUM-like bulk LMO. If the Moon had a more TWM-like composition (Kraettli et al., 2022; Jing et al., 2022), garnet may be sufficiently abundant to explain orange glass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However, this model would also require addition of a significant Ilm component to account for the TiO</w:t>
      </w:r>
      <w:r w:rsidRPr="00557062">
        <w:rPr>
          <w:color w:val="000000" w:themeColor="text1"/>
          <w:vertAlign w:val="subscript"/>
        </w:rPr>
        <w:t>2</w:t>
      </w:r>
      <w:r w:rsidRPr="00557062">
        <w:rPr>
          <w:color w:val="000000" w:themeColor="text1"/>
        </w:rPr>
        <w:t xml:space="preserve"> contents of the orange glasses since a batch crystallized lower mantle would be incredibly Ti-poor (Wagner and Grove, 1997). </w:t>
      </w:r>
    </w:p>
    <w:p w14:paraId="6120AA8A" w14:textId="77777777" w:rsidR="005C5479" w:rsidRPr="00557062" w:rsidRDefault="005C5479" w:rsidP="00AD593D">
      <w:pPr>
        <w:spacing w:line="480" w:lineRule="auto"/>
        <w:ind w:firstLine="720"/>
        <w:rPr>
          <w:color w:val="000000" w:themeColor="text1"/>
        </w:rPr>
      </w:pPr>
      <w:r w:rsidRPr="00557062">
        <w:rPr>
          <w:color w:val="000000" w:themeColor="text1"/>
        </w:rPr>
        <w:t>Melts produced garnet-bearing undifferentiated sources would be: (a) REE-poor compared to the intermediate to high-Ti picritic glasses, (b) trending away from the intermediate to high-Ti glasses with respect to their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and (c) Ti-poor relative to the intermediate to high-Ti glasses (i.e., the glasses that require </w:t>
      </w:r>
      <w:r w:rsidRPr="00557062">
        <w:rPr>
          <w:color w:val="000000" w:themeColor="text1"/>
        </w:rPr>
        <w:lastRenderedPageBreak/>
        <w:t xml:space="preserve">garnet-bearing sources). These traits would require a significant amount of IBC assimilation (dissolution) to overcome, which would likely overprint the HREE-depleted “garnet signature” of these melts. </w:t>
      </w:r>
    </w:p>
    <w:p w14:paraId="2A407CB6" w14:textId="4A7A9645" w:rsidR="005C5479" w:rsidRPr="00557062" w:rsidRDefault="005C5479" w:rsidP="00AB511F">
      <w:pPr>
        <w:spacing w:line="480" w:lineRule="auto"/>
        <w:ind w:firstLine="720"/>
        <w:rPr>
          <w:color w:val="000000" w:themeColor="text1"/>
        </w:rPr>
      </w:pPr>
      <w:r w:rsidRPr="00557062">
        <w:rPr>
          <w:color w:val="000000" w:themeColor="text1"/>
        </w:rPr>
        <w:t>In conclusion, invoking a primitive layer in the deep Moon is unlikely to model high-Ti glasses successfully. Cumulate overturn is the most straightforward mechanism for explaining the lunar orange glasses' garnet signature and Ti-rich composition. Cumulate overturn provides multiple plausible mechanisms for stabilizing garnet and for imparting the garnet signature onto melts of a hybridized source, and it enriches the TiO</w:t>
      </w:r>
      <w:r w:rsidRPr="00557062">
        <w:rPr>
          <w:color w:val="000000" w:themeColor="text1"/>
          <w:vertAlign w:val="subscript"/>
        </w:rPr>
        <w:t>2</w:t>
      </w:r>
      <w:r w:rsidRPr="00557062">
        <w:rPr>
          <w:color w:val="000000" w:themeColor="text1"/>
        </w:rPr>
        <w:t xml:space="preserve"> contents of the source.</w:t>
      </w:r>
    </w:p>
    <w:p w14:paraId="06FD2285" w14:textId="77777777" w:rsidR="005C5479" w:rsidRPr="00557062" w:rsidRDefault="005C5479" w:rsidP="006E67B1">
      <w:pPr>
        <w:pStyle w:val="Heading3"/>
      </w:pPr>
      <w:r w:rsidRPr="00557062">
        <w:t xml:space="preserve"> </w:t>
      </w:r>
      <w:bookmarkStart w:id="373" w:name="_Toc182995490"/>
      <w:bookmarkStart w:id="374" w:name="_Toc183536615"/>
      <w:bookmarkStart w:id="375" w:name="_Toc184727419"/>
      <w:bookmarkStart w:id="376" w:name="_Toc185325666"/>
      <w:r w:rsidRPr="00557062">
        <w:t>Garnet’s Relationship with Cumulate Overturn</w:t>
      </w:r>
      <w:bookmarkEnd w:id="373"/>
      <w:bookmarkEnd w:id="374"/>
      <w:bookmarkEnd w:id="375"/>
      <w:bookmarkEnd w:id="376"/>
    </w:p>
    <w:p w14:paraId="3821F7F9" w14:textId="361F1C3D" w:rsidR="005C5479" w:rsidRPr="00557062" w:rsidRDefault="005C5479" w:rsidP="00AB511F">
      <w:pPr>
        <w:spacing w:line="480" w:lineRule="auto"/>
        <w:ind w:firstLine="720"/>
        <w:rPr>
          <w:rStyle w:val="Heading3Char"/>
          <w:b w:val="0"/>
          <w:bCs w:val="0"/>
          <w:color w:val="000000" w:themeColor="text1"/>
        </w:rPr>
      </w:pPr>
      <w:r w:rsidRPr="00557062">
        <w:rPr>
          <w:color w:val="000000" w:themeColor="text1"/>
        </w:rPr>
        <w:t xml:space="preserve">All models from this study indicate that garnet in the downwelling IBC material or hybridized mantle source would be required to generate the HREE depletion observed in orange picritic glasses. Based on our model results, &lt;2.5% garnet in the downwelling IBC material or hybridized source would explain the most HREE-depleted orange glasses if no late LMO cumulate mixing occurred (Scenarios #2 and #4, </w:t>
      </w:r>
      <w:r w:rsidRPr="00AB511F">
        <w:rPr>
          <w:b/>
          <w:bCs/>
          <w:color w:val="000000" w:themeColor="text1"/>
        </w:rPr>
        <w:t xml:space="preserve">Figures </w:t>
      </w:r>
      <w:r w:rsidR="00AB511F" w:rsidRPr="00AB511F">
        <w:rPr>
          <w:b/>
          <w:bCs/>
          <w:color w:val="000000" w:themeColor="text1"/>
        </w:rPr>
        <w:t>2.</w:t>
      </w:r>
      <w:r w:rsidRPr="00AB511F">
        <w:rPr>
          <w:b/>
          <w:bCs/>
          <w:color w:val="000000" w:themeColor="text1"/>
        </w:rPr>
        <w:t xml:space="preserve">8e, </w:t>
      </w:r>
      <w:r w:rsidR="00AB511F" w:rsidRPr="00AB511F">
        <w:rPr>
          <w:b/>
          <w:bCs/>
          <w:color w:val="000000" w:themeColor="text1"/>
        </w:rPr>
        <w:t>2.</w:t>
      </w:r>
      <w:r w:rsidRPr="00AB511F">
        <w:rPr>
          <w:b/>
          <w:bCs/>
          <w:color w:val="000000" w:themeColor="text1"/>
        </w:rPr>
        <w:t xml:space="preserve">8f, </w:t>
      </w:r>
      <w:r w:rsidR="00AB511F" w:rsidRPr="00AB511F">
        <w:rPr>
          <w:b/>
          <w:bCs/>
          <w:color w:val="000000" w:themeColor="text1"/>
        </w:rPr>
        <w:t>2.</w:t>
      </w:r>
      <w:r w:rsidRPr="00AB511F">
        <w:rPr>
          <w:b/>
          <w:bCs/>
          <w:color w:val="000000" w:themeColor="text1"/>
        </w:rPr>
        <w:t xml:space="preserve">9e, </w:t>
      </w:r>
      <w:r w:rsidR="00AB511F" w:rsidRPr="00AB511F">
        <w:rPr>
          <w:b/>
          <w:bCs/>
          <w:color w:val="000000" w:themeColor="text1"/>
        </w:rPr>
        <w:t>2.</w:t>
      </w:r>
      <w:r w:rsidRPr="00AB511F">
        <w:rPr>
          <w:b/>
          <w:bCs/>
          <w:color w:val="000000" w:themeColor="text1"/>
        </w:rPr>
        <w:t>9f</w:t>
      </w:r>
      <w:r w:rsidRPr="00557062">
        <w:rPr>
          <w:color w:val="000000" w:themeColor="text1"/>
        </w:rPr>
        <w:t xml:space="preserve">). This estimate is consistent with the 2% garnet estimate by Beard et al. (1998), who proposed the high-Ti lunar basalt source would be required to explain the Lu/Hf isotope ratios. If late LMO cumulate mixing occurred (Scenarios #6 and #7, </w:t>
      </w:r>
      <w:r w:rsidRPr="00AB511F">
        <w:rPr>
          <w:b/>
          <w:bCs/>
          <w:color w:val="000000" w:themeColor="text1"/>
        </w:rPr>
        <w:t xml:space="preserve">Figure </w:t>
      </w:r>
      <w:r w:rsidR="00AB511F" w:rsidRPr="00AB511F">
        <w:rPr>
          <w:b/>
          <w:bCs/>
          <w:color w:val="000000" w:themeColor="text1"/>
        </w:rPr>
        <w:t>2.</w:t>
      </w:r>
      <w:r w:rsidRPr="00AB511F">
        <w:rPr>
          <w:b/>
          <w:bCs/>
          <w:color w:val="000000" w:themeColor="text1"/>
        </w:rPr>
        <w:t>11</w:t>
      </w:r>
      <w:r w:rsidRPr="00557062">
        <w:rPr>
          <w:color w:val="000000" w:themeColor="text1"/>
        </w:rPr>
        <w:t>), garnet would likely be required to explain the composition of most intermediate to high-Ti lunar glasses given the elevated initial (Yb/Sm)</w:t>
      </w:r>
      <w:r w:rsidRPr="00557062">
        <w:rPr>
          <w:color w:val="000000" w:themeColor="text1"/>
          <w:vertAlign w:val="subscript"/>
        </w:rPr>
        <w:t>N</w:t>
      </w:r>
      <w:r w:rsidRPr="00557062">
        <w:rPr>
          <w:color w:val="000000" w:themeColor="text1"/>
        </w:rPr>
        <w:t xml:space="preserve"> and (Lu/Hf)</w:t>
      </w:r>
      <w:r w:rsidRPr="00557062">
        <w:rPr>
          <w:color w:val="000000" w:themeColor="text1"/>
          <w:vertAlign w:val="subscript"/>
        </w:rPr>
        <w:t>N</w:t>
      </w:r>
      <w:r w:rsidRPr="00557062">
        <w:rPr>
          <w:color w:val="000000" w:themeColor="text1"/>
        </w:rPr>
        <w:t xml:space="preserve"> ratios of the thickened IBC material</w:t>
      </w:r>
      <w:r w:rsidRPr="00557062">
        <w:rPr>
          <w:rStyle w:val="Heading3Char"/>
          <w:color w:val="000000" w:themeColor="text1"/>
        </w:rPr>
        <w:t xml:space="preserve">. </w:t>
      </w:r>
      <w:r w:rsidRPr="00557062">
        <w:rPr>
          <w:color w:val="000000" w:themeColor="text1"/>
        </w:rPr>
        <w:t xml:space="preserve">Without garnet in the lunar mantle, the bulk LMO would have to exhibit a </w:t>
      </w:r>
      <w:r w:rsidRPr="00557062">
        <w:rPr>
          <w:color w:val="000000" w:themeColor="text1"/>
        </w:rPr>
        <w:lastRenderedPageBreak/>
        <w:t>HREE and Hf depleted bulk composition to explain the orange picritic glasses and possibly some lunar yellow, red, and black glasses.</w:t>
      </w:r>
    </w:p>
    <w:p w14:paraId="5AD605D6" w14:textId="78B88C0A" w:rsidR="005C5479" w:rsidRPr="00557062" w:rsidRDefault="005C5479" w:rsidP="00AB511F">
      <w:pPr>
        <w:spacing w:line="480" w:lineRule="auto"/>
        <w:ind w:firstLine="720"/>
        <w:rPr>
          <w:color w:val="000000" w:themeColor="text1"/>
        </w:rPr>
      </w:pPr>
      <w:r w:rsidRPr="00557062">
        <w:rPr>
          <w:color w:val="000000" w:themeColor="text1"/>
        </w:rPr>
        <w:t xml:space="preserve">Barring the unlikely assumption that the LMO had a pre-existing HREE and Hf depleted composition, the requirement of garnet to explain the HREE depletion in lunar orange glasses does not necessarily indicate that the hybridized source that formed the lunar orange glasses contains garnet. </w:t>
      </w:r>
      <w:r w:rsidRPr="00AB511F">
        <w:rPr>
          <w:b/>
          <w:bCs/>
          <w:color w:val="000000" w:themeColor="text1"/>
        </w:rPr>
        <w:t xml:space="preserve">Figures </w:t>
      </w:r>
      <w:r w:rsidR="00AB511F" w:rsidRPr="00AB511F">
        <w:rPr>
          <w:b/>
          <w:bCs/>
          <w:color w:val="000000" w:themeColor="text1"/>
        </w:rPr>
        <w:t>2.</w:t>
      </w:r>
      <w:r w:rsidRPr="00AB511F">
        <w:rPr>
          <w:b/>
          <w:bCs/>
          <w:color w:val="000000" w:themeColor="text1"/>
        </w:rPr>
        <w:t>8,</w:t>
      </w:r>
      <w:r w:rsidR="00AB511F" w:rsidRPr="00AB511F">
        <w:rPr>
          <w:b/>
          <w:bCs/>
          <w:color w:val="000000" w:themeColor="text1"/>
        </w:rPr>
        <w:t xml:space="preserve"> 2.</w:t>
      </w:r>
      <w:r w:rsidRPr="00AB511F">
        <w:rPr>
          <w:b/>
          <w:bCs/>
          <w:color w:val="000000" w:themeColor="text1"/>
        </w:rPr>
        <w:t xml:space="preserve">9, and </w:t>
      </w:r>
      <w:r w:rsidR="00AB511F" w:rsidRPr="00AB511F">
        <w:rPr>
          <w:b/>
          <w:bCs/>
          <w:color w:val="000000" w:themeColor="text1"/>
        </w:rPr>
        <w:t>2.</w:t>
      </w:r>
      <w:r w:rsidRPr="00AB511F">
        <w:rPr>
          <w:b/>
          <w:bCs/>
          <w:color w:val="000000" w:themeColor="text1"/>
        </w:rPr>
        <w:t>11</w:t>
      </w:r>
      <w:r w:rsidRPr="00557062">
        <w:rPr>
          <w:color w:val="000000" w:themeColor="text1"/>
        </w:rPr>
        <w:t xml:space="preserve"> demonstrate that a garnet-bearing IBC signature imparted onto a garnet-free hybridized source could produce a similar trend to the garnet-bearing hybridized source if the overall abundance of garnet. Thus, garnet could be present in the downwelling IBC material or the hybridized source and generate similar geochemical signatures in any melts produced by the hybridized source. Given the results of thermodynamic models in this study (</w:t>
      </w:r>
      <w:r w:rsidRPr="00AB511F">
        <w:rPr>
          <w:b/>
          <w:bCs/>
          <w:color w:val="000000" w:themeColor="text1"/>
        </w:rPr>
        <w:t xml:space="preserve">Figure </w:t>
      </w:r>
      <w:r w:rsidR="00AB511F" w:rsidRPr="00AB511F">
        <w:rPr>
          <w:b/>
          <w:bCs/>
          <w:color w:val="000000" w:themeColor="text1"/>
        </w:rPr>
        <w:t>2.</w:t>
      </w:r>
      <w:r w:rsidRPr="00AB511F">
        <w:rPr>
          <w:b/>
          <w:bCs/>
          <w:color w:val="000000" w:themeColor="text1"/>
        </w:rPr>
        <w:t>6</w:t>
      </w:r>
      <w:r w:rsidRPr="00557062">
        <w:rPr>
          <w:color w:val="000000" w:themeColor="text1"/>
        </w:rPr>
        <w:t xml:space="preserve"> and </w:t>
      </w:r>
      <w:r w:rsidRPr="00AB511F">
        <w:rPr>
          <w:b/>
          <w:bCs/>
          <w:color w:val="000000" w:themeColor="text1"/>
        </w:rPr>
        <w:t xml:space="preserve">Figure </w:t>
      </w:r>
      <w:r w:rsidR="00AB511F" w:rsidRPr="00AB511F">
        <w:rPr>
          <w:b/>
          <w:bCs/>
          <w:color w:val="000000" w:themeColor="text1"/>
        </w:rPr>
        <w:t>B</w:t>
      </w:r>
      <w:r w:rsidRPr="00AB511F">
        <w:rPr>
          <w:b/>
          <w:bCs/>
          <w:color w:val="000000" w:themeColor="text1"/>
        </w:rPr>
        <w:t>8</w:t>
      </w:r>
      <w:r w:rsidRPr="00557062">
        <w:rPr>
          <w:color w:val="000000" w:themeColor="text1"/>
        </w:rPr>
        <w:t xml:space="preserve">), we proposed that it is more likely that garnet would be present in the downwelling IBC material; however, further work on high-pressure mantle hybridization and late crystallizing LMO cumulate chemistry is required to evaluate this further. </w:t>
      </w:r>
    </w:p>
    <w:p w14:paraId="5FAAC439" w14:textId="77777777" w:rsidR="005C5479" w:rsidRPr="00557062" w:rsidRDefault="005C5479" w:rsidP="002F7368">
      <w:pPr>
        <w:pStyle w:val="Heading2"/>
      </w:pPr>
      <w:bookmarkStart w:id="377" w:name="_Toc182995491"/>
      <w:bookmarkStart w:id="378" w:name="_Toc183536616"/>
      <w:bookmarkStart w:id="379" w:name="_Toc184727420"/>
      <w:bookmarkStart w:id="380" w:name="_Toc185325667"/>
      <w:r w:rsidRPr="00557062">
        <w:t>Effect of Cumulate Overturn Sm-Nd and Lu-Hf Isotopes</w:t>
      </w:r>
      <w:bookmarkEnd w:id="377"/>
      <w:bookmarkEnd w:id="378"/>
      <w:bookmarkEnd w:id="379"/>
      <w:bookmarkEnd w:id="380"/>
    </w:p>
    <w:p w14:paraId="3536A49C" w14:textId="10F93C71" w:rsidR="005C5479" w:rsidRPr="00557062" w:rsidRDefault="005C5479" w:rsidP="00AB511F">
      <w:pPr>
        <w:spacing w:line="480" w:lineRule="auto"/>
        <w:ind w:firstLine="720"/>
        <w:rPr>
          <w:color w:val="000000" w:themeColor="text1"/>
        </w:rPr>
      </w:pPr>
      <w:r w:rsidRPr="00557062">
        <w:rPr>
          <w:color w:val="000000" w:themeColor="text1"/>
        </w:rPr>
        <w:t xml:space="preserve">Because the Sm-Nd and Lu-Hf isotopic ratios of intermediate to high-Ti picritic glasses have never been determined and the age of formation for these picritic glasses is unknown, we compare isotopic models to mare basalts to gain a first-order understanding of how hybridization might affect other lunar mantle sources. Due to their long half-lives, the Sm/Nd and Lu/Hf elemental ratios of the lunar sources significantly impact the isotope ratios of these elements. Isotopic and trace element data collected by previous studies (Unruh et al., 1984; Beard et al., 1998; Sprung et al., 2013; Carlson et al., 2014; </w:t>
      </w:r>
      <w:r w:rsidRPr="00557062">
        <w:rPr>
          <w:color w:val="000000" w:themeColor="text1"/>
        </w:rPr>
        <w:lastRenderedPageBreak/>
        <w:t>Gaffney and Borg, 2014; Boyet et al., 2015; Borg et al., 2019; Marks et al., 2019; Sio et al., 2020; Borg et al., 2020) demonstrate a strong correlation between the age-corrected (initial) isotope ratios and trace element ratios for Sm-Nd and Lu-Hf in lunar samples (</w:t>
      </w:r>
      <w:r w:rsidRPr="00AB511F">
        <w:rPr>
          <w:b/>
          <w:bCs/>
          <w:color w:val="000000" w:themeColor="text1"/>
        </w:rPr>
        <w:t xml:space="preserve">Figure </w:t>
      </w:r>
      <w:r w:rsidR="00AB511F" w:rsidRPr="00AB511F">
        <w:rPr>
          <w:b/>
          <w:bCs/>
          <w:color w:val="000000" w:themeColor="text1"/>
        </w:rPr>
        <w:t>2.</w:t>
      </w:r>
      <w:r w:rsidRPr="00AB511F">
        <w:rPr>
          <w:b/>
          <w:bCs/>
          <w:color w:val="000000" w:themeColor="text1"/>
        </w:rPr>
        <w:t>12a-b</w:t>
      </w:r>
      <w:r w:rsidRPr="00557062">
        <w:rPr>
          <w:color w:val="000000" w:themeColor="text1"/>
        </w:rPr>
        <w:t xml:space="preserve">). This indicates that the isotopic and elemental ratios for lunar sample sources mirror each other closely (e.g., Beard et al., 1998; Sprung et al., 2013). </w:t>
      </w:r>
    </w:p>
    <w:p w14:paraId="0C55CFB7" w14:textId="76CA01BC" w:rsidR="005C5479" w:rsidRDefault="005C5479" w:rsidP="00AB511F">
      <w:pPr>
        <w:spacing w:line="480" w:lineRule="auto"/>
        <w:ind w:firstLine="720"/>
        <w:rPr>
          <w:rFonts w:eastAsiaTheme="minorEastAsia"/>
          <w:color w:val="000000" w:themeColor="text1"/>
        </w:rPr>
      </w:pPr>
      <w:r w:rsidRPr="00557062">
        <w:rPr>
          <w:color w:val="000000" w:themeColor="text1"/>
        </w:rPr>
        <w:t xml:space="preserve">To model the isotopic compositions of lunar basalt sources, we assume that the bulk LMO initially had chondritic isotope ratios and solidified by ~4.4 Ga (Sprung et al., 2013; Borg and Carlson, 2023). The decay equation is used to calculate the evolution of each layer of LMO cumulates in </w:t>
      </w:r>
      <m:oMath>
        <m:r>
          <m:rPr>
            <m:scr m:val="script"/>
          </m:rPr>
          <w:rPr>
            <w:rFonts w:ascii="Cambria Math" w:hAnsi="Cambria Math"/>
            <w:color w:val="000000" w:themeColor="text1"/>
          </w:rPr>
          <m:t>E</m:t>
        </m:r>
      </m:oMath>
      <w:r w:rsidRPr="00557062">
        <w:rPr>
          <w:rFonts w:eastAsiaTheme="minorEastAsia"/>
          <w:color w:val="000000" w:themeColor="text1"/>
          <w:vertAlign w:val="subscript"/>
        </w:rPr>
        <w:t>Nd</w:t>
      </w:r>
      <w:r w:rsidRPr="00557062">
        <w:rPr>
          <w:rFonts w:eastAsiaTheme="minorEastAsia"/>
          <w:color w:val="000000" w:themeColor="text1"/>
        </w:rPr>
        <w:t xml:space="preserve"> and </w:t>
      </w:r>
      <m:oMath>
        <m:r>
          <m:rPr>
            <m:scr m:val="script"/>
          </m:rPr>
          <w:rPr>
            <w:rFonts w:ascii="Cambria Math" w:hAnsi="Cambria Math"/>
            <w:color w:val="000000" w:themeColor="text1"/>
          </w:rPr>
          <m:t>E</m:t>
        </m:r>
      </m:oMath>
      <w:r w:rsidRPr="00557062">
        <w:rPr>
          <w:rFonts w:eastAsiaTheme="minorEastAsia"/>
          <w:color w:val="000000" w:themeColor="text1"/>
          <w:vertAlign w:val="subscript"/>
        </w:rPr>
        <w:t>Hf</w:t>
      </w:r>
      <w:r w:rsidRPr="00557062">
        <w:rPr>
          <w:rFonts w:eastAsiaTheme="minorEastAsia"/>
          <w:color w:val="000000" w:themeColor="text1"/>
        </w:rPr>
        <w:t xml:space="preserve"> space (</w:t>
      </w:r>
      <w:r w:rsidRPr="00AB511F">
        <w:rPr>
          <w:rFonts w:eastAsiaTheme="minorEastAsia"/>
          <w:b/>
          <w:bCs/>
          <w:color w:val="000000" w:themeColor="text1"/>
        </w:rPr>
        <w:t xml:space="preserve">Figure </w:t>
      </w:r>
      <w:r w:rsidR="00AB511F" w:rsidRPr="00AB511F">
        <w:rPr>
          <w:rFonts w:eastAsiaTheme="minorEastAsia"/>
          <w:b/>
          <w:bCs/>
          <w:color w:val="000000" w:themeColor="text1"/>
        </w:rPr>
        <w:t>2.</w:t>
      </w:r>
      <w:r w:rsidRPr="00AB511F">
        <w:rPr>
          <w:rFonts w:eastAsiaTheme="minorEastAsia"/>
          <w:b/>
          <w:bCs/>
          <w:color w:val="000000" w:themeColor="text1"/>
        </w:rPr>
        <w:t>12c</w:t>
      </w:r>
      <w:r w:rsidRPr="00557062">
        <w:rPr>
          <w:rFonts w:eastAsiaTheme="minorEastAsia"/>
          <w:color w:val="000000" w:themeColor="text1"/>
        </w:rPr>
        <w:t xml:space="preserve">). </w:t>
      </w:r>
      <m:oMath>
        <m:r>
          <m:rPr>
            <m:scr m:val="script"/>
          </m:rPr>
          <w:rPr>
            <w:rFonts w:ascii="Cambria Math" w:hAnsi="Cambria Math"/>
            <w:color w:val="000000" w:themeColor="text1"/>
          </w:rPr>
          <m:t>E</m:t>
        </m:r>
      </m:oMath>
      <w:r w:rsidRPr="00557062">
        <w:rPr>
          <w:rFonts w:eastAsiaTheme="minorEastAsia"/>
          <w:color w:val="000000" w:themeColor="text1"/>
        </w:rPr>
        <w:t xml:space="preserve"> values (i.e., the isotopic composition of the sample relative to the Chondritic Uniform Reservoir (CHUR) at a given time; </w:t>
      </w:r>
      <m:oMath>
        <m:sSub>
          <m:sSubPr>
            <m:ctrlPr>
              <w:rPr>
                <w:rFonts w:ascii="Cambria Math" w:eastAsiaTheme="minorEastAsia" w:hAnsi="Cambria Math"/>
                <w:i/>
                <w:color w:val="000000" w:themeColor="text1"/>
              </w:rPr>
            </m:ctrlPr>
          </m:sSubPr>
          <m:e>
            <m:r>
              <m:rPr>
                <m:scr m:val="script"/>
              </m:rPr>
              <w:rPr>
                <w:rFonts w:ascii="Cambria Math" w:eastAsiaTheme="minorEastAsia" w:hAnsi="Cambria Math"/>
                <w:color w:val="000000" w:themeColor="text1"/>
              </w:rPr>
              <m:t>E</m:t>
            </m:r>
          </m:e>
          <m:sub>
            <m:r>
              <m:rPr>
                <m:nor/>
              </m:rPr>
              <w:rPr>
                <w:rFonts w:ascii="Cambria Math" w:eastAsiaTheme="minorEastAsia" w:hAnsi="Cambria Math"/>
                <w:color w:val="000000" w:themeColor="text1"/>
              </w:rPr>
              <m:t>Nd</m:t>
            </m:r>
          </m:sub>
        </m:sSub>
        <m:r>
          <w:rPr>
            <w:rFonts w:ascii="Cambria Math" w:eastAsiaTheme="minorEastAsia" w:hAnsi="Cambria Math"/>
            <w:color w:val="000000" w:themeColor="text1"/>
          </w:rPr>
          <m:t>=((</m:t>
        </m:r>
        <m:f>
          <m:fPr>
            <m:ctrlPr>
              <w:rPr>
                <w:rFonts w:ascii="Cambria Math" w:eastAsiaTheme="minorEastAsia" w:hAnsi="Cambria Math"/>
                <w:i/>
                <w:color w:val="000000" w:themeColor="text1"/>
              </w:rPr>
            </m:ctrlPr>
          </m:fPr>
          <m:num>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t>
                </m:r>
                <m:f>
                  <m:fPr>
                    <m:ctrlPr>
                      <w:rPr>
                        <w:rFonts w:ascii="Cambria Math" w:eastAsiaTheme="minorEastAsia" w:hAnsi="Cambria Math"/>
                        <w:color w:val="000000" w:themeColor="text1"/>
                      </w:rPr>
                    </m:ctrlPr>
                  </m:fPr>
                  <m:num>
                    <m:r>
                      <m:rPr>
                        <m:sty m:val="p"/>
                      </m:rPr>
                      <w:rPr>
                        <w:rFonts w:ascii="Cambria Math" w:eastAsiaTheme="minorEastAsia" w:hAnsi="Cambria Math"/>
                        <w:color w:val="000000" w:themeColor="text1"/>
                        <w:vertAlign w:val="superscript"/>
                      </w:rPr>
                      <m:t>143</m:t>
                    </m:r>
                    <m:r>
                      <m:rPr>
                        <m:sty m:val="p"/>
                      </m:rPr>
                      <w:rPr>
                        <w:rFonts w:ascii="Cambria Math" w:eastAsiaTheme="minorEastAsia" w:hAnsi="Cambria Math"/>
                        <w:color w:val="000000" w:themeColor="text1"/>
                      </w:rPr>
                      <m:t>Nd</m:t>
                    </m:r>
                    <m:ctrlPr>
                      <w:rPr>
                        <w:rFonts w:ascii="Cambria Math" w:eastAsiaTheme="minorEastAsia" w:hAnsi="Cambria Math"/>
                        <w:i/>
                        <w:color w:val="000000" w:themeColor="text1"/>
                      </w:rPr>
                    </m:ctrlPr>
                  </m:num>
                  <m:den>
                    <m:r>
                      <m:rPr>
                        <m:sty m:val="p"/>
                      </m:rPr>
                      <w:rPr>
                        <w:rFonts w:ascii="Cambria Math" w:eastAsiaTheme="minorEastAsia" w:hAnsi="Cambria Math"/>
                        <w:color w:val="000000" w:themeColor="text1"/>
                        <w:vertAlign w:val="superscript"/>
                      </w:rPr>
                      <m:t>144</m:t>
                    </m:r>
                    <m:r>
                      <m:rPr>
                        <m:sty m:val="p"/>
                      </m:rPr>
                      <w:rPr>
                        <w:rFonts w:ascii="Cambria Math" w:eastAsiaTheme="minorEastAsia" w:hAnsi="Cambria Math"/>
                        <w:color w:val="000000" w:themeColor="text1"/>
                      </w:rPr>
                      <m:t>Nd</m:t>
                    </m:r>
                  </m:den>
                </m:f>
                <m:r>
                  <m:rPr>
                    <m:sty m:val="p"/>
                  </m:rPr>
                  <w:rPr>
                    <w:rFonts w:ascii="Cambria Math" w:eastAsiaTheme="minorEastAsia"/>
                    <w:color w:val="000000" w:themeColor="text1"/>
                  </w:rPr>
                  <m:t>)</m:t>
                </m:r>
              </m:e>
              <m:sub>
                <m:r>
                  <m:rPr>
                    <m:nor/>
                  </m:rPr>
                  <w:rPr>
                    <w:rFonts w:ascii="Cambria Math" w:eastAsiaTheme="minorEastAsia" w:hAnsi="Cambria Math"/>
                    <w:color w:val="000000" w:themeColor="text1"/>
                  </w:rPr>
                  <m:t>sample</m:t>
                </m:r>
              </m:sub>
            </m:sSub>
            <m:r>
              <w:rPr>
                <w:rFonts w:ascii="Cambria Math" w:eastAsiaTheme="minorEastAsia" w:hAnsi="Cambria Math"/>
                <w:color w:val="000000" w:themeColor="text1"/>
              </w:rPr>
              <m:t>-</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t>
                </m:r>
                <m:f>
                  <m:fPr>
                    <m:ctrlPr>
                      <w:rPr>
                        <w:rFonts w:ascii="Cambria Math" w:eastAsiaTheme="minorEastAsia" w:hAnsi="Cambria Math"/>
                        <w:color w:val="000000" w:themeColor="text1"/>
                      </w:rPr>
                    </m:ctrlPr>
                  </m:fPr>
                  <m:num>
                    <m:r>
                      <m:rPr>
                        <m:sty m:val="p"/>
                      </m:rPr>
                      <w:rPr>
                        <w:rFonts w:ascii="Cambria Math" w:eastAsiaTheme="minorEastAsia" w:hAnsi="Cambria Math"/>
                        <w:color w:val="000000" w:themeColor="text1"/>
                        <w:vertAlign w:val="superscript"/>
                      </w:rPr>
                      <m:t>143</m:t>
                    </m:r>
                    <m:r>
                      <m:rPr>
                        <m:sty m:val="p"/>
                      </m:rPr>
                      <w:rPr>
                        <w:rFonts w:ascii="Cambria Math" w:eastAsiaTheme="minorEastAsia" w:hAnsi="Cambria Math"/>
                        <w:color w:val="000000" w:themeColor="text1"/>
                      </w:rPr>
                      <m:t>Nd</m:t>
                    </m:r>
                    <m:ctrlPr>
                      <w:rPr>
                        <w:rFonts w:ascii="Cambria Math" w:eastAsiaTheme="minorEastAsia" w:hAnsi="Cambria Math"/>
                        <w:i/>
                        <w:color w:val="000000" w:themeColor="text1"/>
                      </w:rPr>
                    </m:ctrlPr>
                  </m:num>
                  <m:den>
                    <m:r>
                      <m:rPr>
                        <m:sty m:val="p"/>
                      </m:rPr>
                      <w:rPr>
                        <w:rFonts w:ascii="Cambria Math" w:eastAsiaTheme="minorEastAsia" w:hAnsi="Cambria Math"/>
                        <w:color w:val="000000" w:themeColor="text1"/>
                        <w:vertAlign w:val="superscript"/>
                      </w:rPr>
                      <m:t>144</m:t>
                    </m:r>
                    <m:r>
                      <m:rPr>
                        <m:sty m:val="p"/>
                      </m:rPr>
                      <w:rPr>
                        <w:rFonts w:ascii="Cambria Math" w:eastAsiaTheme="minorEastAsia" w:hAnsi="Cambria Math"/>
                        <w:color w:val="000000" w:themeColor="text1"/>
                      </w:rPr>
                      <m:t>Nd</m:t>
                    </m:r>
                  </m:den>
                </m:f>
                <m:r>
                  <w:rPr>
                    <w:rFonts w:ascii="Cambria Math" w:eastAsiaTheme="minorEastAsia" w:hAnsi="Cambria Math"/>
                    <w:color w:val="000000" w:themeColor="text1"/>
                  </w:rPr>
                  <m:t>)</m:t>
                </m:r>
              </m:e>
              <m:sub>
                <m:r>
                  <m:rPr>
                    <m:nor/>
                  </m:rPr>
                  <w:rPr>
                    <w:rFonts w:ascii="Cambria Math" w:eastAsiaTheme="minorEastAsia" w:hAnsi="Cambria Math"/>
                    <w:color w:val="000000" w:themeColor="text1"/>
                  </w:rPr>
                  <m:t>CHUR</m:t>
                </m:r>
              </m:sub>
            </m:sSub>
          </m:num>
          <m:den>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t>
                </m:r>
                <m:f>
                  <m:fPr>
                    <m:ctrlPr>
                      <w:rPr>
                        <w:rFonts w:ascii="Cambria Math" w:eastAsiaTheme="minorEastAsia" w:hAnsi="Cambria Math"/>
                        <w:color w:val="000000" w:themeColor="text1"/>
                      </w:rPr>
                    </m:ctrlPr>
                  </m:fPr>
                  <m:num>
                    <m:r>
                      <m:rPr>
                        <m:sty m:val="p"/>
                      </m:rPr>
                      <w:rPr>
                        <w:rFonts w:ascii="Cambria Math" w:eastAsiaTheme="minorEastAsia" w:hAnsi="Cambria Math"/>
                        <w:color w:val="000000" w:themeColor="text1"/>
                        <w:vertAlign w:val="superscript"/>
                      </w:rPr>
                      <m:t>143</m:t>
                    </m:r>
                    <m:r>
                      <m:rPr>
                        <m:sty m:val="p"/>
                      </m:rPr>
                      <w:rPr>
                        <w:rFonts w:ascii="Cambria Math" w:eastAsiaTheme="minorEastAsia" w:hAnsi="Cambria Math"/>
                        <w:color w:val="000000" w:themeColor="text1"/>
                      </w:rPr>
                      <m:t>Nd</m:t>
                    </m:r>
                    <m:ctrlPr>
                      <w:rPr>
                        <w:rFonts w:ascii="Cambria Math" w:eastAsiaTheme="minorEastAsia" w:hAnsi="Cambria Math"/>
                        <w:i/>
                        <w:color w:val="000000" w:themeColor="text1"/>
                      </w:rPr>
                    </m:ctrlPr>
                  </m:num>
                  <m:den>
                    <m:r>
                      <m:rPr>
                        <m:sty m:val="p"/>
                      </m:rPr>
                      <w:rPr>
                        <w:rFonts w:ascii="Cambria Math" w:eastAsiaTheme="minorEastAsia" w:hAnsi="Cambria Math"/>
                        <w:color w:val="000000" w:themeColor="text1"/>
                        <w:vertAlign w:val="superscript"/>
                      </w:rPr>
                      <m:t>144</m:t>
                    </m:r>
                    <m:r>
                      <m:rPr>
                        <m:sty m:val="p"/>
                      </m:rPr>
                      <w:rPr>
                        <w:rFonts w:ascii="Cambria Math" w:eastAsiaTheme="minorEastAsia" w:hAnsi="Cambria Math"/>
                        <w:color w:val="000000" w:themeColor="text1"/>
                      </w:rPr>
                      <m:t>Nd</m:t>
                    </m:r>
                  </m:den>
                </m:f>
                <m:r>
                  <w:rPr>
                    <w:rFonts w:ascii="Cambria Math" w:eastAsiaTheme="minorEastAsia" w:hAnsi="Cambria Math"/>
                    <w:color w:val="000000" w:themeColor="text1"/>
                  </w:rPr>
                  <m:t>)</m:t>
                </m:r>
              </m:e>
              <m:sub>
                <m:r>
                  <m:rPr>
                    <m:nor/>
                  </m:rPr>
                  <w:rPr>
                    <w:rFonts w:ascii="Cambria Math" w:eastAsiaTheme="minorEastAsia" w:hAnsi="Cambria Math"/>
                    <w:color w:val="000000" w:themeColor="text1"/>
                  </w:rPr>
                  <m:t>CHUR</m:t>
                </m:r>
              </m:sub>
            </m:sSub>
          </m:den>
        </m:f>
        <m:r>
          <w:rPr>
            <w:rFonts w:ascii="Cambria Math" w:eastAsiaTheme="minorEastAsia" w:hAnsi="Cambria Math"/>
            <w:color w:val="000000" w:themeColor="text1"/>
          </w:rPr>
          <m:t>)×10000</m:t>
        </m:r>
      </m:oMath>
      <w:r w:rsidRPr="00557062">
        <w:rPr>
          <w:rFonts w:eastAsiaTheme="minorEastAsia"/>
          <w:color w:val="000000" w:themeColor="text1"/>
        </w:rPr>
        <w:t xml:space="preserve">) are calculated using the ratio of the radiogenic decay product and a stable isotope of the produced element (i.e., </w:t>
      </w:r>
      <w:r w:rsidRPr="00557062">
        <w:rPr>
          <w:rFonts w:eastAsiaTheme="minorEastAsia"/>
          <w:color w:val="000000" w:themeColor="text1"/>
          <w:vertAlign w:val="superscript"/>
        </w:rPr>
        <w:t>143</w:t>
      </w:r>
      <w:r w:rsidRPr="00557062">
        <w:rPr>
          <w:rFonts w:eastAsiaTheme="minorEastAsia"/>
          <w:color w:val="000000" w:themeColor="text1"/>
        </w:rPr>
        <w:t>Nd-</w:t>
      </w:r>
      <w:r w:rsidRPr="00557062">
        <w:rPr>
          <w:rFonts w:eastAsiaTheme="minorEastAsia"/>
          <w:color w:val="000000" w:themeColor="text1"/>
          <w:vertAlign w:val="superscript"/>
        </w:rPr>
        <w:t>144</w:t>
      </w:r>
      <w:r w:rsidRPr="00557062">
        <w:rPr>
          <w:rFonts w:eastAsiaTheme="minorEastAsia"/>
          <w:color w:val="000000" w:themeColor="text1"/>
        </w:rPr>
        <w:t xml:space="preserve">Nd for </w:t>
      </w:r>
      <m:oMath>
        <m:r>
          <m:rPr>
            <m:scr m:val="script"/>
          </m:rPr>
          <w:rPr>
            <w:rFonts w:ascii="Cambria Math" w:hAnsi="Cambria Math"/>
            <w:color w:val="000000" w:themeColor="text1"/>
          </w:rPr>
          <m:t>E</m:t>
        </m:r>
      </m:oMath>
      <w:r w:rsidRPr="00557062">
        <w:rPr>
          <w:rFonts w:eastAsiaTheme="minorEastAsia"/>
          <w:color w:val="000000" w:themeColor="text1"/>
          <w:vertAlign w:val="subscript"/>
        </w:rPr>
        <w:t>Nd</w:t>
      </w:r>
      <w:r w:rsidRPr="00557062">
        <w:rPr>
          <w:rFonts w:eastAsiaTheme="minorEastAsia"/>
          <w:color w:val="000000" w:themeColor="text1"/>
        </w:rPr>
        <w:t xml:space="preserve"> and </w:t>
      </w:r>
      <w:r w:rsidRPr="00557062">
        <w:rPr>
          <w:rFonts w:eastAsiaTheme="minorEastAsia"/>
          <w:color w:val="000000" w:themeColor="text1"/>
          <w:vertAlign w:val="superscript"/>
        </w:rPr>
        <w:t>176</w:t>
      </w:r>
      <w:r w:rsidRPr="00557062">
        <w:rPr>
          <w:rFonts w:eastAsiaTheme="minorEastAsia"/>
          <w:color w:val="000000" w:themeColor="text1"/>
        </w:rPr>
        <w:t>Hf-</w:t>
      </w:r>
      <w:r w:rsidRPr="00557062">
        <w:rPr>
          <w:rFonts w:eastAsiaTheme="minorEastAsia"/>
          <w:color w:val="000000" w:themeColor="text1"/>
          <w:vertAlign w:val="superscript"/>
        </w:rPr>
        <w:t>177</w:t>
      </w:r>
      <w:r w:rsidRPr="00557062">
        <w:rPr>
          <w:rFonts w:eastAsiaTheme="minorEastAsia"/>
          <w:color w:val="000000" w:themeColor="text1"/>
        </w:rPr>
        <w:t xml:space="preserve">Hf for </w:t>
      </w:r>
      <m:oMath>
        <m:r>
          <m:rPr>
            <m:scr m:val="script"/>
          </m:rPr>
          <w:rPr>
            <w:rFonts w:ascii="Cambria Math" w:hAnsi="Cambria Math"/>
            <w:color w:val="000000" w:themeColor="text1"/>
          </w:rPr>
          <m:t>E</m:t>
        </m:r>
      </m:oMath>
      <w:r w:rsidRPr="00557062">
        <w:rPr>
          <w:rFonts w:eastAsiaTheme="minorEastAsia"/>
          <w:color w:val="000000" w:themeColor="text1"/>
          <w:vertAlign w:val="subscript"/>
        </w:rPr>
        <w:t>Hf</w:t>
      </w:r>
      <w:r w:rsidRPr="00557062">
        <w:rPr>
          <w:rFonts w:eastAsiaTheme="minorEastAsia"/>
          <w:color w:val="000000" w:themeColor="text1"/>
        </w:rPr>
        <w:t xml:space="preserve">). Since the samples' modern isotopic ratios and ages are known, the initial </w:t>
      </w:r>
      <m:oMath>
        <m:r>
          <m:rPr>
            <m:scr m:val="script"/>
          </m:rPr>
          <w:rPr>
            <w:rFonts w:ascii="Cambria Math" w:hAnsi="Cambria Math"/>
            <w:color w:val="000000" w:themeColor="text1"/>
          </w:rPr>
          <m:t>E</m:t>
        </m:r>
      </m:oMath>
      <w:r w:rsidRPr="00557062">
        <w:rPr>
          <w:rFonts w:eastAsiaTheme="minorEastAsia"/>
          <w:color w:val="000000" w:themeColor="text1"/>
        </w:rPr>
        <w:t xml:space="preserve"> values of a given sample are calculated (initial isotope ratios). Initial isotope ratios are not affected by partial melting or fractional crystallization. Since the two isotopes of these heavy elements follow the same partitioning behavior, the initial </w:t>
      </w:r>
      <m:oMath>
        <m:r>
          <m:rPr>
            <m:scr m:val="script"/>
          </m:rPr>
          <w:rPr>
            <w:rFonts w:ascii="Cambria Math" w:hAnsi="Cambria Math"/>
            <w:color w:val="000000" w:themeColor="text1"/>
          </w:rPr>
          <m:t>E</m:t>
        </m:r>
      </m:oMath>
      <w:r w:rsidRPr="00557062">
        <w:rPr>
          <w:rFonts w:eastAsiaTheme="minorEastAsia"/>
          <w:color w:val="000000" w:themeColor="text1"/>
        </w:rPr>
        <w:t xml:space="preserve"> value represents the mantle source itself.</w:t>
      </w:r>
    </w:p>
    <w:p w14:paraId="5B1608FF" w14:textId="77777777" w:rsidR="001A2E77" w:rsidRDefault="00AB511F" w:rsidP="00AB511F">
      <w:pPr>
        <w:spacing w:line="480" w:lineRule="auto"/>
        <w:ind w:firstLine="720"/>
        <w:rPr>
          <w:rFonts w:eastAsiaTheme="minorEastAsia"/>
          <w:color w:val="000000" w:themeColor="text1"/>
        </w:rPr>
      </w:pPr>
      <w:r w:rsidRPr="00557062">
        <w:rPr>
          <w:rFonts w:eastAsiaTheme="minorEastAsia"/>
          <w:color w:val="000000" w:themeColor="text1"/>
        </w:rPr>
        <w:t xml:space="preserve">The initial </w:t>
      </w:r>
      <m:oMath>
        <m:r>
          <m:rPr>
            <m:scr m:val="script"/>
          </m:rPr>
          <w:rPr>
            <w:rFonts w:ascii="Cambria Math" w:hAnsi="Cambria Math"/>
            <w:color w:val="000000" w:themeColor="text1"/>
          </w:rPr>
          <m:t>E</m:t>
        </m:r>
      </m:oMath>
      <w:r w:rsidRPr="00557062">
        <w:rPr>
          <w:rFonts w:eastAsiaTheme="minorEastAsia"/>
          <w:color w:val="000000" w:themeColor="text1"/>
        </w:rPr>
        <w:t xml:space="preserve"> values of lunar samples show that low-Ti and high-Ti mare basalt sources fan out across the upper right-hand quadrant of the </w:t>
      </w:r>
      <m:oMath>
        <m:sSub>
          <m:sSubPr>
            <m:ctrlPr>
              <w:rPr>
                <w:rFonts w:ascii="Cambria Math" w:eastAsiaTheme="minorEastAsia" w:hAnsi="Cambria Math"/>
                <w:i/>
                <w:color w:val="000000" w:themeColor="text1"/>
              </w:rPr>
            </m:ctrlPr>
          </m:sSubPr>
          <m:e>
            <m:r>
              <m:rPr>
                <m:scr m:val="script"/>
              </m:rPr>
              <w:rPr>
                <w:rFonts w:ascii="Cambria Math" w:eastAsiaTheme="minorEastAsia" w:hAnsi="Cambria Math"/>
                <w:color w:val="000000" w:themeColor="text1"/>
              </w:rPr>
              <m:t>E</m:t>
            </m:r>
          </m:e>
          <m:sub>
            <m:r>
              <m:rPr>
                <m:nor/>
              </m:rPr>
              <w:rPr>
                <w:rFonts w:ascii="Cambria Math" w:eastAsiaTheme="minorEastAsia" w:hAnsi="Cambria Math"/>
                <w:color w:val="000000" w:themeColor="text1"/>
              </w:rPr>
              <m:t>Hf</m:t>
            </m:r>
          </m:sub>
        </m:sSub>
      </m:oMath>
      <w:r w:rsidRPr="00557062">
        <w:rPr>
          <w:rFonts w:eastAsiaTheme="minorEastAsia"/>
          <w:color w:val="000000" w:themeColor="text1"/>
        </w:rPr>
        <w:t xml:space="preserve"> vs. </w:t>
      </w:r>
      <m:oMath>
        <m:sSub>
          <m:sSubPr>
            <m:ctrlPr>
              <w:rPr>
                <w:rFonts w:ascii="Cambria Math" w:eastAsiaTheme="minorEastAsia" w:hAnsi="Cambria Math"/>
                <w:i/>
                <w:color w:val="000000" w:themeColor="text1"/>
              </w:rPr>
            </m:ctrlPr>
          </m:sSubPr>
          <m:e>
            <m:r>
              <m:rPr>
                <m:scr m:val="script"/>
              </m:rPr>
              <w:rPr>
                <w:rFonts w:ascii="Cambria Math" w:eastAsiaTheme="minorEastAsia" w:hAnsi="Cambria Math"/>
                <w:color w:val="000000" w:themeColor="text1"/>
              </w:rPr>
              <m:t>E</m:t>
            </m:r>
          </m:e>
          <m:sub>
            <m:r>
              <m:rPr>
                <m:nor/>
              </m:rPr>
              <w:rPr>
                <w:rFonts w:ascii="Cambria Math" w:eastAsiaTheme="minorEastAsia" w:hAnsi="Cambria Math"/>
                <w:color w:val="000000" w:themeColor="text1"/>
              </w:rPr>
              <m:t>Nd</m:t>
            </m:r>
          </m:sub>
        </m:sSub>
      </m:oMath>
      <w:r w:rsidRPr="00557062">
        <w:rPr>
          <w:rFonts w:eastAsiaTheme="minorEastAsia"/>
          <w:color w:val="000000" w:themeColor="text1"/>
        </w:rPr>
        <w:t xml:space="preserve"> plot similar to our modeled LMO cumulate layers (</w:t>
      </w:r>
      <w:r w:rsidRPr="00AB511F">
        <w:rPr>
          <w:rFonts w:eastAsiaTheme="minorEastAsia"/>
          <w:b/>
          <w:bCs/>
          <w:color w:val="000000" w:themeColor="text1"/>
        </w:rPr>
        <w:t>Figure 2.12c</w:t>
      </w:r>
      <w:r w:rsidRPr="00557062">
        <w:rPr>
          <w:rFonts w:eastAsiaTheme="minorEastAsia"/>
          <w:color w:val="000000" w:themeColor="text1"/>
        </w:rPr>
        <w:t xml:space="preserve">). </w:t>
      </w:r>
    </w:p>
    <w:p w14:paraId="51966E1D" w14:textId="77777777" w:rsidR="001A2E77" w:rsidRDefault="001A2E77">
      <w:pPr>
        <w:rPr>
          <w:rFonts w:eastAsiaTheme="minorEastAsia"/>
          <w:color w:val="000000" w:themeColor="text1"/>
        </w:rPr>
      </w:pPr>
      <w:r>
        <w:rPr>
          <w:rFonts w:eastAsiaTheme="minorEastAsia"/>
          <w:color w:val="000000" w:themeColor="text1"/>
        </w:rPr>
        <w:br w:type="page"/>
      </w:r>
    </w:p>
    <w:p w14:paraId="71F9579D" w14:textId="77777777" w:rsidR="001A2E77" w:rsidRDefault="001A2E77" w:rsidP="001A2E77">
      <w:pPr>
        <w:pStyle w:val="FigureCaption"/>
      </w:pPr>
      <w:bookmarkStart w:id="381" w:name="_Toc182944872"/>
      <w:bookmarkStart w:id="382" w:name="_Toc183019419"/>
      <w:bookmarkStart w:id="383" w:name="_Toc185263429"/>
      <w:r w:rsidRPr="004B6832">
        <w:rPr>
          <w:b/>
          <w:bCs/>
        </w:rPr>
        <w:lastRenderedPageBreak/>
        <w:t>Figure 2.12.</w:t>
      </w:r>
      <w:r w:rsidRPr="00557062">
        <w:t xml:space="preserve"> </w:t>
      </w:r>
      <w:r w:rsidRPr="00325EAD">
        <w:t>Comparison of measured and modeled isotopic compositions for lunar mantle sources. Panels (a) and (b) compare the trace element ratios and age-corrected isotope ratios in the same lunar samples. (</w:t>
      </w:r>
      <w:r w:rsidRPr="00325EAD">
        <w:rPr>
          <w:vertAlign w:val="superscript"/>
        </w:rPr>
        <w:t>147</w:t>
      </w:r>
      <w:r w:rsidRPr="00325EAD">
        <w:t>Sm/</w:t>
      </w:r>
      <w:r w:rsidRPr="00325EAD">
        <w:rPr>
          <w:vertAlign w:val="superscript"/>
        </w:rPr>
        <w:t>144</w:t>
      </w:r>
      <w:r w:rsidRPr="00325EAD">
        <w:t>Nd)</w:t>
      </w:r>
      <w:r w:rsidRPr="00325EAD">
        <w:rPr>
          <w:vertAlign w:val="subscript"/>
        </w:rPr>
        <w:t>i</w:t>
      </w:r>
      <w:r w:rsidRPr="00325EAD">
        <w:t xml:space="preserve"> and (</w:t>
      </w:r>
      <w:r w:rsidRPr="00325EAD">
        <w:rPr>
          <w:vertAlign w:val="superscript"/>
        </w:rPr>
        <w:t>176</w:t>
      </w:r>
      <w:r w:rsidRPr="00325EAD">
        <w:t>Lu/</w:t>
      </w:r>
      <w:r w:rsidRPr="00325EAD">
        <w:rPr>
          <w:vertAlign w:val="superscript"/>
        </w:rPr>
        <w:t>177</w:t>
      </w:r>
      <w:r w:rsidRPr="00325EAD">
        <w:t>Hf)</w:t>
      </w:r>
      <w:r w:rsidRPr="00325EAD">
        <w:rPr>
          <w:vertAlign w:val="subscript"/>
        </w:rPr>
        <w:t>i</w:t>
      </w:r>
      <w:r w:rsidRPr="00325EAD">
        <w:t xml:space="preserve"> represent the initial isotopic ratio of the lunar samples. Panel (c) compares the calculated isotopic compositions for lunar basalt sources and modeled isotopic compositions for lunar magma ocean cumulates. The initial isotopic composition of the Moon is assumed to be chondritic, and the values of Bouvier et al. (2008) are used in this study. The isotopic model assumes that each reservoir had a chondritic isotope composition at ~4.4 Ga. Evolution lines demonstrate the isotopic evolution of each source over 800 Myr following its formation. Tick marks on each evolution trend correlate with the ages shown along the Layer #6 evolution line. The thick black evolution line represents thickened IBC #2 if no hybridization with the EMOC (i.e., Layer #1) occurs. Panel (d) compares the calculated isotopic compositions for lunar basalt sources and modeled isotopic compositions for hybridized lunar mantle sources following cumulate overturn. Hybridized source lines demonstrate the effect of early cumulate mixing on the isotopic compositions of hybridized mantle sources. IBC #1 assumes no early cumulate mixing, IBC #2 assumes early cumulate mixing between cumulates that form between 88% to 100% LMO solidification, and IBC #3 assumes early cumulate mixing between cumulates that form between 95% to 100% LMO solidification. Small black symbols represent the calculated </w:t>
      </w:r>
      <m:oMath>
        <m:r>
          <m:rPr>
            <m:scr m:val="script"/>
          </m:rPr>
          <w:rPr>
            <w:rFonts w:ascii="Cambria Math" w:hAnsi="Cambria Math"/>
          </w:rPr>
          <m:t>E</m:t>
        </m:r>
      </m:oMath>
      <w:r w:rsidRPr="00325EAD">
        <w:rPr>
          <w:vertAlign w:val="subscript"/>
        </w:rPr>
        <w:t>Nd</w:t>
      </w:r>
      <w:r w:rsidRPr="00325EAD">
        <w:t xml:space="preserve"> and </w:t>
      </w:r>
      <m:oMath>
        <m:r>
          <m:rPr>
            <m:scr m:val="script"/>
          </m:rPr>
          <w:rPr>
            <w:rFonts w:ascii="Cambria Math" w:hAnsi="Cambria Math"/>
          </w:rPr>
          <m:t>E</m:t>
        </m:r>
      </m:oMath>
      <w:r w:rsidRPr="00325EAD">
        <w:rPr>
          <w:vertAlign w:val="subscript"/>
        </w:rPr>
        <w:t>Hf</w:t>
      </w:r>
      <w:r w:rsidRPr="00325EAD">
        <w:t xml:space="preserve"> composition of the sources based on measurements from previous studies. Data plotted include mare basalts (Unruh et al., 1984; Beard et al., 1998; Sprung et al., 2013; Borg et al., 2019), KREEP basalts (Sprung et al., 2013; Gaffney and Borg, 2014), Ferroan Anorthosites (FAN) (Boyet et al., 2015; Borg et al., 2019; Marks et al., 2019; Sio et al., 2020; Borg et al., 2020), and Mg-Suite (Carlson et al., 2014; Gaffney and Borg, 2014; Borg et al., 2020) samples. Panels (a) and (b) demonstrate that the trace element and age-corrected isotope ratios of mantle sources for lunar samples strongly correlate, indicating that the process controlling their trace element composition also controls their initial isotopic ratios. Panel (c) demonstrates that LMO cumulate layers would generate a similar fanning pattern to the lunar basalt samples. Panel (d) demonstrates that mantle hybridization processes like those explored in this study could generate similar isotopic trends to the high-Ti lunar basalt samples.</w:t>
      </w:r>
      <w:bookmarkEnd w:id="381"/>
      <w:bookmarkEnd w:id="382"/>
      <w:bookmarkEnd w:id="383"/>
    </w:p>
    <w:p w14:paraId="5A7CFCE9" w14:textId="43BB5C0C" w:rsidR="001A2E77" w:rsidRDefault="001A2E77">
      <w:pPr>
        <w:rPr>
          <w:color w:val="000000" w:themeColor="text1"/>
        </w:rPr>
      </w:pPr>
      <w:r>
        <w:br w:type="page"/>
      </w:r>
    </w:p>
    <w:p w14:paraId="05C7034B" w14:textId="72313FD6" w:rsidR="001A2E77" w:rsidRDefault="001A2E77" w:rsidP="00AB3975">
      <w:r>
        <w:rPr>
          <w:noProof/>
        </w:rPr>
        <w:lastRenderedPageBreak/>
        <w:drawing>
          <wp:inline distT="0" distB="0" distL="0" distR="0" wp14:anchorId="666AE090" wp14:editId="42B831DC">
            <wp:extent cx="5486400" cy="4265930"/>
            <wp:effectExtent l="0" t="0" r="0" b="1270"/>
            <wp:docPr id="260073213" name="Picture 53" descr="A collage of graphs and diagr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73213" name="Picture 53" descr="A collage of graphs and diagrams&#10;&#10;Description automatically generated"/>
                    <pic:cNvPicPr/>
                  </pic:nvPicPr>
                  <pic:blipFill>
                    <a:blip r:embed="rId202" cstate="print">
                      <a:extLst>
                        <a:ext uri="{28A0092B-C50C-407E-A947-70E740481C1C}">
                          <a14:useLocalDpi xmlns:a14="http://schemas.microsoft.com/office/drawing/2010/main" val="0"/>
                        </a:ext>
                      </a:extLst>
                    </a:blip>
                    <a:stretch>
                      <a:fillRect/>
                    </a:stretch>
                  </pic:blipFill>
                  <pic:spPr>
                    <a:xfrm>
                      <a:off x="0" y="0"/>
                      <a:ext cx="5486400" cy="4265930"/>
                    </a:xfrm>
                    <a:prstGeom prst="rect">
                      <a:avLst/>
                    </a:prstGeom>
                  </pic:spPr>
                </pic:pic>
              </a:graphicData>
            </a:graphic>
          </wp:inline>
        </w:drawing>
      </w:r>
    </w:p>
    <w:p w14:paraId="2CBFCC11" w14:textId="77777777" w:rsidR="001A2E77" w:rsidRDefault="001A2E77">
      <w:pPr>
        <w:rPr>
          <w:rFonts w:eastAsiaTheme="minorEastAsia"/>
          <w:color w:val="000000" w:themeColor="text1"/>
        </w:rPr>
      </w:pPr>
      <w:r>
        <w:rPr>
          <w:rFonts w:eastAsiaTheme="minorEastAsia"/>
          <w:color w:val="000000" w:themeColor="text1"/>
        </w:rPr>
        <w:br w:type="page"/>
      </w:r>
    </w:p>
    <w:p w14:paraId="16112E42" w14:textId="130B1F63" w:rsidR="00F612B6" w:rsidRDefault="00AB511F" w:rsidP="001A2E77">
      <w:pPr>
        <w:spacing w:line="480" w:lineRule="auto"/>
        <w:rPr>
          <w:color w:val="000000" w:themeColor="text1"/>
        </w:rPr>
      </w:pPr>
      <w:r w:rsidRPr="00557062">
        <w:rPr>
          <w:rFonts w:eastAsiaTheme="minorEastAsia"/>
          <w:color w:val="000000" w:themeColor="text1"/>
        </w:rPr>
        <w:lastRenderedPageBreak/>
        <w:t>Low-Ti mare basalt sources fall between the evolution lines for the first three cumulate layers, while some high-Ti basalt sources fall along the evolution line for layers #2, #4, and #5. Most high-Ti basalt source values fall below the evolution line for layer #5 (i.e., the layer before the IBC). Models demonstrate that mixing between evolved cumulates from layer #6 (i.e., the thin IBC) or a thickened IBC layer and EMOC material (i.e., Layer #1) shift the trend of a hybridized source toward that observed in the high-Ti mare basalt samples (</w:t>
      </w:r>
      <w:r w:rsidRPr="00AB511F">
        <w:rPr>
          <w:rFonts w:eastAsiaTheme="minorEastAsia"/>
          <w:b/>
          <w:bCs/>
          <w:color w:val="000000" w:themeColor="text1"/>
        </w:rPr>
        <w:t>Figure 2.12d</w:t>
      </w:r>
      <w:r w:rsidRPr="00557062">
        <w:rPr>
          <w:rFonts w:eastAsiaTheme="minorEastAsia"/>
          <w:color w:val="000000" w:themeColor="text1"/>
        </w:rPr>
        <w:t xml:space="preserve">). The IBC isotope signature will dominate the hybridized source signature owing to the REE and Hf-rich nature of the late crystallizing LMO cumulates. In </w:t>
      </w:r>
      <w:r w:rsidRPr="00AB511F">
        <w:rPr>
          <w:rFonts w:eastAsiaTheme="minorEastAsia"/>
          <w:b/>
          <w:bCs/>
          <w:color w:val="000000" w:themeColor="text1"/>
        </w:rPr>
        <w:t>Figure 2.12d</w:t>
      </w:r>
      <w:r w:rsidRPr="00557062">
        <w:rPr>
          <w:rFonts w:eastAsiaTheme="minorEastAsia"/>
          <w:color w:val="000000" w:themeColor="text1"/>
        </w:rPr>
        <w:t>, several cases are tested: those where IBC are thickened by early cumulate sinking (as in Scenarios #6 and #7) (Thickened IBC #2), and cases where the IBC layers are produced by fractional crystallization (as in Scenarios #1-#5) (Thin IBC #1) (</w:t>
      </w:r>
      <w:r w:rsidRPr="00AB511F">
        <w:rPr>
          <w:rFonts w:eastAsiaTheme="minorEastAsia"/>
          <w:b/>
          <w:bCs/>
          <w:color w:val="000000" w:themeColor="text1"/>
        </w:rPr>
        <w:t>Figure 2.12c-d</w:t>
      </w:r>
      <w:r w:rsidRPr="00557062">
        <w:rPr>
          <w:rFonts w:eastAsiaTheme="minorEastAsia"/>
          <w:color w:val="000000" w:themeColor="text1"/>
        </w:rPr>
        <w:t xml:space="preserve">). The results demonstrate that many hybridization scenarios for these cases could produce the </w:t>
      </w:r>
      <w:r w:rsidRPr="00557062">
        <w:rPr>
          <w:color w:val="000000" w:themeColor="text1"/>
        </w:rPr>
        <w:t>Sm-Nd and Lu-Hf isotopic ratios of the high-Ti mare basalts (</w:t>
      </w:r>
      <w:r w:rsidRPr="00AB511F">
        <w:rPr>
          <w:rFonts w:eastAsiaTheme="minorEastAsia"/>
          <w:b/>
          <w:bCs/>
          <w:color w:val="000000" w:themeColor="text1"/>
        </w:rPr>
        <w:t>Figure 2.12c</w:t>
      </w:r>
      <w:r w:rsidRPr="00557062">
        <w:rPr>
          <w:rFonts w:eastAsiaTheme="minorEastAsia"/>
          <w:color w:val="000000" w:themeColor="text1"/>
        </w:rPr>
        <w:t>)</w:t>
      </w:r>
      <w:r w:rsidRPr="00557062">
        <w:rPr>
          <w:color w:val="000000" w:themeColor="text1"/>
        </w:rPr>
        <w:t>.</w:t>
      </w:r>
    </w:p>
    <w:p w14:paraId="6E646FE9" w14:textId="77777777" w:rsidR="009F4042" w:rsidRPr="00557062" w:rsidRDefault="009F4042" w:rsidP="009F4042">
      <w:pPr>
        <w:pStyle w:val="Heading2"/>
      </w:pPr>
      <w:bookmarkStart w:id="384" w:name="_Toc182995492"/>
      <w:bookmarkStart w:id="385" w:name="_Toc183536617"/>
      <w:bookmarkStart w:id="386" w:name="_Toc184727421"/>
      <w:bookmarkStart w:id="387" w:name="_Toc185325668"/>
      <w:r w:rsidRPr="00557062">
        <w:t>Conclusions</w:t>
      </w:r>
      <w:bookmarkEnd w:id="384"/>
      <w:bookmarkEnd w:id="385"/>
      <w:bookmarkEnd w:id="386"/>
      <w:bookmarkEnd w:id="387"/>
    </w:p>
    <w:p w14:paraId="029A2404" w14:textId="1E264246" w:rsidR="009F4042" w:rsidRDefault="009F4042" w:rsidP="009F4042">
      <w:pPr>
        <w:spacing w:line="480" w:lineRule="auto"/>
        <w:ind w:firstLine="720"/>
        <w:rPr>
          <w:color w:val="000000" w:themeColor="text1"/>
        </w:rPr>
      </w:pPr>
      <w:r w:rsidRPr="00557062">
        <w:rPr>
          <w:color w:val="000000" w:themeColor="text1"/>
        </w:rPr>
        <w:t xml:space="preserve">This work attempts to constrain processes producing the geochemical characteristics of lunar picritic glasses using trace element geochemical models. Using experimentally determined LMO cumulate solidification sequences and up-to-date lunar trace element partition coefficients, we model chemical fractionation during LMO solidification, mantle hybridization, and partial melting. Geochemical models of LMO solidification demonstrate that the early-crystallizing cumulates have relatively REE-poor compositions with respect to the lunar picritic glasses and late-crystallizing LMO </w:t>
      </w:r>
      <w:r w:rsidRPr="00557062">
        <w:rPr>
          <w:color w:val="000000" w:themeColor="text1"/>
        </w:rPr>
        <w:lastRenderedPageBreak/>
        <w:t>cumulates. The LMO solidification models also indicate that LMO residual liquids do not have slopes consistent with KREEP basalts and other lunar materials with a KREEPy signature, implying that assimilation models would fail to produce “KREEP”. The partial melting of LMO cumulate layers or hybridized sources is consistent with samples with KREEPy character. Models testing partial melting of LMO cumulates containing plagioclase suggest that these melts would have the wrong sign of Eu anomaly if plagioclase abundance is elevated in the basalt source cumulates. Thus, plagioclase floatation must be &gt;90% efficient to explain the REE patterns of high-Ti mafic lunar samples.</w:t>
      </w:r>
    </w:p>
    <w:p w14:paraId="365D2ABC" w14:textId="77777777" w:rsidR="009F4042" w:rsidRPr="00557062" w:rsidRDefault="009F4042" w:rsidP="009F4042">
      <w:pPr>
        <w:spacing w:line="480" w:lineRule="auto"/>
        <w:ind w:firstLine="720"/>
        <w:rPr>
          <w:color w:val="000000" w:themeColor="text1"/>
        </w:rPr>
      </w:pPr>
      <w:r w:rsidRPr="00557062">
        <w:rPr>
          <w:color w:val="000000" w:themeColor="text1"/>
        </w:rPr>
        <w:t>LMO cumulate melting models demonstrate that partial melting of the primary (i.e., unhybridized) LMO cumulates cannot account for the HREE-depleted compositions of intermediate- and high-Ti lunar picritic glasses. The elevated Ti and REE compositions correlated with the relatively Mg-rich composition of some lunar picritic glasses is evidence of interaction between late-crystallizing (i.e., shallow) and early-crystallizing (i.e., deep) LMO mantle cumulates. Such interactions would be produced by lunar cumulate mantle overturn events, which bring ilmenite-bearing cumulate materials that crystallized from the late LMO into the lunar interior.</w:t>
      </w:r>
    </w:p>
    <w:p w14:paraId="46F8A82A" w14:textId="14DC013A" w:rsidR="00F612B6" w:rsidRPr="001A2E77" w:rsidRDefault="009F4042" w:rsidP="001A2E77">
      <w:pPr>
        <w:spacing w:line="480" w:lineRule="auto"/>
        <w:ind w:firstLine="720"/>
        <w:rPr>
          <w:color w:val="000000" w:themeColor="text1"/>
        </w:rPr>
      </w:pPr>
      <w:r w:rsidRPr="00557062">
        <w:rPr>
          <w:color w:val="000000" w:themeColor="text1"/>
        </w:rPr>
        <w:t xml:space="preserve">The implications for such overturn events for the mineralogy of the lunar mantle were explored in thermodynamic simulations. Garnet stabilization in downwelling IBC material would occur at pressures above ~2 GPa during lunar cumulate overturn events. Partial melting models demonstrate that the HREE-depleted composition of the high-Ti lunar orange glass samples is consistent with a garnet-bearing mantle source. These </w:t>
      </w:r>
      <w:r w:rsidRPr="00557062">
        <w:rPr>
          <w:color w:val="000000" w:themeColor="text1"/>
        </w:rPr>
        <w:lastRenderedPageBreak/>
        <w:t xml:space="preserve">models suggest that the location of garnet formation (i.e., in downwelling IBC that fertilizes mantle sources or in the hybridized mantle sources themselves) is less important than the overall abundance of garnet with respect to the generation of HREE-depleted melts. </w:t>
      </w:r>
    </w:p>
    <w:p w14:paraId="4ACBD207" w14:textId="16A02E6B" w:rsidR="00AB0FF7" w:rsidRPr="002E072C" w:rsidRDefault="00AB511F" w:rsidP="009F4042">
      <w:pPr>
        <w:spacing w:line="480" w:lineRule="auto"/>
        <w:ind w:firstLine="720"/>
        <w:rPr>
          <w:rFonts w:eastAsiaTheme="minorEastAsia"/>
          <w:color w:val="000000" w:themeColor="text1"/>
        </w:rPr>
      </w:pPr>
      <w:r w:rsidRPr="00557062">
        <w:rPr>
          <w:color w:val="000000" w:themeColor="text1"/>
        </w:rPr>
        <w:t>We explored different mantle hybridization scenarios involving combinations of IBC and early LMO cumulates. Models show that ~0.25-5% garnet would be required to account for the HREE depletion in lunar orange glasses. This is generally consistent with thermodynamic models of a metamorphosed IBC, assuming 90-95% plagioclase floatation during crustal formation. Model parameters and mixing proportions for the hybridization scenarios tested in this study explain multiple geochemical features in high-Ti lunar samples, i.e., their REE enrichment, HFSE enrichment, Eu depletion, HREE depletion, and elevated Mg# relative to high-Ti LMO cumulates as well as their Nd and Hf isotopic compositions. We argue that the orange picritic glasses' garnet signature and high-Ti composition are strong evidence of cumulate overturn during the early lunar formation and differentiation process.</w:t>
      </w:r>
    </w:p>
    <w:p w14:paraId="45828971" w14:textId="1B916AB7" w:rsidR="00CD4C96" w:rsidRDefault="00CD4C96" w:rsidP="002F7368">
      <w:pPr>
        <w:pStyle w:val="Heading2"/>
        <w:rPr>
          <w:rStyle w:val="Strong"/>
          <w:b/>
          <w:bCs/>
        </w:rPr>
      </w:pPr>
      <w:bookmarkStart w:id="388" w:name="_Toc182331766"/>
      <w:bookmarkStart w:id="389" w:name="_Toc182995493"/>
      <w:bookmarkStart w:id="390" w:name="_Toc183536618"/>
      <w:bookmarkStart w:id="391" w:name="_Toc184727422"/>
      <w:bookmarkStart w:id="392" w:name="_Toc185325669"/>
      <w:r w:rsidRPr="00CD4C96">
        <w:rPr>
          <w:rStyle w:val="Strong"/>
          <w:b/>
          <w:bCs/>
        </w:rPr>
        <w:t>Acknowledgements</w:t>
      </w:r>
      <w:bookmarkEnd w:id="388"/>
      <w:bookmarkEnd w:id="389"/>
      <w:bookmarkEnd w:id="390"/>
      <w:bookmarkEnd w:id="391"/>
      <w:bookmarkEnd w:id="392"/>
    </w:p>
    <w:p w14:paraId="69CEA695" w14:textId="2C870CD9" w:rsidR="00CD4C96" w:rsidRDefault="00906106" w:rsidP="00143114">
      <w:pPr>
        <w:spacing w:line="480" w:lineRule="auto"/>
        <w:ind w:firstLine="576"/>
        <w:rPr>
          <w:color w:val="000000" w:themeColor="text1"/>
        </w:rPr>
      </w:pPr>
      <w:r w:rsidRPr="007F2D9E">
        <w:rPr>
          <w:color w:val="000000" w:themeColor="text1"/>
        </w:rPr>
        <w:t>This work was supported by NASA Solar System Workings award 80NSSC20K0467 to ND</w:t>
      </w:r>
      <w:r w:rsidR="002E072C" w:rsidRPr="002E072C">
        <w:t xml:space="preserve"> </w:t>
      </w:r>
      <w:r w:rsidR="002E072C" w:rsidRPr="002E072C">
        <w:rPr>
          <w:color w:val="000000" w:themeColor="text1"/>
        </w:rPr>
        <w:t>and a Tennessee Fellowship for Graduate Excellence to JS</w:t>
      </w:r>
      <w:r w:rsidRPr="007F2D9E">
        <w:rPr>
          <w:color w:val="000000" w:themeColor="text1"/>
        </w:rPr>
        <w:t>.</w:t>
      </w:r>
    </w:p>
    <w:p w14:paraId="2146FE4C" w14:textId="0ED9DAE8" w:rsidR="002E072C" w:rsidRPr="008F67EC" w:rsidRDefault="002E072C" w:rsidP="002F7368">
      <w:pPr>
        <w:pStyle w:val="Heading2"/>
      </w:pPr>
      <w:bookmarkStart w:id="393" w:name="_Toc182995494"/>
      <w:bookmarkStart w:id="394" w:name="_Toc183536619"/>
      <w:bookmarkStart w:id="395" w:name="_Toc184727423"/>
      <w:bookmarkStart w:id="396" w:name="_Toc185325670"/>
      <w:r w:rsidRPr="008F67EC">
        <w:t xml:space="preserve">Open Research </w:t>
      </w:r>
      <w:r>
        <w:t>Statement</w:t>
      </w:r>
      <w:bookmarkEnd w:id="393"/>
      <w:bookmarkEnd w:id="394"/>
      <w:bookmarkEnd w:id="395"/>
      <w:bookmarkEnd w:id="396"/>
    </w:p>
    <w:p w14:paraId="726290F5" w14:textId="0C6323AF" w:rsidR="00A2762E" w:rsidRPr="001A2E77" w:rsidRDefault="002E072C" w:rsidP="001A2E77">
      <w:pPr>
        <w:spacing w:line="480" w:lineRule="auto"/>
        <w:ind w:firstLine="576"/>
      </w:pPr>
      <w:r>
        <w:tab/>
        <w:t xml:space="preserve">An example of our </w:t>
      </w:r>
      <w:r w:rsidRPr="00557062">
        <w:rPr>
          <w:color w:val="000000" w:themeColor="text1"/>
        </w:rPr>
        <w:t>MATLAB script, which may be used to model trace element fractionation during LMO solidification</w:t>
      </w:r>
      <w:r>
        <w:rPr>
          <w:color w:val="000000" w:themeColor="text1"/>
        </w:rPr>
        <w:t xml:space="preserve"> has been published on Zenodo (Scholpp and Dygert, 2024b).</w:t>
      </w:r>
      <w:r>
        <w:t xml:space="preserve"> </w:t>
      </w:r>
      <w:hyperlink r:id="rId203" w:history="1">
        <w:r w:rsidRPr="002E072C">
          <w:rPr>
            <w:rStyle w:val="Hyperlink"/>
            <w:rFonts w:ascii="Times New Roman" w:hAnsi="Times New Roman"/>
            <w:color w:val="000000" w:themeColor="text1"/>
          </w:rPr>
          <w:t>https://doi.org/10.5281/zenodo.14172014</w:t>
        </w:r>
      </w:hyperlink>
      <w:r w:rsidR="00A2762E">
        <w:rPr>
          <w:b/>
          <w:bCs/>
        </w:rPr>
        <w:br w:type="page"/>
      </w:r>
    </w:p>
    <w:p w14:paraId="008C1303" w14:textId="10A70474" w:rsidR="00B71651" w:rsidRPr="004B25DE" w:rsidRDefault="00CD4C96" w:rsidP="00AF7609">
      <w:pPr>
        <w:pStyle w:val="NonNumberedHeading2"/>
        <w:spacing w:line="480" w:lineRule="auto"/>
      </w:pPr>
      <w:bookmarkStart w:id="397" w:name="_Toc184727424"/>
      <w:bookmarkStart w:id="398" w:name="_Toc185325671"/>
      <w:r w:rsidRPr="004B25DE">
        <w:lastRenderedPageBreak/>
        <w:t>References</w:t>
      </w:r>
      <w:bookmarkEnd w:id="397"/>
      <w:bookmarkEnd w:id="398"/>
    </w:p>
    <w:p w14:paraId="7D341A54" w14:textId="77777777" w:rsidR="00DE5981" w:rsidRPr="00DE5981" w:rsidRDefault="00DE5981" w:rsidP="00AF7609">
      <w:pPr>
        <w:spacing w:line="480" w:lineRule="auto"/>
        <w:ind w:left="450" w:hanging="450"/>
      </w:pPr>
      <w:r w:rsidRPr="00DE5981">
        <w:t>Anders, E., and Grevesse, N., 1989, Abundances of the elements: Meteoritic and solar: Geochimica et Cosmochimica Acta, v. 53, p. 197–214, doi:</w:t>
      </w:r>
      <w:hyperlink r:id="rId204" w:history="1">
        <w:r w:rsidRPr="00DE5981">
          <w:rPr>
            <w:color w:val="0000FF"/>
            <w:u w:val="single"/>
          </w:rPr>
          <w:t>10.1016/0016-7037(89)90286-X</w:t>
        </w:r>
      </w:hyperlink>
      <w:r w:rsidRPr="00DE5981">
        <w:t>.</w:t>
      </w:r>
    </w:p>
    <w:p w14:paraId="52E2F2D7" w14:textId="77777777" w:rsidR="00DE5981" w:rsidRPr="00DE5981" w:rsidRDefault="00DE5981" w:rsidP="00AF7609">
      <w:pPr>
        <w:spacing w:line="480" w:lineRule="auto"/>
        <w:ind w:left="450" w:hanging="450"/>
      </w:pPr>
      <w:r w:rsidRPr="00DE5981">
        <w:t>Baker, M.B., and Stolper, E.M., 1994, Determining the composition of high-pressure mantle melts using diamond aggregates: Geochimica et Cosmochimica Acta, v. 58, p. 2811–2827, doi:</w:t>
      </w:r>
      <w:hyperlink r:id="rId205" w:history="1">
        <w:r w:rsidRPr="00DE5981">
          <w:rPr>
            <w:color w:val="0000FF"/>
            <w:u w:val="single"/>
          </w:rPr>
          <w:t>10.1016/0016-7037(94)90116-3</w:t>
        </w:r>
      </w:hyperlink>
      <w:r w:rsidRPr="00DE5981">
        <w:t>.</w:t>
      </w:r>
    </w:p>
    <w:p w14:paraId="678AF25A" w14:textId="77777777" w:rsidR="00DE5981" w:rsidRPr="00DE5981" w:rsidRDefault="00DE5981" w:rsidP="00AF7609">
      <w:pPr>
        <w:spacing w:line="480" w:lineRule="auto"/>
        <w:ind w:left="450" w:hanging="450"/>
      </w:pPr>
      <w:r w:rsidRPr="00DE5981">
        <w:t>Barr, J.A., and Grove, T.L., 2013, Experimental petrology of the Apollo 15 group A green glasses: Melting primordial lunar mantle and magma ocean cumulate assimilation: Geochimica et Cosmochimica Acta, v. 106, p. 216–230, doi:</w:t>
      </w:r>
      <w:hyperlink r:id="rId206" w:history="1">
        <w:r w:rsidRPr="00DE5981">
          <w:rPr>
            <w:color w:val="0000FF"/>
            <w:u w:val="single"/>
          </w:rPr>
          <w:t>10.1016/j.gca.2012.12.035</w:t>
        </w:r>
      </w:hyperlink>
      <w:r w:rsidRPr="00DE5981">
        <w:t>.</w:t>
      </w:r>
    </w:p>
    <w:p w14:paraId="58805523" w14:textId="77777777" w:rsidR="00DE5981" w:rsidRPr="00DE5981" w:rsidRDefault="00DE5981" w:rsidP="00AF7609">
      <w:pPr>
        <w:spacing w:line="480" w:lineRule="auto"/>
        <w:ind w:left="450" w:hanging="450"/>
      </w:pPr>
      <w:r w:rsidRPr="00DE5981">
        <w:t>Beard, B.L., Taylor, L.A., Scherer, E.E., Johnson, C.M., and Snyder, G.A., 1998, The Source Region and Melting Mineralogy of High-Titanium and Low-Titanium Lunar Basalts Deduced from Lu-Hf Isotope Data: Geochimica et Cosmochimica Acta, v. 62, p. 525–544, doi:</w:t>
      </w:r>
      <w:hyperlink r:id="rId207" w:history="1">
        <w:r w:rsidRPr="00DE5981">
          <w:rPr>
            <w:color w:val="0000FF"/>
            <w:u w:val="single"/>
          </w:rPr>
          <w:t>10.1016/S0016-7037(97)00373-6</w:t>
        </w:r>
      </w:hyperlink>
      <w:r w:rsidRPr="00DE5981">
        <w:t>.</w:t>
      </w:r>
    </w:p>
    <w:p w14:paraId="4E4F15E0" w14:textId="77777777" w:rsidR="00DE5981" w:rsidRPr="00DE5981" w:rsidRDefault="00DE5981" w:rsidP="00AF7609">
      <w:pPr>
        <w:spacing w:line="480" w:lineRule="auto"/>
        <w:ind w:left="450" w:hanging="450"/>
      </w:pPr>
      <w:r w:rsidRPr="00DE5981">
        <w:t>Borg, L.E., and Carlson, R.W., 2023, The evolving chronology of moon formation: Annual Review of Earth and Planetary Sciences, v. 51, p. 25–52.</w:t>
      </w:r>
    </w:p>
    <w:p w14:paraId="4B071D5F" w14:textId="77777777" w:rsidR="00DE5981" w:rsidRPr="00DE5981" w:rsidRDefault="00DE5981" w:rsidP="00AF7609">
      <w:pPr>
        <w:spacing w:line="480" w:lineRule="auto"/>
        <w:ind w:left="450" w:hanging="450"/>
      </w:pPr>
      <w:r w:rsidRPr="00DE5981">
        <w:t>Borg, L.E., Cassata, W.S., Wimpenny, J., Gaffney, A.M., and Shearer, C.K., 2020, The formation and evolution of the Moon’s crust inferred from the Sm-Nd isotopic systematics of highlands rocks: Geochimica et Cosmochimica Acta, v. 290, p. 312–332, doi:</w:t>
      </w:r>
      <w:hyperlink r:id="rId208" w:history="1">
        <w:r w:rsidRPr="00DE5981">
          <w:rPr>
            <w:color w:val="0000FF"/>
            <w:u w:val="single"/>
          </w:rPr>
          <w:t>10.1016/j.gca.2020.09.013</w:t>
        </w:r>
      </w:hyperlink>
      <w:r w:rsidRPr="00DE5981">
        <w:t>.</w:t>
      </w:r>
    </w:p>
    <w:p w14:paraId="6AFEAE09" w14:textId="77777777" w:rsidR="00DE5981" w:rsidRPr="00DE5981" w:rsidRDefault="00DE5981" w:rsidP="00AF7609">
      <w:pPr>
        <w:spacing w:line="480" w:lineRule="auto"/>
        <w:ind w:left="450" w:hanging="450"/>
      </w:pPr>
      <w:r w:rsidRPr="00DE5981">
        <w:lastRenderedPageBreak/>
        <w:t>Borg, L.E., Gaffney, A.M., Kruijer, T.S., Marks, N.A., Sio, C.K., and Wimpenny, J., 2019, Isotopic evidence for a young lunar magma ocean: Earth and Planetary Science Letters, v. 523, p. 115706, doi:</w:t>
      </w:r>
      <w:hyperlink r:id="rId209" w:history="1">
        <w:r w:rsidRPr="00DE5981">
          <w:rPr>
            <w:color w:val="0000FF"/>
            <w:u w:val="single"/>
          </w:rPr>
          <w:t>10.1016/j.epsl.2019.07.008</w:t>
        </w:r>
      </w:hyperlink>
      <w:r w:rsidRPr="00DE5981">
        <w:t>.</w:t>
      </w:r>
    </w:p>
    <w:p w14:paraId="47677805" w14:textId="77777777" w:rsidR="00DE5981" w:rsidRPr="00DE5981" w:rsidRDefault="00DE5981" w:rsidP="00AF7609">
      <w:pPr>
        <w:spacing w:line="480" w:lineRule="auto"/>
        <w:ind w:left="450" w:hanging="450"/>
      </w:pPr>
      <w:r w:rsidRPr="00DE5981">
        <w:t>Bouvier, A., Vervoort, J.D., and Patchett, P.J., 2008, The Lu–Hf and Sm–Nd isotopic composition of CHUR: Constraints from unequilibrated chondrites and implications for the bulk composition of terrestrial planets: Earth and Planetary Science Letters, v. 273, p. 48–57, doi:</w:t>
      </w:r>
      <w:hyperlink r:id="rId210" w:history="1">
        <w:r w:rsidRPr="00DE5981">
          <w:rPr>
            <w:color w:val="0000FF"/>
            <w:u w:val="single"/>
          </w:rPr>
          <w:t>10.1016/j.epsl.2008.06.010</w:t>
        </w:r>
      </w:hyperlink>
      <w:r w:rsidRPr="00DE5981">
        <w:t>.</w:t>
      </w:r>
    </w:p>
    <w:p w14:paraId="67742F41" w14:textId="77777777" w:rsidR="00DE5981" w:rsidRPr="00DE5981" w:rsidRDefault="00DE5981" w:rsidP="00AF7609">
      <w:pPr>
        <w:spacing w:line="480" w:lineRule="auto"/>
        <w:ind w:left="450" w:hanging="450"/>
      </w:pPr>
      <w:r w:rsidRPr="00DE5981">
        <w:t>Boyet, M., Carlson, R.W., Borg, L.E., and Horan, M., 2015, Sm–Nd systematics of lunar ferroan anorthositic suite rocks: Constraints on lunar crust formation: Geochimica et Cosmochimica Acta, v. 148, p. 203–218, doi:</w:t>
      </w:r>
      <w:hyperlink r:id="rId211" w:history="1">
        <w:r w:rsidRPr="00DE5981">
          <w:rPr>
            <w:color w:val="0000FF"/>
            <w:u w:val="single"/>
          </w:rPr>
          <w:t>10.1016/j.gca.2014.09.021</w:t>
        </w:r>
      </w:hyperlink>
      <w:r w:rsidRPr="00DE5981">
        <w:t>.</w:t>
      </w:r>
    </w:p>
    <w:p w14:paraId="6F45CFD7" w14:textId="77777777" w:rsidR="00DE5981" w:rsidRPr="00DE5981" w:rsidRDefault="00DE5981" w:rsidP="00AF7609">
      <w:pPr>
        <w:spacing w:line="480" w:lineRule="auto"/>
        <w:ind w:left="450" w:hanging="450"/>
      </w:pPr>
      <w:r w:rsidRPr="00DE5981">
        <w:t>Brey, G.P., Girnis, A.V., Bulatov, V.K., Höfer, H.E., Gerdes, A., and Woodland, A.B., 2015, Reduced sediment melting at 7.5–12 GPa: phase relations, geochemical signals and diamond nucleation: Contributions to Mineralogy and Petrology, v. 170, p. 18, doi:</w:t>
      </w:r>
      <w:hyperlink r:id="rId212" w:history="1">
        <w:r w:rsidRPr="00DE5981">
          <w:rPr>
            <w:color w:val="0000FF"/>
            <w:u w:val="single"/>
          </w:rPr>
          <w:t>10.1007/s00410-015-1166-z</w:t>
        </w:r>
      </w:hyperlink>
      <w:r w:rsidRPr="00DE5981">
        <w:t>.</w:t>
      </w:r>
    </w:p>
    <w:p w14:paraId="64435547" w14:textId="77777777" w:rsidR="00DE5981" w:rsidRPr="00DE5981" w:rsidRDefault="00DE5981" w:rsidP="00AF7609">
      <w:pPr>
        <w:spacing w:line="480" w:lineRule="auto"/>
        <w:ind w:left="450" w:hanging="450"/>
      </w:pPr>
      <w:r w:rsidRPr="00DE5981">
        <w:t>Brown, S.M., and Grove, T.L., 2015, Origin of the Apollo 14, 15, and 17 yellow ultramafic glasses by mixing of deep cumulate remelts: Geochimica et Cosmochimica Acta, v. 171, p. 201–215, doi:</w:t>
      </w:r>
      <w:hyperlink r:id="rId213" w:history="1">
        <w:r w:rsidRPr="00DE5981">
          <w:rPr>
            <w:color w:val="0000FF"/>
            <w:u w:val="single"/>
          </w:rPr>
          <w:t>10.1016/j.gca.2015.09.001</w:t>
        </w:r>
      </w:hyperlink>
      <w:r w:rsidRPr="00DE5981">
        <w:t>.</w:t>
      </w:r>
    </w:p>
    <w:p w14:paraId="062B6D79" w14:textId="77777777" w:rsidR="00DE5981" w:rsidRPr="00DE5981" w:rsidRDefault="00DE5981" w:rsidP="00AF7609">
      <w:pPr>
        <w:spacing w:line="480" w:lineRule="auto"/>
        <w:ind w:left="450" w:hanging="450"/>
      </w:pPr>
      <w:r w:rsidRPr="00DE5981">
        <w:t>Cano, E.J., Sharp, Z.D., and Shearer, C.K., 2020, Distinct oxygen isotope compositions of the Earth and Moon: Nature Geoscience, v. 13, p. 270–274, doi:</w:t>
      </w:r>
      <w:hyperlink r:id="rId214" w:history="1">
        <w:r w:rsidRPr="00DE5981">
          <w:rPr>
            <w:color w:val="0000FF"/>
            <w:u w:val="single"/>
          </w:rPr>
          <w:t>10.1038/s41561-020-0550-0</w:t>
        </w:r>
      </w:hyperlink>
      <w:r w:rsidRPr="00DE5981">
        <w:t>.</w:t>
      </w:r>
    </w:p>
    <w:p w14:paraId="4B1364EB" w14:textId="77777777" w:rsidR="00DE5981" w:rsidRPr="00DE5981" w:rsidRDefault="00DE5981" w:rsidP="00AF7609">
      <w:pPr>
        <w:spacing w:line="480" w:lineRule="auto"/>
        <w:ind w:left="450" w:hanging="450"/>
      </w:pPr>
      <w:r w:rsidRPr="00DE5981">
        <w:t>Canup, R.M., 2012, Forming a Moon with an Earth-like Composition via a Giant Impact: Science, v. 338, p. 1052, doi:</w:t>
      </w:r>
      <w:hyperlink r:id="rId215" w:history="1">
        <w:r w:rsidRPr="00DE5981">
          <w:rPr>
            <w:color w:val="0000FF"/>
            <w:u w:val="single"/>
          </w:rPr>
          <w:t>10.1126/science.1226073</w:t>
        </w:r>
      </w:hyperlink>
      <w:r w:rsidRPr="00DE5981">
        <w:t>.</w:t>
      </w:r>
    </w:p>
    <w:p w14:paraId="42135A6C" w14:textId="77777777" w:rsidR="00DE5981" w:rsidRPr="00DE5981" w:rsidRDefault="00DE5981" w:rsidP="00AF7609">
      <w:pPr>
        <w:spacing w:line="480" w:lineRule="auto"/>
        <w:ind w:left="450" w:hanging="450"/>
      </w:pPr>
      <w:r w:rsidRPr="00DE5981">
        <w:lastRenderedPageBreak/>
        <w:t>Canup, R.M., 2004, Origin of the terrestrial planets and the Earth-Moon system: Physics Today, v. 57, p. 56–62.</w:t>
      </w:r>
    </w:p>
    <w:p w14:paraId="7B80ACE9" w14:textId="77777777" w:rsidR="00DE5981" w:rsidRPr="00DE5981" w:rsidRDefault="00DE5981" w:rsidP="00AF7609">
      <w:pPr>
        <w:spacing w:line="480" w:lineRule="auto"/>
        <w:ind w:left="450" w:hanging="450"/>
      </w:pPr>
      <w:r w:rsidRPr="00DE5981">
        <w:t>Carlson, R.W., Borg, L.E., Gaffney, A.M., and Boyet, M., 2014, Rb-Sr, Sm-Nd and Lu-Hf isotope systematics of the lunar Mg-suite: the age of the lunar crust and its relation to the time of Moon formation: Philosophical Transactions of the Royal Society A: Mathematical, Physical and Engineering Sciences, v. 372, p. 20130246, doi:</w:t>
      </w:r>
      <w:hyperlink r:id="rId216" w:history="1">
        <w:r w:rsidRPr="00DE5981">
          <w:rPr>
            <w:color w:val="0000FF"/>
            <w:u w:val="single"/>
          </w:rPr>
          <w:t>10.1098/rsta.2013.0246</w:t>
        </w:r>
      </w:hyperlink>
      <w:r w:rsidRPr="00DE5981">
        <w:t>.</w:t>
      </w:r>
    </w:p>
    <w:p w14:paraId="12765205" w14:textId="77777777" w:rsidR="00DE5981" w:rsidRPr="00DE5981" w:rsidRDefault="00DE5981" w:rsidP="00AF7609">
      <w:pPr>
        <w:spacing w:line="480" w:lineRule="auto"/>
        <w:ind w:left="450" w:hanging="450"/>
      </w:pPr>
      <w:r w:rsidRPr="00DE5981">
        <w:t>Charlier, B., Grove, T.L., Namur, O., and Holtz, F., 2018, Crystallization of the lunar magma ocean and the primordial mantle-crust differentiation of the Moon: Geochimica et Cosmochimica Acta, v. 234, p. 50–69, doi:</w:t>
      </w:r>
      <w:hyperlink r:id="rId217" w:history="1">
        <w:r w:rsidRPr="00DE5981">
          <w:rPr>
            <w:color w:val="0000FF"/>
            <w:u w:val="single"/>
          </w:rPr>
          <w:t>10.1016/j.gca.2018.05.006</w:t>
        </w:r>
      </w:hyperlink>
      <w:r w:rsidRPr="00DE5981">
        <w:t>.</w:t>
      </w:r>
    </w:p>
    <w:p w14:paraId="60354888" w14:textId="77777777" w:rsidR="00DE5981" w:rsidRPr="00DE5981" w:rsidRDefault="00DE5981" w:rsidP="00AF7609">
      <w:pPr>
        <w:spacing w:line="480" w:lineRule="auto"/>
        <w:ind w:left="450" w:hanging="450"/>
      </w:pPr>
      <w:r w:rsidRPr="00DE5981">
        <w:t>Cherniak, D.J., 2010, REE diffusion in olivine: American Mineralogist, v. 95, p. 362–368, doi:</w:t>
      </w:r>
      <w:hyperlink r:id="rId218" w:history="1">
        <w:r w:rsidRPr="00DE5981">
          <w:rPr>
            <w:color w:val="0000FF"/>
            <w:u w:val="single"/>
          </w:rPr>
          <w:t>10.2138/am.2010.3345</w:t>
        </w:r>
      </w:hyperlink>
      <w:r w:rsidRPr="00DE5981">
        <w:t>.</w:t>
      </w:r>
    </w:p>
    <w:p w14:paraId="772C6484" w14:textId="77777777" w:rsidR="00DE5981" w:rsidRPr="00DE5981" w:rsidRDefault="00DE5981" w:rsidP="00AF7609">
      <w:pPr>
        <w:spacing w:line="480" w:lineRule="auto"/>
        <w:ind w:left="450" w:hanging="450"/>
      </w:pPr>
      <w:r w:rsidRPr="00DE5981">
        <w:t>Cherniak, D.J., and Liang, Y., 2007, Rare earth element diffusion in natural enstatite: Geochimica et Cosmochimica Acta, v. 71, p. 1324–1340, doi:</w:t>
      </w:r>
      <w:hyperlink r:id="rId219" w:history="1">
        <w:r w:rsidRPr="00DE5981">
          <w:rPr>
            <w:color w:val="0000FF"/>
            <w:u w:val="single"/>
          </w:rPr>
          <w:t>10.1016/j.gca.2006.12.001</w:t>
        </w:r>
      </w:hyperlink>
      <w:r w:rsidRPr="00DE5981">
        <w:t>.</w:t>
      </w:r>
    </w:p>
    <w:p w14:paraId="7D19175B" w14:textId="77777777" w:rsidR="00DE5981" w:rsidRPr="00DE5981" w:rsidRDefault="00DE5981" w:rsidP="00AF7609">
      <w:pPr>
        <w:spacing w:line="480" w:lineRule="auto"/>
        <w:ind w:left="450" w:hanging="450"/>
      </w:pPr>
      <w:r w:rsidRPr="00DE5981">
        <w:t>Cohen, L.H., Ito, K., and Kennedy, G.C., 1967, Melting and phase relations in an anhydrous basalt to 40 kilobars: American Journal of Science, v. 265, p. 475, doi:</w:t>
      </w:r>
      <w:hyperlink r:id="rId220" w:history="1">
        <w:r w:rsidRPr="00DE5981">
          <w:rPr>
            <w:color w:val="0000FF"/>
            <w:u w:val="single"/>
          </w:rPr>
          <w:t>10.2475/ajs.265.6.475</w:t>
        </w:r>
      </w:hyperlink>
      <w:r w:rsidRPr="00DE5981">
        <w:t>.</w:t>
      </w:r>
    </w:p>
    <w:p w14:paraId="46A2048E" w14:textId="77777777" w:rsidR="00DE5981" w:rsidRPr="00DE5981" w:rsidRDefault="00DE5981" w:rsidP="00AF7609">
      <w:pPr>
        <w:spacing w:line="480" w:lineRule="auto"/>
        <w:ind w:left="450" w:hanging="450"/>
      </w:pPr>
      <w:r w:rsidRPr="00DE5981">
        <w:t xml:space="preserve">Dalou, C., Koga, K.T., Shimizu, N., Boulon, J., and Devidal, J.-L., 2012, Experimental determination of F and Cl partitioning between lherzolite and basaltic melt: </w:t>
      </w:r>
      <w:r w:rsidRPr="00DE5981">
        <w:lastRenderedPageBreak/>
        <w:t>Contributions to Mineralogy and Petrology, v. 163, p. 591–609, doi:</w:t>
      </w:r>
      <w:hyperlink r:id="rId221" w:history="1">
        <w:r w:rsidRPr="00DE5981">
          <w:rPr>
            <w:color w:val="0000FF"/>
            <w:u w:val="single"/>
          </w:rPr>
          <w:t>10.1007/s00410-011-0688-2</w:t>
        </w:r>
      </w:hyperlink>
      <w:r w:rsidRPr="00DE5981">
        <w:t>.</w:t>
      </w:r>
    </w:p>
    <w:p w14:paraId="50959739" w14:textId="77777777" w:rsidR="00DE5981" w:rsidRPr="00DE5981" w:rsidRDefault="00DE5981" w:rsidP="00AF7609">
      <w:pPr>
        <w:spacing w:line="480" w:lineRule="auto"/>
        <w:ind w:left="450" w:hanging="450"/>
      </w:pPr>
      <w:r w:rsidRPr="00DE5981">
        <w:t>Delano, J.W., 1980, Chemistry and liquidus phase relations of Apollo 15 red glass: implications for the deep lunar interior.: Lunar and Planetary Science Conference Proceedings, v. 1, p. 251–288.</w:t>
      </w:r>
    </w:p>
    <w:p w14:paraId="15D7452B" w14:textId="77777777" w:rsidR="00DE5981" w:rsidRPr="00DE5981" w:rsidRDefault="00DE5981" w:rsidP="00AF7609">
      <w:pPr>
        <w:spacing w:line="480" w:lineRule="auto"/>
        <w:ind w:left="450" w:hanging="450"/>
      </w:pPr>
      <w:r w:rsidRPr="00DE5981">
        <w:t>Delano, J.W., 1986, Pristine lunar glasses: Criteria, data, and implications: Journal of Geophysical Research: Solid Earth, v. 91, p. 201–213, doi:</w:t>
      </w:r>
      <w:hyperlink r:id="rId222" w:history="1">
        <w:r w:rsidRPr="00DE5981">
          <w:rPr>
            <w:color w:val="0000FF"/>
            <w:u w:val="single"/>
          </w:rPr>
          <w:t>10.1029/JB091iB04p0D201</w:t>
        </w:r>
      </w:hyperlink>
      <w:r w:rsidRPr="00DE5981">
        <w:t>.</w:t>
      </w:r>
    </w:p>
    <w:p w14:paraId="7E8545D4" w14:textId="77777777" w:rsidR="00DE5981" w:rsidRPr="00DE5981" w:rsidRDefault="00DE5981" w:rsidP="00AF7609">
      <w:pPr>
        <w:spacing w:line="480" w:lineRule="auto"/>
        <w:ind w:left="450" w:hanging="450"/>
      </w:pPr>
      <w:r w:rsidRPr="00DE5981">
        <w:t>Draper, D.S., duFrane, S.A., Shearer, C.K., Dwarzski, R.E., and Agee, C.B., 2006, High-pressure phase equilibria and element partitioning experiments on Apollo 15 green C picritic glass: Implications for the role of garnet in the deep lunar interior: Geochimica et Cosmochimica Acta, v. 70, p. 2400–2416, doi:</w:t>
      </w:r>
      <w:hyperlink r:id="rId223" w:history="1">
        <w:r w:rsidRPr="00DE5981">
          <w:rPr>
            <w:color w:val="0000FF"/>
            <w:u w:val="single"/>
          </w:rPr>
          <w:t>10.1016/j.gca.2006.01.027</w:t>
        </w:r>
      </w:hyperlink>
      <w:r w:rsidRPr="00DE5981">
        <w:t>.</w:t>
      </w:r>
    </w:p>
    <w:p w14:paraId="59D4D398" w14:textId="77777777" w:rsidR="00DE5981" w:rsidRPr="00DE5981" w:rsidRDefault="00DE5981" w:rsidP="00AF7609">
      <w:pPr>
        <w:spacing w:line="480" w:lineRule="auto"/>
        <w:ind w:left="450" w:hanging="450"/>
      </w:pPr>
      <w:r w:rsidRPr="00DE5981">
        <w:t>Dygert, N., Draper, D.S., Rapp, J.F., Lapen, T.J., Fagan, A.L., and Neal, C.R., 2020, Experimental determinations of trace element partitioning between plagioclase, pigeonite, olivine, and lunar basaltic melts and an fO2 dependent model for plagioclase-melt Eu partitioning: Geochimica et Cosmochimica Acta, v. 279, p. 258–280, doi:</w:t>
      </w:r>
      <w:hyperlink r:id="rId224" w:history="1">
        <w:r w:rsidRPr="00DE5981">
          <w:rPr>
            <w:color w:val="0000FF"/>
            <w:u w:val="single"/>
          </w:rPr>
          <w:t>10.1016/j.gca.2020.03.037</w:t>
        </w:r>
      </w:hyperlink>
      <w:r w:rsidRPr="00DE5981">
        <w:t>.</w:t>
      </w:r>
    </w:p>
    <w:p w14:paraId="54C6588B" w14:textId="77777777" w:rsidR="00DE5981" w:rsidRPr="00DE5981" w:rsidRDefault="00DE5981" w:rsidP="00AF7609">
      <w:pPr>
        <w:spacing w:line="480" w:lineRule="auto"/>
        <w:ind w:left="450" w:hanging="450"/>
      </w:pPr>
      <w:r w:rsidRPr="00DE5981">
        <w:t>Dygert, N., Liang, Y., and Hess, P., 2013, The importance of melt TiO2 in affecting major and trace element partitioning between Fe–Ti oxides and lunar picritic glass melts: Geochimica et Cosmochimica Acta, v. 106, p. 134–151, doi:</w:t>
      </w:r>
      <w:hyperlink r:id="rId225" w:history="1">
        <w:r w:rsidRPr="00DE5981">
          <w:rPr>
            <w:color w:val="0000FF"/>
            <w:u w:val="single"/>
          </w:rPr>
          <w:t>10.1016/j.gca.2012.12.005</w:t>
        </w:r>
      </w:hyperlink>
      <w:r w:rsidRPr="00DE5981">
        <w:t>.</w:t>
      </w:r>
    </w:p>
    <w:p w14:paraId="583F9CAB" w14:textId="77777777" w:rsidR="00DE5981" w:rsidRPr="00DE5981" w:rsidRDefault="00DE5981" w:rsidP="00AF7609">
      <w:pPr>
        <w:spacing w:line="480" w:lineRule="auto"/>
        <w:ind w:left="450" w:hanging="450"/>
      </w:pPr>
      <w:r w:rsidRPr="00DE5981">
        <w:lastRenderedPageBreak/>
        <w:t>Dygert, N., Liang, Y., Sun, C., and Hess, P., 2014, An experimental study of trace element partitioning between augite and Fe-rich basalts: Geochimica et Cosmochimica Acta, v. 132, p. 170–186, doi:</w:t>
      </w:r>
      <w:hyperlink r:id="rId226" w:history="1">
        <w:r w:rsidRPr="00DE5981">
          <w:rPr>
            <w:color w:val="0000FF"/>
            <w:u w:val="single"/>
          </w:rPr>
          <w:t>10.1016/j.gca.2014.01.042</w:t>
        </w:r>
      </w:hyperlink>
      <w:r w:rsidRPr="00DE5981">
        <w:t>.</w:t>
      </w:r>
    </w:p>
    <w:p w14:paraId="1B6A339A" w14:textId="77777777" w:rsidR="00DE5981" w:rsidRPr="00DE5981" w:rsidRDefault="00DE5981" w:rsidP="00AF7609">
      <w:pPr>
        <w:spacing w:line="480" w:lineRule="auto"/>
        <w:ind w:left="450" w:hanging="450"/>
      </w:pPr>
      <w:r w:rsidRPr="00DE5981">
        <w:t>Dygert, N., Lin, J.-F., Marshall, E.W., Kono, Y., and Gardner, J.E., 2017, A Low Viscosity Lunar Magma Ocean Forms a Stratified Anorthitic Flotation Crust With Mafic Poor and Rich Units: Geophysical Research Letters, v. 44, p. 11,282-11,291, doi:</w:t>
      </w:r>
      <w:hyperlink r:id="rId227" w:history="1">
        <w:r w:rsidRPr="00DE5981">
          <w:rPr>
            <w:color w:val="0000FF"/>
            <w:u w:val="single"/>
          </w:rPr>
          <w:t>10.1002/2017GL075703</w:t>
        </w:r>
      </w:hyperlink>
      <w:r w:rsidRPr="00DE5981">
        <w:t>.</w:t>
      </w:r>
    </w:p>
    <w:p w14:paraId="544A4880" w14:textId="77777777" w:rsidR="00DE5981" w:rsidRPr="00DE5981" w:rsidRDefault="00DE5981" w:rsidP="00AF7609">
      <w:pPr>
        <w:spacing w:line="480" w:lineRule="auto"/>
        <w:ind w:left="450" w:hanging="450"/>
      </w:pPr>
      <w:r w:rsidRPr="00DE5981">
        <w:t>Elardo, S.M., Draper, D.S., and Shearer, C.K., 2011, Lunar Magma Ocean crystallization revisited: Bulk composition, early cumulate mineralogy, and the source regions of the highlands Mg-suite: Geochimica et Cosmochimica Acta, v. 75, p. 3024–3045, doi:</w:t>
      </w:r>
      <w:hyperlink r:id="rId228" w:history="1">
        <w:r w:rsidRPr="00DE5981">
          <w:rPr>
            <w:color w:val="0000FF"/>
            <w:u w:val="single"/>
          </w:rPr>
          <w:t>10.1016/j.gca.2011.02.033</w:t>
        </w:r>
      </w:hyperlink>
      <w:r w:rsidRPr="00DE5981">
        <w:t>.</w:t>
      </w:r>
    </w:p>
    <w:p w14:paraId="40CC4120" w14:textId="77777777" w:rsidR="00DE5981" w:rsidRPr="00DE5981" w:rsidRDefault="00DE5981" w:rsidP="00AF7609">
      <w:pPr>
        <w:spacing w:line="480" w:lineRule="auto"/>
        <w:ind w:left="450" w:hanging="450"/>
      </w:pPr>
      <w:r w:rsidRPr="00DE5981">
        <w:t>Elkins Tanton, L.T., Van Orman, J.A., Hager, B.H., and Grove, T.L., 2002, Re-examination of the lunar magma ocean cumulate overturn hypothesis: melting or mixing is required: Earth and Planetary Science Letters, v. 196, p. 239–249, doi:</w:t>
      </w:r>
      <w:hyperlink r:id="rId229" w:history="1">
        <w:r w:rsidRPr="00DE5981">
          <w:rPr>
            <w:color w:val="0000FF"/>
            <w:u w:val="single"/>
          </w:rPr>
          <w:t>10.1016/S0012-821X(01)00613-6</w:t>
        </w:r>
      </w:hyperlink>
      <w:r w:rsidRPr="00DE5981">
        <w:t>.</w:t>
      </w:r>
    </w:p>
    <w:p w14:paraId="76EB2E4E" w14:textId="77777777" w:rsidR="00DE5981" w:rsidRPr="00DE5981" w:rsidRDefault="00DE5981" w:rsidP="00AF7609">
      <w:pPr>
        <w:spacing w:line="480" w:lineRule="auto"/>
        <w:ind w:left="450" w:hanging="450"/>
      </w:pPr>
      <w:r w:rsidRPr="00DE5981">
        <w:t>Elkins-Tanton, L.T., 2012, Magma Oceans in the Inner Solar System: Annual Review of Earth and Planetary Sciences, v. 40, p. 113–139, doi:</w:t>
      </w:r>
      <w:hyperlink r:id="rId230" w:history="1">
        <w:r w:rsidRPr="00DE5981">
          <w:rPr>
            <w:color w:val="0000FF"/>
            <w:u w:val="single"/>
          </w:rPr>
          <w:t>10.1146/annurev-earth-042711-105503</w:t>
        </w:r>
      </w:hyperlink>
      <w:r w:rsidRPr="00DE5981">
        <w:t>.</w:t>
      </w:r>
    </w:p>
    <w:p w14:paraId="375C63B1" w14:textId="77777777" w:rsidR="00DE5981" w:rsidRPr="00DE5981" w:rsidRDefault="00DE5981" w:rsidP="00AF7609">
      <w:pPr>
        <w:spacing w:line="480" w:lineRule="auto"/>
        <w:ind w:left="450" w:hanging="450"/>
      </w:pPr>
      <w:r w:rsidRPr="00DE5981">
        <w:t>Elkins-Tanton, L.T., Burgess, S., and Yin, Q.-Z., 2011, The lunar magma ocean: Reconciling the solidification process with lunar petrology and geochronology: Earth and Planetary Science Letters, v. 304, p. 326–336, doi:</w:t>
      </w:r>
      <w:hyperlink r:id="rId231" w:history="1">
        <w:r w:rsidRPr="00DE5981">
          <w:rPr>
            <w:color w:val="0000FF"/>
            <w:u w:val="single"/>
          </w:rPr>
          <w:t>10.1016/j.epsl.2011.02.004</w:t>
        </w:r>
      </w:hyperlink>
      <w:r w:rsidRPr="00DE5981">
        <w:t>.</w:t>
      </w:r>
    </w:p>
    <w:p w14:paraId="6E6952CB" w14:textId="77777777" w:rsidR="00DE5981" w:rsidRPr="00DE5981" w:rsidRDefault="00DE5981" w:rsidP="00AF7609">
      <w:pPr>
        <w:spacing w:line="480" w:lineRule="auto"/>
        <w:ind w:left="450" w:hanging="450"/>
      </w:pPr>
      <w:r w:rsidRPr="00DE5981">
        <w:lastRenderedPageBreak/>
        <w:t>Elkins-Tanton, L.T., Chatterjee, N., and Grove, T.L., 2003, Experimental and petrological constraints on lunar differentiation from the Apollo 15 green picritic glasses: Meteoritics &amp; Planetary Science, v. 38, p. 515–527, doi:</w:t>
      </w:r>
      <w:hyperlink r:id="rId232" w:history="1">
        <w:r w:rsidRPr="00DE5981">
          <w:rPr>
            <w:color w:val="0000FF"/>
            <w:u w:val="single"/>
          </w:rPr>
          <w:t>10.1111/j.1945-5100.2003.tb00024.x</w:t>
        </w:r>
      </w:hyperlink>
      <w:r w:rsidRPr="00DE5981">
        <w:t>.</w:t>
      </w:r>
    </w:p>
    <w:p w14:paraId="599A1940" w14:textId="77777777" w:rsidR="00DE5981" w:rsidRPr="00DE5981" w:rsidRDefault="00DE5981" w:rsidP="00AF7609">
      <w:pPr>
        <w:spacing w:line="480" w:lineRule="auto"/>
        <w:ind w:left="450" w:hanging="450"/>
      </w:pPr>
      <w:r w:rsidRPr="00DE5981">
        <w:t>Elkins-Tanton, L.T., and Hager, B.H., 2005, Giant meteoroid impacts can cause volcanism: Earth and Planetary Science Letters, v. 239, p. 219–232, doi:</w:t>
      </w:r>
      <w:hyperlink r:id="rId233" w:history="1">
        <w:r w:rsidRPr="00DE5981">
          <w:rPr>
            <w:color w:val="0000FF"/>
            <w:u w:val="single"/>
          </w:rPr>
          <w:t>10.1016/j.epsl.2005.07.029</w:t>
        </w:r>
      </w:hyperlink>
      <w:r w:rsidRPr="00DE5981">
        <w:t>.</w:t>
      </w:r>
    </w:p>
    <w:p w14:paraId="07C78E7C" w14:textId="77777777" w:rsidR="00DE5981" w:rsidRPr="00DE5981" w:rsidRDefault="00DE5981" w:rsidP="00AF7609">
      <w:pPr>
        <w:spacing w:line="480" w:lineRule="auto"/>
        <w:ind w:left="450" w:hanging="450"/>
      </w:pPr>
      <w:r w:rsidRPr="00DE5981">
        <w:t>Fabbrizio, A., Schmidt, M.W., and Petrelli, M., 2021, Effect of fO2 on Eu partitioning between clinopyroxene, orthopyroxene and basaltic melt: Development of a Eu3+/Eu2+ oxybarometer: Chemical Geology, v. 559, p. 119967, doi:</w:t>
      </w:r>
      <w:hyperlink r:id="rId234" w:history="1">
        <w:r w:rsidRPr="00DE5981">
          <w:rPr>
            <w:color w:val="0000FF"/>
            <w:u w:val="single"/>
          </w:rPr>
          <w:t>10.1016/j.chemgeo.2020.119967</w:t>
        </w:r>
      </w:hyperlink>
      <w:r w:rsidRPr="00DE5981">
        <w:t>.</w:t>
      </w:r>
    </w:p>
    <w:p w14:paraId="0DB1E38C" w14:textId="4AA27716" w:rsidR="00DE5981" w:rsidRPr="00DE5981" w:rsidRDefault="00DE5981" w:rsidP="00AF7609">
      <w:pPr>
        <w:spacing w:line="480" w:lineRule="auto"/>
        <w:ind w:left="450" w:hanging="450"/>
      </w:pPr>
      <w:r w:rsidRPr="00DE5981">
        <w:t>Frost, B.R., 1991, Chapter 1.</w:t>
      </w:r>
      <w:r w:rsidR="00FF7710">
        <w:t>I</w:t>
      </w:r>
      <w:r w:rsidR="00FF7710" w:rsidRPr="00DE5981">
        <w:t>ntroduction to oxygen fugacity and its petrologic importance</w:t>
      </w:r>
      <w:r w:rsidRPr="00DE5981">
        <w:t xml:space="preserve">, </w:t>
      </w:r>
      <w:r w:rsidRPr="00DE5981">
        <w:rPr>
          <w:i/>
          <w:iCs/>
        </w:rPr>
        <w:t>in</w:t>
      </w:r>
      <w:r w:rsidRPr="00DE5981">
        <w:t xml:space="preserve"> Lindsley, D.H. ed., Petrologic and Magnetic Significance, Berlin, Boston, De Gruyter, p. 1–10, doi:</w:t>
      </w:r>
      <w:hyperlink r:id="rId235" w:history="1">
        <w:r w:rsidRPr="00DE5981">
          <w:rPr>
            <w:color w:val="0000FF"/>
            <w:u w:val="single"/>
          </w:rPr>
          <w:t>doi:10.1515/9781501508684-004</w:t>
        </w:r>
      </w:hyperlink>
      <w:r w:rsidRPr="00DE5981">
        <w:t>.</w:t>
      </w:r>
    </w:p>
    <w:p w14:paraId="7C7323AF" w14:textId="77777777" w:rsidR="00DE5981" w:rsidRPr="00DE5981" w:rsidRDefault="00DE5981" w:rsidP="00AF7609">
      <w:pPr>
        <w:spacing w:line="480" w:lineRule="auto"/>
        <w:ind w:left="450" w:hanging="450"/>
      </w:pPr>
      <w:r w:rsidRPr="00DE5981">
        <w:t>Gaetani, G.A., and Grove, T.L., 1995, Partitioning of rare earth elements between clinopyroxene and silicate melt Crystal-chemical controls: Geochimica et Cosmochimica Acta, v. 59, p. 1951–1962, doi:</w:t>
      </w:r>
      <w:hyperlink r:id="rId236" w:history="1">
        <w:r w:rsidRPr="00DE5981">
          <w:rPr>
            <w:color w:val="0000FF"/>
            <w:u w:val="single"/>
          </w:rPr>
          <w:t>10.1016/0016-7037(95)00119-0</w:t>
        </w:r>
      </w:hyperlink>
      <w:r w:rsidRPr="00DE5981">
        <w:t>.</w:t>
      </w:r>
    </w:p>
    <w:p w14:paraId="682CE8C2" w14:textId="77777777" w:rsidR="00DE5981" w:rsidRPr="00DE5981" w:rsidRDefault="00DE5981" w:rsidP="00AF7609">
      <w:pPr>
        <w:spacing w:line="480" w:lineRule="auto"/>
        <w:ind w:left="450" w:hanging="450"/>
      </w:pPr>
      <w:r w:rsidRPr="00DE5981">
        <w:t>Gaffney, A.M., and Borg, L.E., 2014, A young solidification age for the lunar magma ocean: Geochimica et Cosmochimica Acta, v. 140, p. 227–240, doi:</w:t>
      </w:r>
      <w:hyperlink r:id="rId237" w:history="1">
        <w:r w:rsidRPr="00DE5981">
          <w:rPr>
            <w:color w:val="0000FF"/>
            <w:u w:val="single"/>
          </w:rPr>
          <w:t>10.1016/j.gca.2014.05.028</w:t>
        </w:r>
      </w:hyperlink>
      <w:r w:rsidRPr="00DE5981">
        <w:t>.</w:t>
      </w:r>
    </w:p>
    <w:p w14:paraId="1DEA41CE" w14:textId="77777777" w:rsidR="00DE5981" w:rsidRPr="00DE5981" w:rsidRDefault="00DE5981" w:rsidP="00AF7609">
      <w:pPr>
        <w:spacing w:line="480" w:lineRule="auto"/>
        <w:ind w:left="450" w:hanging="450"/>
      </w:pPr>
      <w:r w:rsidRPr="00DE5981">
        <w:t xml:space="preserve">Ghiorso, M.S., Hirschmann, M.M., Reiners, P.W., and Kress III, V.C., 2002, The pMELTS: A revision of MELTS for improved calculation of phase relations and </w:t>
      </w:r>
      <w:r w:rsidRPr="00DE5981">
        <w:lastRenderedPageBreak/>
        <w:t>major element partitioning related to partial melting of the mantle to 3 GPa: Geochemistry, Geophysics, Geosystems, v. 3, p. 1–35.</w:t>
      </w:r>
    </w:p>
    <w:p w14:paraId="3EEB41D2" w14:textId="77777777" w:rsidR="00DE5981" w:rsidRPr="00DE5981" w:rsidRDefault="00DE5981" w:rsidP="00AF7609">
      <w:pPr>
        <w:spacing w:line="480" w:lineRule="auto"/>
        <w:ind w:left="450" w:hanging="450"/>
      </w:pPr>
      <w:r w:rsidRPr="00DE5981">
        <w:t>Ghiorso, M.S., and Sack, R.O., 1995, Chemical mass transfer in magmatic processes IV. A revised and internally consistent thermodynamic model for the interpolation and extrapolation of liquid-solid equilibria in magmatic systems at elevated temperatures and pressures: Contributions to Mineralogy and Petrology, v. 119, p. 197–212, doi:</w:t>
      </w:r>
      <w:hyperlink r:id="rId238" w:history="1">
        <w:r w:rsidRPr="00DE5981">
          <w:rPr>
            <w:color w:val="0000FF"/>
            <w:u w:val="single"/>
          </w:rPr>
          <w:t>10.1007/BF00307281</w:t>
        </w:r>
      </w:hyperlink>
      <w:r w:rsidRPr="00DE5981">
        <w:t>.</w:t>
      </w:r>
    </w:p>
    <w:p w14:paraId="6248E1CA" w14:textId="77777777" w:rsidR="00DE5981" w:rsidRPr="00DE5981" w:rsidRDefault="00DE5981" w:rsidP="00AF7609">
      <w:pPr>
        <w:spacing w:line="480" w:lineRule="auto"/>
        <w:ind w:left="450" w:hanging="450"/>
      </w:pPr>
      <w:r w:rsidRPr="00DE5981">
        <w:t>Giguere, T.A., Taylor, G.J., Hawke, B.R., and Lucey, P.G., 2000, The titanium contents of lunar mare basalts: Meteoritics &amp; Planetary Science, v. 35, p. 193–200, doi:</w:t>
      </w:r>
      <w:hyperlink r:id="rId239" w:history="1">
        <w:r w:rsidRPr="00DE5981">
          <w:rPr>
            <w:color w:val="0000FF"/>
            <w:u w:val="single"/>
          </w:rPr>
          <w:t>10.1111/j.1945-5100.2000.tb01985.x</w:t>
        </w:r>
      </w:hyperlink>
      <w:r w:rsidRPr="00DE5981">
        <w:t>.</w:t>
      </w:r>
    </w:p>
    <w:p w14:paraId="210AEDAF" w14:textId="77777777" w:rsidR="00DE5981" w:rsidRPr="00DE5981" w:rsidRDefault="00DE5981" w:rsidP="00AF7609">
      <w:pPr>
        <w:spacing w:line="480" w:lineRule="auto"/>
        <w:ind w:left="450" w:hanging="450"/>
      </w:pPr>
      <w:r w:rsidRPr="00DE5981">
        <w:t>Hallis, L.J., Anand, M., and Strekopytov, S., 2014, Trace-element modelling of mare basalt parental melts: Implications for a heterogeneous lunar mantle: Geochimica et Cosmochimica Acta, v. 134, p. 289–316, doi:</w:t>
      </w:r>
      <w:hyperlink r:id="rId240" w:history="1">
        <w:r w:rsidRPr="00DE5981">
          <w:rPr>
            <w:color w:val="0000FF"/>
            <w:u w:val="single"/>
          </w:rPr>
          <w:t>10.1016/j.gca.2014.01.012</w:t>
        </w:r>
      </w:hyperlink>
      <w:r w:rsidRPr="00DE5981">
        <w:t>.</w:t>
      </w:r>
    </w:p>
    <w:p w14:paraId="3B4D0A3F" w14:textId="77777777" w:rsidR="00DE5981" w:rsidRPr="00DE5981" w:rsidRDefault="00DE5981" w:rsidP="00AF7609">
      <w:pPr>
        <w:spacing w:line="480" w:lineRule="auto"/>
        <w:ind w:left="450" w:hanging="450"/>
      </w:pPr>
      <w:r w:rsidRPr="00DE5981">
        <w:t>Hart, S.R., and Zindler, A., 1986, In search of a bulk-Earth composition: Chemical Geology, v. 57, p. 247–267, doi:</w:t>
      </w:r>
      <w:hyperlink r:id="rId241" w:history="1">
        <w:r w:rsidRPr="00DE5981">
          <w:rPr>
            <w:color w:val="0000FF"/>
            <w:u w:val="single"/>
          </w:rPr>
          <w:t>10.1016/0009-2541(86)90053-7</w:t>
        </w:r>
      </w:hyperlink>
      <w:r w:rsidRPr="00DE5981">
        <w:t>.</w:t>
      </w:r>
    </w:p>
    <w:p w14:paraId="158EEB28" w14:textId="77777777" w:rsidR="00DE5981" w:rsidRPr="00DE5981" w:rsidRDefault="00DE5981" w:rsidP="00AF7609">
      <w:pPr>
        <w:spacing w:line="480" w:lineRule="auto"/>
        <w:ind w:left="450" w:hanging="450"/>
      </w:pPr>
      <w:r w:rsidRPr="00DE5981">
        <w:t xml:space="preserve">Haskin, L.A., and Warren, P.H., 1991, Lunar chemistry., </w:t>
      </w:r>
      <w:r w:rsidRPr="00DE5981">
        <w:rPr>
          <w:i/>
          <w:iCs/>
        </w:rPr>
        <w:t>in</w:t>
      </w:r>
      <w:r w:rsidRPr="00DE5981">
        <w:t xml:space="preserve"> Lunar sourcebook, v. 4, p. 357–474.</w:t>
      </w:r>
    </w:p>
    <w:p w14:paraId="26E00FF6" w14:textId="77777777" w:rsidR="00DE5981" w:rsidRPr="00DE5981" w:rsidRDefault="00DE5981" w:rsidP="00AF7609">
      <w:pPr>
        <w:spacing w:line="480" w:lineRule="auto"/>
        <w:ind w:left="450" w:hanging="450"/>
      </w:pPr>
      <w:r w:rsidRPr="00DE5981">
        <w:t>Haupt, C.P., Renggli, C.J., Rohrbach, A., Berndt, J., and Klemme, S., 2024, Experimental Constraints on the Origin of the Lunar High-Ti Basalts: Journal of Geophysical Research: Planets, v. 129, p. e2023JE008239, doi:</w:t>
      </w:r>
      <w:hyperlink r:id="rId242" w:history="1">
        <w:r w:rsidRPr="00DE5981">
          <w:rPr>
            <w:color w:val="0000FF"/>
            <w:u w:val="single"/>
          </w:rPr>
          <w:t>10.1029/2023JE008239</w:t>
        </w:r>
      </w:hyperlink>
      <w:r w:rsidRPr="00DE5981">
        <w:t>.</w:t>
      </w:r>
    </w:p>
    <w:p w14:paraId="7CD10D35" w14:textId="77777777" w:rsidR="00DE5981" w:rsidRPr="00DE5981" w:rsidRDefault="00DE5981" w:rsidP="00AF7609">
      <w:pPr>
        <w:spacing w:line="480" w:lineRule="auto"/>
        <w:ind w:left="450" w:hanging="450"/>
      </w:pPr>
      <w:r w:rsidRPr="00DE5981">
        <w:lastRenderedPageBreak/>
        <w:t>Hess, P.C., and Parmentier, E.M., 1995, A model for the thermal and chemical evolution of the Moon’s interior: implications for the onset of mare volcanism: Earth and Planetary Science Letters, v. 134, p. 501–514, doi:</w:t>
      </w:r>
      <w:hyperlink r:id="rId243" w:history="1">
        <w:r w:rsidRPr="00DE5981">
          <w:rPr>
            <w:color w:val="0000FF"/>
            <w:u w:val="single"/>
          </w:rPr>
          <w:t>10.1016/0012-821X(95)00138-3</w:t>
        </w:r>
      </w:hyperlink>
      <w:r w:rsidRPr="00DE5981">
        <w:t>.</w:t>
      </w:r>
    </w:p>
    <w:p w14:paraId="7AF496F9" w14:textId="77777777" w:rsidR="00DE5981" w:rsidRPr="00DE5981" w:rsidRDefault="00DE5981" w:rsidP="00AF7609">
      <w:pPr>
        <w:spacing w:line="480" w:lineRule="auto"/>
        <w:ind w:left="450" w:hanging="450"/>
      </w:pPr>
      <w:r w:rsidRPr="00DE5981">
        <w:t>Hiesinger, H., and Head, J.W., III, 2006, New Views of Lunar Geoscience: An Introduction and Overview: Reviews in Mineralogy and Geochemistry, v. 60, p. 1–81, doi:</w:t>
      </w:r>
      <w:hyperlink r:id="rId244" w:history="1">
        <w:r w:rsidRPr="00DE5981">
          <w:rPr>
            <w:color w:val="0000FF"/>
            <w:u w:val="single"/>
          </w:rPr>
          <w:t>10.2138/rmg.2006.60.1</w:t>
        </w:r>
      </w:hyperlink>
      <w:r w:rsidRPr="00DE5981">
        <w:t>.</w:t>
      </w:r>
    </w:p>
    <w:p w14:paraId="1450BDE1" w14:textId="77777777" w:rsidR="00DE5981" w:rsidRPr="00DE5981" w:rsidRDefault="00DE5981" w:rsidP="00AF7609">
      <w:pPr>
        <w:spacing w:line="480" w:lineRule="auto"/>
        <w:ind w:left="450" w:hanging="450"/>
      </w:pPr>
      <w:r w:rsidRPr="00DE5981">
        <w:t>Hughes, S.S., Delano, J.W., and Schmitt, R.A., 1990, Chemistry of individual mare volcanic glasses: evidence for distinct regions of hybridized mantle and a KREEP component in Apollo 14 magmatic sources.: Lunar and Planetary Science Conference Proceedings, v. 20, p. 127–138.</w:t>
      </w:r>
    </w:p>
    <w:p w14:paraId="7891181B" w14:textId="77777777" w:rsidR="00DE5981" w:rsidRPr="00DE5981" w:rsidRDefault="00DE5981" w:rsidP="00AF7609">
      <w:pPr>
        <w:spacing w:line="480" w:lineRule="auto"/>
        <w:ind w:left="450" w:hanging="450"/>
      </w:pPr>
      <w:r w:rsidRPr="00DE5981">
        <w:t>Ji, D., and Dygert, N., 2023, Trace element partitioning between apatite and silicate melts: Effects of major element composition, temperature, and oxygen fugacity, and implications for the volatile element budget of the lunar magma ocean: Geochimica et Cosmochimica Acta, doi:</w:t>
      </w:r>
      <w:hyperlink r:id="rId245" w:history="1">
        <w:r w:rsidRPr="00DE5981">
          <w:rPr>
            <w:color w:val="0000FF"/>
            <w:u w:val="single"/>
          </w:rPr>
          <w:t>10.1016/j.gca.2023.11.004</w:t>
        </w:r>
      </w:hyperlink>
      <w:r w:rsidRPr="00DE5981">
        <w:t>.</w:t>
      </w:r>
    </w:p>
    <w:p w14:paraId="7156CCED" w14:textId="77777777" w:rsidR="00DE5981" w:rsidRPr="00DE5981" w:rsidRDefault="00DE5981" w:rsidP="00AF7609">
      <w:pPr>
        <w:spacing w:line="480" w:lineRule="auto"/>
        <w:ind w:left="450" w:hanging="450"/>
      </w:pPr>
      <w:r w:rsidRPr="00DE5981">
        <w:t>Jing, J.-J., Lin, Y., Knibbe, J.S., and van Westrenen, W., 2022, Garnet stability in the deep lunar mantle: Constraints on the physics and chemistry of the interior of the Moon: Earth and Planetary Science Letters, v. 584, p. 117491, doi:</w:t>
      </w:r>
      <w:hyperlink r:id="rId246" w:history="1">
        <w:r w:rsidRPr="00DE5981">
          <w:rPr>
            <w:color w:val="0000FF"/>
            <w:u w:val="single"/>
          </w:rPr>
          <w:t>10.1016/j.epsl.2022.117491</w:t>
        </w:r>
      </w:hyperlink>
      <w:r w:rsidRPr="00DE5981">
        <w:t>.</w:t>
      </w:r>
    </w:p>
    <w:p w14:paraId="2A008986" w14:textId="77777777" w:rsidR="00DE5981" w:rsidRPr="00DE5981" w:rsidRDefault="00DE5981" w:rsidP="00AF7609">
      <w:pPr>
        <w:spacing w:line="480" w:lineRule="auto"/>
        <w:ind w:left="450" w:hanging="450"/>
      </w:pPr>
      <w:r w:rsidRPr="00DE5981">
        <w:t>Johnson, T.E., Morrissey, L.J., Nemchin, A.A., Gardiner, N.J., and Snape, J.F., 2021, The phases of the Moon: Modelling crystallisation of the lunar magma ocean through equilibrium thermodynamics: Earth and Planetary Science Letters, v. 556, p. 116721, doi:</w:t>
      </w:r>
      <w:hyperlink r:id="rId247" w:history="1">
        <w:r w:rsidRPr="00DE5981">
          <w:rPr>
            <w:color w:val="0000FF"/>
            <w:u w:val="single"/>
          </w:rPr>
          <w:t>10.1016/j.epsl.2020.116721</w:t>
        </w:r>
      </w:hyperlink>
      <w:r w:rsidRPr="00DE5981">
        <w:t>.</w:t>
      </w:r>
    </w:p>
    <w:p w14:paraId="71A8A308" w14:textId="77777777" w:rsidR="00DE5981" w:rsidRPr="00DE5981" w:rsidRDefault="00DE5981" w:rsidP="00AF7609">
      <w:pPr>
        <w:spacing w:line="480" w:lineRule="auto"/>
        <w:ind w:left="450" w:hanging="450"/>
      </w:pPr>
      <w:r w:rsidRPr="00DE5981">
        <w:lastRenderedPageBreak/>
        <w:t>Jones, J.H., and Delano, J.W., 1989, A three-component model for the bulk composition of the moon: Geochimica et Cosmochimica Acta, v. 53, p. 513–527, doi:</w:t>
      </w:r>
      <w:hyperlink r:id="rId248" w:history="1">
        <w:r w:rsidRPr="00DE5981">
          <w:rPr>
            <w:color w:val="0000FF"/>
            <w:u w:val="single"/>
          </w:rPr>
          <w:t>10.1016/0016-7037(89)90402-X</w:t>
        </w:r>
      </w:hyperlink>
      <w:r w:rsidRPr="00DE5981">
        <w:t>.</w:t>
      </w:r>
    </w:p>
    <w:p w14:paraId="6D836370" w14:textId="77777777" w:rsidR="00DE5981" w:rsidRPr="00DE5981" w:rsidRDefault="00DE5981" w:rsidP="00AF7609">
      <w:pPr>
        <w:spacing w:line="480" w:lineRule="auto"/>
        <w:ind w:left="450" w:hanging="450"/>
      </w:pPr>
      <w:r w:rsidRPr="00DE5981">
        <w:t>van Kan Parker, M., Mason, P.R.D., and van Westrenen, W., 2011, Trace element partitioning between ilmenite, armalcolite and anhydrous silicate melt: Implications for the formation of lunar high-Ti mare basalts: Geochimica et Cosmochimica Acta, v. 75, p. 4179–4193, doi:</w:t>
      </w:r>
      <w:hyperlink r:id="rId249" w:history="1">
        <w:r w:rsidRPr="00DE5981">
          <w:rPr>
            <w:color w:val="0000FF"/>
            <w:u w:val="single"/>
          </w:rPr>
          <w:t>10.1016/j.gca.2011.04.031</w:t>
        </w:r>
      </w:hyperlink>
      <w:r w:rsidRPr="00DE5981">
        <w:t>.</w:t>
      </w:r>
    </w:p>
    <w:p w14:paraId="648AB180" w14:textId="77777777" w:rsidR="00DE5981" w:rsidRPr="00DE5981" w:rsidRDefault="00DE5981" w:rsidP="00AF7609">
      <w:pPr>
        <w:spacing w:line="480" w:lineRule="auto"/>
        <w:ind w:left="450" w:hanging="450"/>
      </w:pPr>
      <w:r w:rsidRPr="00DE5981">
        <w:t>Kinzler, R.J., and Grove, T.L., 1992, Primary magmas of mid-ocean ridge basalts 1. Experiments and methods: Journal of Geophysical Research: Solid Earth, v. 97, p. 6885–6906, doi:</w:t>
      </w:r>
      <w:hyperlink r:id="rId250" w:history="1">
        <w:r w:rsidRPr="00DE5981">
          <w:rPr>
            <w:color w:val="0000FF"/>
            <w:u w:val="single"/>
          </w:rPr>
          <w:t>10.1029/91JB02840</w:t>
        </w:r>
      </w:hyperlink>
      <w:r w:rsidRPr="00DE5981">
        <w:t>.</w:t>
      </w:r>
    </w:p>
    <w:p w14:paraId="37C87868" w14:textId="77777777" w:rsidR="00DE5981" w:rsidRPr="00DE5981" w:rsidRDefault="00DE5981" w:rsidP="00AF7609">
      <w:pPr>
        <w:spacing w:line="480" w:lineRule="auto"/>
        <w:ind w:left="450" w:hanging="450"/>
      </w:pPr>
      <w:r w:rsidRPr="00DE5981">
        <w:t>Klaver, M., Klemme, S., Liu, X.-N., Hin, R.C., Coath, C.D., Anand, M., Lissenberg, C.J., Berndt, J., and Elliott, T., 2024, Titanium-rich basaltic melts on the Moon modulated by reactive flow processes: Nature Geoscience, v. 17, p. 118–123, doi:</w:t>
      </w:r>
      <w:hyperlink r:id="rId251" w:history="1">
        <w:r w:rsidRPr="00DE5981">
          <w:rPr>
            <w:color w:val="0000FF"/>
            <w:u w:val="single"/>
          </w:rPr>
          <w:t>10.1038/s41561-023-01362-5</w:t>
        </w:r>
      </w:hyperlink>
      <w:r w:rsidRPr="00DE5981">
        <w:t>.</w:t>
      </w:r>
    </w:p>
    <w:p w14:paraId="20BFFFC1" w14:textId="77777777" w:rsidR="00DE5981" w:rsidRPr="00DE5981" w:rsidRDefault="00DE5981" w:rsidP="00AF7609">
      <w:pPr>
        <w:spacing w:line="480" w:lineRule="auto"/>
        <w:ind w:left="450" w:hanging="450"/>
      </w:pPr>
      <w:r w:rsidRPr="00DE5981">
        <w:t>Klemme, S., Günther, D., Hametner, K., Prowatke, S., and Zack, T., 2006, The partitioning of trace elements between ilmenite, ulvospinel, armalcolite and silicate melts with implications for the early differentiation of the moon: Chemical Geology, v. 234, p. 251–263, doi:</w:t>
      </w:r>
      <w:hyperlink r:id="rId252" w:history="1">
        <w:r w:rsidRPr="00DE5981">
          <w:rPr>
            <w:color w:val="0000FF"/>
            <w:u w:val="single"/>
          </w:rPr>
          <w:t>10.1016/j.chemgeo.2006.05.005</w:t>
        </w:r>
      </w:hyperlink>
      <w:r w:rsidRPr="00DE5981">
        <w:t>.</w:t>
      </w:r>
    </w:p>
    <w:p w14:paraId="00C35E04" w14:textId="77777777" w:rsidR="00DE5981" w:rsidRPr="00DE5981" w:rsidRDefault="00DE5981" w:rsidP="00AF7609">
      <w:pPr>
        <w:spacing w:line="480" w:lineRule="auto"/>
        <w:ind w:left="450" w:hanging="450"/>
      </w:pPr>
      <w:r w:rsidRPr="00DE5981">
        <w:t>Kraettli, G., Schmidt, M.W., and Liebske, C., 2022, Fractional crystallization of a basal lunar magma ocean: A dense melt-bearing garnetite layer above the core? Icarus, v. 371, p. 114699, doi:</w:t>
      </w:r>
      <w:hyperlink r:id="rId253" w:history="1">
        <w:r w:rsidRPr="00DE5981">
          <w:rPr>
            <w:color w:val="0000FF"/>
            <w:u w:val="single"/>
          </w:rPr>
          <w:t>10.1016/j.icarus.2021.114699</w:t>
        </w:r>
      </w:hyperlink>
      <w:r w:rsidRPr="00DE5981">
        <w:t>.</w:t>
      </w:r>
    </w:p>
    <w:p w14:paraId="61FA7D31" w14:textId="77777777" w:rsidR="00DE5981" w:rsidRPr="00DE5981" w:rsidRDefault="00DE5981" w:rsidP="00AF7609">
      <w:pPr>
        <w:spacing w:line="480" w:lineRule="auto"/>
        <w:ind w:left="450" w:hanging="450"/>
      </w:pPr>
      <w:r w:rsidRPr="00DE5981">
        <w:lastRenderedPageBreak/>
        <w:t>Krawczynski, M.J., and Grove, T.L., 2012, Experimental investigation of the influence of oxygen fugacity on the source depths for high titanium lunar ultramafic magmas: Geochimica et Cosmochimica Acta, v. 79, p. 1–19, doi:</w:t>
      </w:r>
      <w:hyperlink r:id="rId254" w:history="1">
        <w:r w:rsidRPr="00DE5981">
          <w:rPr>
            <w:color w:val="0000FF"/>
            <w:u w:val="single"/>
          </w:rPr>
          <w:t>10.1016/j.gca.2011.10.043</w:t>
        </w:r>
      </w:hyperlink>
      <w:r w:rsidRPr="00DE5981">
        <w:t>.</w:t>
      </w:r>
    </w:p>
    <w:p w14:paraId="61A1B46A" w14:textId="77777777" w:rsidR="00DE5981" w:rsidRPr="00DE5981" w:rsidRDefault="00DE5981" w:rsidP="00AF7609">
      <w:pPr>
        <w:spacing w:line="480" w:lineRule="auto"/>
        <w:ind w:left="450" w:hanging="450"/>
      </w:pPr>
      <w:r w:rsidRPr="00DE5981">
        <w:t>Li, W., Costa, F., Oppenheimer, C., and Nagashima, K., 2023, Volatile and trace element partitioning between apatite and alkaline melts: Contributions to Mineralogy and Petrology, v. 178, p. 9, doi:</w:t>
      </w:r>
      <w:hyperlink r:id="rId255" w:history="1">
        <w:r w:rsidRPr="00DE5981">
          <w:rPr>
            <w:color w:val="0000FF"/>
            <w:u w:val="single"/>
          </w:rPr>
          <w:t>10.1007/s00410-022-01985-8</w:t>
        </w:r>
      </w:hyperlink>
      <w:r w:rsidRPr="00DE5981">
        <w:t>.</w:t>
      </w:r>
    </w:p>
    <w:p w14:paraId="1393363B" w14:textId="77777777" w:rsidR="00DE5981" w:rsidRPr="00DE5981" w:rsidRDefault="00DE5981" w:rsidP="00AF7609">
      <w:pPr>
        <w:spacing w:line="480" w:lineRule="auto"/>
        <w:ind w:left="450" w:hanging="450"/>
      </w:pPr>
      <w:r w:rsidRPr="00DE5981">
        <w:t>Li, H., Zhang, N., Liang, Y., Wu, B., Dygert, N.J., Huang, J., and Parmentier, E.M., 2019, Lunar Cumulate Mantle Overturn: A Model Constrained by Ilmenite Rheology: Journal of Geophysical Research: Planets, v. 124, p. 1357–1378, doi:</w:t>
      </w:r>
      <w:hyperlink r:id="rId256" w:history="1">
        <w:r w:rsidRPr="00DE5981">
          <w:rPr>
            <w:color w:val="0000FF"/>
            <w:u w:val="single"/>
          </w:rPr>
          <w:t>10.1029/2018JE005905</w:t>
        </w:r>
      </w:hyperlink>
      <w:r w:rsidRPr="00DE5981">
        <w:t>.</w:t>
      </w:r>
    </w:p>
    <w:p w14:paraId="1194223E" w14:textId="77777777" w:rsidR="00DE5981" w:rsidRPr="00DE5981" w:rsidRDefault="00DE5981" w:rsidP="00AF7609">
      <w:pPr>
        <w:spacing w:line="480" w:lineRule="auto"/>
        <w:ind w:left="450" w:hanging="450"/>
      </w:pPr>
      <w:r w:rsidRPr="00DE5981">
        <w:t>Lin, Y., Tronche, E.J., Steenstra, E.S., and van Westrenen, W., 2017, Evidence for an early wet Moon from experimental crystallization of the lunar magma ocean: Nature Geoscience, v. 10, p. 14–18, doi:</w:t>
      </w:r>
      <w:hyperlink r:id="rId257" w:history="1">
        <w:r w:rsidRPr="00DE5981">
          <w:rPr>
            <w:color w:val="0000FF"/>
            <w:u w:val="single"/>
          </w:rPr>
          <w:t>10.1038/ngeo2845</w:t>
        </w:r>
      </w:hyperlink>
      <w:r w:rsidRPr="00DE5981">
        <w:t>.</w:t>
      </w:r>
    </w:p>
    <w:p w14:paraId="7AF26FD3" w14:textId="77777777" w:rsidR="00DE5981" w:rsidRPr="00DE5981" w:rsidRDefault="00DE5981" w:rsidP="00AF7609">
      <w:pPr>
        <w:spacing w:line="480" w:lineRule="auto"/>
        <w:ind w:left="450" w:hanging="450"/>
      </w:pPr>
      <w:r w:rsidRPr="00DE5981">
        <w:t>Lin, Y., Tronche, E.J., Steenstra, E.S., and van Westrenen, W., 2016, Solidification Evolution of a Dry Lunar Magma Ocean: Constraints from Experimental Petrology: v. 47, p. 1296.</w:t>
      </w:r>
    </w:p>
    <w:p w14:paraId="41B8E08C" w14:textId="77777777" w:rsidR="00DE5981" w:rsidRPr="00DE5981" w:rsidRDefault="00DE5981" w:rsidP="00AF7609">
      <w:pPr>
        <w:spacing w:line="480" w:lineRule="auto"/>
        <w:ind w:left="450" w:hanging="450"/>
      </w:pPr>
      <w:r w:rsidRPr="00DE5981">
        <w:t>Longhi, J., 2003, A new view of lunar ferroan anorthosites: Postmagma ocean petrogenesis: Journal of Geophysical Research: Planets, v. 108.</w:t>
      </w:r>
    </w:p>
    <w:p w14:paraId="6C8B2E1A" w14:textId="77777777" w:rsidR="00DE5981" w:rsidRPr="00DE5981" w:rsidRDefault="00DE5981" w:rsidP="00AF7609">
      <w:pPr>
        <w:spacing w:line="480" w:lineRule="auto"/>
        <w:ind w:left="450" w:hanging="450"/>
      </w:pPr>
      <w:r w:rsidRPr="00DE5981">
        <w:t>Longhi, J., 2006, Petrogenesis of picritic mare magmas: Constraints on the extent of early lunar differentiation: A Special Issue Dedicated to Larry A. Haskin, v. 70, p. 5919–5934, doi:</w:t>
      </w:r>
      <w:hyperlink r:id="rId258" w:history="1">
        <w:r w:rsidRPr="00DE5981">
          <w:rPr>
            <w:color w:val="0000FF"/>
            <w:u w:val="single"/>
          </w:rPr>
          <w:t>10.1016/j.gca.2006.09.023</w:t>
        </w:r>
      </w:hyperlink>
      <w:r w:rsidRPr="00DE5981">
        <w:t>.</w:t>
      </w:r>
    </w:p>
    <w:p w14:paraId="32749415" w14:textId="77777777" w:rsidR="00DE5981" w:rsidRPr="00DE5981" w:rsidRDefault="00DE5981" w:rsidP="00AF7609">
      <w:pPr>
        <w:spacing w:line="480" w:lineRule="auto"/>
        <w:ind w:left="450" w:hanging="450"/>
      </w:pPr>
      <w:r w:rsidRPr="00DE5981">
        <w:lastRenderedPageBreak/>
        <w:t>Longhi, J., Walker, D., Grove, T.L., Stolper, E.M., and Hays, J.F., 1974, The petrology of the Apollo 17 mare basalts.: Lunar and Planetary Science Conference Proceedings, v. 1, p. 447–469.</w:t>
      </w:r>
    </w:p>
    <w:p w14:paraId="3D61AE30" w14:textId="77777777" w:rsidR="00DE5981" w:rsidRPr="00DE5981" w:rsidRDefault="00DE5981" w:rsidP="00AF7609">
      <w:pPr>
        <w:spacing w:line="480" w:lineRule="auto"/>
        <w:ind w:left="450" w:hanging="450"/>
      </w:pPr>
      <w:r w:rsidRPr="00DE5981">
        <w:t>Lucey, P.G., Taylor, G.J., Hawke, B.R., and Spudis, P.D., 1998, FeO and TiO2 concentrations in the South Pole-Aitken basin: Implications for mantle composition and basin formation: Journal of Geophysical Research: Planets, v. 103, p. 3701–3708, doi:</w:t>
      </w:r>
      <w:hyperlink r:id="rId259" w:history="1">
        <w:r w:rsidRPr="00DE5981">
          <w:rPr>
            <w:color w:val="0000FF"/>
            <w:u w:val="single"/>
          </w:rPr>
          <w:t>10.1029/97JE03146</w:t>
        </w:r>
      </w:hyperlink>
      <w:r w:rsidRPr="00DE5981">
        <w:t>.</w:t>
      </w:r>
    </w:p>
    <w:p w14:paraId="676448FE" w14:textId="77777777" w:rsidR="00DE5981" w:rsidRPr="00DE5981" w:rsidRDefault="00DE5981" w:rsidP="00AF7609">
      <w:pPr>
        <w:spacing w:line="480" w:lineRule="auto"/>
        <w:ind w:left="450" w:hanging="450"/>
      </w:pPr>
      <w:r w:rsidRPr="00DE5981">
        <w:t>Mallik, A., Ejaz, T., Shcheka, S., and Garapic, G., 2019, A petrologic study on the effect of mantle overturn: Implications for evolution of the lunar interior: Geochimica et Cosmochimica Acta, v. 250, p. 238–250, doi:</w:t>
      </w:r>
      <w:hyperlink r:id="rId260" w:history="1">
        <w:r w:rsidRPr="00DE5981">
          <w:rPr>
            <w:color w:val="0000FF"/>
            <w:u w:val="single"/>
          </w:rPr>
          <w:t>10.1016/j.gca.2019.02.014</w:t>
        </w:r>
      </w:hyperlink>
      <w:r w:rsidRPr="00DE5981">
        <w:t>.</w:t>
      </w:r>
    </w:p>
    <w:p w14:paraId="0D512526" w14:textId="77777777" w:rsidR="00DE5981" w:rsidRPr="00DE5981" w:rsidRDefault="00DE5981" w:rsidP="00AF7609">
      <w:pPr>
        <w:spacing w:line="480" w:lineRule="auto"/>
        <w:ind w:left="450" w:hanging="450"/>
      </w:pPr>
      <w:r w:rsidRPr="00DE5981">
        <w:t>Marks, N.E., Borg, L.E., Shearer, C.K., and Cassata, W.S., 2019, Geochronology of an Apollo 16 Clast Provides Evidence for a Basin-Forming Impact 4.3 Billion Years Ago: Journal of Geophysical Research: Planets, v. 124, p. 2465–2481, doi:</w:t>
      </w:r>
      <w:hyperlink r:id="rId261" w:history="1">
        <w:r w:rsidRPr="00DE5981">
          <w:rPr>
            <w:color w:val="0000FF"/>
            <w:u w:val="single"/>
          </w:rPr>
          <w:t>10.1029/2019JE005966</w:t>
        </w:r>
      </w:hyperlink>
      <w:r w:rsidRPr="00DE5981">
        <w:t>.</w:t>
      </w:r>
    </w:p>
    <w:p w14:paraId="7D0AD35B" w14:textId="77777777" w:rsidR="00DE5981" w:rsidRPr="00DE5981" w:rsidRDefault="00DE5981" w:rsidP="00AF7609">
      <w:pPr>
        <w:spacing w:line="480" w:lineRule="auto"/>
        <w:ind w:left="450" w:hanging="450"/>
      </w:pPr>
      <w:r w:rsidRPr="00DE5981">
        <w:t>McDonough, W.F., and Sun, S. -s., 1995, The composition of the Earth: Chemical Evolution of the Mantle, v. 120, p. 223–253, doi:</w:t>
      </w:r>
      <w:hyperlink r:id="rId262" w:history="1">
        <w:r w:rsidRPr="00DE5981">
          <w:rPr>
            <w:color w:val="0000FF"/>
            <w:u w:val="single"/>
          </w:rPr>
          <w:t>10.1016/0009-2541(94)00140-4</w:t>
        </w:r>
      </w:hyperlink>
      <w:r w:rsidRPr="00DE5981">
        <w:t>.</w:t>
      </w:r>
    </w:p>
    <w:p w14:paraId="235B3EE0" w14:textId="77777777" w:rsidR="00DE5981" w:rsidRPr="00DE5981" w:rsidRDefault="00DE5981" w:rsidP="00AF7609">
      <w:pPr>
        <w:spacing w:line="480" w:lineRule="auto"/>
        <w:ind w:left="450" w:hanging="450"/>
      </w:pPr>
      <w:r w:rsidRPr="00DE5981">
        <w:t>McIntosh, E.C., Day, J.M.D., McCubbin, F.M., Vander Kaaden, K.E., Hattingh, R., and Porrachia, M., 2024, Revisiting the Petrogenesis of Pyroclastic Glass Bead Deposits at the Apollo 15 and 17 Sites: Journal of Petrology, v. 65, p. egae026, doi:</w:t>
      </w:r>
      <w:hyperlink r:id="rId263" w:history="1">
        <w:r w:rsidRPr="00DE5981">
          <w:rPr>
            <w:color w:val="0000FF"/>
            <w:u w:val="single"/>
          </w:rPr>
          <w:t>10.1093/petrology/egae026</w:t>
        </w:r>
      </w:hyperlink>
      <w:r w:rsidRPr="00DE5981">
        <w:t>.</w:t>
      </w:r>
    </w:p>
    <w:p w14:paraId="7E87D1BE" w14:textId="77777777" w:rsidR="00DE5981" w:rsidRPr="00DE5981" w:rsidRDefault="00DE5981" w:rsidP="00AF7609">
      <w:pPr>
        <w:spacing w:line="480" w:lineRule="auto"/>
        <w:ind w:left="450" w:hanging="450"/>
      </w:pPr>
      <w:r w:rsidRPr="00DE5981">
        <w:lastRenderedPageBreak/>
        <w:t>McKenzie, D., 2011, Compaction and Crystallization in Magma Chambers: Towards a Model of the Skaergaard Intrusion: Journal of Petrology, v. 52, p. 905–930, doi:</w:t>
      </w:r>
      <w:hyperlink r:id="rId264" w:history="1">
        <w:r w:rsidRPr="00DE5981">
          <w:rPr>
            <w:color w:val="0000FF"/>
            <w:u w:val="single"/>
          </w:rPr>
          <w:t>10.1093/petrology/egr009</w:t>
        </w:r>
      </w:hyperlink>
      <w:r w:rsidRPr="00DE5981">
        <w:t>.</w:t>
      </w:r>
    </w:p>
    <w:p w14:paraId="3B8652F8" w14:textId="77777777" w:rsidR="00DE5981" w:rsidRPr="00DE5981" w:rsidRDefault="00DE5981" w:rsidP="00AF7609">
      <w:pPr>
        <w:spacing w:line="480" w:lineRule="auto"/>
        <w:ind w:left="450" w:hanging="450"/>
      </w:pPr>
      <w:r w:rsidRPr="00DE5981">
        <w:t>Neal, C.R., 2001, Interior of the Moon: The presence of garnet in the primitive deep lunar mantle: Journal of Geophysical Research: Planets, v. 106, p. 27865–27885, doi:</w:t>
      </w:r>
      <w:hyperlink r:id="rId265" w:history="1">
        <w:r w:rsidRPr="00DE5981">
          <w:rPr>
            <w:color w:val="0000FF"/>
            <w:u w:val="single"/>
          </w:rPr>
          <w:t>10.1029/2000JE001386</w:t>
        </w:r>
      </w:hyperlink>
      <w:r w:rsidRPr="00DE5981">
        <w:t>.</w:t>
      </w:r>
    </w:p>
    <w:p w14:paraId="2B29D221" w14:textId="77777777" w:rsidR="00DE5981" w:rsidRPr="00DE5981" w:rsidRDefault="00DE5981" w:rsidP="00AF7609">
      <w:pPr>
        <w:spacing w:line="480" w:lineRule="auto"/>
        <w:ind w:left="450" w:hanging="450"/>
      </w:pPr>
      <w:r w:rsidRPr="00DE5981">
        <w:t>Neal, C.R., Hacker, M.D., Snyder, G.A., Taylor, L.A., Liu, Y., and Schmitt, R.A., 1994, Basalt generation at the Apollo 12 site, Part 1: New data, classification, and re‐evaluation: Meteoritics, v. 29, p. 334–348.</w:t>
      </w:r>
    </w:p>
    <w:p w14:paraId="7E6F1440" w14:textId="77777777" w:rsidR="00DE5981" w:rsidRPr="00DE5981" w:rsidRDefault="00DE5981" w:rsidP="00AF7609">
      <w:pPr>
        <w:spacing w:line="480" w:lineRule="auto"/>
        <w:ind w:left="450" w:hanging="450"/>
      </w:pPr>
      <w:r w:rsidRPr="00DE5981">
        <w:t xml:space="preserve">Neal, C.R., and Kramer, G.Y., 2003, The Composition of KREEP: A Detailed Study of KREEP Basalt 15386, </w:t>
      </w:r>
      <w:r w:rsidRPr="00DE5981">
        <w:rPr>
          <w:i/>
          <w:iCs/>
        </w:rPr>
        <w:t>in</w:t>
      </w:r>
      <w:r w:rsidRPr="00DE5981">
        <w:t xml:space="preserve"> Mackwell, S. and Stansbery, E. eds., Lunar and Planetary Science Conference, Lunar and Planetary Science Conference, p. 2023.</w:t>
      </w:r>
    </w:p>
    <w:p w14:paraId="0668DA68" w14:textId="77777777" w:rsidR="00DE5981" w:rsidRPr="00DE5981" w:rsidRDefault="00DE5981" w:rsidP="00AF7609">
      <w:pPr>
        <w:spacing w:line="480" w:lineRule="auto"/>
        <w:ind w:left="450" w:hanging="450"/>
      </w:pPr>
      <w:r w:rsidRPr="00DE5981">
        <w:t>O’Neill, H.St.C., 1991, The origin of the moon and the early history of the earth—A chemical model. Part 2: The earth: Geochimica et Cosmochimica Acta, v. 55, p. 1159–1172, doi:</w:t>
      </w:r>
      <w:hyperlink r:id="rId266" w:history="1">
        <w:r w:rsidRPr="00DE5981">
          <w:rPr>
            <w:color w:val="0000FF"/>
            <w:u w:val="single"/>
          </w:rPr>
          <w:t>10.1016/0016-7037(91)90169-6</w:t>
        </w:r>
      </w:hyperlink>
      <w:r w:rsidRPr="00DE5981">
        <w:t>.</w:t>
      </w:r>
    </w:p>
    <w:p w14:paraId="7F8F84B2" w14:textId="77777777" w:rsidR="00DE5981" w:rsidRPr="00DE5981" w:rsidRDefault="00DE5981" w:rsidP="00AF7609">
      <w:pPr>
        <w:spacing w:line="480" w:lineRule="auto"/>
        <w:ind w:left="450" w:hanging="450"/>
      </w:pPr>
      <w:r w:rsidRPr="00DE5981">
        <w:t>O’Neill, H.St.C., and Pownceby, M.I., 1993, Thermodynamic data from redox reactions at high temperatures. I. An experimental and theoretical assessment of the electrochemical method using stabilized zirconia electrolytes, with revised values for the Fe-“FeO”, Co-CoO, Ni-NiO and Cu-Cu2O oxygen buffers, and new data for the W-WO2 buffer: Contributions to Mineralogy and Petrology, v. 114, p. 296–314, doi:</w:t>
      </w:r>
      <w:hyperlink r:id="rId267" w:history="1">
        <w:r w:rsidRPr="00DE5981">
          <w:rPr>
            <w:color w:val="0000FF"/>
            <w:u w:val="single"/>
          </w:rPr>
          <w:t>10.1007/BF01046533</w:t>
        </w:r>
      </w:hyperlink>
      <w:r w:rsidRPr="00DE5981">
        <w:t>.</w:t>
      </w:r>
    </w:p>
    <w:p w14:paraId="3FE2945B" w14:textId="77777777" w:rsidR="00DE5981" w:rsidRPr="00DE5981" w:rsidRDefault="00DE5981" w:rsidP="00AF7609">
      <w:pPr>
        <w:spacing w:line="480" w:lineRule="auto"/>
        <w:ind w:left="450" w:hanging="450"/>
      </w:pPr>
      <w:r w:rsidRPr="00DE5981">
        <w:lastRenderedPageBreak/>
        <w:t>Papike, J.J., Ryder, G., and Shearer, C.K., 1998, Lunar samples: Reviews in Mineralogy and Geochemistry, v. 36, p. 5– 01.</w:t>
      </w:r>
    </w:p>
    <w:p w14:paraId="72622BEA" w14:textId="77777777" w:rsidR="00DE5981" w:rsidRPr="00DE5981" w:rsidRDefault="00DE5981" w:rsidP="00AF7609">
      <w:pPr>
        <w:spacing w:line="480" w:lineRule="auto"/>
        <w:ind w:left="450" w:hanging="450"/>
      </w:pPr>
      <w:r w:rsidRPr="00DE5981">
        <w:t>Parmentier, E.M., Zhong, S., and Zuber, M.T., 2002, Gravitational differentiation due to initial chemical stratification: origin of lunar asymmetry by the creep of dense KREEP? Earth and Planetary Science Letters, v. 201, p. 473–480, doi:</w:t>
      </w:r>
      <w:hyperlink r:id="rId268" w:history="1">
        <w:r w:rsidRPr="00DE5981">
          <w:rPr>
            <w:color w:val="0000FF"/>
            <w:u w:val="single"/>
          </w:rPr>
          <w:t>10.1016/S0012-821X(02)00726-4</w:t>
        </w:r>
      </w:hyperlink>
      <w:r w:rsidRPr="00DE5981">
        <w:t>.</w:t>
      </w:r>
    </w:p>
    <w:p w14:paraId="3B3BAD70" w14:textId="77777777" w:rsidR="00DE5981" w:rsidRPr="00DE5981" w:rsidRDefault="00DE5981" w:rsidP="00AF7609">
      <w:pPr>
        <w:spacing w:line="480" w:lineRule="auto"/>
        <w:ind w:left="450" w:hanging="450"/>
      </w:pPr>
      <w:r w:rsidRPr="00DE5981">
        <w:t>Pertermann, M., Hirschmann, M., Hametner, K., Günther, D., and Schmidt, M.W., 2004, Experimental determination of trace element partitioning between garnet and silica‐rich liquid during anhydrous partial melting of MORB‐like eclogite: Geochemistry, Geophysics, Geosystems, v. 5.</w:t>
      </w:r>
    </w:p>
    <w:p w14:paraId="7B797E38" w14:textId="77777777" w:rsidR="00DE5981" w:rsidRPr="00DE5981" w:rsidRDefault="00DE5981" w:rsidP="00AF7609">
      <w:pPr>
        <w:spacing w:line="480" w:lineRule="auto"/>
        <w:ind w:left="450" w:hanging="450"/>
      </w:pPr>
      <w:r w:rsidRPr="00DE5981">
        <w:t>Presnall, D.C., Gudfinnsson, G.H., and Walter, M.J., 2002, Generation of mid-ocean ridge basalts at pressures from 1 to 7 GPa: Geochimica et Cosmochimica Acta, v. 66, p. 2073–2090, doi:</w:t>
      </w:r>
      <w:hyperlink r:id="rId269" w:history="1">
        <w:r w:rsidRPr="00DE5981">
          <w:rPr>
            <w:color w:val="0000FF"/>
            <w:u w:val="single"/>
          </w:rPr>
          <w:t>10.1016/S0016-7037(02)00890-6</w:t>
        </w:r>
      </w:hyperlink>
      <w:r w:rsidRPr="00DE5981">
        <w:t>.</w:t>
      </w:r>
    </w:p>
    <w:p w14:paraId="7EEC370E" w14:textId="77777777" w:rsidR="00DE5981" w:rsidRPr="00DE5981" w:rsidRDefault="00DE5981" w:rsidP="00AF7609">
      <w:pPr>
        <w:spacing w:line="480" w:lineRule="auto"/>
        <w:ind w:left="450" w:hanging="450"/>
      </w:pPr>
      <w:r w:rsidRPr="00DE5981">
        <w:t>Prowatke, S., and Klemme, S., 2006, Trace element partitioning between apatite and silicate melts: Geochimica et Cosmochimica Acta, v. 70, p. 4513–4527, doi:</w:t>
      </w:r>
      <w:hyperlink r:id="rId270" w:history="1">
        <w:r w:rsidRPr="00DE5981">
          <w:rPr>
            <w:color w:val="0000FF"/>
            <w:u w:val="single"/>
          </w:rPr>
          <w:t>10.1016/j.gca.2006.06.162</w:t>
        </w:r>
      </w:hyperlink>
      <w:r w:rsidRPr="00DE5981">
        <w:t>.</w:t>
      </w:r>
    </w:p>
    <w:p w14:paraId="47091915" w14:textId="77777777" w:rsidR="00DE5981" w:rsidRPr="00DE5981" w:rsidRDefault="00DE5981" w:rsidP="00AF7609">
      <w:pPr>
        <w:spacing w:line="480" w:lineRule="auto"/>
        <w:ind w:left="450" w:hanging="450"/>
      </w:pPr>
      <w:r w:rsidRPr="00DE5981">
        <w:t>Rapp, J.F., and Draper, D.S., 2018, Fractional crystallization of the lunar magma ocean: Updating the dominant paradigm: Meteoritics &amp; Planetary Science, v. 53, p. 1432–1455, doi:</w:t>
      </w:r>
      <w:hyperlink r:id="rId271" w:history="1">
        <w:r w:rsidRPr="00DE5981">
          <w:rPr>
            <w:color w:val="0000FF"/>
            <w:u w:val="single"/>
          </w:rPr>
          <w:t>10.1111/maps.13086</w:t>
        </w:r>
      </w:hyperlink>
      <w:r w:rsidRPr="00DE5981">
        <w:t>.</w:t>
      </w:r>
    </w:p>
    <w:p w14:paraId="4314245A" w14:textId="77777777" w:rsidR="00DE5981" w:rsidRPr="00DE5981" w:rsidRDefault="00DE5981" w:rsidP="00AF7609">
      <w:pPr>
        <w:spacing w:line="480" w:lineRule="auto"/>
        <w:ind w:left="450" w:hanging="450"/>
      </w:pPr>
      <w:r w:rsidRPr="00DE5981">
        <w:t xml:space="preserve">Ringwood, A.E., and Kesson, S.E., 1976, A dynamic model for mare basalt petrogenesis, </w:t>
      </w:r>
      <w:r w:rsidRPr="00DE5981">
        <w:rPr>
          <w:i/>
          <w:iCs/>
        </w:rPr>
        <w:t>in</w:t>
      </w:r>
      <w:r w:rsidRPr="00DE5981">
        <w:t xml:space="preserve"> Lunar and Planetary Science Conference Proceedings, v. 7, p. 1697–1722.</w:t>
      </w:r>
    </w:p>
    <w:p w14:paraId="76C375D8" w14:textId="77777777" w:rsidR="00DE5981" w:rsidRPr="00DE5981" w:rsidRDefault="00DE5981" w:rsidP="00AF7609">
      <w:pPr>
        <w:spacing w:line="480" w:lineRule="auto"/>
        <w:ind w:left="450" w:hanging="450"/>
      </w:pPr>
      <w:r w:rsidRPr="00DE5981">
        <w:lastRenderedPageBreak/>
        <w:t>Schmidt, M.W., and Kraettli, G., 2022, Experimental Crystallization of the Lunar Magma Ocean, Initial Selenotherm and Density Stratification, and Implications for Crust Formation, Overturn and the Bulk Silicate Moon Composition: Journal of Geophysical Research: Planets, v. 127, p. e2022JE007187, doi:</w:t>
      </w:r>
      <w:hyperlink r:id="rId272" w:history="1">
        <w:r w:rsidRPr="00DE5981">
          <w:rPr>
            <w:color w:val="0000FF"/>
            <w:u w:val="single"/>
          </w:rPr>
          <w:t>10.1029/2022JE007187</w:t>
        </w:r>
      </w:hyperlink>
      <w:r w:rsidRPr="00DE5981">
        <w:t>.</w:t>
      </w:r>
    </w:p>
    <w:p w14:paraId="438CE7EA" w14:textId="77777777" w:rsidR="00DE5981" w:rsidRPr="00DE5981" w:rsidRDefault="00DE5981" w:rsidP="00AF7609">
      <w:pPr>
        <w:spacing w:line="480" w:lineRule="auto"/>
        <w:ind w:left="450" w:hanging="450"/>
      </w:pPr>
      <w:r w:rsidRPr="00DE5981">
        <w:t xml:space="preserve">Scholpp, J.L., and Dygert, N.J., 2024a, A Geochemical Model for Lunar Magma Ocean Solidification:, </w:t>
      </w:r>
      <w:hyperlink r:id="rId273" w:history="1">
        <w:r w:rsidRPr="00DE5981">
          <w:rPr>
            <w:color w:val="0000FF"/>
            <w:u w:val="single"/>
          </w:rPr>
          <w:t>https://doi.org/10.5281/zenodo.14172014</w:t>
        </w:r>
      </w:hyperlink>
      <w:r w:rsidRPr="00DE5981">
        <w:t>.</w:t>
      </w:r>
    </w:p>
    <w:p w14:paraId="0FA9CD02" w14:textId="77777777" w:rsidR="00DE5981" w:rsidRPr="00DE5981" w:rsidRDefault="00DE5981" w:rsidP="00AF7609">
      <w:pPr>
        <w:spacing w:line="480" w:lineRule="auto"/>
        <w:ind w:left="450" w:hanging="450"/>
      </w:pPr>
      <w:r w:rsidRPr="00DE5981">
        <w:t>Scholpp, J.L., and Dygert, N., 2024b, Experimental insights into the mineralogy and melt-rock reactions produced by lunar cumulate mantle overturn: Contributions to Mineralogy and Petrology, v. 179, p. 58, doi:</w:t>
      </w:r>
      <w:hyperlink r:id="rId274" w:history="1">
        <w:r w:rsidRPr="00DE5981">
          <w:rPr>
            <w:color w:val="0000FF"/>
            <w:u w:val="single"/>
          </w:rPr>
          <w:t>10.1007/s00410-024-02134-z</w:t>
        </w:r>
      </w:hyperlink>
      <w:r w:rsidRPr="00DE5981">
        <w:t>.</w:t>
      </w:r>
    </w:p>
    <w:p w14:paraId="002A86C5" w14:textId="77777777" w:rsidR="00DE5981" w:rsidRPr="00DE5981" w:rsidRDefault="00DE5981" w:rsidP="00AF7609">
      <w:pPr>
        <w:spacing w:line="480" w:lineRule="auto"/>
        <w:ind w:left="450" w:hanging="450"/>
      </w:pPr>
      <w:r w:rsidRPr="00DE5981">
        <w:t>Shearer, C.K. et al., 2006, Thermal and Magmatic Evolution of the Moon: Reviews in Mineralogy and Geochemistry, v. 60, p. 365–518, doi:</w:t>
      </w:r>
      <w:hyperlink r:id="rId275" w:history="1">
        <w:r w:rsidRPr="00DE5981">
          <w:rPr>
            <w:color w:val="0000FF"/>
            <w:u w:val="single"/>
          </w:rPr>
          <w:t>10.2138/rmg.2006.60.4</w:t>
        </w:r>
      </w:hyperlink>
      <w:r w:rsidRPr="00DE5981">
        <w:t>.</w:t>
      </w:r>
    </w:p>
    <w:p w14:paraId="7A80DA27" w14:textId="77777777" w:rsidR="00DE5981" w:rsidRPr="00DE5981" w:rsidRDefault="00DE5981" w:rsidP="00AF7609">
      <w:pPr>
        <w:spacing w:line="480" w:lineRule="auto"/>
        <w:ind w:left="450" w:hanging="450"/>
      </w:pPr>
      <w:r w:rsidRPr="00DE5981">
        <w:t>Shearer, C.K., Elardo, S.M., Petro, N.E., Borg, L.E., and McCubbin, F.M., 2015, Origin Of The Lunar Highlands Mg-Suite: An Integrated Petrology, Geochemistry, Chronology, And Remote Sensing Perspective: v. 100, p. 294–325, doi:</w:t>
      </w:r>
      <w:hyperlink r:id="rId276" w:history="1">
        <w:r w:rsidRPr="00DE5981">
          <w:rPr>
            <w:color w:val="0000FF"/>
            <w:u w:val="single"/>
          </w:rPr>
          <w:t>10.2138/am-2015-4817</w:t>
        </w:r>
      </w:hyperlink>
      <w:r w:rsidRPr="00DE5981">
        <w:t>.</w:t>
      </w:r>
    </w:p>
    <w:p w14:paraId="3C3DF8EA" w14:textId="77777777" w:rsidR="00DE5981" w:rsidRPr="00DE5981" w:rsidRDefault="00DE5981" w:rsidP="00AF7609">
      <w:pPr>
        <w:spacing w:line="480" w:lineRule="auto"/>
        <w:ind w:left="450" w:hanging="450"/>
      </w:pPr>
      <w:r w:rsidRPr="00DE5981">
        <w:t>Shearer, C.K., and Papike, J.J., 1993, Basaltic magmatism on the Moon: A perspective from volcanic picritic glass beads: Geochimica et Cosmochimica Acta, v. 57, p. 4785–4812, doi:</w:t>
      </w:r>
      <w:hyperlink r:id="rId277" w:history="1">
        <w:r w:rsidRPr="00DE5981">
          <w:rPr>
            <w:color w:val="0000FF"/>
            <w:u w:val="single"/>
          </w:rPr>
          <w:t>10.1016/0016-7037(93)90200-G</w:t>
        </w:r>
      </w:hyperlink>
      <w:r w:rsidRPr="00DE5981">
        <w:t>.</w:t>
      </w:r>
    </w:p>
    <w:p w14:paraId="3082FCB4" w14:textId="77777777" w:rsidR="00DE5981" w:rsidRPr="00DE5981" w:rsidRDefault="00DE5981" w:rsidP="00AF7609">
      <w:pPr>
        <w:spacing w:line="480" w:lineRule="auto"/>
        <w:ind w:left="450" w:hanging="450"/>
      </w:pPr>
      <w:r w:rsidRPr="00DE5981">
        <w:t xml:space="preserve">Shearer, C.K., Papike, J.J., Galbreath, K.C., and Shimizu, N., 1991, Exploring the lunar mantle with secondary ion mass spectrometry: a comparison of lunar picritic glass </w:t>
      </w:r>
      <w:r w:rsidRPr="00DE5981">
        <w:lastRenderedPageBreak/>
        <w:t>beads from the Apollo 14 and Apollo 17 sites: Earth and Planetary Science Letters, v. 102, p. 134–147, doi:</w:t>
      </w:r>
      <w:hyperlink r:id="rId278" w:history="1">
        <w:r w:rsidRPr="00DE5981">
          <w:rPr>
            <w:color w:val="0000FF"/>
            <w:u w:val="single"/>
          </w:rPr>
          <w:t>10.1016/0012-821X(91)90003-Z</w:t>
        </w:r>
      </w:hyperlink>
      <w:r w:rsidRPr="00DE5981">
        <w:t>.</w:t>
      </w:r>
    </w:p>
    <w:p w14:paraId="2C255B1C" w14:textId="77777777" w:rsidR="00DE5981" w:rsidRPr="00DE5981" w:rsidRDefault="00DE5981" w:rsidP="00AF7609">
      <w:pPr>
        <w:spacing w:line="480" w:lineRule="auto"/>
        <w:ind w:left="450" w:hanging="450"/>
      </w:pPr>
      <w:r w:rsidRPr="00DE5981">
        <w:t>Shepherd, K., Namur, O., Toplis, M.J., Devidal, J.-L., and Charlier, B., 2022, Trace element partitioning between clinopyroxene, magnetite, ilmenite and ferrobasaltic to dacitic magmas: an experimental study on the role of oxygen fugacity and melt composition: Contributions to Mineralogy and Petrology, v. 177, p. 90, doi:</w:t>
      </w:r>
      <w:hyperlink r:id="rId279" w:history="1">
        <w:r w:rsidRPr="00DE5981">
          <w:rPr>
            <w:color w:val="0000FF"/>
            <w:u w:val="single"/>
          </w:rPr>
          <w:t>10.1007/s00410-022-01957-y</w:t>
        </w:r>
      </w:hyperlink>
      <w:r w:rsidRPr="00DE5981">
        <w:t>.</w:t>
      </w:r>
    </w:p>
    <w:p w14:paraId="30251338" w14:textId="77777777" w:rsidR="00DE5981" w:rsidRPr="00DE5981" w:rsidRDefault="00DE5981" w:rsidP="00AF7609">
      <w:pPr>
        <w:spacing w:line="480" w:lineRule="auto"/>
        <w:ind w:left="450" w:hanging="450"/>
      </w:pPr>
      <w:r w:rsidRPr="00DE5981">
        <w:t>Singletary, S., and Grove, T., 2008, Origin of lunar high-titanium ultramafic glasses: A hybridized source? Earth and Planetary Science Letters, v. 268, p. 182–189, doi:</w:t>
      </w:r>
      <w:hyperlink r:id="rId280" w:history="1">
        <w:r w:rsidRPr="00DE5981">
          <w:rPr>
            <w:color w:val="0000FF"/>
            <w:u w:val="single"/>
          </w:rPr>
          <w:t>10.1016/j.epsl.2008.01.019</w:t>
        </w:r>
      </w:hyperlink>
      <w:r w:rsidRPr="00DE5981">
        <w:t>.</w:t>
      </w:r>
    </w:p>
    <w:p w14:paraId="195F2137" w14:textId="77777777" w:rsidR="00DE5981" w:rsidRPr="00DE5981" w:rsidRDefault="00DE5981" w:rsidP="00AF7609">
      <w:pPr>
        <w:spacing w:line="480" w:lineRule="auto"/>
        <w:ind w:left="450" w:hanging="450"/>
      </w:pPr>
      <w:r w:rsidRPr="00DE5981">
        <w:t>Sio, C.K., Borg, L.E., and Cassata, W.S., 2020, The timing of lunar solidification and mantle overturn recorded in ferroan anorthosite 62237: Earth and Planetary Science Letters, v. 538, p. 116219, doi:</w:t>
      </w:r>
      <w:hyperlink r:id="rId281" w:history="1">
        <w:r w:rsidRPr="00DE5981">
          <w:rPr>
            <w:color w:val="0000FF"/>
            <w:u w:val="single"/>
          </w:rPr>
          <w:t>10.1016/j.epsl.2020.116219</w:t>
        </w:r>
      </w:hyperlink>
      <w:r w:rsidRPr="00DE5981">
        <w:t>.</w:t>
      </w:r>
    </w:p>
    <w:p w14:paraId="7189F499" w14:textId="77777777" w:rsidR="00DE5981" w:rsidRPr="00DE5981" w:rsidRDefault="00DE5981" w:rsidP="00AF7609">
      <w:pPr>
        <w:spacing w:line="480" w:lineRule="auto"/>
        <w:ind w:left="450" w:hanging="450"/>
      </w:pPr>
      <w:r w:rsidRPr="00DE5981">
        <w:t>Snape, J.F., Nemchin, A.A., Johnson, T., Luginbühl, S., Berndt, J., Klemme, S., Morrissey, L.J., and van Westrenen, W., 2022, Experimental constraints on the long-lived radiogenic isotope evolution of the Moon: Geochimica et Cosmochimica Acta, v. 326, p. 119–148, doi:</w:t>
      </w:r>
      <w:hyperlink r:id="rId282" w:history="1">
        <w:r w:rsidRPr="00DE5981">
          <w:rPr>
            <w:color w:val="0000FF"/>
            <w:u w:val="single"/>
          </w:rPr>
          <w:t>10.1016/j.gca.2022.04.008</w:t>
        </w:r>
      </w:hyperlink>
      <w:r w:rsidRPr="00DE5981">
        <w:t>.</w:t>
      </w:r>
    </w:p>
    <w:p w14:paraId="54798592" w14:textId="77777777" w:rsidR="00DE5981" w:rsidRPr="00DE5981" w:rsidRDefault="00DE5981" w:rsidP="00AF7609">
      <w:pPr>
        <w:spacing w:line="480" w:lineRule="auto"/>
        <w:ind w:left="450" w:hanging="450"/>
      </w:pPr>
      <w:r w:rsidRPr="00DE5981">
        <w:t>Snyder, G.A., Neal, C.R., Taylor, L.A., and Halliday, A.N., 1997, Anatexis of lunar cumulate mantle in time and space: Clues from trace-element, strontium, and neodymium isotopic chemistry of parental Apollo 12 basalts: Geochimica et Cosmochimica Acta, v. 61, p. 2731–2747, doi:</w:t>
      </w:r>
      <w:hyperlink r:id="rId283" w:history="1">
        <w:r w:rsidRPr="00DE5981">
          <w:rPr>
            <w:color w:val="0000FF"/>
            <w:u w:val="single"/>
          </w:rPr>
          <w:t>10.1016/S0016-7037(97)00082-3</w:t>
        </w:r>
      </w:hyperlink>
      <w:r w:rsidRPr="00DE5981">
        <w:t>.</w:t>
      </w:r>
    </w:p>
    <w:p w14:paraId="550612C5" w14:textId="77777777" w:rsidR="00DE5981" w:rsidRPr="00DE5981" w:rsidRDefault="00DE5981" w:rsidP="00AF7609">
      <w:pPr>
        <w:spacing w:line="480" w:lineRule="auto"/>
        <w:ind w:left="450" w:hanging="450"/>
      </w:pPr>
      <w:r w:rsidRPr="00DE5981">
        <w:lastRenderedPageBreak/>
        <w:t xml:space="preserve">Snyder, G.A., Taylor, L.A., and Neal, C.R., 1992, Combined equilibrium and fractional crystallization of a magma ocean and formation of the upper mantle of the Moon, </w:t>
      </w:r>
      <w:r w:rsidRPr="00DE5981">
        <w:rPr>
          <w:i/>
          <w:iCs/>
        </w:rPr>
        <w:t>in</w:t>
      </w:r>
      <w:r w:rsidRPr="00DE5981">
        <w:t xml:space="preserve"> Lunar and Planetary Science Conference, v. 23.</w:t>
      </w:r>
    </w:p>
    <w:p w14:paraId="650AFC83" w14:textId="77777777" w:rsidR="00DE5981" w:rsidRPr="00DE5981" w:rsidRDefault="00DE5981" w:rsidP="00AF7609">
      <w:pPr>
        <w:spacing w:line="480" w:lineRule="auto"/>
        <w:ind w:left="450" w:hanging="450"/>
      </w:pPr>
      <w:r w:rsidRPr="00DE5981">
        <w:t>Solomatov, V.S., and Stevenson, D.J., 1993, Kinetics of crystal growth in a terrestrial magma ocean: Journal of Geophysical Research: Planets, v. 98, p. 5407–5418.</w:t>
      </w:r>
    </w:p>
    <w:p w14:paraId="71860B79" w14:textId="77777777" w:rsidR="00DE5981" w:rsidRPr="00DE5981" w:rsidRDefault="00DE5981" w:rsidP="00AF7609">
      <w:pPr>
        <w:spacing w:line="480" w:lineRule="auto"/>
        <w:ind w:left="450" w:hanging="450"/>
      </w:pPr>
      <w:r w:rsidRPr="00DE5981">
        <w:t>Solomon, S.C., and Longhi, J., 1977, Magma oceanography: 1. Thermal evolution.: Lunar and Planetary Science Conference Proceedings, v. 1, p. 583–599.</w:t>
      </w:r>
    </w:p>
    <w:p w14:paraId="3E7311A6" w14:textId="77777777" w:rsidR="00DE5981" w:rsidRPr="00DE5981" w:rsidRDefault="00DE5981" w:rsidP="00AF7609">
      <w:pPr>
        <w:spacing w:line="480" w:lineRule="auto"/>
        <w:ind w:left="450" w:hanging="450"/>
      </w:pPr>
      <w:r w:rsidRPr="00DE5981">
        <w:t>Springer, W., and Seck, H.A., 1997, Partial fusion of basic granulites at 5 to 15 kbar: implications for the origin of TTG magmas: Contributions to Mineralogy and Petrology, v. 127, p. 30–45, doi:</w:t>
      </w:r>
      <w:hyperlink r:id="rId284" w:history="1">
        <w:r w:rsidRPr="00DE5981">
          <w:rPr>
            <w:color w:val="0000FF"/>
            <w:u w:val="single"/>
          </w:rPr>
          <w:t>10.1007/s004100050263</w:t>
        </w:r>
      </w:hyperlink>
      <w:r w:rsidRPr="00DE5981">
        <w:t>.</w:t>
      </w:r>
    </w:p>
    <w:p w14:paraId="5F78EE56" w14:textId="77777777" w:rsidR="00DE5981" w:rsidRPr="00DE5981" w:rsidRDefault="00DE5981" w:rsidP="00AF7609">
      <w:pPr>
        <w:spacing w:line="480" w:lineRule="auto"/>
        <w:ind w:left="450" w:hanging="450"/>
      </w:pPr>
      <w:r w:rsidRPr="00DE5981">
        <w:t>Sprung, P., Kleine, T., and Scherer, E.E., 2013, Isotopic evidence for chondritic Lu/Hf and Sm/Nd of the Moon: Earth and Planetary Science Letters, v. 380, p. 77–87, doi:</w:t>
      </w:r>
      <w:hyperlink r:id="rId285" w:history="1">
        <w:r w:rsidRPr="00DE5981">
          <w:rPr>
            <w:color w:val="0000FF"/>
            <w:u w:val="single"/>
          </w:rPr>
          <w:t>10.1016/j.epsl.2013.08.018</w:t>
        </w:r>
      </w:hyperlink>
      <w:r w:rsidRPr="00DE5981">
        <w:t>.</w:t>
      </w:r>
    </w:p>
    <w:p w14:paraId="3D5C3BB3" w14:textId="77777777" w:rsidR="00DE5981" w:rsidRPr="00DE5981" w:rsidRDefault="00DE5981" w:rsidP="00AF7609">
      <w:pPr>
        <w:spacing w:line="480" w:lineRule="auto"/>
        <w:ind w:left="450" w:hanging="450"/>
      </w:pPr>
      <w:r w:rsidRPr="00DE5981">
        <w:t>Suckale, J., Elkins-Tanton, L.T., and Sethian, J.A., 2012, Crystals stirred up: 2. Numerical insights into the formation of the earliest crust on the Moon: Journal of Geophysical Research: Planets, v. 117, doi:</w:t>
      </w:r>
      <w:hyperlink r:id="rId286" w:history="1">
        <w:r w:rsidRPr="00DE5981">
          <w:rPr>
            <w:color w:val="0000FF"/>
            <w:u w:val="single"/>
          </w:rPr>
          <w:t>10.1029/2012JE004067</w:t>
        </w:r>
      </w:hyperlink>
      <w:r w:rsidRPr="00DE5981">
        <w:t>.</w:t>
      </w:r>
    </w:p>
    <w:p w14:paraId="166B0F6E" w14:textId="77777777" w:rsidR="00DE5981" w:rsidRPr="00DE5981" w:rsidRDefault="00DE5981" w:rsidP="00AF7609">
      <w:pPr>
        <w:spacing w:line="480" w:lineRule="auto"/>
        <w:ind w:left="450" w:hanging="450"/>
      </w:pPr>
      <w:r w:rsidRPr="00DE5981">
        <w:t>Sun, C., Graff, M., and Liang, Y., 2017, Trace element partitioning between plagioclase and silicate melt: The importance of temperature and plagioclase composition, with implications for terrestrial and lunar magmatism: Geochimica et Cosmochimica Acta, v. 206, p. 273–295, doi:</w:t>
      </w:r>
      <w:hyperlink r:id="rId287" w:history="1">
        <w:r w:rsidRPr="00DE5981">
          <w:rPr>
            <w:color w:val="0000FF"/>
            <w:u w:val="single"/>
          </w:rPr>
          <w:t>10.1016/j.gca.2017.03.003</w:t>
        </w:r>
      </w:hyperlink>
      <w:r w:rsidRPr="00DE5981">
        <w:t>.</w:t>
      </w:r>
    </w:p>
    <w:p w14:paraId="243BBACA" w14:textId="77777777" w:rsidR="00DE5981" w:rsidRPr="00DE5981" w:rsidRDefault="00DE5981" w:rsidP="00AF7609">
      <w:pPr>
        <w:spacing w:line="480" w:lineRule="auto"/>
        <w:ind w:left="450" w:hanging="450"/>
      </w:pPr>
      <w:r w:rsidRPr="00DE5981">
        <w:lastRenderedPageBreak/>
        <w:t>Sun, C., and Liang, Y., 2013a, Distribution of REE and HFSE between low-Ca pyroxene and lunar picritic melts around multiple saturation points: Geochimica et Cosmochimica Acta, v. 119, p. 340–358, doi:</w:t>
      </w:r>
      <w:hyperlink r:id="rId288" w:history="1">
        <w:r w:rsidRPr="00DE5981">
          <w:rPr>
            <w:color w:val="0000FF"/>
            <w:u w:val="single"/>
          </w:rPr>
          <w:t>10.1016/j.gca.2013.05.036</w:t>
        </w:r>
      </w:hyperlink>
      <w:r w:rsidRPr="00DE5981">
        <w:t>.</w:t>
      </w:r>
    </w:p>
    <w:p w14:paraId="2279AA55" w14:textId="77777777" w:rsidR="00DE5981" w:rsidRPr="00DE5981" w:rsidRDefault="00DE5981" w:rsidP="00AF7609">
      <w:pPr>
        <w:spacing w:line="480" w:lineRule="auto"/>
        <w:ind w:left="450" w:hanging="450"/>
      </w:pPr>
      <w:r w:rsidRPr="00DE5981">
        <w:t>Sun, C., and Liang, Y., 2013b, The importance of crystal chemistry on REE partitioning between mantle minerals (garnet, clinopyroxene, orthopyroxene, and olivine) and basaltic melts: Chemical Geology, v. 358, p. 23–36, doi:</w:t>
      </w:r>
      <w:hyperlink r:id="rId289" w:history="1">
        <w:r w:rsidRPr="00DE5981">
          <w:rPr>
            <w:color w:val="0000FF"/>
            <w:u w:val="single"/>
          </w:rPr>
          <w:t>10.1016/j.chemgeo.2013.08.045</w:t>
        </w:r>
      </w:hyperlink>
      <w:r w:rsidRPr="00DE5981">
        <w:t>.</w:t>
      </w:r>
    </w:p>
    <w:p w14:paraId="30883547" w14:textId="77777777" w:rsidR="00DE5981" w:rsidRPr="00DE5981" w:rsidRDefault="00DE5981" w:rsidP="00AF7609">
      <w:pPr>
        <w:spacing w:line="480" w:lineRule="auto"/>
        <w:ind w:left="450" w:hanging="450"/>
      </w:pPr>
      <w:r w:rsidRPr="00DE5981">
        <w:t>Taylor, S.R., 1982, Planetary science: A lunar perspective: Lunar and Planetary Institute Houston, v. 3303.</w:t>
      </w:r>
    </w:p>
    <w:p w14:paraId="7470B9AF" w14:textId="77777777" w:rsidR="00DE5981" w:rsidRPr="00DE5981" w:rsidRDefault="00DE5981" w:rsidP="00AF7609">
      <w:pPr>
        <w:spacing w:line="480" w:lineRule="auto"/>
        <w:ind w:left="450" w:hanging="450"/>
      </w:pPr>
      <w:r w:rsidRPr="00DE5981">
        <w:t>Taylor, S.R., and Bence, A.E., 1975, Evolution of the lunar highland crust.: Lunar and Planetary Science Conference Proceedings, v. 1, p. 1121–1141.</w:t>
      </w:r>
    </w:p>
    <w:p w14:paraId="23906710" w14:textId="77777777" w:rsidR="00DE5981" w:rsidRPr="00DE5981" w:rsidRDefault="00DE5981" w:rsidP="00AF7609">
      <w:pPr>
        <w:spacing w:line="480" w:lineRule="auto"/>
        <w:ind w:left="450" w:hanging="450"/>
      </w:pPr>
      <w:r w:rsidRPr="00DE5981">
        <w:t>Taylor, G.J., and Wieczorek, M.A., 2014, Lunar bulk chemical composition: a post-Gravity Recovery and Interior Laboratory reassessment: Philosophical Transactions of the Royal Society A: Mathematical, Physical and Engineering Sciences, v. 372, p. 20130242, doi:</w:t>
      </w:r>
      <w:hyperlink r:id="rId290" w:history="1">
        <w:r w:rsidRPr="00DE5981">
          <w:rPr>
            <w:color w:val="0000FF"/>
            <w:u w:val="single"/>
          </w:rPr>
          <w:t>10.1098/rsta.2013.0242</w:t>
        </w:r>
      </w:hyperlink>
      <w:r w:rsidRPr="00DE5981">
        <w:t>.</w:t>
      </w:r>
    </w:p>
    <w:p w14:paraId="75CE8748" w14:textId="77777777" w:rsidR="00DE5981" w:rsidRPr="00DE5981" w:rsidRDefault="00DE5981" w:rsidP="00AF7609">
      <w:pPr>
        <w:spacing w:line="480" w:lineRule="auto"/>
        <w:ind w:left="450" w:hanging="450"/>
      </w:pPr>
      <w:r w:rsidRPr="00DE5981">
        <w:t>Thacker, C., Liang, Y., Peng, Q., and Hess, P., 2009, The stability and major element partitioning of ilmenite and armalcolite during lunar cumulate mantle overturn: Geochimica et Cosmochimica Acta, v. 73, p. 820–836, doi:</w:t>
      </w:r>
      <w:hyperlink r:id="rId291" w:history="1">
        <w:r w:rsidRPr="00DE5981">
          <w:rPr>
            <w:color w:val="0000FF"/>
            <w:u w:val="single"/>
          </w:rPr>
          <w:t>10.1016/j.gca.2008.10.038</w:t>
        </w:r>
      </w:hyperlink>
      <w:r w:rsidRPr="00DE5981">
        <w:t>.</w:t>
      </w:r>
    </w:p>
    <w:p w14:paraId="0F28D763" w14:textId="77777777" w:rsidR="00DE5981" w:rsidRPr="00DE5981" w:rsidRDefault="00DE5981" w:rsidP="00AF7609">
      <w:pPr>
        <w:spacing w:line="480" w:lineRule="auto"/>
        <w:ind w:left="450" w:hanging="450"/>
      </w:pPr>
      <w:r w:rsidRPr="00DE5981">
        <w:t>Thiemens, M.M., Sprung, P., Fonseca, R.O.C., Leitzke, F.P., and Münker, C., 2019, Early Moon formation inferred from hafnium–tungsten systematics: Nature Geoscience, v. 12, p. 696–700, doi:</w:t>
      </w:r>
      <w:hyperlink r:id="rId292" w:history="1">
        <w:r w:rsidRPr="00DE5981">
          <w:rPr>
            <w:color w:val="0000FF"/>
            <w:u w:val="single"/>
          </w:rPr>
          <w:t>10.1038/s41561-019-0398-3</w:t>
        </w:r>
      </w:hyperlink>
      <w:r w:rsidRPr="00DE5981">
        <w:t>.</w:t>
      </w:r>
    </w:p>
    <w:p w14:paraId="2CDB98C1" w14:textId="77777777" w:rsidR="00DE5981" w:rsidRPr="00DE5981" w:rsidRDefault="00DE5981" w:rsidP="00AF7609">
      <w:pPr>
        <w:spacing w:line="480" w:lineRule="auto"/>
        <w:ind w:left="450" w:hanging="450"/>
      </w:pPr>
      <w:r w:rsidRPr="00DE5981">
        <w:lastRenderedPageBreak/>
        <w:t>Unruh, D.M., Stille, P., Patchett, P.J., and Tatsumoto, M., 1984, Lu-Hf and Sm-Nd evolution in lunar mare basalts: Journal of Geophysical Research: Solid Earth, v. 89, p. B459–B477, doi:</w:t>
      </w:r>
      <w:hyperlink r:id="rId293" w:history="1">
        <w:r w:rsidRPr="00DE5981">
          <w:rPr>
            <w:color w:val="0000FF"/>
            <w:u w:val="single"/>
          </w:rPr>
          <w:t>10.1029/JB089iS02p0B459</w:t>
        </w:r>
      </w:hyperlink>
      <w:r w:rsidRPr="00DE5981">
        <w:t>.</w:t>
      </w:r>
    </w:p>
    <w:p w14:paraId="7F7FE8E5" w14:textId="77777777" w:rsidR="00DE5981" w:rsidRPr="00DE5981" w:rsidRDefault="00DE5981" w:rsidP="00AF7609">
      <w:pPr>
        <w:spacing w:line="480" w:lineRule="auto"/>
        <w:ind w:left="450" w:hanging="450"/>
      </w:pPr>
      <w:r w:rsidRPr="00DE5981">
        <w:t>Van Orman, J.A., and Grove, T.L., 2000, Origin of lunar high-titanium ultramafic glasses: Constraints from phase relations and dissolution kinetics of clinopyroxene-ilmenite cumulates: Meteoritics &amp; Planetary Science, v. 35, p. 783–794, doi:</w:t>
      </w:r>
      <w:hyperlink r:id="rId294" w:history="1">
        <w:r w:rsidRPr="00DE5981">
          <w:rPr>
            <w:color w:val="0000FF"/>
            <w:u w:val="single"/>
          </w:rPr>
          <w:t>10.1111/j.1945-5100.2000.tb01462.x</w:t>
        </w:r>
      </w:hyperlink>
      <w:r w:rsidRPr="00DE5981">
        <w:t>.</w:t>
      </w:r>
    </w:p>
    <w:p w14:paraId="69168FA7" w14:textId="77777777" w:rsidR="00DE5981" w:rsidRPr="00DE5981" w:rsidRDefault="00DE5981" w:rsidP="00AF7609">
      <w:pPr>
        <w:spacing w:line="480" w:lineRule="auto"/>
        <w:ind w:left="450" w:hanging="450"/>
      </w:pPr>
      <w:r w:rsidRPr="00DE5981">
        <w:t>Wagner, T.P., and Grove, T.L., 1997, Experimental constraints on the origin of lunar high-Ti ultramafic glasses: Geochimica et Cosmochimica Acta, v. 61, p. 1315–1327, doi:</w:t>
      </w:r>
      <w:hyperlink r:id="rId295" w:history="1">
        <w:r w:rsidRPr="00DE5981">
          <w:rPr>
            <w:color w:val="0000FF"/>
            <w:u w:val="single"/>
          </w:rPr>
          <w:t>10.1016/S0016-7037(96)00387-0</w:t>
        </w:r>
      </w:hyperlink>
      <w:r w:rsidRPr="00DE5981">
        <w:t>.</w:t>
      </w:r>
    </w:p>
    <w:p w14:paraId="2191DA41" w14:textId="77777777" w:rsidR="00DE5981" w:rsidRPr="00DE5981" w:rsidRDefault="00DE5981" w:rsidP="00AF7609">
      <w:pPr>
        <w:spacing w:line="480" w:lineRule="auto"/>
        <w:ind w:left="450" w:hanging="450"/>
      </w:pPr>
      <w:r w:rsidRPr="00DE5981">
        <w:t>Walker, D., and Hays, J.F., 1977, Plagioclase flotation and lunar crust formation: Geology, v. 5, p. 425–428, doi:</w:t>
      </w:r>
      <w:hyperlink r:id="rId296" w:history="1">
        <w:r w:rsidRPr="00DE5981">
          <w:rPr>
            <w:color w:val="0000FF"/>
            <w:u w:val="single"/>
          </w:rPr>
          <w:t>10.1130/0091-7613(1977)5&lt;425:PFALCF&gt;2.0.CO;2</w:t>
        </w:r>
      </w:hyperlink>
      <w:r w:rsidRPr="00DE5981">
        <w:t>.</w:t>
      </w:r>
    </w:p>
    <w:p w14:paraId="736EA842" w14:textId="77777777" w:rsidR="00DE5981" w:rsidRPr="00DE5981" w:rsidRDefault="00DE5981" w:rsidP="00AF7609">
      <w:pPr>
        <w:spacing w:line="480" w:lineRule="auto"/>
        <w:ind w:left="450" w:hanging="450"/>
      </w:pPr>
      <w:r w:rsidRPr="00DE5981">
        <w:t>Walter, M.J., 1998, Melting of Garnet Peridotite and the Origin of Komatiite and Depleted Lithosphere: Journal of Petrology, v. 39, p. 29–60, doi:</w:t>
      </w:r>
      <w:hyperlink r:id="rId297" w:history="1">
        <w:r w:rsidRPr="00DE5981">
          <w:rPr>
            <w:color w:val="0000FF"/>
            <w:u w:val="single"/>
          </w:rPr>
          <w:t>10.1093/petroj/39.1.29</w:t>
        </w:r>
      </w:hyperlink>
      <w:r w:rsidRPr="00DE5981">
        <w:t>.</w:t>
      </w:r>
    </w:p>
    <w:p w14:paraId="7739D21A" w14:textId="77777777" w:rsidR="00DE5981" w:rsidRPr="00DE5981" w:rsidRDefault="00DE5981" w:rsidP="00AF7609">
      <w:pPr>
        <w:spacing w:line="480" w:lineRule="auto"/>
        <w:ind w:left="450" w:hanging="450"/>
      </w:pPr>
      <w:r w:rsidRPr="00DE5981">
        <w:t xml:space="preserve">Wänke, H., and Dreibus, G., 1982, Chemical and isotopic evidence for the early history of the Earth-Moon system, </w:t>
      </w:r>
      <w:r w:rsidRPr="00DE5981">
        <w:rPr>
          <w:i/>
          <w:iCs/>
        </w:rPr>
        <w:t>in</w:t>
      </w:r>
      <w:r w:rsidRPr="00DE5981">
        <w:t xml:space="preserve"> Springer, p. 322–344.</w:t>
      </w:r>
    </w:p>
    <w:p w14:paraId="003E1F78" w14:textId="77777777" w:rsidR="00DE5981" w:rsidRPr="00DE5981" w:rsidRDefault="00DE5981" w:rsidP="00AF7609">
      <w:pPr>
        <w:spacing w:line="480" w:lineRule="auto"/>
        <w:ind w:left="450" w:hanging="450"/>
      </w:pPr>
      <w:r w:rsidRPr="00DE5981">
        <w:t>Warren, P.H., 2005, “New” lunar meteorites: Implications for composition of the global lunar surface, lunar crust, and the bulk Moon: Meteoritics &amp; Planetary Science, v. 40, p. 477–506, doi:</w:t>
      </w:r>
      <w:hyperlink r:id="rId298" w:history="1">
        <w:r w:rsidRPr="00DE5981">
          <w:rPr>
            <w:color w:val="0000FF"/>
            <w:u w:val="single"/>
          </w:rPr>
          <w:t>10.1111/j.1945-5100.2005.tb00395.x</w:t>
        </w:r>
      </w:hyperlink>
      <w:r w:rsidRPr="00DE5981">
        <w:t>.</w:t>
      </w:r>
    </w:p>
    <w:p w14:paraId="6A49E0FC" w14:textId="77777777" w:rsidR="00DE5981" w:rsidRPr="00DE5981" w:rsidRDefault="00DE5981" w:rsidP="00AF7609">
      <w:pPr>
        <w:spacing w:line="480" w:lineRule="auto"/>
        <w:ind w:left="450" w:hanging="450"/>
      </w:pPr>
      <w:r w:rsidRPr="00DE5981">
        <w:t>Warren, P.H., and Wasson, J.T., 1979, The origin of KREEP: Reviews of Geophysics, v. 17, p. 73–88, doi:</w:t>
      </w:r>
      <w:hyperlink r:id="rId299" w:history="1">
        <w:r w:rsidRPr="00DE5981">
          <w:rPr>
            <w:color w:val="0000FF"/>
            <w:u w:val="single"/>
          </w:rPr>
          <w:t>10.1029/RG017i001p00073</w:t>
        </w:r>
      </w:hyperlink>
      <w:r w:rsidRPr="00DE5981">
        <w:t>.</w:t>
      </w:r>
    </w:p>
    <w:p w14:paraId="2F490BB3" w14:textId="77777777" w:rsidR="00DE5981" w:rsidRPr="00DE5981" w:rsidRDefault="00DE5981" w:rsidP="00AF7609">
      <w:pPr>
        <w:spacing w:line="480" w:lineRule="auto"/>
        <w:ind w:left="450" w:hanging="450"/>
      </w:pPr>
      <w:r w:rsidRPr="00DE5981">
        <w:lastRenderedPageBreak/>
        <w:t>Wieczorek, M.A. et al., 2006, The Constitution and Structure of the Lunar Interior: Reviews in Mineralogy and Geochemistry, v. 60, p. 221–364, doi:</w:t>
      </w:r>
      <w:hyperlink r:id="rId300" w:history="1">
        <w:r w:rsidRPr="00DE5981">
          <w:rPr>
            <w:color w:val="0000FF"/>
            <w:u w:val="single"/>
          </w:rPr>
          <w:t>10.2138/rmg.2006.60.3</w:t>
        </w:r>
      </w:hyperlink>
      <w:r w:rsidRPr="00DE5981">
        <w:t>.</w:t>
      </w:r>
    </w:p>
    <w:p w14:paraId="2052A653" w14:textId="77777777" w:rsidR="00DE5981" w:rsidRPr="00DE5981" w:rsidRDefault="00DE5981" w:rsidP="00AF7609">
      <w:pPr>
        <w:spacing w:line="480" w:lineRule="auto"/>
        <w:ind w:left="450" w:hanging="450"/>
      </w:pPr>
      <w:r w:rsidRPr="00DE5981">
        <w:t>Wieczorek, M.A. et al., 2013, The Crust of the Moon as Seen by GRAIL: Science, v. 339, p. 671–675, doi:</w:t>
      </w:r>
      <w:hyperlink r:id="rId301" w:history="1">
        <w:r w:rsidRPr="00DE5981">
          <w:rPr>
            <w:color w:val="0000FF"/>
            <w:u w:val="single"/>
          </w:rPr>
          <w:t>10.1126/science.1231530</w:t>
        </w:r>
      </w:hyperlink>
      <w:r w:rsidRPr="00DE5981">
        <w:t>.</w:t>
      </w:r>
    </w:p>
    <w:p w14:paraId="1DC37EE5" w14:textId="77777777" w:rsidR="00DE5981" w:rsidRPr="00DE5981" w:rsidRDefault="00DE5981" w:rsidP="00AF7609">
      <w:pPr>
        <w:spacing w:line="480" w:lineRule="auto"/>
        <w:ind w:left="450" w:hanging="450"/>
      </w:pPr>
      <w:r w:rsidRPr="00DE5981">
        <w:t>Wood, J.A., Dickey Jr, J.S., Marvin, U.B., and Powell, B.N., 1970, Lunar anorthosites and a geophysical model of the moon: Geochimica et Cosmochimica Acta Supplement, v. 1, p. 965.</w:t>
      </w:r>
    </w:p>
    <w:p w14:paraId="6FE7C844" w14:textId="77777777" w:rsidR="00DE5981" w:rsidRPr="00DE5981" w:rsidRDefault="00DE5981" w:rsidP="00AF7609">
      <w:pPr>
        <w:spacing w:line="480" w:lineRule="auto"/>
        <w:ind w:left="450" w:hanging="450"/>
      </w:pPr>
      <w:r w:rsidRPr="00DE5981">
        <w:t xml:space="preserve">Yao, L., and Liang, Y., 2012, An Experimental Study of the Solidus of a Hybrid Lunar Cumulate Mantle: Implications for the Temperature at the Core-Mantle Boundary of the Moon, </w:t>
      </w:r>
      <w:r w:rsidRPr="00DE5981">
        <w:rPr>
          <w:i/>
          <w:iCs/>
        </w:rPr>
        <w:t>in</w:t>
      </w:r>
      <w:r w:rsidRPr="00DE5981">
        <w:t xml:space="preserve"> 43rd Annual Lunar and Planetary Science Conference, Lunar and Planetary Science Conference, p. 2258.</w:t>
      </w:r>
    </w:p>
    <w:p w14:paraId="29FAD7EF" w14:textId="77777777" w:rsidR="00DE5981" w:rsidRPr="00DE5981" w:rsidRDefault="00DE5981" w:rsidP="00AF7609">
      <w:pPr>
        <w:spacing w:line="480" w:lineRule="auto"/>
        <w:ind w:left="450" w:hanging="450"/>
      </w:pPr>
      <w:r w:rsidRPr="00DE5981">
        <w:t>Young, E.D., Kohl, I.E., Warren, P.H., Rubie, D.C., Jacobson, S.A., and Morbidelli, A., 2016, Oxygen isotopic evidence for vigorous mixing during the Moon-forming giant impact: Science, v. 351, p. 493, doi:</w:t>
      </w:r>
      <w:hyperlink r:id="rId302" w:history="1">
        <w:r w:rsidRPr="00DE5981">
          <w:rPr>
            <w:color w:val="0000FF"/>
            <w:u w:val="single"/>
          </w:rPr>
          <w:t>10.1126/science.aad0525</w:t>
        </w:r>
      </w:hyperlink>
      <w:r w:rsidRPr="00DE5981">
        <w:t>.</w:t>
      </w:r>
    </w:p>
    <w:p w14:paraId="173AAFC9" w14:textId="77777777" w:rsidR="00DE5981" w:rsidRPr="00DE5981" w:rsidRDefault="00DE5981" w:rsidP="00AF7609">
      <w:pPr>
        <w:spacing w:line="480" w:lineRule="auto"/>
        <w:ind w:left="450" w:hanging="450"/>
      </w:pPr>
      <w:r w:rsidRPr="00DE5981">
        <w:t>Zhang, N., Dygert, N., Liang, Y., and Parmentier, E.M., 2017, The effect of ilmenite viscosity on the dynamics and evolution of an overturned lunar cumulate mantle: Geophysical Research Letters, v. 44, p. 6543–6552, doi:</w:t>
      </w:r>
      <w:hyperlink r:id="rId303" w:history="1">
        <w:r w:rsidRPr="00DE5981">
          <w:rPr>
            <w:color w:val="0000FF"/>
            <w:u w:val="single"/>
          </w:rPr>
          <w:t>10.1002/2017GL073702</w:t>
        </w:r>
      </w:hyperlink>
      <w:r w:rsidRPr="00DE5981">
        <w:t>.</w:t>
      </w:r>
    </w:p>
    <w:p w14:paraId="653F1FFD" w14:textId="73980FE1" w:rsidR="00B71651" w:rsidRDefault="00B71651"/>
    <w:p w14:paraId="244E3A24" w14:textId="77777777" w:rsidR="00091F6C" w:rsidRDefault="00091F6C">
      <w:pPr>
        <w:rPr>
          <w:b/>
          <w:bCs/>
        </w:rPr>
      </w:pPr>
    </w:p>
    <w:p w14:paraId="066EB590" w14:textId="77777777" w:rsidR="00FD2E24" w:rsidRDefault="00FD2E24">
      <w:pPr>
        <w:rPr>
          <w:b/>
          <w:bCs/>
        </w:rPr>
      </w:pPr>
      <w:bookmarkStart w:id="399" w:name="_Toc182331767"/>
      <w:r>
        <w:br w:type="page"/>
      </w:r>
    </w:p>
    <w:p w14:paraId="641C37F1" w14:textId="55C52023" w:rsidR="00592129" w:rsidRPr="00672F91" w:rsidRDefault="00592129" w:rsidP="00BC07AB">
      <w:pPr>
        <w:pStyle w:val="NonNumberedHeading2"/>
        <w:spacing w:line="480" w:lineRule="auto"/>
      </w:pPr>
      <w:bookmarkStart w:id="400" w:name="_Toc185325672"/>
      <w:r w:rsidRPr="00672F91">
        <w:lastRenderedPageBreak/>
        <w:t>Appendix B</w:t>
      </w:r>
      <w:bookmarkEnd w:id="399"/>
      <w:bookmarkEnd w:id="400"/>
    </w:p>
    <w:p w14:paraId="2904DE77" w14:textId="3197ED1B" w:rsidR="0082294A" w:rsidRDefault="0082294A" w:rsidP="0082294A">
      <w:pPr>
        <w:rPr>
          <w:color w:val="000000"/>
        </w:rPr>
      </w:pPr>
      <w:r w:rsidRPr="0082294A">
        <w:rPr>
          <w:b/>
          <w:bCs/>
        </w:rPr>
        <w:t>Table B1.</w:t>
      </w:r>
      <w:r>
        <w:t xml:space="preserve"> </w:t>
      </w:r>
      <w:r w:rsidR="00266A5E" w:rsidRPr="00966892">
        <w:rPr>
          <w:color w:val="000000" w:themeColor="text1"/>
        </w:rPr>
        <w:t>Phase proportions in LMO mantle cumulates based on findings from Charlier et al. (2018), assuming 80% plagioclase and 100% quartz floatation efficiency.</w:t>
      </w:r>
      <w:r>
        <w:rPr>
          <w:color w:val="000000"/>
        </w:rPr>
        <w:t xml:space="preserve"> </w:t>
      </w:r>
    </w:p>
    <w:tbl>
      <w:tblPr>
        <w:tblW w:w="7980" w:type="dxa"/>
        <w:tblLook w:val="04A0" w:firstRow="1" w:lastRow="0" w:firstColumn="1" w:lastColumn="0" w:noHBand="0" w:noVBand="1"/>
      </w:tblPr>
      <w:tblGrid>
        <w:gridCol w:w="1140"/>
        <w:gridCol w:w="1140"/>
        <w:gridCol w:w="1140"/>
        <w:gridCol w:w="1140"/>
        <w:gridCol w:w="1140"/>
        <w:gridCol w:w="1140"/>
        <w:gridCol w:w="1140"/>
      </w:tblGrid>
      <w:tr w:rsidR="00375169" w14:paraId="405D21AD" w14:textId="77777777" w:rsidTr="00F31D39">
        <w:trPr>
          <w:trHeight w:val="340"/>
        </w:trPr>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79DE515C" w14:textId="77777777" w:rsidR="00375169" w:rsidRDefault="00375169">
            <w:pPr>
              <w:jc w:val="center"/>
              <w:rPr>
                <w:color w:val="000000"/>
              </w:rPr>
            </w:pPr>
            <w:r>
              <w:rPr>
                <w:color w:val="000000"/>
              </w:rPr>
              <w:t>Phases</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60E435A6" w14:textId="77777777" w:rsidR="00375169" w:rsidRDefault="00375169">
            <w:pPr>
              <w:jc w:val="center"/>
              <w:rPr>
                <w:color w:val="000000"/>
              </w:rPr>
            </w:pPr>
            <w:r>
              <w:rPr>
                <w:color w:val="000000"/>
              </w:rPr>
              <w:t>Stage 1</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DEB0BA1" w14:textId="77777777" w:rsidR="00375169" w:rsidRDefault="00375169">
            <w:pPr>
              <w:jc w:val="center"/>
              <w:rPr>
                <w:color w:val="000000"/>
              </w:rPr>
            </w:pPr>
            <w:r>
              <w:rPr>
                <w:color w:val="000000"/>
              </w:rPr>
              <w:t>Stage 2</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D29EFAA" w14:textId="77777777" w:rsidR="00375169" w:rsidRDefault="00375169">
            <w:pPr>
              <w:jc w:val="center"/>
              <w:rPr>
                <w:color w:val="000000"/>
              </w:rPr>
            </w:pPr>
            <w:r>
              <w:rPr>
                <w:color w:val="000000"/>
              </w:rPr>
              <w:t>Stage 3</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3CDC0DDF" w14:textId="77777777" w:rsidR="00375169" w:rsidRDefault="00375169">
            <w:pPr>
              <w:jc w:val="center"/>
              <w:rPr>
                <w:color w:val="000000"/>
              </w:rPr>
            </w:pPr>
            <w:r>
              <w:rPr>
                <w:color w:val="000000"/>
              </w:rPr>
              <w:t>Stage 4</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610CF7EE" w14:textId="77777777" w:rsidR="00375169" w:rsidRDefault="00375169">
            <w:pPr>
              <w:jc w:val="center"/>
              <w:rPr>
                <w:color w:val="000000"/>
              </w:rPr>
            </w:pPr>
            <w:r>
              <w:rPr>
                <w:color w:val="000000"/>
              </w:rPr>
              <w:t>Stage 5</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9905015" w14:textId="77777777" w:rsidR="00375169" w:rsidRDefault="00375169">
            <w:pPr>
              <w:jc w:val="center"/>
              <w:rPr>
                <w:color w:val="000000"/>
              </w:rPr>
            </w:pPr>
            <w:r>
              <w:rPr>
                <w:color w:val="000000"/>
              </w:rPr>
              <w:t>Stage 6</w:t>
            </w:r>
          </w:p>
        </w:tc>
      </w:tr>
      <w:tr w:rsidR="00375169" w14:paraId="7684DFC3" w14:textId="77777777" w:rsidTr="00F31D39">
        <w:trPr>
          <w:trHeight w:val="32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4FE1C0D7" w14:textId="77777777" w:rsidR="00375169" w:rsidRDefault="00375169">
            <w:pPr>
              <w:jc w:val="center"/>
              <w:rPr>
                <w:color w:val="000000"/>
              </w:rPr>
            </w:pPr>
            <w:r>
              <w:rPr>
                <w:color w:val="000000"/>
              </w:rPr>
              <w:t>Ol</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22AFCD87" w14:textId="77777777" w:rsidR="00375169" w:rsidRDefault="00375169">
            <w:pPr>
              <w:jc w:val="center"/>
              <w:rPr>
                <w:color w:val="000000"/>
              </w:rPr>
            </w:pPr>
            <w:r>
              <w:rPr>
                <w:color w:val="000000"/>
              </w:rPr>
              <w:t>0.990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4D6C6A37" w14:textId="77777777" w:rsidR="00375169" w:rsidRDefault="00375169">
            <w:pPr>
              <w:jc w:val="center"/>
              <w:rPr>
                <w:color w:val="000000"/>
              </w:rPr>
            </w:pPr>
            <w:r>
              <w:rPr>
                <w:color w:val="000000"/>
              </w:rPr>
              <w:t>0.099</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5333A655" w14:textId="77777777" w:rsidR="00375169" w:rsidRDefault="00375169">
            <w:pPr>
              <w:jc w:val="center"/>
              <w:rPr>
                <w:color w:val="000000"/>
              </w:rPr>
            </w:pPr>
            <w:r>
              <w:rPr>
                <w:color w:val="000000"/>
              </w:rPr>
              <w:t>0.083</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7F80E95C" w14:textId="77777777" w:rsidR="00375169" w:rsidRDefault="00375169">
            <w:pPr>
              <w:jc w:val="center"/>
              <w:rPr>
                <w:color w:val="000000"/>
              </w:rPr>
            </w:pPr>
            <w:r>
              <w:rPr>
                <w:color w:val="000000"/>
              </w:rPr>
              <w:t>0.000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0F857080" w14:textId="77777777" w:rsidR="00375169" w:rsidRDefault="00375169">
            <w:pPr>
              <w:jc w:val="center"/>
              <w:rPr>
                <w:color w:val="000000"/>
              </w:rPr>
            </w:pPr>
            <w:r>
              <w:rPr>
                <w:color w:val="000000"/>
              </w:rPr>
              <w:t>0.000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0D399E91" w14:textId="77777777" w:rsidR="00375169" w:rsidRDefault="00375169">
            <w:pPr>
              <w:jc w:val="center"/>
              <w:rPr>
                <w:color w:val="000000"/>
              </w:rPr>
            </w:pPr>
            <w:r>
              <w:rPr>
                <w:color w:val="000000"/>
              </w:rPr>
              <w:t>0.352</w:t>
            </w:r>
          </w:p>
        </w:tc>
      </w:tr>
      <w:tr w:rsidR="00375169" w14:paraId="4077FBC5" w14:textId="77777777" w:rsidTr="00F31D39">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939CB" w14:textId="77777777" w:rsidR="00375169" w:rsidRDefault="00375169">
            <w:pPr>
              <w:jc w:val="center"/>
              <w:rPr>
                <w:color w:val="000000"/>
              </w:rPr>
            </w:pPr>
            <w:r>
              <w:rPr>
                <w:color w:val="000000"/>
              </w:rPr>
              <w:t>Opx</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B079F"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E047AA" w14:textId="77777777" w:rsidR="00375169" w:rsidRDefault="00375169">
            <w:pPr>
              <w:jc w:val="center"/>
              <w:rPr>
                <w:color w:val="000000"/>
              </w:rPr>
            </w:pPr>
            <w:r>
              <w:rPr>
                <w:color w:val="000000"/>
              </w:rPr>
              <w:t>0.891</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A03A0" w14:textId="77777777" w:rsidR="00375169" w:rsidRDefault="00375169">
            <w:pPr>
              <w:jc w:val="center"/>
              <w:rPr>
                <w:color w:val="000000"/>
              </w:rPr>
            </w:pPr>
            <w:r>
              <w:rPr>
                <w:color w:val="000000"/>
              </w:rPr>
              <w:t>0.331</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9D3D0"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F9F5E"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19398" w14:textId="77777777" w:rsidR="00375169" w:rsidRDefault="00375169">
            <w:pPr>
              <w:jc w:val="center"/>
              <w:rPr>
                <w:color w:val="000000"/>
              </w:rPr>
            </w:pPr>
            <w:r>
              <w:rPr>
                <w:color w:val="000000"/>
              </w:rPr>
              <w:t>0.000</w:t>
            </w:r>
          </w:p>
        </w:tc>
      </w:tr>
      <w:tr w:rsidR="00375169" w14:paraId="43084704" w14:textId="77777777" w:rsidTr="00F31D39">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28E54" w14:textId="77777777" w:rsidR="00375169" w:rsidRDefault="00375169">
            <w:pPr>
              <w:jc w:val="center"/>
              <w:rPr>
                <w:color w:val="000000"/>
              </w:rPr>
            </w:pPr>
            <w:r>
              <w:rPr>
                <w:color w:val="000000"/>
              </w:rPr>
              <w:t>Cpx</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B1D95"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ABAA4"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6F36E"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5923D" w14:textId="77777777" w:rsidR="00375169" w:rsidRDefault="00375169">
            <w:pPr>
              <w:jc w:val="center"/>
              <w:rPr>
                <w:color w:val="000000"/>
              </w:rPr>
            </w:pPr>
            <w:r>
              <w:rPr>
                <w:color w:val="000000"/>
              </w:rPr>
              <w:t>0.322</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7E861" w14:textId="77777777" w:rsidR="00375169" w:rsidRDefault="00375169">
            <w:pPr>
              <w:jc w:val="center"/>
              <w:rPr>
                <w:color w:val="000000"/>
              </w:rPr>
            </w:pPr>
            <w:r>
              <w:rPr>
                <w:color w:val="000000"/>
              </w:rPr>
              <w:t>0.367</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AB040" w14:textId="77777777" w:rsidR="00375169" w:rsidRDefault="00375169">
            <w:pPr>
              <w:jc w:val="center"/>
              <w:rPr>
                <w:color w:val="000000"/>
              </w:rPr>
            </w:pPr>
            <w:r>
              <w:rPr>
                <w:color w:val="000000"/>
              </w:rPr>
              <w:t>0.281</w:t>
            </w:r>
          </w:p>
        </w:tc>
      </w:tr>
      <w:tr w:rsidR="00375169" w14:paraId="13F4BA32" w14:textId="77777777" w:rsidTr="00F31D39">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92E09" w14:textId="77777777" w:rsidR="00375169" w:rsidRDefault="00375169">
            <w:pPr>
              <w:jc w:val="center"/>
              <w:rPr>
                <w:color w:val="000000"/>
              </w:rPr>
            </w:pPr>
            <w:r>
              <w:rPr>
                <w:color w:val="000000"/>
              </w:rPr>
              <w:t>Pig</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7D0FC"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9127C"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70F11" w14:textId="77777777" w:rsidR="00375169" w:rsidRDefault="00375169">
            <w:pPr>
              <w:jc w:val="center"/>
              <w:rPr>
                <w:color w:val="000000"/>
              </w:rPr>
            </w:pPr>
            <w:r>
              <w:rPr>
                <w:color w:val="000000"/>
              </w:rPr>
              <w:t>0.413</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09C7DA" w14:textId="77777777" w:rsidR="00375169" w:rsidRDefault="00375169">
            <w:pPr>
              <w:jc w:val="center"/>
              <w:rPr>
                <w:color w:val="000000"/>
              </w:rPr>
            </w:pPr>
            <w:r>
              <w:rPr>
                <w:color w:val="000000"/>
              </w:rPr>
              <w:t>0.515</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4FDBD" w14:textId="77777777" w:rsidR="00375169" w:rsidRDefault="00375169">
            <w:pPr>
              <w:jc w:val="center"/>
              <w:rPr>
                <w:color w:val="000000"/>
              </w:rPr>
            </w:pPr>
            <w:r>
              <w:rPr>
                <w:color w:val="000000"/>
              </w:rPr>
              <w:t>0.459</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72C21" w14:textId="77777777" w:rsidR="00375169" w:rsidRDefault="00375169">
            <w:pPr>
              <w:jc w:val="center"/>
              <w:rPr>
                <w:color w:val="000000"/>
              </w:rPr>
            </w:pPr>
            <w:r>
              <w:rPr>
                <w:color w:val="000000"/>
              </w:rPr>
              <w:t>0.000</w:t>
            </w:r>
          </w:p>
        </w:tc>
      </w:tr>
      <w:tr w:rsidR="00375169" w14:paraId="563FF18C" w14:textId="77777777" w:rsidTr="00F31D39">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7B93A" w14:textId="77777777" w:rsidR="00375169" w:rsidRDefault="00375169">
            <w:pPr>
              <w:jc w:val="center"/>
              <w:rPr>
                <w:color w:val="000000"/>
              </w:rPr>
            </w:pPr>
            <w:r>
              <w:rPr>
                <w:color w:val="000000"/>
              </w:rPr>
              <w:t>Plag</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9AE3B"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DBDD6"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8A19E" w14:textId="77777777" w:rsidR="00375169" w:rsidRDefault="00375169">
            <w:pPr>
              <w:jc w:val="center"/>
              <w:rPr>
                <w:color w:val="000000"/>
              </w:rPr>
            </w:pPr>
            <w:r>
              <w:rPr>
                <w:color w:val="000000"/>
              </w:rPr>
              <w:t>0.164</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D134C" w14:textId="77777777" w:rsidR="00375169" w:rsidRDefault="00375169">
            <w:pPr>
              <w:jc w:val="center"/>
              <w:rPr>
                <w:color w:val="000000"/>
              </w:rPr>
            </w:pPr>
            <w:r>
              <w:rPr>
                <w:color w:val="000000"/>
              </w:rPr>
              <w:t>0.153</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A2FD6" w14:textId="77777777" w:rsidR="00375169" w:rsidRDefault="00375169">
            <w:pPr>
              <w:jc w:val="center"/>
              <w:rPr>
                <w:color w:val="000000"/>
              </w:rPr>
            </w:pPr>
            <w:r>
              <w:rPr>
                <w:color w:val="000000"/>
              </w:rPr>
              <w:t>0.164</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A0DCC" w14:textId="77777777" w:rsidR="00375169" w:rsidRDefault="00375169">
            <w:pPr>
              <w:jc w:val="center"/>
              <w:rPr>
                <w:color w:val="000000"/>
              </w:rPr>
            </w:pPr>
            <w:r>
              <w:rPr>
                <w:color w:val="000000"/>
              </w:rPr>
              <w:t>0.146</w:t>
            </w:r>
          </w:p>
        </w:tc>
      </w:tr>
      <w:tr w:rsidR="00375169" w14:paraId="7EC6ECBB" w14:textId="77777777" w:rsidTr="00F31D39">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268AA" w14:textId="77777777" w:rsidR="00375169" w:rsidRDefault="00375169">
            <w:pPr>
              <w:jc w:val="center"/>
              <w:rPr>
                <w:color w:val="000000"/>
              </w:rPr>
            </w:pPr>
            <w:r>
              <w:rPr>
                <w:color w:val="000000"/>
              </w:rPr>
              <w:t>Qtz</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1635AC"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5E153"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1FED2"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9BE0C"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C7A4C"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C8854" w14:textId="77777777" w:rsidR="00375169" w:rsidRDefault="00375169">
            <w:pPr>
              <w:jc w:val="center"/>
              <w:rPr>
                <w:color w:val="000000"/>
              </w:rPr>
            </w:pPr>
            <w:r>
              <w:rPr>
                <w:color w:val="000000"/>
              </w:rPr>
              <w:t>0.000</w:t>
            </w:r>
          </w:p>
        </w:tc>
      </w:tr>
      <w:tr w:rsidR="00375169" w14:paraId="552133BE" w14:textId="77777777" w:rsidTr="0093563A">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4C9A1" w14:textId="77777777" w:rsidR="00375169" w:rsidRDefault="00375169">
            <w:pPr>
              <w:jc w:val="center"/>
              <w:rPr>
                <w:color w:val="000000"/>
              </w:rPr>
            </w:pPr>
            <w:r>
              <w:rPr>
                <w:color w:val="000000"/>
              </w:rPr>
              <w:t>Ilm</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67FD88"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60E4B"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F1C73"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3535F"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25D6C" w14:textId="77777777" w:rsidR="00375169" w:rsidRDefault="00375169">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6C004" w14:textId="77777777" w:rsidR="00375169" w:rsidRDefault="00375169">
            <w:pPr>
              <w:jc w:val="center"/>
              <w:rPr>
                <w:color w:val="000000"/>
              </w:rPr>
            </w:pPr>
            <w:r>
              <w:rPr>
                <w:color w:val="000000"/>
              </w:rPr>
              <w:t>0.211</w:t>
            </w:r>
          </w:p>
        </w:tc>
      </w:tr>
      <w:tr w:rsidR="00375169" w14:paraId="3875E34F" w14:textId="77777777" w:rsidTr="0093563A">
        <w:trPr>
          <w:trHeight w:val="34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AD524" w14:textId="77777777" w:rsidR="00375169" w:rsidRDefault="00375169">
            <w:pPr>
              <w:jc w:val="center"/>
              <w:rPr>
                <w:color w:val="000000"/>
              </w:rPr>
            </w:pPr>
            <w:r>
              <w:rPr>
                <w:color w:val="000000"/>
              </w:rPr>
              <w:t>Melt</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FAD1C" w14:textId="77777777" w:rsidR="00375169" w:rsidRDefault="00375169">
            <w:pPr>
              <w:jc w:val="center"/>
              <w:rPr>
                <w:color w:val="000000"/>
              </w:rPr>
            </w:pPr>
            <w:r>
              <w:rPr>
                <w:color w:val="000000"/>
              </w:rPr>
              <w:t>0.010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80B55B" w14:textId="77777777" w:rsidR="00375169" w:rsidRDefault="00375169">
            <w:pPr>
              <w:jc w:val="center"/>
              <w:rPr>
                <w:color w:val="000000"/>
              </w:rPr>
            </w:pPr>
            <w:r>
              <w:rPr>
                <w:color w:val="000000"/>
              </w:rPr>
              <w:t>0.010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A4804" w14:textId="77777777" w:rsidR="00375169" w:rsidRDefault="00375169">
            <w:pPr>
              <w:jc w:val="center"/>
              <w:rPr>
                <w:color w:val="000000"/>
              </w:rPr>
            </w:pPr>
            <w:r>
              <w:rPr>
                <w:color w:val="000000"/>
              </w:rPr>
              <w:t>0.010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98C3C" w14:textId="77777777" w:rsidR="00375169" w:rsidRDefault="00375169">
            <w:pPr>
              <w:jc w:val="center"/>
              <w:rPr>
                <w:color w:val="000000"/>
              </w:rPr>
            </w:pPr>
            <w:r>
              <w:rPr>
                <w:color w:val="000000"/>
              </w:rPr>
              <w:t>0.010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597EA" w14:textId="77777777" w:rsidR="00375169" w:rsidRDefault="00375169">
            <w:pPr>
              <w:jc w:val="center"/>
              <w:rPr>
                <w:color w:val="000000"/>
              </w:rPr>
            </w:pPr>
            <w:r>
              <w:rPr>
                <w:color w:val="000000"/>
              </w:rPr>
              <w:t>0.010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11B5BC" w14:textId="77777777" w:rsidR="00375169" w:rsidRDefault="00375169">
            <w:pPr>
              <w:jc w:val="center"/>
              <w:rPr>
                <w:color w:val="000000"/>
              </w:rPr>
            </w:pPr>
            <w:r>
              <w:rPr>
                <w:color w:val="000000"/>
              </w:rPr>
              <w:t>0.010</w:t>
            </w:r>
          </w:p>
        </w:tc>
      </w:tr>
    </w:tbl>
    <w:p w14:paraId="5628A182" w14:textId="50806E23" w:rsidR="0082294A" w:rsidRDefault="0082294A" w:rsidP="0082294A">
      <w:pPr>
        <w:rPr>
          <w:color w:val="000000"/>
        </w:rPr>
      </w:pPr>
      <w:r>
        <w:rPr>
          <w:color w:val="000000"/>
        </w:rPr>
        <w:t>*Stage 1: F= 1-0.49, Stage 2: F= 0.49-0.22, Stage 3: F= 0.22-0.19, Stage 4: F= 0.19-0.05, Stage 5: F= 0.05-0.02, Stage 6: F= 0.02-0</w:t>
      </w:r>
    </w:p>
    <w:p w14:paraId="17C746FC" w14:textId="78D2FEAF" w:rsidR="00335F62" w:rsidRDefault="0082294A" w:rsidP="0082294A">
      <w:pPr>
        <w:rPr>
          <w:color w:val="000000"/>
        </w:rPr>
      </w:pPr>
      <w:r>
        <w:rPr>
          <w:color w:val="000000"/>
        </w:rPr>
        <w:t>Olivine (Ol), Orthopyroxene (Opx), Clinopyroxene (Cpx), Pigeonite (Pig), Plagioclase (Plag), Ilmenite (Ilm), Quartz (Qtz)</w:t>
      </w:r>
    </w:p>
    <w:p w14:paraId="51816A7F" w14:textId="77777777" w:rsidR="00335F62" w:rsidRDefault="00335F62">
      <w:pPr>
        <w:rPr>
          <w:color w:val="000000"/>
        </w:rPr>
      </w:pPr>
      <w:r>
        <w:rPr>
          <w:color w:val="000000"/>
        </w:rPr>
        <w:br w:type="page"/>
      </w:r>
    </w:p>
    <w:p w14:paraId="3C9E8A36" w14:textId="6E825228" w:rsidR="00335F62" w:rsidRDefault="00335F62" w:rsidP="00335F62">
      <w:pPr>
        <w:rPr>
          <w:color w:val="000000"/>
        </w:rPr>
      </w:pPr>
      <w:r w:rsidRPr="00335F62">
        <w:rPr>
          <w:b/>
          <w:bCs/>
          <w:color w:val="000000"/>
        </w:rPr>
        <w:lastRenderedPageBreak/>
        <w:t>Table B2.</w:t>
      </w:r>
      <w:r>
        <w:rPr>
          <w:color w:val="000000"/>
        </w:rPr>
        <w:t xml:space="preserve"> </w:t>
      </w:r>
      <w:r w:rsidR="00652596" w:rsidRPr="00966892">
        <w:rPr>
          <w:color w:val="000000" w:themeColor="text1"/>
        </w:rPr>
        <w:t xml:space="preserve">Phase proportions in LMO mantle cumulates based on findings from Charlier et al. (2018), assuming </w:t>
      </w:r>
      <w:r w:rsidR="00652596">
        <w:rPr>
          <w:color w:val="000000" w:themeColor="text1"/>
        </w:rPr>
        <w:t>9</w:t>
      </w:r>
      <w:r w:rsidR="00652596" w:rsidRPr="00966892">
        <w:rPr>
          <w:color w:val="000000" w:themeColor="text1"/>
        </w:rPr>
        <w:t>0% plagioclase and 100% quartz floatation efficiency.</w:t>
      </w:r>
      <w:r>
        <w:rPr>
          <w:color w:val="000000"/>
        </w:rPr>
        <w:t xml:space="preserve"> </w:t>
      </w:r>
    </w:p>
    <w:tbl>
      <w:tblPr>
        <w:tblW w:w="7980" w:type="dxa"/>
        <w:tblLook w:val="04A0" w:firstRow="1" w:lastRow="0" w:firstColumn="1" w:lastColumn="0" w:noHBand="0" w:noVBand="1"/>
      </w:tblPr>
      <w:tblGrid>
        <w:gridCol w:w="1140"/>
        <w:gridCol w:w="1140"/>
        <w:gridCol w:w="1140"/>
        <w:gridCol w:w="1140"/>
        <w:gridCol w:w="1140"/>
        <w:gridCol w:w="1140"/>
        <w:gridCol w:w="1140"/>
      </w:tblGrid>
      <w:tr w:rsidR="00204117" w14:paraId="0BF24ABB" w14:textId="77777777" w:rsidTr="00204117">
        <w:trPr>
          <w:trHeight w:val="340"/>
        </w:trPr>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7E231793" w14:textId="77777777" w:rsidR="00204117" w:rsidRDefault="00204117">
            <w:pPr>
              <w:jc w:val="center"/>
              <w:rPr>
                <w:color w:val="000000"/>
              </w:rPr>
            </w:pPr>
            <w:r>
              <w:rPr>
                <w:color w:val="000000"/>
              </w:rPr>
              <w:t>Phases</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34C58A4" w14:textId="77777777" w:rsidR="00204117" w:rsidRDefault="00204117">
            <w:pPr>
              <w:jc w:val="center"/>
              <w:rPr>
                <w:color w:val="000000"/>
              </w:rPr>
            </w:pPr>
            <w:r>
              <w:rPr>
                <w:color w:val="000000"/>
              </w:rPr>
              <w:t>Stage 1</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2F15755" w14:textId="77777777" w:rsidR="00204117" w:rsidRDefault="00204117">
            <w:pPr>
              <w:jc w:val="center"/>
              <w:rPr>
                <w:color w:val="000000"/>
              </w:rPr>
            </w:pPr>
            <w:r>
              <w:rPr>
                <w:color w:val="000000"/>
              </w:rPr>
              <w:t>Stage 2</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3FB023DB" w14:textId="77777777" w:rsidR="00204117" w:rsidRDefault="00204117">
            <w:pPr>
              <w:jc w:val="center"/>
              <w:rPr>
                <w:color w:val="000000"/>
              </w:rPr>
            </w:pPr>
            <w:r>
              <w:rPr>
                <w:color w:val="000000"/>
              </w:rPr>
              <w:t>Stage 3</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635C6970" w14:textId="77777777" w:rsidR="00204117" w:rsidRDefault="00204117">
            <w:pPr>
              <w:jc w:val="center"/>
              <w:rPr>
                <w:color w:val="000000"/>
              </w:rPr>
            </w:pPr>
            <w:r>
              <w:rPr>
                <w:color w:val="000000"/>
              </w:rPr>
              <w:t>Stage 4</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6B45E891" w14:textId="77777777" w:rsidR="00204117" w:rsidRDefault="00204117">
            <w:pPr>
              <w:jc w:val="center"/>
              <w:rPr>
                <w:color w:val="000000"/>
              </w:rPr>
            </w:pPr>
            <w:r>
              <w:rPr>
                <w:color w:val="000000"/>
              </w:rPr>
              <w:t>Stage 5</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73F7FEAE" w14:textId="77777777" w:rsidR="00204117" w:rsidRDefault="00204117">
            <w:pPr>
              <w:jc w:val="center"/>
              <w:rPr>
                <w:color w:val="000000"/>
              </w:rPr>
            </w:pPr>
            <w:r>
              <w:rPr>
                <w:color w:val="000000"/>
              </w:rPr>
              <w:t>Stage 6</w:t>
            </w:r>
          </w:p>
        </w:tc>
      </w:tr>
      <w:tr w:rsidR="00204117" w14:paraId="069D5436" w14:textId="77777777" w:rsidTr="00204117">
        <w:trPr>
          <w:trHeight w:val="32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6929A29A" w14:textId="77777777" w:rsidR="00204117" w:rsidRDefault="00204117">
            <w:pPr>
              <w:jc w:val="center"/>
              <w:rPr>
                <w:color w:val="000000"/>
              </w:rPr>
            </w:pPr>
            <w:r>
              <w:rPr>
                <w:color w:val="000000"/>
              </w:rPr>
              <w:t>Ol</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7D4FD066" w14:textId="77777777" w:rsidR="00204117" w:rsidRDefault="00204117">
            <w:pPr>
              <w:jc w:val="center"/>
              <w:rPr>
                <w:color w:val="000000"/>
              </w:rPr>
            </w:pPr>
            <w:r>
              <w:rPr>
                <w:color w:val="000000"/>
              </w:rPr>
              <w:t>0.990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79FACCD1" w14:textId="77777777" w:rsidR="00204117" w:rsidRDefault="00204117">
            <w:pPr>
              <w:jc w:val="center"/>
              <w:rPr>
                <w:color w:val="000000"/>
              </w:rPr>
            </w:pPr>
            <w:r>
              <w:rPr>
                <w:color w:val="000000"/>
              </w:rPr>
              <w:t>0.099</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25906032" w14:textId="77777777" w:rsidR="00204117" w:rsidRDefault="00204117">
            <w:pPr>
              <w:jc w:val="center"/>
              <w:rPr>
                <w:color w:val="000000"/>
              </w:rPr>
            </w:pPr>
            <w:r>
              <w:rPr>
                <w:color w:val="000000"/>
              </w:rPr>
              <w:t>0.090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2EC711CB" w14:textId="77777777" w:rsidR="00204117" w:rsidRDefault="00204117">
            <w:pPr>
              <w:jc w:val="center"/>
              <w:rPr>
                <w:color w:val="000000"/>
              </w:rPr>
            </w:pPr>
            <w:r>
              <w:rPr>
                <w:color w:val="000000"/>
              </w:rPr>
              <w:t>0.000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260251FE" w14:textId="77777777" w:rsidR="00204117" w:rsidRDefault="00204117">
            <w:pPr>
              <w:jc w:val="center"/>
              <w:rPr>
                <w:color w:val="000000"/>
              </w:rPr>
            </w:pPr>
            <w:r>
              <w:rPr>
                <w:color w:val="000000"/>
              </w:rPr>
              <w:t>0.000</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42104E6C" w14:textId="77777777" w:rsidR="00204117" w:rsidRDefault="00204117">
            <w:pPr>
              <w:jc w:val="center"/>
              <w:rPr>
                <w:color w:val="000000"/>
              </w:rPr>
            </w:pPr>
            <w:r>
              <w:rPr>
                <w:color w:val="000000"/>
              </w:rPr>
              <w:t>0.380</w:t>
            </w:r>
          </w:p>
        </w:tc>
      </w:tr>
      <w:tr w:rsidR="00204117" w14:paraId="6D386EB0" w14:textId="77777777" w:rsidTr="00204117">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B46053" w14:textId="77777777" w:rsidR="00204117" w:rsidRDefault="00204117">
            <w:pPr>
              <w:jc w:val="center"/>
              <w:rPr>
                <w:color w:val="000000"/>
              </w:rPr>
            </w:pPr>
            <w:r>
              <w:rPr>
                <w:color w:val="000000"/>
              </w:rPr>
              <w:t>Opx</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E03FA6"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F68192" w14:textId="77777777" w:rsidR="00204117" w:rsidRDefault="00204117">
            <w:pPr>
              <w:jc w:val="center"/>
              <w:rPr>
                <w:color w:val="000000"/>
              </w:rPr>
            </w:pPr>
            <w:r>
              <w:rPr>
                <w:color w:val="000000"/>
              </w:rPr>
              <w:t>0.891</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595B4" w14:textId="77777777" w:rsidR="00204117" w:rsidRDefault="00204117">
            <w:pPr>
              <w:jc w:val="center"/>
              <w:rPr>
                <w:color w:val="000000"/>
              </w:rPr>
            </w:pPr>
            <w:r>
              <w:rPr>
                <w:color w:val="000000"/>
              </w:rPr>
              <w:t>0.360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D0828"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EEAB5"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EE51E" w14:textId="77777777" w:rsidR="00204117" w:rsidRDefault="00204117">
            <w:pPr>
              <w:jc w:val="center"/>
              <w:rPr>
                <w:color w:val="000000"/>
              </w:rPr>
            </w:pPr>
            <w:r>
              <w:rPr>
                <w:color w:val="000000"/>
              </w:rPr>
              <w:t>0.000</w:t>
            </w:r>
          </w:p>
        </w:tc>
      </w:tr>
      <w:tr w:rsidR="00204117" w14:paraId="079290A5" w14:textId="77777777" w:rsidTr="00204117">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B4384" w14:textId="77777777" w:rsidR="00204117" w:rsidRDefault="00204117">
            <w:pPr>
              <w:jc w:val="center"/>
              <w:rPr>
                <w:color w:val="000000"/>
              </w:rPr>
            </w:pPr>
            <w:r>
              <w:rPr>
                <w:color w:val="000000"/>
              </w:rPr>
              <w:t>Cpx</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59F6FE"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55885"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01D5E2"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72AC6" w14:textId="77777777" w:rsidR="00204117" w:rsidRDefault="00204117">
            <w:pPr>
              <w:jc w:val="center"/>
              <w:rPr>
                <w:color w:val="000000"/>
              </w:rPr>
            </w:pPr>
            <w:r>
              <w:rPr>
                <w:color w:val="000000"/>
              </w:rPr>
              <w:t>0.349</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0C871" w14:textId="77777777" w:rsidR="00204117" w:rsidRDefault="00204117">
            <w:pPr>
              <w:jc w:val="center"/>
              <w:rPr>
                <w:color w:val="000000"/>
              </w:rPr>
            </w:pPr>
            <w:r>
              <w:rPr>
                <w:color w:val="000000"/>
              </w:rPr>
              <w:t>0.400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68114" w14:textId="77777777" w:rsidR="00204117" w:rsidRDefault="00204117">
            <w:pPr>
              <w:jc w:val="center"/>
              <w:rPr>
                <w:color w:val="000000"/>
              </w:rPr>
            </w:pPr>
            <w:r>
              <w:rPr>
                <w:color w:val="000000"/>
              </w:rPr>
              <w:t>0.304</w:t>
            </w:r>
          </w:p>
        </w:tc>
      </w:tr>
      <w:tr w:rsidR="00204117" w14:paraId="79E8407D" w14:textId="77777777" w:rsidTr="00204117">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3BC25" w14:textId="77777777" w:rsidR="00204117" w:rsidRDefault="00204117">
            <w:pPr>
              <w:jc w:val="center"/>
              <w:rPr>
                <w:color w:val="000000"/>
              </w:rPr>
            </w:pPr>
            <w:r>
              <w:rPr>
                <w:color w:val="000000"/>
              </w:rPr>
              <w:t>Pig</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5A5BE"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43CC0"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B333E" w14:textId="77777777" w:rsidR="00204117" w:rsidRDefault="00204117">
            <w:pPr>
              <w:jc w:val="center"/>
              <w:rPr>
                <w:color w:val="000000"/>
              </w:rPr>
            </w:pPr>
            <w:r>
              <w:rPr>
                <w:color w:val="000000"/>
              </w:rPr>
              <w:t>0.450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9B2C7" w14:textId="77777777" w:rsidR="00204117" w:rsidRDefault="00204117">
            <w:pPr>
              <w:jc w:val="center"/>
              <w:rPr>
                <w:color w:val="000000"/>
              </w:rPr>
            </w:pPr>
            <w:r>
              <w:rPr>
                <w:color w:val="000000"/>
              </w:rPr>
              <w:t>0.558</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C73A7" w14:textId="77777777" w:rsidR="00204117" w:rsidRDefault="00204117">
            <w:pPr>
              <w:jc w:val="center"/>
              <w:rPr>
                <w:color w:val="000000"/>
              </w:rPr>
            </w:pPr>
            <w:r>
              <w:rPr>
                <w:color w:val="000000"/>
              </w:rPr>
              <w:t>0.500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DB513" w14:textId="77777777" w:rsidR="00204117" w:rsidRDefault="00204117">
            <w:pPr>
              <w:jc w:val="center"/>
              <w:rPr>
                <w:color w:val="000000"/>
              </w:rPr>
            </w:pPr>
            <w:r>
              <w:rPr>
                <w:color w:val="000000"/>
              </w:rPr>
              <w:t>0.000</w:t>
            </w:r>
          </w:p>
        </w:tc>
      </w:tr>
      <w:tr w:rsidR="00204117" w14:paraId="57E84161" w14:textId="77777777" w:rsidTr="00204117">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EEA27" w14:textId="77777777" w:rsidR="00204117" w:rsidRDefault="00204117">
            <w:pPr>
              <w:jc w:val="center"/>
              <w:rPr>
                <w:color w:val="000000"/>
              </w:rPr>
            </w:pPr>
            <w:r>
              <w:rPr>
                <w:color w:val="000000"/>
              </w:rPr>
              <w:t>Plag</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9C5FE"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D635C"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9A233" w14:textId="77777777" w:rsidR="00204117" w:rsidRDefault="00204117">
            <w:pPr>
              <w:jc w:val="center"/>
              <w:rPr>
                <w:color w:val="000000"/>
              </w:rPr>
            </w:pPr>
            <w:r>
              <w:rPr>
                <w:color w:val="000000"/>
              </w:rPr>
              <w:t>0.089</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0804D" w14:textId="77777777" w:rsidR="00204117" w:rsidRDefault="00204117">
            <w:pPr>
              <w:jc w:val="center"/>
              <w:rPr>
                <w:color w:val="000000"/>
              </w:rPr>
            </w:pPr>
            <w:r>
              <w:rPr>
                <w:color w:val="000000"/>
              </w:rPr>
              <w:t>0.083</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6FAE4" w14:textId="77777777" w:rsidR="00204117" w:rsidRDefault="00204117">
            <w:pPr>
              <w:jc w:val="center"/>
              <w:rPr>
                <w:color w:val="000000"/>
              </w:rPr>
            </w:pPr>
            <w:r>
              <w:rPr>
                <w:color w:val="000000"/>
              </w:rPr>
              <w:t>0.089</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3CC7A" w14:textId="77777777" w:rsidR="00204117" w:rsidRDefault="00204117">
            <w:pPr>
              <w:jc w:val="center"/>
              <w:rPr>
                <w:color w:val="000000"/>
              </w:rPr>
            </w:pPr>
            <w:r>
              <w:rPr>
                <w:color w:val="000000"/>
              </w:rPr>
              <w:t>0.079</w:t>
            </w:r>
          </w:p>
        </w:tc>
      </w:tr>
      <w:tr w:rsidR="00204117" w14:paraId="56680D84" w14:textId="77777777" w:rsidTr="00204117">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11702" w14:textId="77777777" w:rsidR="00204117" w:rsidRDefault="00204117">
            <w:pPr>
              <w:jc w:val="center"/>
              <w:rPr>
                <w:color w:val="000000"/>
              </w:rPr>
            </w:pPr>
            <w:r>
              <w:rPr>
                <w:color w:val="000000"/>
              </w:rPr>
              <w:t>Qtz</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C695E"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2F31F"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5BA0A"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ED9F1"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BB0E5"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4DF976" w14:textId="77777777" w:rsidR="00204117" w:rsidRDefault="00204117">
            <w:pPr>
              <w:jc w:val="center"/>
              <w:rPr>
                <w:color w:val="000000"/>
              </w:rPr>
            </w:pPr>
            <w:r>
              <w:rPr>
                <w:color w:val="000000"/>
              </w:rPr>
              <w:t>0.000</w:t>
            </w:r>
          </w:p>
        </w:tc>
      </w:tr>
      <w:tr w:rsidR="00204117" w14:paraId="6484F2A9" w14:textId="77777777" w:rsidTr="00204117">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B5F49" w14:textId="77777777" w:rsidR="00204117" w:rsidRDefault="00204117">
            <w:pPr>
              <w:jc w:val="center"/>
              <w:rPr>
                <w:color w:val="000000"/>
              </w:rPr>
            </w:pPr>
            <w:r>
              <w:rPr>
                <w:color w:val="000000"/>
              </w:rPr>
              <w:t>Ilm</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367A9"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C86D9"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9E257A"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06980"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C2579" w14:textId="77777777" w:rsidR="00204117" w:rsidRDefault="00204117">
            <w:pPr>
              <w:jc w:val="center"/>
              <w:rPr>
                <w:color w:val="000000"/>
              </w:rPr>
            </w:pPr>
            <w:r>
              <w:rPr>
                <w:color w:val="000000"/>
              </w:rPr>
              <w:t>0.000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661DC" w14:textId="77777777" w:rsidR="00204117" w:rsidRDefault="00204117">
            <w:pPr>
              <w:jc w:val="center"/>
              <w:rPr>
                <w:color w:val="000000"/>
              </w:rPr>
            </w:pPr>
            <w:r>
              <w:rPr>
                <w:color w:val="000000"/>
              </w:rPr>
              <w:t>0.228</w:t>
            </w:r>
          </w:p>
        </w:tc>
      </w:tr>
      <w:tr w:rsidR="00204117" w14:paraId="78E3F6DF" w14:textId="77777777" w:rsidTr="00204117">
        <w:trPr>
          <w:trHeight w:val="340"/>
        </w:trPr>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5B5E3102" w14:textId="77777777" w:rsidR="00204117" w:rsidRDefault="00204117">
            <w:pPr>
              <w:jc w:val="center"/>
              <w:rPr>
                <w:color w:val="000000"/>
              </w:rPr>
            </w:pPr>
            <w:r>
              <w:rPr>
                <w:color w:val="000000"/>
              </w:rPr>
              <w:t>Melt</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78AFDFB" w14:textId="77777777" w:rsidR="00204117" w:rsidRDefault="00204117">
            <w:pPr>
              <w:jc w:val="center"/>
              <w:rPr>
                <w:color w:val="000000"/>
              </w:rPr>
            </w:pPr>
            <w:r>
              <w:rPr>
                <w:color w:val="000000"/>
              </w:rPr>
              <w:t>0.010</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3A3E615F" w14:textId="77777777" w:rsidR="00204117" w:rsidRDefault="00204117">
            <w:pPr>
              <w:jc w:val="center"/>
              <w:rPr>
                <w:color w:val="000000"/>
              </w:rPr>
            </w:pPr>
            <w:r>
              <w:rPr>
                <w:color w:val="000000"/>
              </w:rPr>
              <w:t>0.010</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062A5587" w14:textId="77777777" w:rsidR="00204117" w:rsidRDefault="00204117">
            <w:pPr>
              <w:jc w:val="center"/>
              <w:rPr>
                <w:color w:val="000000"/>
              </w:rPr>
            </w:pPr>
            <w:r>
              <w:rPr>
                <w:color w:val="000000"/>
              </w:rPr>
              <w:t>0.010</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11FD19E" w14:textId="77777777" w:rsidR="00204117" w:rsidRDefault="00204117">
            <w:pPr>
              <w:jc w:val="center"/>
              <w:rPr>
                <w:color w:val="000000"/>
              </w:rPr>
            </w:pPr>
            <w:r>
              <w:rPr>
                <w:color w:val="000000"/>
              </w:rPr>
              <w:t>0.010</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5CB96F5E" w14:textId="77777777" w:rsidR="00204117" w:rsidRDefault="00204117">
            <w:pPr>
              <w:jc w:val="center"/>
              <w:rPr>
                <w:color w:val="000000"/>
              </w:rPr>
            </w:pPr>
            <w:r>
              <w:rPr>
                <w:color w:val="000000"/>
              </w:rPr>
              <w:t>0.010</w:t>
            </w:r>
          </w:p>
        </w:tc>
        <w:tc>
          <w:tcPr>
            <w:tcW w:w="114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50F2423D" w14:textId="77777777" w:rsidR="00204117" w:rsidRDefault="00204117">
            <w:pPr>
              <w:jc w:val="center"/>
              <w:rPr>
                <w:color w:val="000000"/>
              </w:rPr>
            </w:pPr>
            <w:r>
              <w:rPr>
                <w:color w:val="000000"/>
              </w:rPr>
              <w:t>0.010</w:t>
            </w:r>
          </w:p>
        </w:tc>
      </w:tr>
    </w:tbl>
    <w:p w14:paraId="3484AAC8" w14:textId="75162C21" w:rsidR="00E27115" w:rsidRDefault="00E27115" w:rsidP="00E27115">
      <w:pPr>
        <w:rPr>
          <w:color w:val="000000"/>
        </w:rPr>
      </w:pPr>
      <w:r>
        <w:rPr>
          <w:color w:val="000000"/>
        </w:rPr>
        <w:t>*Stage 1: F= 1-0.49, Stage 2: F= 0.49-0.22, Stage 3: F= 0.22-0.19, Stage 4: F= 0.19-0.05, Stage 5: F= 0.05-0.02, Stage 6: F= 0.02-0</w:t>
      </w:r>
    </w:p>
    <w:p w14:paraId="609877AF" w14:textId="222CF8C9" w:rsidR="0038747E" w:rsidRDefault="00E27115" w:rsidP="00E27115">
      <w:pPr>
        <w:rPr>
          <w:color w:val="000000"/>
        </w:rPr>
      </w:pPr>
      <w:r>
        <w:rPr>
          <w:color w:val="000000"/>
        </w:rPr>
        <w:t>Olivine (Ol), Orthopyroxene (Opx), Clinopyroxene (Cpx), Pigeonite (Pig), Plagioclase (Plag), Ilmenite (Ilm), Quartz (Qtz)</w:t>
      </w:r>
    </w:p>
    <w:p w14:paraId="3251016D" w14:textId="77777777" w:rsidR="0038747E" w:rsidRDefault="0038747E">
      <w:pPr>
        <w:rPr>
          <w:color w:val="000000"/>
        </w:rPr>
      </w:pPr>
      <w:r>
        <w:rPr>
          <w:color w:val="000000"/>
        </w:rPr>
        <w:br w:type="page"/>
      </w:r>
    </w:p>
    <w:p w14:paraId="26B80AC4" w14:textId="4D43EF91" w:rsidR="0038747E" w:rsidRDefault="0038747E" w:rsidP="0038747E">
      <w:pPr>
        <w:rPr>
          <w:color w:val="000000"/>
        </w:rPr>
      </w:pPr>
      <w:r w:rsidRPr="0038747E">
        <w:rPr>
          <w:b/>
          <w:bCs/>
          <w:color w:val="000000"/>
        </w:rPr>
        <w:lastRenderedPageBreak/>
        <w:t>Table B3.</w:t>
      </w:r>
      <w:r>
        <w:rPr>
          <w:color w:val="000000"/>
        </w:rPr>
        <w:t xml:space="preserve"> </w:t>
      </w:r>
      <w:r w:rsidR="00901CD7" w:rsidRPr="00966892">
        <w:rPr>
          <w:color w:val="000000" w:themeColor="text1"/>
        </w:rPr>
        <w:t xml:space="preserve">Phase proportions in LMO mantle cumulates based on findings from Charlier et al. (2018), assuming </w:t>
      </w:r>
      <w:r w:rsidR="00901CD7">
        <w:rPr>
          <w:color w:val="000000" w:themeColor="text1"/>
        </w:rPr>
        <w:t>98</w:t>
      </w:r>
      <w:r w:rsidR="00901CD7" w:rsidRPr="00966892">
        <w:rPr>
          <w:color w:val="000000" w:themeColor="text1"/>
        </w:rPr>
        <w:t>% plagioclase and 100% quartz floatation efficiency.</w:t>
      </w:r>
      <w:r>
        <w:rPr>
          <w:color w:val="000000"/>
        </w:rPr>
        <w:t xml:space="preserve"> </w:t>
      </w:r>
    </w:p>
    <w:tbl>
      <w:tblPr>
        <w:tblW w:w="7980" w:type="dxa"/>
        <w:tblLook w:val="04A0" w:firstRow="1" w:lastRow="0" w:firstColumn="1" w:lastColumn="0" w:noHBand="0" w:noVBand="1"/>
      </w:tblPr>
      <w:tblGrid>
        <w:gridCol w:w="1140"/>
        <w:gridCol w:w="1140"/>
        <w:gridCol w:w="1140"/>
        <w:gridCol w:w="1140"/>
        <w:gridCol w:w="1140"/>
        <w:gridCol w:w="1140"/>
        <w:gridCol w:w="1140"/>
      </w:tblGrid>
      <w:tr w:rsidR="00580EDC" w14:paraId="0148D430" w14:textId="77777777" w:rsidTr="00580EDC">
        <w:trPr>
          <w:trHeight w:val="32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3284E" w14:textId="77777777" w:rsidR="00580EDC" w:rsidRDefault="00580EDC">
            <w:pPr>
              <w:jc w:val="center"/>
              <w:rPr>
                <w:color w:val="000000"/>
              </w:rPr>
            </w:pPr>
            <w:r>
              <w:rPr>
                <w:color w:val="000000"/>
              </w:rPr>
              <w:t>Phases</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7E9E01C3" w14:textId="77777777" w:rsidR="00580EDC" w:rsidRDefault="00580EDC">
            <w:pPr>
              <w:jc w:val="center"/>
              <w:rPr>
                <w:color w:val="000000"/>
              </w:rPr>
            </w:pPr>
            <w:r>
              <w:rPr>
                <w:color w:val="000000"/>
              </w:rPr>
              <w:t>Stage 1</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0EB69658" w14:textId="77777777" w:rsidR="00580EDC" w:rsidRDefault="00580EDC">
            <w:pPr>
              <w:jc w:val="center"/>
              <w:rPr>
                <w:color w:val="000000"/>
              </w:rPr>
            </w:pPr>
            <w:r>
              <w:rPr>
                <w:color w:val="000000"/>
              </w:rPr>
              <w:t>Stage 2</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0DB2753B" w14:textId="77777777" w:rsidR="00580EDC" w:rsidRDefault="00580EDC">
            <w:pPr>
              <w:jc w:val="center"/>
              <w:rPr>
                <w:color w:val="000000"/>
              </w:rPr>
            </w:pPr>
            <w:r>
              <w:rPr>
                <w:color w:val="000000"/>
              </w:rPr>
              <w:t>Stage 3</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124801F2" w14:textId="77777777" w:rsidR="00580EDC" w:rsidRDefault="00580EDC">
            <w:pPr>
              <w:jc w:val="center"/>
              <w:rPr>
                <w:color w:val="000000"/>
              </w:rPr>
            </w:pPr>
            <w:r>
              <w:rPr>
                <w:color w:val="000000"/>
              </w:rPr>
              <w:t>Stage 4</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6F7F6C84" w14:textId="77777777" w:rsidR="00580EDC" w:rsidRDefault="00580EDC">
            <w:pPr>
              <w:jc w:val="center"/>
              <w:rPr>
                <w:color w:val="000000"/>
              </w:rPr>
            </w:pPr>
            <w:r>
              <w:rPr>
                <w:color w:val="000000"/>
              </w:rPr>
              <w:t>Stage 5</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0672E85C" w14:textId="77777777" w:rsidR="00580EDC" w:rsidRDefault="00580EDC">
            <w:pPr>
              <w:jc w:val="center"/>
              <w:rPr>
                <w:color w:val="000000"/>
              </w:rPr>
            </w:pPr>
            <w:r>
              <w:rPr>
                <w:color w:val="000000"/>
              </w:rPr>
              <w:t>Stage 6</w:t>
            </w:r>
          </w:p>
        </w:tc>
      </w:tr>
      <w:tr w:rsidR="00580EDC" w14:paraId="200BC484" w14:textId="77777777" w:rsidTr="00580EDC">
        <w:trPr>
          <w:trHeight w:val="32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6200E2D8" w14:textId="77777777" w:rsidR="00580EDC" w:rsidRDefault="00580EDC">
            <w:pPr>
              <w:jc w:val="center"/>
              <w:rPr>
                <w:color w:val="000000"/>
              </w:rPr>
            </w:pPr>
            <w:r>
              <w:rPr>
                <w:color w:val="000000"/>
              </w:rPr>
              <w:t>Ol</w:t>
            </w:r>
          </w:p>
        </w:tc>
        <w:tc>
          <w:tcPr>
            <w:tcW w:w="1140" w:type="dxa"/>
            <w:tcBorders>
              <w:top w:val="nil"/>
              <w:left w:val="nil"/>
              <w:bottom w:val="single" w:sz="4" w:space="0" w:color="auto"/>
              <w:right w:val="single" w:sz="4" w:space="0" w:color="auto"/>
            </w:tcBorders>
            <w:shd w:val="clear" w:color="auto" w:fill="auto"/>
            <w:noWrap/>
            <w:vAlign w:val="center"/>
            <w:hideMark/>
          </w:tcPr>
          <w:p w14:paraId="570B5528" w14:textId="77777777" w:rsidR="00580EDC" w:rsidRDefault="00580EDC">
            <w:pPr>
              <w:jc w:val="center"/>
              <w:rPr>
                <w:color w:val="000000"/>
              </w:rPr>
            </w:pPr>
            <w:r>
              <w:rPr>
                <w:color w:val="000000"/>
              </w:rPr>
              <w:t>0.990</w:t>
            </w:r>
          </w:p>
        </w:tc>
        <w:tc>
          <w:tcPr>
            <w:tcW w:w="1140" w:type="dxa"/>
            <w:tcBorders>
              <w:top w:val="nil"/>
              <w:left w:val="nil"/>
              <w:bottom w:val="single" w:sz="4" w:space="0" w:color="auto"/>
              <w:right w:val="single" w:sz="4" w:space="0" w:color="auto"/>
            </w:tcBorders>
            <w:shd w:val="clear" w:color="auto" w:fill="auto"/>
            <w:noWrap/>
            <w:vAlign w:val="center"/>
            <w:hideMark/>
          </w:tcPr>
          <w:p w14:paraId="68CEB8EB" w14:textId="77777777" w:rsidR="00580EDC" w:rsidRDefault="00580EDC">
            <w:pPr>
              <w:jc w:val="center"/>
              <w:rPr>
                <w:color w:val="000000"/>
              </w:rPr>
            </w:pPr>
            <w:r>
              <w:rPr>
                <w:color w:val="000000"/>
              </w:rPr>
              <w:t>0.099</w:t>
            </w:r>
          </w:p>
        </w:tc>
        <w:tc>
          <w:tcPr>
            <w:tcW w:w="1140" w:type="dxa"/>
            <w:tcBorders>
              <w:top w:val="nil"/>
              <w:left w:val="nil"/>
              <w:bottom w:val="single" w:sz="4" w:space="0" w:color="auto"/>
              <w:right w:val="single" w:sz="4" w:space="0" w:color="auto"/>
            </w:tcBorders>
            <w:shd w:val="clear" w:color="auto" w:fill="auto"/>
            <w:noWrap/>
            <w:vAlign w:val="center"/>
            <w:hideMark/>
          </w:tcPr>
          <w:p w14:paraId="5D9903F5" w14:textId="77777777" w:rsidR="00580EDC" w:rsidRDefault="00580EDC">
            <w:pPr>
              <w:jc w:val="center"/>
              <w:rPr>
                <w:color w:val="000000"/>
              </w:rPr>
            </w:pPr>
            <w:r>
              <w:rPr>
                <w:color w:val="000000"/>
              </w:rPr>
              <w:t>0.097</w:t>
            </w:r>
          </w:p>
        </w:tc>
        <w:tc>
          <w:tcPr>
            <w:tcW w:w="1140" w:type="dxa"/>
            <w:tcBorders>
              <w:top w:val="nil"/>
              <w:left w:val="nil"/>
              <w:bottom w:val="single" w:sz="4" w:space="0" w:color="auto"/>
              <w:right w:val="single" w:sz="4" w:space="0" w:color="auto"/>
            </w:tcBorders>
            <w:shd w:val="clear" w:color="auto" w:fill="auto"/>
            <w:noWrap/>
            <w:vAlign w:val="center"/>
            <w:hideMark/>
          </w:tcPr>
          <w:p w14:paraId="5239C01E"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0C8C313E"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7949D20A" w14:textId="77777777" w:rsidR="00580EDC" w:rsidRDefault="00580EDC">
            <w:pPr>
              <w:jc w:val="center"/>
              <w:rPr>
                <w:color w:val="000000"/>
              </w:rPr>
            </w:pPr>
            <w:r>
              <w:rPr>
                <w:color w:val="000000"/>
              </w:rPr>
              <w:t>0.405</w:t>
            </w:r>
          </w:p>
        </w:tc>
      </w:tr>
      <w:tr w:rsidR="00580EDC" w14:paraId="6C300E2D" w14:textId="77777777" w:rsidTr="00580EDC">
        <w:trPr>
          <w:trHeight w:val="32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7E7ED198" w14:textId="77777777" w:rsidR="00580EDC" w:rsidRDefault="00580EDC">
            <w:pPr>
              <w:jc w:val="center"/>
              <w:rPr>
                <w:color w:val="000000"/>
              </w:rPr>
            </w:pPr>
            <w:r>
              <w:rPr>
                <w:color w:val="000000"/>
              </w:rPr>
              <w:t>Opx</w:t>
            </w:r>
          </w:p>
        </w:tc>
        <w:tc>
          <w:tcPr>
            <w:tcW w:w="1140" w:type="dxa"/>
            <w:tcBorders>
              <w:top w:val="nil"/>
              <w:left w:val="nil"/>
              <w:bottom w:val="single" w:sz="4" w:space="0" w:color="auto"/>
              <w:right w:val="single" w:sz="4" w:space="0" w:color="auto"/>
            </w:tcBorders>
            <w:shd w:val="clear" w:color="auto" w:fill="auto"/>
            <w:noWrap/>
            <w:vAlign w:val="center"/>
            <w:hideMark/>
          </w:tcPr>
          <w:p w14:paraId="623BA5A9"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254F1E89" w14:textId="77777777" w:rsidR="00580EDC" w:rsidRDefault="00580EDC">
            <w:pPr>
              <w:jc w:val="center"/>
              <w:rPr>
                <w:color w:val="000000"/>
              </w:rPr>
            </w:pPr>
            <w:r>
              <w:rPr>
                <w:color w:val="000000"/>
              </w:rPr>
              <w:t>0.891</w:t>
            </w:r>
          </w:p>
        </w:tc>
        <w:tc>
          <w:tcPr>
            <w:tcW w:w="1140" w:type="dxa"/>
            <w:tcBorders>
              <w:top w:val="nil"/>
              <w:left w:val="nil"/>
              <w:bottom w:val="single" w:sz="4" w:space="0" w:color="auto"/>
              <w:right w:val="single" w:sz="4" w:space="0" w:color="auto"/>
            </w:tcBorders>
            <w:shd w:val="clear" w:color="auto" w:fill="auto"/>
            <w:noWrap/>
            <w:vAlign w:val="center"/>
            <w:hideMark/>
          </w:tcPr>
          <w:p w14:paraId="675334F3" w14:textId="77777777" w:rsidR="00580EDC" w:rsidRDefault="00580EDC">
            <w:pPr>
              <w:jc w:val="center"/>
              <w:rPr>
                <w:color w:val="000000"/>
              </w:rPr>
            </w:pPr>
            <w:r>
              <w:rPr>
                <w:color w:val="000000"/>
              </w:rPr>
              <w:t>0.388</w:t>
            </w:r>
          </w:p>
        </w:tc>
        <w:tc>
          <w:tcPr>
            <w:tcW w:w="1140" w:type="dxa"/>
            <w:tcBorders>
              <w:top w:val="nil"/>
              <w:left w:val="nil"/>
              <w:bottom w:val="single" w:sz="4" w:space="0" w:color="auto"/>
              <w:right w:val="single" w:sz="4" w:space="0" w:color="auto"/>
            </w:tcBorders>
            <w:shd w:val="clear" w:color="auto" w:fill="auto"/>
            <w:noWrap/>
            <w:vAlign w:val="center"/>
            <w:hideMark/>
          </w:tcPr>
          <w:p w14:paraId="7E233D8B"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28FCF396"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0B197F29" w14:textId="77777777" w:rsidR="00580EDC" w:rsidRDefault="00580EDC">
            <w:pPr>
              <w:jc w:val="center"/>
              <w:rPr>
                <w:color w:val="000000"/>
              </w:rPr>
            </w:pPr>
            <w:r>
              <w:rPr>
                <w:color w:val="000000"/>
              </w:rPr>
              <w:t>0.000</w:t>
            </w:r>
          </w:p>
        </w:tc>
      </w:tr>
      <w:tr w:rsidR="00580EDC" w14:paraId="37811295" w14:textId="77777777" w:rsidTr="00580EDC">
        <w:trPr>
          <w:trHeight w:val="32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0A9CBCBA" w14:textId="77777777" w:rsidR="00580EDC" w:rsidRDefault="00580EDC">
            <w:pPr>
              <w:jc w:val="center"/>
              <w:rPr>
                <w:color w:val="000000"/>
              </w:rPr>
            </w:pPr>
            <w:r>
              <w:rPr>
                <w:color w:val="000000"/>
              </w:rPr>
              <w:t>Cpx</w:t>
            </w:r>
          </w:p>
        </w:tc>
        <w:tc>
          <w:tcPr>
            <w:tcW w:w="1140" w:type="dxa"/>
            <w:tcBorders>
              <w:top w:val="nil"/>
              <w:left w:val="nil"/>
              <w:bottom w:val="single" w:sz="4" w:space="0" w:color="auto"/>
              <w:right w:val="single" w:sz="4" w:space="0" w:color="auto"/>
            </w:tcBorders>
            <w:shd w:val="clear" w:color="auto" w:fill="auto"/>
            <w:noWrap/>
            <w:vAlign w:val="center"/>
            <w:hideMark/>
          </w:tcPr>
          <w:p w14:paraId="3A00E019"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4EA1DF38"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32FD53C4"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3B8359AD" w14:textId="77777777" w:rsidR="00580EDC" w:rsidRDefault="00580EDC">
            <w:pPr>
              <w:jc w:val="center"/>
              <w:rPr>
                <w:color w:val="000000"/>
              </w:rPr>
            </w:pPr>
            <w:r>
              <w:rPr>
                <w:color w:val="000000"/>
              </w:rPr>
              <w:t>0.374</w:t>
            </w:r>
          </w:p>
        </w:tc>
        <w:tc>
          <w:tcPr>
            <w:tcW w:w="1140" w:type="dxa"/>
            <w:tcBorders>
              <w:top w:val="nil"/>
              <w:left w:val="nil"/>
              <w:bottom w:val="single" w:sz="4" w:space="0" w:color="auto"/>
              <w:right w:val="single" w:sz="4" w:space="0" w:color="auto"/>
            </w:tcBorders>
            <w:shd w:val="clear" w:color="auto" w:fill="auto"/>
            <w:noWrap/>
            <w:vAlign w:val="center"/>
            <w:hideMark/>
          </w:tcPr>
          <w:p w14:paraId="391402A9" w14:textId="77777777" w:rsidR="00580EDC" w:rsidRDefault="00580EDC">
            <w:pPr>
              <w:jc w:val="center"/>
              <w:rPr>
                <w:color w:val="000000"/>
              </w:rPr>
            </w:pPr>
            <w:r>
              <w:rPr>
                <w:color w:val="000000"/>
              </w:rPr>
              <w:t>0.431</w:t>
            </w:r>
          </w:p>
        </w:tc>
        <w:tc>
          <w:tcPr>
            <w:tcW w:w="1140" w:type="dxa"/>
            <w:tcBorders>
              <w:top w:val="nil"/>
              <w:left w:val="nil"/>
              <w:bottom w:val="single" w:sz="4" w:space="0" w:color="auto"/>
              <w:right w:val="single" w:sz="4" w:space="0" w:color="auto"/>
            </w:tcBorders>
            <w:shd w:val="clear" w:color="auto" w:fill="auto"/>
            <w:noWrap/>
            <w:vAlign w:val="center"/>
            <w:hideMark/>
          </w:tcPr>
          <w:p w14:paraId="4FB6EBCE" w14:textId="77777777" w:rsidR="00580EDC" w:rsidRDefault="00580EDC">
            <w:pPr>
              <w:jc w:val="center"/>
              <w:rPr>
                <w:color w:val="000000"/>
              </w:rPr>
            </w:pPr>
            <w:r>
              <w:rPr>
                <w:color w:val="000000"/>
              </w:rPr>
              <w:t>0.324</w:t>
            </w:r>
          </w:p>
        </w:tc>
      </w:tr>
      <w:tr w:rsidR="00580EDC" w14:paraId="46B3B040" w14:textId="77777777" w:rsidTr="00580EDC">
        <w:trPr>
          <w:trHeight w:val="32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6DB2A250" w14:textId="77777777" w:rsidR="00580EDC" w:rsidRDefault="00580EDC">
            <w:pPr>
              <w:jc w:val="center"/>
              <w:rPr>
                <w:color w:val="000000"/>
              </w:rPr>
            </w:pPr>
            <w:r>
              <w:rPr>
                <w:color w:val="000000"/>
              </w:rPr>
              <w:t>Pig</w:t>
            </w:r>
          </w:p>
        </w:tc>
        <w:tc>
          <w:tcPr>
            <w:tcW w:w="1140" w:type="dxa"/>
            <w:tcBorders>
              <w:top w:val="nil"/>
              <w:left w:val="nil"/>
              <w:bottom w:val="single" w:sz="4" w:space="0" w:color="auto"/>
              <w:right w:val="single" w:sz="4" w:space="0" w:color="auto"/>
            </w:tcBorders>
            <w:shd w:val="clear" w:color="auto" w:fill="auto"/>
            <w:noWrap/>
            <w:vAlign w:val="center"/>
            <w:hideMark/>
          </w:tcPr>
          <w:p w14:paraId="7909BC23"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05838C45"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22A8E8CB" w14:textId="77777777" w:rsidR="00580EDC" w:rsidRDefault="00580EDC">
            <w:pPr>
              <w:jc w:val="center"/>
              <w:rPr>
                <w:color w:val="000000"/>
              </w:rPr>
            </w:pPr>
            <w:r>
              <w:rPr>
                <w:color w:val="000000"/>
              </w:rPr>
              <w:t>0.485</w:t>
            </w:r>
          </w:p>
        </w:tc>
        <w:tc>
          <w:tcPr>
            <w:tcW w:w="1140" w:type="dxa"/>
            <w:tcBorders>
              <w:top w:val="nil"/>
              <w:left w:val="nil"/>
              <w:bottom w:val="single" w:sz="4" w:space="0" w:color="auto"/>
              <w:right w:val="single" w:sz="4" w:space="0" w:color="auto"/>
            </w:tcBorders>
            <w:shd w:val="clear" w:color="auto" w:fill="auto"/>
            <w:noWrap/>
            <w:vAlign w:val="center"/>
            <w:hideMark/>
          </w:tcPr>
          <w:p w14:paraId="44F7704A" w14:textId="77777777" w:rsidR="00580EDC" w:rsidRDefault="00580EDC">
            <w:pPr>
              <w:jc w:val="center"/>
              <w:rPr>
                <w:color w:val="000000"/>
              </w:rPr>
            </w:pPr>
            <w:r>
              <w:rPr>
                <w:color w:val="000000"/>
              </w:rPr>
              <w:t>0.598</w:t>
            </w:r>
          </w:p>
        </w:tc>
        <w:tc>
          <w:tcPr>
            <w:tcW w:w="1140" w:type="dxa"/>
            <w:tcBorders>
              <w:top w:val="nil"/>
              <w:left w:val="nil"/>
              <w:bottom w:val="single" w:sz="4" w:space="0" w:color="auto"/>
              <w:right w:val="single" w:sz="4" w:space="0" w:color="auto"/>
            </w:tcBorders>
            <w:shd w:val="clear" w:color="auto" w:fill="auto"/>
            <w:noWrap/>
            <w:vAlign w:val="center"/>
            <w:hideMark/>
          </w:tcPr>
          <w:p w14:paraId="639B97BB" w14:textId="77777777" w:rsidR="00580EDC" w:rsidRDefault="00580EDC">
            <w:pPr>
              <w:jc w:val="center"/>
              <w:rPr>
                <w:color w:val="000000"/>
              </w:rPr>
            </w:pPr>
            <w:r>
              <w:rPr>
                <w:color w:val="000000"/>
              </w:rPr>
              <w:t>0.539</w:t>
            </w:r>
          </w:p>
        </w:tc>
        <w:tc>
          <w:tcPr>
            <w:tcW w:w="1140" w:type="dxa"/>
            <w:tcBorders>
              <w:top w:val="nil"/>
              <w:left w:val="nil"/>
              <w:bottom w:val="single" w:sz="4" w:space="0" w:color="auto"/>
              <w:right w:val="single" w:sz="4" w:space="0" w:color="auto"/>
            </w:tcBorders>
            <w:shd w:val="clear" w:color="auto" w:fill="auto"/>
            <w:noWrap/>
            <w:vAlign w:val="center"/>
            <w:hideMark/>
          </w:tcPr>
          <w:p w14:paraId="6318BA65" w14:textId="77777777" w:rsidR="00580EDC" w:rsidRDefault="00580EDC">
            <w:pPr>
              <w:jc w:val="center"/>
              <w:rPr>
                <w:color w:val="000000"/>
              </w:rPr>
            </w:pPr>
            <w:r>
              <w:rPr>
                <w:color w:val="000000"/>
              </w:rPr>
              <w:t>0.000</w:t>
            </w:r>
          </w:p>
        </w:tc>
      </w:tr>
      <w:tr w:rsidR="00580EDC" w14:paraId="06345BE4" w14:textId="77777777" w:rsidTr="00580EDC">
        <w:trPr>
          <w:trHeight w:val="32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767D4EE1" w14:textId="77777777" w:rsidR="00580EDC" w:rsidRDefault="00580EDC">
            <w:pPr>
              <w:jc w:val="center"/>
              <w:rPr>
                <w:color w:val="000000"/>
              </w:rPr>
            </w:pPr>
            <w:r>
              <w:rPr>
                <w:color w:val="000000"/>
              </w:rPr>
              <w:t>Plag</w:t>
            </w:r>
          </w:p>
        </w:tc>
        <w:tc>
          <w:tcPr>
            <w:tcW w:w="1140" w:type="dxa"/>
            <w:tcBorders>
              <w:top w:val="nil"/>
              <w:left w:val="nil"/>
              <w:bottom w:val="single" w:sz="4" w:space="0" w:color="auto"/>
              <w:right w:val="single" w:sz="4" w:space="0" w:color="auto"/>
            </w:tcBorders>
            <w:shd w:val="clear" w:color="auto" w:fill="auto"/>
            <w:noWrap/>
            <w:vAlign w:val="center"/>
            <w:hideMark/>
          </w:tcPr>
          <w:p w14:paraId="40480074"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25463F94"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1301D7A7" w14:textId="77777777" w:rsidR="00580EDC" w:rsidRDefault="00580EDC">
            <w:pPr>
              <w:jc w:val="center"/>
              <w:rPr>
                <w:color w:val="000000"/>
              </w:rPr>
            </w:pPr>
            <w:r>
              <w:rPr>
                <w:color w:val="000000"/>
              </w:rPr>
              <w:t>0.019</w:t>
            </w:r>
          </w:p>
        </w:tc>
        <w:tc>
          <w:tcPr>
            <w:tcW w:w="1140" w:type="dxa"/>
            <w:tcBorders>
              <w:top w:val="nil"/>
              <w:left w:val="nil"/>
              <w:bottom w:val="single" w:sz="4" w:space="0" w:color="auto"/>
              <w:right w:val="single" w:sz="4" w:space="0" w:color="auto"/>
            </w:tcBorders>
            <w:shd w:val="clear" w:color="auto" w:fill="auto"/>
            <w:noWrap/>
            <w:vAlign w:val="center"/>
            <w:hideMark/>
          </w:tcPr>
          <w:p w14:paraId="48BACEB3" w14:textId="77777777" w:rsidR="00580EDC" w:rsidRDefault="00580EDC">
            <w:pPr>
              <w:jc w:val="center"/>
              <w:rPr>
                <w:color w:val="000000"/>
              </w:rPr>
            </w:pPr>
            <w:r>
              <w:rPr>
                <w:color w:val="000000"/>
              </w:rPr>
              <w:t>0.018</w:t>
            </w:r>
          </w:p>
        </w:tc>
        <w:tc>
          <w:tcPr>
            <w:tcW w:w="1140" w:type="dxa"/>
            <w:tcBorders>
              <w:top w:val="nil"/>
              <w:left w:val="nil"/>
              <w:bottom w:val="single" w:sz="4" w:space="0" w:color="auto"/>
              <w:right w:val="single" w:sz="4" w:space="0" w:color="auto"/>
            </w:tcBorders>
            <w:shd w:val="clear" w:color="auto" w:fill="auto"/>
            <w:noWrap/>
            <w:vAlign w:val="center"/>
            <w:hideMark/>
          </w:tcPr>
          <w:p w14:paraId="4198893C" w14:textId="77777777" w:rsidR="00580EDC" w:rsidRDefault="00580EDC">
            <w:pPr>
              <w:jc w:val="center"/>
              <w:rPr>
                <w:color w:val="000000"/>
              </w:rPr>
            </w:pPr>
            <w:r>
              <w:rPr>
                <w:color w:val="000000"/>
              </w:rPr>
              <w:t>0.019</w:t>
            </w:r>
          </w:p>
        </w:tc>
        <w:tc>
          <w:tcPr>
            <w:tcW w:w="1140" w:type="dxa"/>
            <w:tcBorders>
              <w:top w:val="nil"/>
              <w:left w:val="nil"/>
              <w:bottom w:val="single" w:sz="4" w:space="0" w:color="auto"/>
              <w:right w:val="single" w:sz="4" w:space="0" w:color="auto"/>
            </w:tcBorders>
            <w:shd w:val="clear" w:color="auto" w:fill="auto"/>
            <w:noWrap/>
            <w:vAlign w:val="center"/>
            <w:hideMark/>
          </w:tcPr>
          <w:p w14:paraId="13D5A555" w14:textId="77777777" w:rsidR="00580EDC" w:rsidRDefault="00580EDC">
            <w:pPr>
              <w:jc w:val="center"/>
              <w:rPr>
                <w:color w:val="000000"/>
              </w:rPr>
            </w:pPr>
            <w:r>
              <w:rPr>
                <w:color w:val="000000"/>
              </w:rPr>
              <w:t>0.017</w:t>
            </w:r>
          </w:p>
        </w:tc>
      </w:tr>
      <w:tr w:rsidR="00580EDC" w14:paraId="78DEDFD1" w14:textId="77777777" w:rsidTr="00580EDC">
        <w:trPr>
          <w:trHeight w:val="32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21B5DB2C" w14:textId="77777777" w:rsidR="00580EDC" w:rsidRDefault="00580EDC">
            <w:pPr>
              <w:jc w:val="center"/>
              <w:rPr>
                <w:color w:val="000000"/>
              </w:rPr>
            </w:pPr>
            <w:r>
              <w:rPr>
                <w:color w:val="000000"/>
              </w:rPr>
              <w:t>Qtz</w:t>
            </w:r>
          </w:p>
        </w:tc>
        <w:tc>
          <w:tcPr>
            <w:tcW w:w="1140" w:type="dxa"/>
            <w:tcBorders>
              <w:top w:val="nil"/>
              <w:left w:val="nil"/>
              <w:bottom w:val="single" w:sz="4" w:space="0" w:color="auto"/>
              <w:right w:val="single" w:sz="4" w:space="0" w:color="auto"/>
            </w:tcBorders>
            <w:shd w:val="clear" w:color="auto" w:fill="auto"/>
            <w:noWrap/>
            <w:vAlign w:val="center"/>
            <w:hideMark/>
          </w:tcPr>
          <w:p w14:paraId="58A5FA4E"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72805B93"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4145FD0E"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3509D63B"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556C6E99"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3BDBC344" w14:textId="77777777" w:rsidR="00580EDC" w:rsidRDefault="00580EDC">
            <w:pPr>
              <w:jc w:val="center"/>
              <w:rPr>
                <w:color w:val="000000"/>
              </w:rPr>
            </w:pPr>
            <w:r>
              <w:rPr>
                <w:color w:val="000000"/>
              </w:rPr>
              <w:t>0.000</w:t>
            </w:r>
          </w:p>
        </w:tc>
      </w:tr>
      <w:tr w:rsidR="00580EDC" w14:paraId="0CDF4FEE" w14:textId="77777777" w:rsidTr="00580EDC">
        <w:trPr>
          <w:trHeight w:val="32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193D4625" w14:textId="77777777" w:rsidR="00580EDC" w:rsidRDefault="00580EDC">
            <w:pPr>
              <w:jc w:val="center"/>
              <w:rPr>
                <w:color w:val="000000"/>
              </w:rPr>
            </w:pPr>
            <w:r>
              <w:rPr>
                <w:color w:val="000000"/>
              </w:rPr>
              <w:t>Ilm</w:t>
            </w:r>
          </w:p>
        </w:tc>
        <w:tc>
          <w:tcPr>
            <w:tcW w:w="1140" w:type="dxa"/>
            <w:tcBorders>
              <w:top w:val="nil"/>
              <w:left w:val="nil"/>
              <w:bottom w:val="single" w:sz="4" w:space="0" w:color="auto"/>
              <w:right w:val="single" w:sz="4" w:space="0" w:color="auto"/>
            </w:tcBorders>
            <w:shd w:val="clear" w:color="auto" w:fill="auto"/>
            <w:noWrap/>
            <w:vAlign w:val="center"/>
            <w:hideMark/>
          </w:tcPr>
          <w:p w14:paraId="5EB8BE99"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7074E685"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4FBC6E95"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0AEB241F"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79D57281" w14:textId="77777777" w:rsidR="00580EDC" w:rsidRDefault="00580EDC">
            <w:pPr>
              <w:jc w:val="center"/>
              <w:rPr>
                <w:color w:val="000000"/>
              </w:rPr>
            </w:pPr>
            <w:r>
              <w:rPr>
                <w:color w:val="000000"/>
              </w:rPr>
              <w:t>0.000</w:t>
            </w:r>
          </w:p>
        </w:tc>
        <w:tc>
          <w:tcPr>
            <w:tcW w:w="1140" w:type="dxa"/>
            <w:tcBorders>
              <w:top w:val="nil"/>
              <w:left w:val="nil"/>
              <w:bottom w:val="single" w:sz="4" w:space="0" w:color="auto"/>
              <w:right w:val="single" w:sz="4" w:space="0" w:color="auto"/>
            </w:tcBorders>
            <w:shd w:val="clear" w:color="auto" w:fill="auto"/>
            <w:noWrap/>
            <w:vAlign w:val="center"/>
            <w:hideMark/>
          </w:tcPr>
          <w:p w14:paraId="0C96B661" w14:textId="77777777" w:rsidR="00580EDC" w:rsidRDefault="00580EDC">
            <w:pPr>
              <w:jc w:val="center"/>
              <w:rPr>
                <w:color w:val="000000"/>
              </w:rPr>
            </w:pPr>
            <w:r>
              <w:rPr>
                <w:color w:val="000000"/>
              </w:rPr>
              <w:t>0.243</w:t>
            </w:r>
          </w:p>
        </w:tc>
      </w:tr>
      <w:tr w:rsidR="00580EDC" w14:paraId="41D13989" w14:textId="77777777" w:rsidTr="00580EDC">
        <w:trPr>
          <w:trHeight w:val="320"/>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6E0A02C6" w14:textId="77777777" w:rsidR="00580EDC" w:rsidRDefault="00580EDC">
            <w:pPr>
              <w:jc w:val="center"/>
              <w:rPr>
                <w:color w:val="000000"/>
              </w:rPr>
            </w:pPr>
            <w:r>
              <w:rPr>
                <w:color w:val="000000"/>
              </w:rPr>
              <w:t>Melt</w:t>
            </w:r>
          </w:p>
        </w:tc>
        <w:tc>
          <w:tcPr>
            <w:tcW w:w="1140" w:type="dxa"/>
            <w:tcBorders>
              <w:top w:val="nil"/>
              <w:left w:val="nil"/>
              <w:bottom w:val="single" w:sz="4" w:space="0" w:color="auto"/>
              <w:right w:val="single" w:sz="4" w:space="0" w:color="auto"/>
            </w:tcBorders>
            <w:shd w:val="clear" w:color="auto" w:fill="auto"/>
            <w:noWrap/>
            <w:vAlign w:val="center"/>
            <w:hideMark/>
          </w:tcPr>
          <w:p w14:paraId="1119514E" w14:textId="77777777" w:rsidR="00580EDC" w:rsidRDefault="00580EDC">
            <w:pPr>
              <w:jc w:val="center"/>
              <w:rPr>
                <w:color w:val="000000"/>
              </w:rPr>
            </w:pPr>
            <w:r>
              <w:rPr>
                <w:color w:val="000000"/>
              </w:rPr>
              <w:t>0.010</w:t>
            </w:r>
          </w:p>
        </w:tc>
        <w:tc>
          <w:tcPr>
            <w:tcW w:w="1140" w:type="dxa"/>
            <w:tcBorders>
              <w:top w:val="nil"/>
              <w:left w:val="nil"/>
              <w:bottom w:val="single" w:sz="4" w:space="0" w:color="auto"/>
              <w:right w:val="single" w:sz="4" w:space="0" w:color="auto"/>
            </w:tcBorders>
            <w:shd w:val="clear" w:color="auto" w:fill="auto"/>
            <w:noWrap/>
            <w:vAlign w:val="center"/>
            <w:hideMark/>
          </w:tcPr>
          <w:p w14:paraId="1350DC0E" w14:textId="77777777" w:rsidR="00580EDC" w:rsidRDefault="00580EDC">
            <w:pPr>
              <w:jc w:val="center"/>
              <w:rPr>
                <w:color w:val="000000"/>
              </w:rPr>
            </w:pPr>
            <w:r>
              <w:rPr>
                <w:color w:val="000000"/>
              </w:rPr>
              <w:t>0.010</w:t>
            </w:r>
          </w:p>
        </w:tc>
        <w:tc>
          <w:tcPr>
            <w:tcW w:w="1140" w:type="dxa"/>
            <w:tcBorders>
              <w:top w:val="nil"/>
              <w:left w:val="nil"/>
              <w:bottom w:val="single" w:sz="4" w:space="0" w:color="auto"/>
              <w:right w:val="single" w:sz="4" w:space="0" w:color="auto"/>
            </w:tcBorders>
            <w:shd w:val="clear" w:color="auto" w:fill="auto"/>
            <w:noWrap/>
            <w:vAlign w:val="center"/>
            <w:hideMark/>
          </w:tcPr>
          <w:p w14:paraId="2016B9D6" w14:textId="77777777" w:rsidR="00580EDC" w:rsidRDefault="00580EDC">
            <w:pPr>
              <w:jc w:val="center"/>
              <w:rPr>
                <w:color w:val="000000"/>
              </w:rPr>
            </w:pPr>
            <w:r>
              <w:rPr>
                <w:color w:val="000000"/>
              </w:rPr>
              <w:t>0.010</w:t>
            </w:r>
          </w:p>
        </w:tc>
        <w:tc>
          <w:tcPr>
            <w:tcW w:w="1140" w:type="dxa"/>
            <w:tcBorders>
              <w:top w:val="nil"/>
              <w:left w:val="nil"/>
              <w:bottom w:val="single" w:sz="4" w:space="0" w:color="auto"/>
              <w:right w:val="single" w:sz="4" w:space="0" w:color="auto"/>
            </w:tcBorders>
            <w:shd w:val="clear" w:color="auto" w:fill="auto"/>
            <w:noWrap/>
            <w:vAlign w:val="center"/>
            <w:hideMark/>
          </w:tcPr>
          <w:p w14:paraId="22E41BCA" w14:textId="77777777" w:rsidR="00580EDC" w:rsidRDefault="00580EDC">
            <w:pPr>
              <w:jc w:val="center"/>
              <w:rPr>
                <w:color w:val="000000"/>
              </w:rPr>
            </w:pPr>
            <w:r>
              <w:rPr>
                <w:color w:val="000000"/>
              </w:rPr>
              <w:t>0.010</w:t>
            </w:r>
          </w:p>
        </w:tc>
        <w:tc>
          <w:tcPr>
            <w:tcW w:w="1140" w:type="dxa"/>
            <w:tcBorders>
              <w:top w:val="nil"/>
              <w:left w:val="nil"/>
              <w:bottom w:val="single" w:sz="4" w:space="0" w:color="auto"/>
              <w:right w:val="single" w:sz="4" w:space="0" w:color="auto"/>
            </w:tcBorders>
            <w:shd w:val="clear" w:color="auto" w:fill="auto"/>
            <w:noWrap/>
            <w:vAlign w:val="center"/>
            <w:hideMark/>
          </w:tcPr>
          <w:p w14:paraId="240ACE14" w14:textId="77777777" w:rsidR="00580EDC" w:rsidRDefault="00580EDC">
            <w:pPr>
              <w:jc w:val="center"/>
              <w:rPr>
                <w:color w:val="000000"/>
              </w:rPr>
            </w:pPr>
            <w:r>
              <w:rPr>
                <w:color w:val="000000"/>
              </w:rPr>
              <w:t>0.010</w:t>
            </w:r>
          </w:p>
        </w:tc>
        <w:tc>
          <w:tcPr>
            <w:tcW w:w="1140" w:type="dxa"/>
            <w:tcBorders>
              <w:top w:val="nil"/>
              <w:left w:val="nil"/>
              <w:bottom w:val="single" w:sz="4" w:space="0" w:color="auto"/>
              <w:right w:val="single" w:sz="4" w:space="0" w:color="auto"/>
            </w:tcBorders>
            <w:shd w:val="clear" w:color="auto" w:fill="auto"/>
            <w:noWrap/>
            <w:vAlign w:val="center"/>
            <w:hideMark/>
          </w:tcPr>
          <w:p w14:paraId="4D90A9DC" w14:textId="77777777" w:rsidR="00580EDC" w:rsidRDefault="00580EDC">
            <w:pPr>
              <w:jc w:val="center"/>
              <w:rPr>
                <w:color w:val="000000"/>
              </w:rPr>
            </w:pPr>
            <w:r>
              <w:rPr>
                <w:color w:val="000000"/>
              </w:rPr>
              <w:t>0.010</w:t>
            </w:r>
          </w:p>
        </w:tc>
      </w:tr>
    </w:tbl>
    <w:p w14:paraId="04C91BB6" w14:textId="64A683E0" w:rsidR="00CA03C7" w:rsidRDefault="00CA03C7" w:rsidP="00CA03C7">
      <w:pPr>
        <w:rPr>
          <w:color w:val="000000"/>
        </w:rPr>
      </w:pPr>
      <w:r>
        <w:rPr>
          <w:color w:val="000000"/>
        </w:rPr>
        <w:t>*Stage 1: F= 1-0.49, Stage 2: F= 0.49-0.22, Stage 3: F= 0.22-0.19, Stage 4: F= 0.19-0.05, Stage 5: F= 0.05-0.02, Stage 6: F= 0.02-0</w:t>
      </w:r>
    </w:p>
    <w:p w14:paraId="3238CF6A" w14:textId="4F179394" w:rsidR="00924FDA" w:rsidRDefault="00CA03C7" w:rsidP="00CA03C7">
      <w:pPr>
        <w:rPr>
          <w:color w:val="000000"/>
        </w:rPr>
      </w:pPr>
      <w:r>
        <w:rPr>
          <w:color w:val="000000"/>
        </w:rPr>
        <w:t>Olivine (Ol), Orthopyroxene (Opx), Clinopyroxene (Cpx), Pigeonite (Pig), Plagioclase (Plag), Ilmenite (Ilm), Quartz (Qtz)</w:t>
      </w:r>
    </w:p>
    <w:p w14:paraId="56856ADB" w14:textId="77777777" w:rsidR="00924FDA" w:rsidRDefault="00924FDA">
      <w:pPr>
        <w:rPr>
          <w:color w:val="000000"/>
        </w:rPr>
      </w:pPr>
      <w:r>
        <w:rPr>
          <w:color w:val="000000"/>
        </w:rPr>
        <w:br w:type="page"/>
      </w:r>
    </w:p>
    <w:p w14:paraId="2FF0EB01" w14:textId="5BB19DD7" w:rsidR="00924FDA" w:rsidRDefault="00924FDA" w:rsidP="00924FDA">
      <w:pPr>
        <w:rPr>
          <w:color w:val="000000"/>
        </w:rPr>
      </w:pPr>
      <w:r w:rsidRPr="00BB2390">
        <w:rPr>
          <w:b/>
          <w:bCs/>
          <w:color w:val="000000"/>
        </w:rPr>
        <w:lastRenderedPageBreak/>
        <w:t>Table B4.</w:t>
      </w:r>
      <w:r w:rsidRPr="00BB2390">
        <w:rPr>
          <w:color w:val="000000"/>
        </w:rPr>
        <w:t xml:space="preserve"> </w:t>
      </w:r>
      <w:r w:rsidR="004945D9" w:rsidRPr="00966892">
        <w:rPr>
          <w:color w:val="000000" w:themeColor="text1"/>
        </w:rPr>
        <w:t>Estimated major element compositions of hybridized mantle sources assuming mechanical mixing of unmelted IBC and EMOC components.</w:t>
      </w:r>
    </w:p>
    <w:tbl>
      <w:tblPr>
        <w:tblW w:w="7920" w:type="dxa"/>
        <w:tblLook w:val="04A0" w:firstRow="1" w:lastRow="0" w:firstColumn="1" w:lastColumn="0" w:noHBand="0" w:noVBand="1"/>
      </w:tblPr>
      <w:tblGrid>
        <w:gridCol w:w="1320"/>
        <w:gridCol w:w="1100"/>
        <w:gridCol w:w="1100"/>
        <w:gridCol w:w="1100"/>
        <w:gridCol w:w="1100"/>
        <w:gridCol w:w="1100"/>
        <w:gridCol w:w="1100"/>
      </w:tblGrid>
      <w:tr w:rsidR="00BD7222" w14:paraId="052EDE94" w14:textId="77777777" w:rsidTr="00BD7222">
        <w:trPr>
          <w:trHeight w:val="320"/>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5CBAC4" w14:textId="77777777" w:rsidR="00BD7222" w:rsidRDefault="00BD7222">
            <w:pPr>
              <w:jc w:val="center"/>
              <w:rPr>
                <w:color w:val="000000"/>
              </w:rPr>
            </w:pPr>
            <w:r>
              <w:rPr>
                <w:color w:val="000000"/>
              </w:rPr>
              <w:t> </w:t>
            </w:r>
          </w:p>
        </w:tc>
        <w:tc>
          <w:tcPr>
            <w:tcW w:w="3300" w:type="dxa"/>
            <w:gridSpan w:val="3"/>
            <w:tcBorders>
              <w:top w:val="single" w:sz="4" w:space="0" w:color="auto"/>
              <w:left w:val="nil"/>
              <w:bottom w:val="single" w:sz="4" w:space="0" w:color="auto"/>
              <w:right w:val="single" w:sz="4" w:space="0" w:color="auto"/>
            </w:tcBorders>
            <w:shd w:val="clear" w:color="auto" w:fill="auto"/>
            <w:vAlign w:val="center"/>
            <w:hideMark/>
          </w:tcPr>
          <w:p w14:paraId="3775B1A4" w14:textId="77777777" w:rsidR="00BD7222" w:rsidRDefault="00BD7222">
            <w:pPr>
              <w:jc w:val="center"/>
              <w:rPr>
                <w:color w:val="000000"/>
              </w:rPr>
            </w:pPr>
            <w:r>
              <w:rPr>
                <w:color w:val="000000"/>
              </w:rPr>
              <w:t>Hybridized Mantle Source #1</w:t>
            </w:r>
          </w:p>
        </w:tc>
        <w:tc>
          <w:tcPr>
            <w:tcW w:w="3300" w:type="dxa"/>
            <w:gridSpan w:val="3"/>
            <w:tcBorders>
              <w:top w:val="single" w:sz="4" w:space="0" w:color="auto"/>
              <w:left w:val="nil"/>
              <w:bottom w:val="single" w:sz="4" w:space="0" w:color="auto"/>
              <w:right w:val="single" w:sz="4" w:space="0" w:color="auto"/>
            </w:tcBorders>
            <w:shd w:val="clear" w:color="auto" w:fill="auto"/>
            <w:vAlign w:val="center"/>
            <w:hideMark/>
          </w:tcPr>
          <w:p w14:paraId="392CC283" w14:textId="77777777" w:rsidR="00BD7222" w:rsidRDefault="00BD7222">
            <w:pPr>
              <w:jc w:val="center"/>
              <w:rPr>
                <w:color w:val="000000"/>
              </w:rPr>
            </w:pPr>
            <w:r>
              <w:rPr>
                <w:color w:val="000000"/>
              </w:rPr>
              <w:t>Hybridized Mantle Source #2</w:t>
            </w:r>
          </w:p>
        </w:tc>
      </w:tr>
      <w:tr w:rsidR="00BD7222" w14:paraId="74D8FDA2" w14:textId="77777777" w:rsidTr="00BD7222">
        <w:trPr>
          <w:trHeight w:val="680"/>
        </w:trPr>
        <w:tc>
          <w:tcPr>
            <w:tcW w:w="1320" w:type="dxa"/>
            <w:tcBorders>
              <w:top w:val="nil"/>
              <w:left w:val="single" w:sz="4" w:space="0" w:color="auto"/>
              <w:bottom w:val="single" w:sz="4" w:space="0" w:color="auto"/>
              <w:right w:val="single" w:sz="4" w:space="0" w:color="auto"/>
            </w:tcBorders>
            <w:shd w:val="clear" w:color="auto" w:fill="auto"/>
            <w:vAlign w:val="center"/>
            <w:hideMark/>
          </w:tcPr>
          <w:p w14:paraId="721D9613" w14:textId="77777777" w:rsidR="00BD7222" w:rsidRDefault="00BD7222">
            <w:pPr>
              <w:jc w:val="center"/>
              <w:rPr>
                <w:color w:val="000000"/>
              </w:rPr>
            </w:pPr>
            <w:r>
              <w:rPr>
                <w:color w:val="000000"/>
              </w:rPr>
              <w:t>Floatation Efficiency</w:t>
            </w:r>
          </w:p>
        </w:tc>
        <w:tc>
          <w:tcPr>
            <w:tcW w:w="1100" w:type="dxa"/>
            <w:tcBorders>
              <w:top w:val="nil"/>
              <w:left w:val="nil"/>
              <w:bottom w:val="single" w:sz="4" w:space="0" w:color="auto"/>
              <w:right w:val="single" w:sz="4" w:space="0" w:color="auto"/>
            </w:tcBorders>
            <w:shd w:val="clear" w:color="auto" w:fill="auto"/>
            <w:vAlign w:val="center"/>
            <w:hideMark/>
          </w:tcPr>
          <w:p w14:paraId="74134D96" w14:textId="77777777" w:rsidR="00BD7222" w:rsidRDefault="00BD7222">
            <w:pPr>
              <w:jc w:val="center"/>
              <w:rPr>
                <w:color w:val="000000"/>
              </w:rPr>
            </w:pPr>
            <w:r>
              <w:rPr>
                <w:color w:val="000000"/>
              </w:rPr>
              <w:t>80%</w:t>
            </w:r>
          </w:p>
        </w:tc>
        <w:tc>
          <w:tcPr>
            <w:tcW w:w="1100" w:type="dxa"/>
            <w:tcBorders>
              <w:top w:val="nil"/>
              <w:left w:val="nil"/>
              <w:bottom w:val="single" w:sz="4" w:space="0" w:color="auto"/>
              <w:right w:val="single" w:sz="4" w:space="0" w:color="auto"/>
            </w:tcBorders>
            <w:shd w:val="clear" w:color="auto" w:fill="auto"/>
            <w:vAlign w:val="center"/>
            <w:hideMark/>
          </w:tcPr>
          <w:p w14:paraId="239468E8" w14:textId="77777777" w:rsidR="00BD7222" w:rsidRDefault="00BD7222">
            <w:pPr>
              <w:jc w:val="center"/>
              <w:rPr>
                <w:color w:val="000000"/>
              </w:rPr>
            </w:pPr>
            <w:r>
              <w:rPr>
                <w:color w:val="000000"/>
              </w:rPr>
              <w:t>90%</w:t>
            </w:r>
          </w:p>
        </w:tc>
        <w:tc>
          <w:tcPr>
            <w:tcW w:w="1100" w:type="dxa"/>
            <w:tcBorders>
              <w:top w:val="nil"/>
              <w:left w:val="nil"/>
              <w:bottom w:val="single" w:sz="4" w:space="0" w:color="auto"/>
              <w:right w:val="single" w:sz="4" w:space="0" w:color="auto"/>
            </w:tcBorders>
            <w:shd w:val="clear" w:color="auto" w:fill="auto"/>
            <w:vAlign w:val="center"/>
            <w:hideMark/>
          </w:tcPr>
          <w:p w14:paraId="0F895809" w14:textId="77777777" w:rsidR="00BD7222" w:rsidRDefault="00BD7222">
            <w:pPr>
              <w:jc w:val="center"/>
              <w:rPr>
                <w:color w:val="000000"/>
              </w:rPr>
            </w:pPr>
            <w:r>
              <w:rPr>
                <w:color w:val="000000"/>
              </w:rPr>
              <w:t>98%</w:t>
            </w:r>
          </w:p>
        </w:tc>
        <w:tc>
          <w:tcPr>
            <w:tcW w:w="1100" w:type="dxa"/>
            <w:tcBorders>
              <w:top w:val="nil"/>
              <w:left w:val="nil"/>
              <w:bottom w:val="single" w:sz="4" w:space="0" w:color="auto"/>
              <w:right w:val="single" w:sz="4" w:space="0" w:color="auto"/>
            </w:tcBorders>
            <w:shd w:val="clear" w:color="auto" w:fill="auto"/>
            <w:vAlign w:val="center"/>
            <w:hideMark/>
          </w:tcPr>
          <w:p w14:paraId="23031D40" w14:textId="77777777" w:rsidR="00BD7222" w:rsidRDefault="00BD7222">
            <w:pPr>
              <w:jc w:val="center"/>
              <w:rPr>
                <w:color w:val="000000"/>
              </w:rPr>
            </w:pPr>
            <w:r>
              <w:rPr>
                <w:color w:val="000000"/>
              </w:rPr>
              <w:t>80%</w:t>
            </w:r>
          </w:p>
        </w:tc>
        <w:tc>
          <w:tcPr>
            <w:tcW w:w="1100" w:type="dxa"/>
            <w:tcBorders>
              <w:top w:val="nil"/>
              <w:left w:val="nil"/>
              <w:bottom w:val="single" w:sz="4" w:space="0" w:color="auto"/>
              <w:right w:val="single" w:sz="4" w:space="0" w:color="auto"/>
            </w:tcBorders>
            <w:shd w:val="clear" w:color="auto" w:fill="auto"/>
            <w:vAlign w:val="center"/>
            <w:hideMark/>
          </w:tcPr>
          <w:p w14:paraId="4985DAC5" w14:textId="77777777" w:rsidR="00BD7222" w:rsidRDefault="00BD7222">
            <w:pPr>
              <w:jc w:val="center"/>
              <w:rPr>
                <w:color w:val="000000"/>
              </w:rPr>
            </w:pPr>
            <w:r>
              <w:rPr>
                <w:color w:val="000000"/>
              </w:rPr>
              <w:t>90%</w:t>
            </w:r>
          </w:p>
        </w:tc>
        <w:tc>
          <w:tcPr>
            <w:tcW w:w="1100" w:type="dxa"/>
            <w:tcBorders>
              <w:top w:val="nil"/>
              <w:left w:val="nil"/>
              <w:bottom w:val="single" w:sz="4" w:space="0" w:color="auto"/>
              <w:right w:val="single" w:sz="4" w:space="0" w:color="auto"/>
            </w:tcBorders>
            <w:shd w:val="clear" w:color="auto" w:fill="auto"/>
            <w:vAlign w:val="center"/>
            <w:hideMark/>
          </w:tcPr>
          <w:p w14:paraId="2F268C16" w14:textId="77777777" w:rsidR="00BD7222" w:rsidRDefault="00BD7222">
            <w:pPr>
              <w:jc w:val="center"/>
              <w:rPr>
                <w:color w:val="000000"/>
              </w:rPr>
            </w:pPr>
            <w:r>
              <w:rPr>
                <w:color w:val="000000"/>
              </w:rPr>
              <w:t>98%</w:t>
            </w:r>
          </w:p>
        </w:tc>
      </w:tr>
      <w:tr w:rsidR="00BD7222" w14:paraId="17412F38" w14:textId="77777777" w:rsidTr="00BD72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4387214B" w14:textId="77777777" w:rsidR="00BD7222" w:rsidRDefault="00BD7222">
            <w:pPr>
              <w:jc w:val="center"/>
              <w:rPr>
                <w:color w:val="000000"/>
              </w:rPr>
            </w:pPr>
            <w:r>
              <w:rPr>
                <w:color w:val="000000"/>
              </w:rPr>
              <w:t>(wt%)</w:t>
            </w:r>
          </w:p>
        </w:tc>
        <w:tc>
          <w:tcPr>
            <w:tcW w:w="1100" w:type="dxa"/>
            <w:tcBorders>
              <w:top w:val="nil"/>
              <w:left w:val="nil"/>
              <w:bottom w:val="single" w:sz="4" w:space="0" w:color="auto"/>
              <w:right w:val="single" w:sz="4" w:space="0" w:color="auto"/>
            </w:tcBorders>
            <w:shd w:val="clear" w:color="auto" w:fill="auto"/>
            <w:noWrap/>
            <w:vAlign w:val="center"/>
            <w:hideMark/>
          </w:tcPr>
          <w:p w14:paraId="32151463" w14:textId="77777777" w:rsidR="00BD7222" w:rsidRDefault="00BD7222">
            <w:pPr>
              <w:jc w:val="center"/>
              <w:rPr>
                <w:color w:val="000000"/>
              </w:rPr>
            </w:pPr>
            <w:r>
              <w:rPr>
                <w:color w:val="000000"/>
              </w:rPr>
              <w:t> </w:t>
            </w:r>
          </w:p>
        </w:tc>
        <w:tc>
          <w:tcPr>
            <w:tcW w:w="1100" w:type="dxa"/>
            <w:tcBorders>
              <w:top w:val="nil"/>
              <w:left w:val="nil"/>
              <w:bottom w:val="single" w:sz="4" w:space="0" w:color="auto"/>
              <w:right w:val="single" w:sz="4" w:space="0" w:color="auto"/>
            </w:tcBorders>
            <w:shd w:val="clear" w:color="auto" w:fill="auto"/>
            <w:noWrap/>
            <w:vAlign w:val="center"/>
            <w:hideMark/>
          </w:tcPr>
          <w:p w14:paraId="6DBBE125" w14:textId="77777777" w:rsidR="00BD7222" w:rsidRDefault="00BD7222">
            <w:pPr>
              <w:jc w:val="center"/>
              <w:rPr>
                <w:color w:val="000000"/>
              </w:rPr>
            </w:pPr>
            <w:r>
              <w:rPr>
                <w:color w:val="000000"/>
              </w:rPr>
              <w:t> </w:t>
            </w:r>
          </w:p>
        </w:tc>
        <w:tc>
          <w:tcPr>
            <w:tcW w:w="1100" w:type="dxa"/>
            <w:tcBorders>
              <w:top w:val="nil"/>
              <w:left w:val="nil"/>
              <w:bottom w:val="single" w:sz="4" w:space="0" w:color="auto"/>
              <w:right w:val="single" w:sz="4" w:space="0" w:color="auto"/>
            </w:tcBorders>
            <w:shd w:val="clear" w:color="auto" w:fill="auto"/>
            <w:noWrap/>
            <w:vAlign w:val="center"/>
            <w:hideMark/>
          </w:tcPr>
          <w:p w14:paraId="5BB937B5" w14:textId="77777777" w:rsidR="00BD7222" w:rsidRDefault="00BD7222">
            <w:pPr>
              <w:jc w:val="center"/>
              <w:rPr>
                <w:color w:val="000000"/>
              </w:rPr>
            </w:pPr>
            <w:r>
              <w:rPr>
                <w:color w:val="000000"/>
              </w:rPr>
              <w:t> </w:t>
            </w:r>
          </w:p>
        </w:tc>
        <w:tc>
          <w:tcPr>
            <w:tcW w:w="1100" w:type="dxa"/>
            <w:tcBorders>
              <w:top w:val="nil"/>
              <w:left w:val="nil"/>
              <w:bottom w:val="single" w:sz="4" w:space="0" w:color="auto"/>
              <w:right w:val="single" w:sz="4" w:space="0" w:color="auto"/>
            </w:tcBorders>
            <w:shd w:val="clear" w:color="auto" w:fill="auto"/>
            <w:noWrap/>
            <w:vAlign w:val="center"/>
            <w:hideMark/>
          </w:tcPr>
          <w:p w14:paraId="6B9B10EA" w14:textId="77777777" w:rsidR="00BD7222" w:rsidRDefault="00BD7222">
            <w:pPr>
              <w:jc w:val="center"/>
              <w:rPr>
                <w:color w:val="000000"/>
              </w:rPr>
            </w:pPr>
            <w:r>
              <w:rPr>
                <w:color w:val="000000"/>
              </w:rPr>
              <w:t> </w:t>
            </w:r>
          </w:p>
        </w:tc>
        <w:tc>
          <w:tcPr>
            <w:tcW w:w="1100" w:type="dxa"/>
            <w:tcBorders>
              <w:top w:val="nil"/>
              <w:left w:val="nil"/>
              <w:bottom w:val="single" w:sz="4" w:space="0" w:color="auto"/>
              <w:right w:val="single" w:sz="4" w:space="0" w:color="auto"/>
            </w:tcBorders>
            <w:shd w:val="clear" w:color="auto" w:fill="auto"/>
            <w:noWrap/>
            <w:vAlign w:val="center"/>
            <w:hideMark/>
          </w:tcPr>
          <w:p w14:paraId="36E4CC02" w14:textId="77777777" w:rsidR="00BD7222" w:rsidRDefault="00BD7222">
            <w:pPr>
              <w:jc w:val="center"/>
              <w:rPr>
                <w:color w:val="000000"/>
              </w:rPr>
            </w:pPr>
            <w:r>
              <w:rPr>
                <w:color w:val="000000"/>
              </w:rPr>
              <w:t> </w:t>
            </w:r>
          </w:p>
        </w:tc>
        <w:tc>
          <w:tcPr>
            <w:tcW w:w="1100" w:type="dxa"/>
            <w:tcBorders>
              <w:top w:val="nil"/>
              <w:left w:val="nil"/>
              <w:bottom w:val="single" w:sz="4" w:space="0" w:color="auto"/>
              <w:right w:val="single" w:sz="4" w:space="0" w:color="auto"/>
            </w:tcBorders>
            <w:shd w:val="clear" w:color="auto" w:fill="auto"/>
            <w:noWrap/>
            <w:vAlign w:val="center"/>
            <w:hideMark/>
          </w:tcPr>
          <w:p w14:paraId="02732AE4" w14:textId="77777777" w:rsidR="00BD7222" w:rsidRDefault="00BD7222">
            <w:pPr>
              <w:jc w:val="center"/>
              <w:rPr>
                <w:color w:val="000000"/>
              </w:rPr>
            </w:pPr>
            <w:r>
              <w:rPr>
                <w:color w:val="000000"/>
              </w:rPr>
              <w:t> </w:t>
            </w:r>
          </w:p>
        </w:tc>
      </w:tr>
      <w:tr w:rsidR="00BD7222" w14:paraId="3878F6D1" w14:textId="77777777" w:rsidTr="00BD7222">
        <w:trPr>
          <w:trHeight w:val="36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3ABD2846" w14:textId="77777777" w:rsidR="00BD7222" w:rsidRDefault="00BD7222">
            <w:pPr>
              <w:jc w:val="center"/>
              <w:rPr>
                <w:color w:val="000000"/>
              </w:rPr>
            </w:pPr>
            <w:r>
              <w:rPr>
                <w:color w:val="000000"/>
              </w:rPr>
              <w:t>SiO</w:t>
            </w:r>
            <w:r>
              <w:rPr>
                <w:color w:val="000000"/>
                <w:vertAlign w:val="subscript"/>
              </w:rPr>
              <w:t>2</w:t>
            </w:r>
          </w:p>
        </w:tc>
        <w:tc>
          <w:tcPr>
            <w:tcW w:w="1100" w:type="dxa"/>
            <w:tcBorders>
              <w:top w:val="nil"/>
              <w:left w:val="nil"/>
              <w:bottom w:val="single" w:sz="4" w:space="0" w:color="auto"/>
              <w:right w:val="single" w:sz="4" w:space="0" w:color="auto"/>
            </w:tcBorders>
            <w:shd w:val="clear" w:color="auto" w:fill="auto"/>
            <w:noWrap/>
            <w:vAlign w:val="center"/>
            <w:hideMark/>
          </w:tcPr>
          <w:p w14:paraId="05BEE75D" w14:textId="77777777" w:rsidR="00BD7222" w:rsidRDefault="00BD7222">
            <w:pPr>
              <w:jc w:val="center"/>
              <w:rPr>
                <w:color w:val="000000"/>
              </w:rPr>
            </w:pPr>
            <w:r>
              <w:rPr>
                <w:color w:val="000000"/>
              </w:rPr>
              <w:t>38.47</w:t>
            </w:r>
          </w:p>
        </w:tc>
        <w:tc>
          <w:tcPr>
            <w:tcW w:w="1100" w:type="dxa"/>
            <w:tcBorders>
              <w:top w:val="nil"/>
              <w:left w:val="nil"/>
              <w:bottom w:val="single" w:sz="4" w:space="0" w:color="auto"/>
              <w:right w:val="single" w:sz="4" w:space="0" w:color="auto"/>
            </w:tcBorders>
            <w:shd w:val="clear" w:color="auto" w:fill="auto"/>
            <w:noWrap/>
            <w:vAlign w:val="center"/>
            <w:hideMark/>
          </w:tcPr>
          <w:p w14:paraId="07BE9DC6" w14:textId="77777777" w:rsidR="00BD7222" w:rsidRDefault="00BD7222">
            <w:pPr>
              <w:jc w:val="center"/>
              <w:rPr>
                <w:color w:val="000000"/>
              </w:rPr>
            </w:pPr>
            <w:r>
              <w:rPr>
                <w:color w:val="000000"/>
              </w:rPr>
              <w:t>38.04</w:t>
            </w:r>
          </w:p>
        </w:tc>
        <w:tc>
          <w:tcPr>
            <w:tcW w:w="1100" w:type="dxa"/>
            <w:tcBorders>
              <w:top w:val="nil"/>
              <w:left w:val="nil"/>
              <w:bottom w:val="single" w:sz="4" w:space="0" w:color="auto"/>
              <w:right w:val="single" w:sz="4" w:space="0" w:color="auto"/>
            </w:tcBorders>
            <w:shd w:val="clear" w:color="auto" w:fill="auto"/>
            <w:noWrap/>
            <w:vAlign w:val="center"/>
            <w:hideMark/>
          </w:tcPr>
          <w:p w14:paraId="36B7773E" w14:textId="77777777" w:rsidR="00BD7222" w:rsidRDefault="00BD7222">
            <w:pPr>
              <w:jc w:val="center"/>
              <w:rPr>
                <w:color w:val="000000"/>
              </w:rPr>
            </w:pPr>
            <w:r>
              <w:rPr>
                <w:color w:val="000000"/>
              </w:rPr>
              <w:t>37.65</w:t>
            </w:r>
          </w:p>
        </w:tc>
        <w:tc>
          <w:tcPr>
            <w:tcW w:w="1100" w:type="dxa"/>
            <w:tcBorders>
              <w:top w:val="nil"/>
              <w:left w:val="nil"/>
              <w:bottom w:val="single" w:sz="4" w:space="0" w:color="auto"/>
              <w:right w:val="single" w:sz="4" w:space="0" w:color="auto"/>
            </w:tcBorders>
            <w:shd w:val="clear" w:color="auto" w:fill="auto"/>
            <w:noWrap/>
            <w:vAlign w:val="center"/>
            <w:hideMark/>
          </w:tcPr>
          <w:p w14:paraId="376655D9" w14:textId="77777777" w:rsidR="00BD7222" w:rsidRDefault="00BD7222">
            <w:pPr>
              <w:jc w:val="center"/>
              <w:rPr>
                <w:color w:val="000000"/>
              </w:rPr>
            </w:pPr>
            <w:r>
              <w:rPr>
                <w:color w:val="000000"/>
              </w:rPr>
              <w:t>44.68</w:t>
            </w:r>
          </w:p>
        </w:tc>
        <w:tc>
          <w:tcPr>
            <w:tcW w:w="1100" w:type="dxa"/>
            <w:tcBorders>
              <w:top w:val="nil"/>
              <w:left w:val="nil"/>
              <w:bottom w:val="single" w:sz="4" w:space="0" w:color="auto"/>
              <w:right w:val="single" w:sz="4" w:space="0" w:color="auto"/>
            </w:tcBorders>
            <w:shd w:val="clear" w:color="auto" w:fill="auto"/>
            <w:noWrap/>
            <w:vAlign w:val="center"/>
            <w:hideMark/>
          </w:tcPr>
          <w:p w14:paraId="6BF834E1" w14:textId="77777777" w:rsidR="00BD7222" w:rsidRDefault="00BD7222">
            <w:pPr>
              <w:jc w:val="center"/>
              <w:rPr>
                <w:color w:val="000000"/>
              </w:rPr>
            </w:pPr>
            <w:r>
              <w:rPr>
                <w:color w:val="000000"/>
              </w:rPr>
              <w:t>44.70</w:t>
            </w:r>
          </w:p>
        </w:tc>
        <w:tc>
          <w:tcPr>
            <w:tcW w:w="1100" w:type="dxa"/>
            <w:tcBorders>
              <w:top w:val="nil"/>
              <w:left w:val="nil"/>
              <w:bottom w:val="single" w:sz="4" w:space="0" w:color="auto"/>
              <w:right w:val="single" w:sz="4" w:space="0" w:color="auto"/>
            </w:tcBorders>
            <w:shd w:val="clear" w:color="auto" w:fill="auto"/>
            <w:noWrap/>
            <w:vAlign w:val="center"/>
            <w:hideMark/>
          </w:tcPr>
          <w:p w14:paraId="2C118DC8" w14:textId="77777777" w:rsidR="00BD7222" w:rsidRDefault="00BD7222">
            <w:pPr>
              <w:jc w:val="center"/>
              <w:rPr>
                <w:color w:val="000000"/>
              </w:rPr>
            </w:pPr>
            <w:r>
              <w:rPr>
                <w:color w:val="000000"/>
              </w:rPr>
              <w:t>44.72</w:t>
            </w:r>
          </w:p>
        </w:tc>
      </w:tr>
      <w:tr w:rsidR="00BD7222" w14:paraId="2FDD6719" w14:textId="77777777" w:rsidTr="00BD7222">
        <w:trPr>
          <w:trHeight w:val="36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13A17C81" w14:textId="77777777" w:rsidR="00BD7222" w:rsidRDefault="00BD7222">
            <w:pPr>
              <w:jc w:val="center"/>
              <w:rPr>
                <w:color w:val="000000"/>
              </w:rPr>
            </w:pPr>
            <w:r>
              <w:rPr>
                <w:color w:val="000000"/>
              </w:rPr>
              <w:t>TiO</w:t>
            </w:r>
            <w:r>
              <w:rPr>
                <w:color w:val="000000"/>
                <w:vertAlign w:val="subscript"/>
              </w:rPr>
              <w:t>2</w:t>
            </w:r>
          </w:p>
        </w:tc>
        <w:tc>
          <w:tcPr>
            <w:tcW w:w="1100" w:type="dxa"/>
            <w:tcBorders>
              <w:top w:val="nil"/>
              <w:left w:val="nil"/>
              <w:bottom w:val="single" w:sz="4" w:space="0" w:color="auto"/>
              <w:right w:val="single" w:sz="4" w:space="0" w:color="auto"/>
            </w:tcBorders>
            <w:shd w:val="clear" w:color="auto" w:fill="auto"/>
            <w:noWrap/>
            <w:vAlign w:val="center"/>
            <w:hideMark/>
          </w:tcPr>
          <w:p w14:paraId="35322CC4" w14:textId="77777777" w:rsidR="00BD7222" w:rsidRDefault="00BD7222">
            <w:pPr>
              <w:jc w:val="center"/>
              <w:rPr>
                <w:color w:val="000000"/>
              </w:rPr>
            </w:pPr>
            <w:r>
              <w:rPr>
                <w:color w:val="000000"/>
              </w:rPr>
              <w:t>3.32</w:t>
            </w:r>
          </w:p>
        </w:tc>
        <w:tc>
          <w:tcPr>
            <w:tcW w:w="1100" w:type="dxa"/>
            <w:tcBorders>
              <w:top w:val="nil"/>
              <w:left w:val="nil"/>
              <w:bottom w:val="single" w:sz="4" w:space="0" w:color="auto"/>
              <w:right w:val="single" w:sz="4" w:space="0" w:color="auto"/>
            </w:tcBorders>
            <w:shd w:val="clear" w:color="auto" w:fill="auto"/>
            <w:noWrap/>
            <w:vAlign w:val="center"/>
            <w:hideMark/>
          </w:tcPr>
          <w:p w14:paraId="60EC351E" w14:textId="77777777" w:rsidR="00BD7222" w:rsidRDefault="00BD7222">
            <w:pPr>
              <w:jc w:val="center"/>
              <w:rPr>
                <w:color w:val="000000"/>
              </w:rPr>
            </w:pPr>
            <w:r>
              <w:rPr>
                <w:color w:val="000000"/>
              </w:rPr>
              <w:t>3.58</w:t>
            </w:r>
          </w:p>
        </w:tc>
        <w:tc>
          <w:tcPr>
            <w:tcW w:w="1100" w:type="dxa"/>
            <w:tcBorders>
              <w:top w:val="nil"/>
              <w:left w:val="nil"/>
              <w:bottom w:val="single" w:sz="4" w:space="0" w:color="auto"/>
              <w:right w:val="single" w:sz="4" w:space="0" w:color="auto"/>
            </w:tcBorders>
            <w:shd w:val="clear" w:color="auto" w:fill="auto"/>
            <w:noWrap/>
            <w:vAlign w:val="center"/>
            <w:hideMark/>
          </w:tcPr>
          <w:p w14:paraId="60BE9889" w14:textId="77777777" w:rsidR="00BD7222" w:rsidRDefault="00BD7222">
            <w:pPr>
              <w:jc w:val="center"/>
              <w:rPr>
                <w:color w:val="000000"/>
              </w:rPr>
            </w:pPr>
            <w:r>
              <w:rPr>
                <w:color w:val="000000"/>
              </w:rPr>
              <w:t>3.83</w:t>
            </w:r>
          </w:p>
        </w:tc>
        <w:tc>
          <w:tcPr>
            <w:tcW w:w="1100" w:type="dxa"/>
            <w:tcBorders>
              <w:top w:val="nil"/>
              <w:left w:val="nil"/>
              <w:bottom w:val="single" w:sz="4" w:space="0" w:color="auto"/>
              <w:right w:val="single" w:sz="4" w:space="0" w:color="auto"/>
            </w:tcBorders>
            <w:shd w:val="clear" w:color="auto" w:fill="auto"/>
            <w:noWrap/>
            <w:vAlign w:val="center"/>
            <w:hideMark/>
          </w:tcPr>
          <w:p w14:paraId="0AEEBB68" w14:textId="77777777" w:rsidR="00BD7222" w:rsidRDefault="00BD7222">
            <w:pPr>
              <w:jc w:val="center"/>
              <w:rPr>
                <w:color w:val="000000"/>
              </w:rPr>
            </w:pPr>
            <w:r>
              <w:rPr>
                <w:color w:val="000000"/>
              </w:rPr>
              <w:t>0.92</w:t>
            </w:r>
          </w:p>
        </w:tc>
        <w:tc>
          <w:tcPr>
            <w:tcW w:w="1100" w:type="dxa"/>
            <w:tcBorders>
              <w:top w:val="nil"/>
              <w:left w:val="nil"/>
              <w:bottom w:val="single" w:sz="4" w:space="0" w:color="auto"/>
              <w:right w:val="single" w:sz="4" w:space="0" w:color="auto"/>
            </w:tcBorders>
            <w:shd w:val="clear" w:color="auto" w:fill="auto"/>
            <w:noWrap/>
            <w:vAlign w:val="center"/>
            <w:hideMark/>
          </w:tcPr>
          <w:p w14:paraId="03982D06" w14:textId="77777777" w:rsidR="00BD7222" w:rsidRDefault="00BD7222">
            <w:pPr>
              <w:jc w:val="center"/>
              <w:rPr>
                <w:color w:val="000000"/>
              </w:rPr>
            </w:pPr>
            <w:r>
              <w:rPr>
                <w:color w:val="000000"/>
              </w:rPr>
              <w:t>0.99</w:t>
            </w:r>
          </w:p>
        </w:tc>
        <w:tc>
          <w:tcPr>
            <w:tcW w:w="1100" w:type="dxa"/>
            <w:tcBorders>
              <w:top w:val="nil"/>
              <w:left w:val="nil"/>
              <w:bottom w:val="single" w:sz="4" w:space="0" w:color="auto"/>
              <w:right w:val="single" w:sz="4" w:space="0" w:color="auto"/>
            </w:tcBorders>
            <w:shd w:val="clear" w:color="auto" w:fill="auto"/>
            <w:noWrap/>
            <w:vAlign w:val="center"/>
            <w:hideMark/>
          </w:tcPr>
          <w:p w14:paraId="0003E10D" w14:textId="77777777" w:rsidR="00BD7222" w:rsidRDefault="00BD7222">
            <w:pPr>
              <w:jc w:val="center"/>
              <w:rPr>
                <w:color w:val="000000"/>
              </w:rPr>
            </w:pPr>
            <w:r>
              <w:rPr>
                <w:color w:val="000000"/>
              </w:rPr>
              <w:t>1.06</w:t>
            </w:r>
          </w:p>
        </w:tc>
      </w:tr>
      <w:tr w:rsidR="00BD7222" w14:paraId="00D4382F" w14:textId="77777777" w:rsidTr="00BD7222">
        <w:trPr>
          <w:trHeight w:val="36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5BC8E679" w14:textId="77777777" w:rsidR="00BD7222" w:rsidRDefault="00BD7222">
            <w:pPr>
              <w:jc w:val="center"/>
              <w:rPr>
                <w:color w:val="000000"/>
              </w:rPr>
            </w:pPr>
            <w:r>
              <w:rPr>
                <w:color w:val="000000"/>
              </w:rPr>
              <w:t>Al</w:t>
            </w:r>
            <w:r>
              <w:rPr>
                <w:color w:val="000000"/>
                <w:vertAlign w:val="subscript"/>
              </w:rPr>
              <w:t>2</w:t>
            </w:r>
            <w:r>
              <w:rPr>
                <w:color w:val="000000"/>
              </w:rPr>
              <w:t>O</w:t>
            </w:r>
            <w:r>
              <w:rPr>
                <w:color w:val="000000"/>
                <w:vertAlign w:val="subscript"/>
              </w:rPr>
              <w:t>3</w:t>
            </w:r>
          </w:p>
        </w:tc>
        <w:tc>
          <w:tcPr>
            <w:tcW w:w="1100" w:type="dxa"/>
            <w:tcBorders>
              <w:top w:val="nil"/>
              <w:left w:val="nil"/>
              <w:bottom w:val="single" w:sz="4" w:space="0" w:color="auto"/>
              <w:right w:val="single" w:sz="4" w:space="0" w:color="auto"/>
            </w:tcBorders>
            <w:shd w:val="clear" w:color="auto" w:fill="auto"/>
            <w:noWrap/>
            <w:vAlign w:val="center"/>
            <w:hideMark/>
          </w:tcPr>
          <w:p w14:paraId="453EA70E" w14:textId="77777777" w:rsidR="00BD7222" w:rsidRDefault="00BD7222">
            <w:pPr>
              <w:jc w:val="center"/>
              <w:rPr>
                <w:color w:val="000000"/>
              </w:rPr>
            </w:pPr>
            <w:r>
              <w:rPr>
                <w:color w:val="000000"/>
              </w:rPr>
              <w:t>1.32</w:t>
            </w:r>
          </w:p>
        </w:tc>
        <w:tc>
          <w:tcPr>
            <w:tcW w:w="1100" w:type="dxa"/>
            <w:tcBorders>
              <w:top w:val="nil"/>
              <w:left w:val="nil"/>
              <w:bottom w:val="single" w:sz="4" w:space="0" w:color="auto"/>
              <w:right w:val="single" w:sz="4" w:space="0" w:color="auto"/>
            </w:tcBorders>
            <w:shd w:val="clear" w:color="auto" w:fill="auto"/>
            <w:noWrap/>
            <w:vAlign w:val="center"/>
            <w:hideMark/>
          </w:tcPr>
          <w:p w14:paraId="0F9BA63F" w14:textId="77777777" w:rsidR="00BD7222" w:rsidRDefault="00BD7222">
            <w:pPr>
              <w:jc w:val="center"/>
              <w:rPr>
                <w:color w:val="000000"/>
              </w:rPr>
            </w:pPr>
            <w:r>
              <w:rPr>
                <w:color w:val="000000"/>
              </w:rPr>
              <w:t>0.80</w:t>
            </w:r>
          </w:p>
        </w:tc>
        <w:tc>
          <w:tcPr>
            <w:tcW w:w="1100" w:type="dxa"/>
            <w:tcBorders>
              <w:top w:val="nil"/>
              <w:left w:val="nil"/>
              <w:bottom w:val="single" w:sz="4" w:space="0" w:color="auto"/>
              <w:right w:val="single" w:sz="4" w:space="0" w:color="auto"/>
            </w:tcBorders>
            <w:shd w:val="clear" w:color="auto" w:fill="auto"/>
            <w:noWrap/>
            <w:vAlign w:val="center"/>
            <w:hideMark/>
          </w:tcPr>
          <w:p w14:paraId="6145706A" w14:textId="77777777" w:rsidR="00BD7222" w:rsidRDefault="00BD7222">
            <w:pPr>
              <w:jc w:val="center"/>
              <w:rPr>
                <w:color w:val="000000"/>
              </w:rPr>
            </w:pPr>
            <w:r>
              <w:rPr>
                <w:color w:val="000000"/>
              </w:rPr>
              <w:t>0.33</w:t>
            </w:r>
          </w:p>
        </w:tc>
        <w:tc>
          <w:tcPr>
            <w:tcW w:w="1100" w:type="dxa"/>
            <w:tcBorders>
              <w:top w:val="nil"/>
              <w:left w:val="nil"/>
              <w:bottom w:val="single" w:sz="4" w:space="0" w:color="auto"/>
              <w:right w:val="single" w:sz="4" w:space="0" w:color="auto"/>
            </w:tcBorders>
            <w:shd w:val="clear" w:color="auto" w:fill="auto"/>
            <w:noWrap/>
            <w:vAlign w:val="center"/>
            <w:hideMark/>
          </w:tcPr>
          <w:p w14:paraId="3FF66ED2" w14:textId="77777777" w:rsidR="00BD7222" w:rsidRDefault="00BD7222">
            <w:pPr>
              <w:jc w:val="center"/>
              <w:rPr>
                <w:color w:val="000000"/>
              </w:rPr>
            </w:pPr>
            <w:r>
              <w:rPr>
                <w:color w:val="000000"/>
              </w:rPr>
              <w:t>3.67</w:t>
            </w:r>
          </w:p>
        </w:tc>
        <w:tc>
          <w:tcPr>
            <w:tcW w:w="1100" w:type="dxa"/>
            <w:tcBorders>
              <w:top w:val="nil"/>
              <w:left w:val="nil"/>
              <w:bottom w:val="single" w:sz="4" w:space="0" w:color="auto"/>
              <w:right w:val="single" w:sz="4" w:space="0" w:color="auto"/>
            </w:tcBorders>
            <w:shd w:val="clear" w:color="auto" w:fill="auto"/>
            <w:noWrap/>
            <w:vAlign w:val="center"/>
            <w:hideMark/>
          </w:tcPr>
          <w:p w14:paraId="6C063FBC" w14:textId="77777777" w:rsidR="00BD7222" w:rsidRDefault="00BD7222">
            <w:pPr>
              <w:jc w:val="center"/>
              <w:rPr>
                <w:color w:val="000000"/>
              </w:rPr>
            </w:pPr>
            <w:r>
              <w:rPr>
                <w:color w:val="000000"/>
              </w:rPr>
              <w:t>2.42</w:t>
            </w:r>
          </w:p>
        </w:tc>
        <w:tc>
          <w:tcPr>
            <w:tcW w:w="1100" w:type="dxa"/>
            <w:tcBorders>
              <w:top w:val="nil"/>
              <w:left w:val="nil"/>
              <w:bottom w:val="single" w:sz="4" w:space="0" w:color="auto"/>
              <w:right w:val="single" w:sz="4" w:space="0" w:color="auto"/>
            </w:tcBorders>
            <w:shd w:val="clear" w:color="auto" w:fill="auto"/>
            <w:noWrap/>
            <w:vAlign w:val="center"/>
            <w:hideMark/>
          </w:tcPr>
          <w:p w14:paraId="46C7FA25" w14:textId="77777777" w:rsidR="00BD7222" w:rsidRDefault="00BD7222">
            <w:pPr>
              <w:jc w:val="center"/>
              <w:rPr>
                <w:color w:val="000000"/>
              </w:rPr>
            </w:pPr>
            <w:r>
              <w:rPr>
                <w:color w:val="000000"/>
              </w:rPr>
              <w:t>1.24</w:t>
            </w:r>
          </w:p>
        </w:tc>
      </w:tr>
      <w:tr w:rsidR="00BD7222" w14:paraId="6247E27B" w14:textId="77777777" w:rsidTr="00BD7222">
        <w:trPr>
          <w:trHeight w:val="36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687C1546" w14:textId="77777777" w:rsidR="00BD7222" w:rsidRDefault="00BD7222">
            <w:pPr>
              <w:jc w:val="center"/>
              <w:rPr>
                <w:color w:val="000000"/>
              </w:rPr>
            </w:pPr>
            <w:r>
              <w:rPr>
                <w:color w:val="000000"/>
              </w:rPr>
              <w:t>Cr</w:t>
            </w:r>
            <w:r>
              <w:rPr>
                <w:color w:val="000000"/>
                <w:vertAlign w:val="subscript"/>
              </w:rPr>
              <w:t>2</w:t>
            </w:r>
            <w:r>
              <w:rPr>
                <w:color w:val="000000"/>
              </w:rPr>
              <w:t>O</w:t>
            </w:r>
            <w:r>
              <w:rPr>
                <w:color w:val="000000"/>
                <w:vertAlign w:val="subscript"/>
              </w:rPr>
              <w:t>3</w:t>
            </w:r>
          </w:p>
        </w:tc>
        <w:tc>
          <w:tcPr>
            <w:tcW w:w="1100" w:type="dxa"/>
            <w:tcBorders>
              <w:top w:val="nil"/>
              <w:left w:val="nil"/>
              <w:bottom w:val="single" w:sz="4" w:space="0" w:color="auto"/>
              <w:right w:val="single" w:sz="4" w:space="0" w:color="auto"/>
            </w:tcBorders>
            <w:shd w:val="clear" w:color="auto" w:fill="auto"/>
            <w:noWrap/>
            <w:vAlign w:val="center"/>
            <w:hideMark/>
          </w:tcPr>
          <w:p w14:paraId="7B491317" w14:textId="77777777" w:rsidR="00BD7222" w:rsidRDefault="00BD7222">
            <w:pPr>
              <w:jc w:val="center"/>
              <w:rPr>
                <w:color w:val="000000"/>
              </w:rPr>
            </w:pPr>
            <w:r>
              <w:rPr>
                <w:color w:val="000000"/>
              </w:rPr>
              <w:t>0.22</w:t>
            </w:r>
          </w:p>
        </w:tc>
        <w:tc>
          <w:tcPr>
            <w:tcW w:w="1100" w:type="dxa"/>
            <w:tcBorders>
              <w:top w:val="nil"/>
              <w:left w:val="nil"/>
              <w:bottom w:val="single" w:sz="4" w:space="0" w:color="auto"/>
              <w:right w:val="single" w:sz="4" w:space="0" w:color="auto"/>
            </w:tcBorders>
            <w:shd w:val="clear" w:color="auto" w:fill="auto"/>
            <w:noWrap/>
            <w:vAlign w:val="center"/>
            <w:hideMark/>
          </w:tcPr>
          <w:p w14:paraId="3D6E5DE7" w14:textId="77777777" w:rsidR="00BD7222" w:rsidRDefault="00BD7222">
            <w:pPr>
              <w:jc w:val="center"/>
              <w:rPr>
                <w:color w:val="000000"/>
              </w:rPr>
            </w:pPr>
            <w:r>
              <w:rPr>
                <w:color w:val="000000"/>
              </w:rPr>
              <w:t>0.22</w:t>
            </w:r>
          </w:p>
        </w:tc>
        <w:tc>
          <w:tcPr>
            <w:tcW w:w="1100" w:type="dxa"/>
            <w:tcBorders>
              <w:top w:val="nil"/>
              <w:left w:val="nil"/>
              <w:bottom w:val="single" w:sz="4" w:space="0" w:color="auto"/>
              <w:right w:val="single" w:sz="4" w:space="0" w:color="auto"/>
            </w:tcBorders>
            <w:shd w:val="clear" w:color="auto" w:fill="auto"/>
            <w:noWrap/>
            <w:vAlign w:val="center"/>
            <w:hideMark/>
          </w:tcPr>
          <w:p w14:paraId="4E154D32" w14:textId="77777777" w:rsidR="00BD7222" w:rsidRDefault="00BD7222">
            <w:pPr>
              <w:jc w:val="center"/>
              <w:rPr>
                <w:color w:val="000000"/>
              </w:rPr>
            </w:pPr>
            <w:r>
              <w:rPr>
                <w:color w:val="000000"/>
              </w:rPr>
              <w:t>0.23</w:t>
            </w:r>
          </w:p>
        </w:tc>
        <w:tc>
          <w:tcPr>
            <w:tcW w:w="1100" w:type="dxa"/>
            <w:tcBorders>
              <w:top w:val="nil"/>
              <w:left w:val="nil"/>
              <w:bottom w:val="single" w:sz="4" w:space="0" w:color="auto"/>
              <w:right w:val="single" w:sz="4" w:space="0" w:color="auto"/>
            </w:tcBorders>
            <w:shd w:val="clear" w:color="auto" w:fill="auto"/>
            <w:noWrap/>
            <w:vAlign w:val="center"/>
            <w:hideMark/>
          </w:tcPr>
          <w:p w14:paraId="223F4EAF" w14:textId="77777777" w:rsidR="00BD7222" w:rsidRDefault="00BD7222">
            <w:pPr>
              <w:jc w:val="center"/>
              <w:rPr>
                <w:color w:val="000000"/>
              </w:rPr>
            </w:pPr>
            <w:r>
              <w:rPr>
                <w:color w:val="000000"/>
              </w:rPr>
              <w:t>0.21</w:t>
            </w:r>
          </w:p>
        </w:tc>
        <w:tc>
          <w:tcPr>
            <w:tcW w:w="1100" w:type="dxa"/>
            <w:tcBorders>
              <w:top w:val="nil"/>
              <w:left w:val="nil"/>
              <w:bottom w:val="single" w:sz="4" w:space="0" w:color="auto"/>
              <w:right w:val="single" w:sz="4" w:space="0" w:color="auto"/>
            </w:tcBorders>
            <w:shd w:val="clear" w:color="auto" w:fill="auto"/>
            <w:noWrap/>
            <w:vAlign w:val="center"/>
            <w:hideMark/>
          </w:tcPr>
          <w:p w14:paraId="71BA490B" w14:textId="77777777" w:rsidR="00BD7222" w:rsidRDefault="00BD7222">
            <w:pPr>
              <w:jc w:val="center"/>
              <w:rPr>
                <w:color w:val="000000"/>
              </w:rPr>
            </w:pPr>
            <w:r>
              <w:rPr>
                <w:color w:val="000000"/>
              </w:rPr>
              <w:t>0.22</w:t>
            </w:r>
          </w:p>
        </w:tc>
        <w:tc>
          <w:tcPr>
            <w:tcW w:w="1100" w:type="dxa"/>
            <w:tcBorders>
              <w:top w:val="nil"/>
              <w:left w:val="nil"/>
              <w:bottom w:val="single" w:sz="4" w:space="0" w:color="auto"/>
              <w:right w:val="single" w:sz="4" w:space="0" w:color="auto"/>
            </w:tcBorders>
            <w:shd w:val="clear" w:color="auto" w:fill="auto"/>
            <w:noWrap/>
            <w:vAlign w:val="center"/>
            <w:hideMark/>
          </w:tcPr>
          <w:p w14:paraId="1291110D" w14:textId="77777777" w:rsidR="00BD7222" w:rsidRDefault="00BD7222">
            <w:pPr>
              <w:jc w:val="center"/>
              <w:rPr>
                <w:color w:val="000000"/>
              </w:rPr>
            </w:pPr>
            <w:r>
              <w:rPr>
                <w:color w:val="000000"/>
              </w:rPr>
              <w:t>0.22</w:t>
            </w:r>
          </w:p>
        </w:tc>
      </w:tr>
      <w:tr w:rsidR="00BD7222" w14:paraId="2D7F28BC" w14:textId="77777777" w:rsidTr="00BD72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7AC882D0" w14:textId="77777777" w:rsidR="00BD7222" w:rsidRDefault="00BD7222">
            <w:pPr>
              <w:jc w:val="center"/>
              <w:rPr>
                <w:color w:val="000000"/>
              </w:rPr>
            </w:pPr>
            <w:r>
              <w:rPr>
                <w:color w:val="000000"/>
              </w:rPr>
              <w:t>FeO</w:t>
            </w:r>
          </w:p>
        </w:tc>
        <w:tc>
          <w:tcPr>
            <w:tcW w:w="1100" w:type="dxa"/>
            <w:tcBorders>
              <w:top w:val="nil"/>
              <w:left w:val="nil"/>
              <w:bottom w:val="single" w:sz="4" w:space="0" w:color="auto"/>
              <w:right w:val="single" w:sz="4" w:space="0" w:color="auto"/>
            </w:tcBorders>
            <w:shd w:val="clear" w:color="auto" w:fill="auto"/>
            <w:noWrap/>
            <w:vAlign w:val="center"/>
            <w:hideMark/>
          </w:tcPr>
          <w:p w14:paraId="794F689C" w14:textId="77777777" w:rsidR="00BD7222" w:rsidRDefault="00BD7222">
            <w:pPr>
              <w:jc w:val="center"/>
              <w:rPr>
                <w:color w:val="000000"/>
              </w:rPr>
            </w:pPr>
            <w:r>
              <w:rPr>
                <w:color w:val="000000"/>
              </w:rPr>
              <w:t>15.68</w:t>
            </w:r>
          </w:p>
        </w:tc>
        <w:tc>
          <w:tcPr>
            <w:tcW w:w="1100" w:type="dxa"/>
            <w:tcBorders>
              <w:top w:val="nil"/>
              <w:left w:val="nil"/>
              <w:bottom w:val="single" w:sz="4" w:space="0" w:color="auto"/>
              <w:right w:val="single" w:sz="4" w:space="0" w:color="auto"/>
            </w:tcBorders>
            <w:shd w:val="clear" w:color="auto" w:fill="auto"/>
            <w:noWrap/>
            <w:vAlign w:val="center"/>
            <w:hideMark/>
          </w:tcPr>
          <w:p w14:paraId="766D1D08" w14:textId="77777777" w:rsidR="00BD7222" w:rsidRDefault="00BD7222">
            <w:pPr>
              <w:jc w:val="center"/>
              <w:rPr>
                <w:color w:val="000000"/>
              </w:rPr>
            </w:pPr>
            <w:r>
              <w:rPr>
                <w:color w:val="000000"/>
              </w:rPr>
              <w:t>16.48</w:t>
            </w:r>
          </w:p>
        </w:tc>
        <w:tc>
          <w:tcPr>
            <w:tcW w:w="1100" w:type="dxa"/>
            <w:tcBorders>
              <w:top w:val="nil"/>
              <w:left w:val="nil"/>
              <w:bottom w:val="single" w:sz="4" w:space="0" w:color="auto"/>
              <w:right w:val="single" w:sz="4" w:space="0" w:color="auto"/>
            </w:tcBorders>
            <w:shd w:val="clear" w:color="auto" w:fill="auto"/>
            <w:noWrap/>
            <w:vAlign w:val="center"/>
            <w:hideMark/>
          </w:tcPr>
          <w:p w14:paraId="52FFBF8E" w14:textId="77777777" w:rsidR="00BD7222" w:rsidRDefault="00BD7222">
            <w:pPr>
              <w:jc w:val="center"/>
              <w:rPr>
                <w:color w:val="000000"/>
              </w:rPr>
            </w:pPr>
            <w:r>
              <w:rPr>
                <w:color w:val="000000"/>
              </w:rPr>
              <w:t>17.22</w:t>
            </w:r>
          </w:p>
        </w:tc>
        <w:tc>
          <w:tcPr>
            <w:tcW w:w="1100" w:type="dxa"/>
            <w:tcBorders>
              <w:top w:val="nil"/>
              <w:left w:val="nil"/>
              <w:bottom w:val="single" w:sz="4" w:space="0" w:color="auto"/>
              <w:right w:val="single" w:sz="4" w:space="0" w:color="auto"/>
            </w:tcBorders>
            <w:shd w:val="clear" w:color="auto" w:fill="auto"/>
            <w:noWrap/>
            <w:vAlign w:val="center"/>
            <w:hideMark/>
          </w:tcPr>
          <w:p w14:paraId="386489F8" w14:textId="77777777" w:rsidR="00BD7222" w:rsidRDefault="00BD7222">
            <w:pPr>
              <w:jc w:val="center"/>
              <w:rPr>
                <w:color w:val="000000"/>
              </w:rPr>
            </w:pPr>
            <w:r>
              <w:rPr>
                <w:color w:val="000000"/>
              </w:rPr>
              <w:t>13.43</w:t>
            </w:r>
          </w:p>
        </w:tc>
        <w:tc>
          <w:tcPr>
            <w:tcW w:w="1100" w:type="dxa"/>
            <w:tcBorders>
              <w:top w:val="nil"/>
              <w:left w:val="nil"/>
              <w:bottom w:val="single" w:sz="4" w:space="0" w:color="auto"/>
              <w:right w:val="single" w:sz="4" w:space="0" w:color="auto"/>
            </w:tcBorders>
            <w:shd w:val="clear" w:color="auto" w:fill="auto"/>
            <w:noWrap/>
            <w:vAlign w:val="center"/>
            <w:hideMark/>
          </w:tcPr>
          <w:p w14:paraId="040DD1B4" w14:textId="77777777" w:rsidR="00BD7222" w:rsidRDefault="00BD7222">
            <w:pPr>
              <w:jc w:val="center"/>
              <w:rPr>
                <w:color w:val="000000"/>
              </w:rPr>
            </w:pPr>
            <w:r>
              <w:rPr>
                <w:color w:val="000000"/>
              </w:rPr>
              <w:t>14.29</w:t>
            </w:r>
          </w:p>
        </w:tc>
        <w:tc>
          <w:tcPr>
            <w:tcW w:w="1100" w:type="dxa"/>
            <w:tcBorders>
              <w:top w:val="nil"/>
              <w:left w:val="nil"/>
              <w:bottom w:val="single" w:sz="4" w:space="0" w:color="auto"/>
              <w:right w:val="single" w:sz="4" w:space="0" w:color="auto"/>
            </w:tcBorders>
            <w:shd w:val="clear" w:color="auto" w:fill="auto"/>
            <w:noWrap/>
            <w:vAlign w:val="center"/>
            <w:hideMark/>
          </w:tcPr>
          <w:p w14:paraId="21329B5E" w14:textId="77777777" w:rsidR="00BD7222" w:rsidRDefault="00BD7222">
            <w:pPr>
              <w:jc w:val="center"/>
              <w:rPr>
                <w:color w:val="000000"/>
              </w:rPr>
            </w:pPr>
            <w:r>
              <w:rPr>
                <w:color w:val="000000"/>
              </w:rPr>
              <w:t>15.11</w:t>
            </w:r>
          </w:p>
        </w:tc>
      </w:tr>
      <w:tr w:rsidR="00BD7222" w14:paraId="3BF7306F" w14:textId="77777777" w:rsidTr="00BD72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024A87FF" w14:textId="77777777" w:rsidR="00BD7222" w:rsidRDefault="00BD7222">
            <w:pPr>
              <w:jc w:val="center"/>
              <w:rPr>
                <w:color w:val="000000"/>
              </w:rPr>
            </w:pPr>
            <w:r>
              <w:rPr>
                <w:color w:val="000000"/>
              </w:rPr>
              <w:t>MnO</w:t>
            </w:r>
          </w:p>
        </w:tc>
        <w:tc>
          <w:tcPr>
            <w:tcW w:w="1100" w:type="dxa"/>
            <w:tcBorders>
              <w:top w:val="nil"/>
              <w:left w:val="nil"/>
              <w:bottom w:val="single" w:sz="4" w:space="0" w:color="auto"/>
              <w:right w:val="single" w:sz="4" w:space="0" w:color="auto"/>
            </w:tcBorders>
            <w:shd w:val="clear" w:color="auto" w:fill="auto"/>
            <w:noWrap/>
            <w:vAlign w:val="center"/>
            <w:hideMark/>
          </w:tcPr>
          <w:p w14:paraId="004FF0FF" w14:textId="77777777" w:rsidR="00BD7222" w:rsidRDefault="00BD7222">
            <w:pPr>
              <w:jc w:val="center"/>
              <w:rPr>
                <w:color w:val="000000"/>
              </w:rPr>
            </w:pPr>
            <w:r>
              <w:rPr>
                <w:color w:val="000000"/>
              </w:rPr>
              <w:t>0.17</w:t>
            </w:r>
          </w:p>
        </w:tc>
        <w:tc>
          <w:tcPr>
            <w:tcW w:w="1100" w:type="dxa"/>
            <w:tcBorders>
              <w:top w:val="nil"/>
              <w:left w:val="nil"/>
              <w:bottom w:val="single" w:sz="4" w:space="0" w:color="auto"/>
              <w:right w:val="single" w:sz="4" w:space="0" w:color="auto"/>
            </w:tcBorders>
            <w:shd w:val="clear" w:color="auto" w:fill="auto"/>
            <w:noWrap/>
            <w:vAlign w:val="center"/>
            <w:hideMark/>
          </w:tcPr>
          <w:p w14:paraId="15DD1253" w14:textId="77777777" w:rsidR="00BD7222" w:rsidRDefault="00BD7222">
            <w:pPr>
              <w:jc w:val="center"/>
              <w:rPr>
                <w:color w:val="000000"/>
              </w:rPr>
            </w:pPr>
            <w:r>
              <w:rPr>
                <w:color w:val="000000"/>
              </w:rPr>
              <w:t>0.18</w:t>
            </w:r>
          </w:p>
        </w:tc>
        <w:tc>
          <w:tcPr>
            <w:tcW w:w="1100" w:type="dxa"/>
            <w:tcBorders>
              <w:top w:val="nil"/>
              <w:left w:val="nil"/>
              <w:bottom w:val="single" w:sz="4" w:space="0" w:color="auto"/>
              <w:right w:val="single" w:sz="4" w:space="0" w:color="auto"/>
            </w:tcBorders>
            <w:shd w:val="clear" w:color="auto" w:fill="auto"/>
            <w:noWrap/>
            <w:vAlign w:val="center"/>
            <w:hideMark/>
          </w:tcPr>
          <w:p w14:paraId="5D14C0A7" w14:textId="77777777" w:rsidR="00BD7222" w:rsidRDefault="00BD7222">
            <w:pPr>
              <w:jc w:val="center"/>
              <w:rPr>
                <w:color w:val="000000"/>
              </w:rPr>
            </w:pPr>
            <w:r>
              <w:rPr>
                <w:color w:val="000000"/>
              </w:rPr>
              <w:t>0.19</w:t>
            </w:r>
          </w:p>
        </w:tc>
        <w:tc>
          <w:tcPr>
            <w:tcW w:w="1100" w:type="dxa"/>
            <w:tcBorders>
              <w:top w:val="nil"/>
              <w:left w:val="nil"/>
              <w:bottom w:val="single" w:sz="4" w:space="0" w:color="auto"/>
              <w:right w:val="single" w:sz="4" w:space="0" w:color="auto"/>
            </w:tcBorders>
            <w:shd w:val="clear" w:color="auto" w:fill="auto"/>
            <w:noWrap/>
            <w:vAlign w:val="center"/>
            <w:hideMark/>
          </w:tcPr>
          <w:p w14:paraId="002FB3B1" w14:textId="77777777" w:rsidR="00BD7222" w:rsidRDefault="00BD7222">
            <w:pPr>
              <w:jc w:val="center"/>
              <w:rPr>
                <w:color w:val="000000"/>
              </w:rPr>
            </w:pPr>
            <w:r>
              <w:rPr>
                <w:color w:val="000000"/>
              </w:rPr>
              <w:t>0.16</w:t>
            </w:r>
          </w:p>
        </w:tc>
        <w:tc>
          <w:tcPr>
            <w:tcW w:w="1100" w:type="dxa"/>
            <w:tcBorders>
              <w:top w:val="nil"/>
              <w:left w:val="nil"/>
              <w:bottom w:val="single" w:sz="4" w:space="0" w:color="auto"/>
              <w:right w:val="single" w:sz="4" w:space="0" w:color="auto"/>
            </w:tcBorders>
            <w:shd w:val="clear" w:color="auto" w:fill="auto"/>
            <w:noWrap/>
            <w:vAlign w:val="center"/>
            <w:hideMark/>
          </w:tcPr>
          <w:p w14:paraId="410D4BCB" w14:textId="77777777" w:rsidR="00BD7222" w:rsidRDefault="00BD7222">
            <w:pPr>
              <w:jc w:val="center"/>
              <w:rPr>
                <w:color w:val="000000"/>
              </w:rPr>
            </w:pPr>
            <w:r>
              <w:rPr>
                <w:color w:val="000000"/>
              </w:rPr>
              <w:t>0.17</w:t>
            </w:r>
          </w:p>
        </w:tc>
        <w:tc>
          <w:tcPr>
            <w:tcW w:w="1100" w:type="dxa"/>
            <w:tcBorders>
              <w:top w:val="nil"/>
              <w:left w:val="nil"/>
              <w:bottom w:val="single" w:sz="4" w:space="0" w:color="auto"/>
              <w:right w:val="single" w:sz="4" w:space="0" w:color="auto"/>
            </w:tcBorders>
            <w:shd w:val="clear" w:color="auto" w:fill="auto"/>
            <w:noWrap/>
            <w:vAlign w:val="center"/>
            <w:hideMark/>
          </w:tcPr>
          <w:p w14:paraId="362170F5" w14:textId="77777777" w:rsidR="00BD7222" w:rsidRDefault="00BD7222">
            <w:pPr>
              <w:jc w:val="center"/>
              <w:rPr>
                <w:color w:val="000000"/>
              </w:rPr>
            </w:pPr>
            <w:r>
              <w:rPr>
                <w:color w:val="000000"/>
              </w:rPr>
              <w:t>0.18</w:t>
            </w:r>
          </w:p>
        </w:tc>
      </w:tr>
      <w:tr w:rsidR="00BD7222" w14:paraId="1EE5F65D" w14:textId="77777777" w:rsidTr="00BD72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1509EC77" w14:textId="77777777" w:rsidR="00BD7222" w:rsidRDefault="00BD7222">
            <w:pPr>
              <w:jc w:val="center"/>
              <w:rPr>
                <w:color w:val="000000"/>
              </w:rPr>
            </w:pPr>
            <w:r>
              <w:rPr>
                <w:color w:val="000000"/>
              </w:rPr>
              <w:t>MgO</w:t>
            </w:r>
          </w:p>
        </w:tc>
        <w:tc>
          <w:tcPr>
            <w:tcW w:w="1100" w:type="dxa"/>
            <w:tcBorders>
              <w:top w:val="nil"/>
              <w:left w:val="nil"/>
              <w:bottom w:val="single" w:sz="4" w:space="0" w:color="auto"/>
              <w:right w:val="single" w:sz="4" w:space="0" w:color="auto"/>
            </w:tcBorders>
            <w:shd w:val="clear" w:color="auto" w:fill="auto"/>
            <w:noWrap/>
            <w:vAlign w:val="center"/>
            <w:hideMark/>
          </w:tcPr>
          <w:p w14:paraId="38C1586A" w14:textId="77777777" w:rsidR="00BD7222" w:rsidRDefault="00BD7222">
            <w:pPr>
              <w:jc w:val="center"/>
              <w:rPr>
                <w:color w:val="000000"/>
              </w:rPr>
            </w:pPr>
            <w:r>
              <w:rPr>
                <w:color w:val="000000"/>
              </w:rPr>
              <w:t>39.36</w:t>
            </w:r>
          </w:p>
        </w:tc>
        <w:tc>
          <w:tcPr>
            <w:tcW w:w="1100" w:type="dxa"/>
            <w:tcBorders>
              <w:top w:val="nil"/>
              <w:left w:val="nil"/>
              <w:bottom w:val="single" w:sz="4" w:space="0" w:color="auto"/>
              <w:right w:val="single" w:sz="4" w:space="0" w:color="auto"/>
            </w:tcBorders>
            <w:shd w:val="clear" w:color="auto" w:fill="auto"/>
            <w:noWrap/>
            <w:vAlign w:val="center"/>
            <w:hideMark/>
          </w:tcPr>
          <w:p w14:paraId="6C69A369" w14:textId="77777777" w:rsidR="00BD7222" w:rsidRDefault="00BD7222">
            <w:pPr>
              <w:jc w:val="center"/>
              <w:rPr>
                <w:color w:val="000000"/>
              </w:rPr>
            </w:pPr>
            <w:r>
              <w:rPr>
                <w:color w:val="000000"/>
              </w:rPr>
              <w:t>39.47</w:t>
            </w:r>
          </w:p>
        </w:tc>
        <w:tc>
          <w:tcPr>
            <w:tcW w:w="1100" w:type="dxa"/>
            <w:tcBorders>
              <w:top w:val="nil"/>
              <w:left w:val="nil"/>
              <w:bottom w:val="single" w:sz="4" w:space="0" w:color="auto"/>
              <w:right w:val="single" w:sz="4" w:space="0" w:color="auto"/>
            </w:tcBorders>
            <w:shd w:val="clear" w:color="auto" w:fill="auto"/>
            <w:noWrap/>
            <w:vAlign w:val="center"/>
            <w:hideMark/>
          </w:tcPr>
          <w:p w14:paraId="2BAEE93C" w14:textId="77777777" w:rsidR="00BD7222" w:rsidRDefault="00BD7222">
            <w:pPr>
              <w:jc w:val="center"/>
              <w:rPr>
                <w:color w:val="000000"/>
              </w:rPr>
            </w:pPr>
            <w:r>
              <w:rPr>
                <w:color w:val="000000"/>
              </w:rPr>
              <w:t>39.57</w:t>
            </w:r>
          </w:p>
        </w:tc>
        <w:tc>
          <w:tcPr>
            <w:tcW w:w="1100" w:type="dxa"/>
            <w:tcBorders>
              <w:top w:val="nil"/>
              <w:left w:val="nil"/>
              <w:bottom w:val="single" w:sz="4" w:space="0" w:color="auto"/>
              <w:right w:val="single" w:sz="4" w:space="0" w:color="auto"/>
            </w:tcBorders>
            <w:shd w:val="clear" w:color="auto" w:fill="auto"/>
            <w:noWrap/>
            <w:vAlign w:val="center"/>
            <w:hideMark/>
          </w:tcPr>
          <w:p w14:paraId="70366076" w14:textId="77777777" w:rsidR="00BD7222" w:rsidRDefault="00BD7222">
            <w:pPr>
              <w:jc w:val="center"/>
              <w:rPr>
                <w:color w:val="000000"/>
              </w:rPr>
            </w:pPr>
            <w:r>
              <w:rPr>
                <w:color w:val="000000"/>
              </w:rPr>
              <w:t>31.85</w:t>
            </w:r>
          </w:p>
        </w:tc>
        <w:tc>
          <w:tcPr>
            <w:tcW w:w="1100" w:type="dxa"/>
            <w:tcBorders>
              <w:top w:val="nil"/>
              <w:left w:val="nil"/>
              <w:bottom w:val="single" w:sz="4" w:space="0" w:color="auto"/>
              <w:right w:val="single" w:sz="4" w:space="0" w:color="auto"/>
            </w:tcBorders>
            <w:shd w:val="clear" w:color="auto" w:fill="auto"/>
            <w:noWrap/>
            <w:vAlign w:val="center"/>
            <w:hideMark/>
          </w:tcPr>
          <w:p w14:paraId="711F7B83" w14:textId="77777777" w:rsidR="00BD7222" w:rsidRDefault="00BD7222">
            <w:pPr>
              <w:jc w:val="center"/>
              <w:rPr>
                <w:color w:val="000000"/>
              </w:rPr>
            </w:pPr>
            <w:r>
              <w:rPr>
                <w:color w:val="000000"/>
              </w:rPr>
              <w:t>32.58</w:t>
            </w:r>
          </w:p>
        </w:tc>
        <w:tc>
          <w:tcPr>
            <w:tcW w:w="1100" w:type="dxa"/>
            <w:tcBorders>
              <w:top w:val="nil"/>
              <w:left w:val="nil"/>
              <w:bottom w:val="single" w:sz="4" w:space="0" w:color="auto"/>
              <w:right w:val="single" w:sz="4" w:space="0" w:color="auto"/>
            </w:tcBorders>
            <w:shd w:val="clear" w:color="auto" w:fill="auto"/>
            <w:noWrap/>
            <w:vAlign w:val="center"/>
            <w:hideMark/>
          </w:tcPr>
          <w:p w14:paraId="5FD2391D" w14:textId="77777777" w:rsidR="00BD7222" w:rsidRDefault="00BD7222">
            <w:pPr>
              <w:jc w:val="center"/>
              <w:rPr>
                <w:color w:val="000000"/>
              </w:rPr>
            </w:pPr>
            <w:r>
              <w:rPr>
                <w:color w:val="000000"/>
              </w:rPr>
              <w:t>33.27</w:t>
            </w:r>
          </w:p>
        </w:tc>
      </w:tr>
      <w:tr w:rsidR="00BD7222" w14:paraId="3FD7C983" w14:textId="77777777" w:rsidTr="00BD72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772905AE" w14:textId="77777777" w:rsidR="00BD7222" w:rsidRDefault="00BD7222">
            <w:pPr>
              <w:jc w:val="center"/>
              <w:rPr>
                <w:color w:val="000000"/>
              </w:rPr>
            </w:pPr>
            <w:r>
              <w:rPr>
                <w:color w:val="000000"/>
              </w:rPr>
              <w:t>CaO</w:t>
            </w:r>
          </w:p>
        </w:tc>
        <w:tc>
          <w:tcPr>
            <w:tcW w:w="1100" w:type="dxa"/>
            <w:tcBorders>
              <w:top w:val="nil"/>
              <w:left w:val="nil"/>
              <w:bottom w:val="single" w:sz="4" w:space="0" w:color="auto"/>
              <w:right w:val="single" w:sz="4" w:space="0" w:color="auto"/>
            </w:tcBorders>
            <w:shd w:val="clear" w:color="auto" w:fill="auto"/>
            <w:noWrap/>
            <w:vAlign w:val="center"/>
            <w:hideMark/>
          </w:tcPr>
          <w:p w14:paraId="7BCBD161" w14:textId="77777777" w:rsidR="00BD7222" w:rsidRDefault="00BD7222">
            <w:pPr>
              <w:jc w:val="center"/>
              <w:rPr>
                <w:color w:val="000000"/>
              </w:rPr>
            </w:pPr>
            <w:r>
              <w:rPr>
                <w:color w:val="000000"/>
              </w:rPr>
              <w:t>1.35</w:t>
            </w:r>
          </w:p>
        </w:tc>
        <w:tc>
          <w:tcPr>
            <w:tcW w:w="1100" w:type="dxa"/>
            <w:tcBorders>
              <w:top w:val="nil"/>
              <w:left w:val="nil"/>
              <w:bottom w:val="single" w:sz="4" w:space="0" w:color="auto"/>
              <w:right w:val="single" w:sz="4" w:space="0" w:color="auto"/>
            </w:tcBorders>
            <w:shd w:val="clear" w:color="auto" w:fill="auto"/>
            <w:noWrap/>
            <w:vAlign w:val="center"/>
            <w:hideMark/>
          </w:tcPr>
          <w:p w14:paraId="552C691A" w14:textId="77777777" w:rsidR="00BD7222" w:rsidRDefault="00BD7222">
            <w:pPr>
              <w:jc w:val="center"/>
              <w:rPr>
                <w:color w:val="000000"/>
              </w:rPr>
            </w:pPr>
            <w:r>
              <w:rPr>
                <w:color w:val="000000"/>
              </w:rPr>
              <w:t>1.16</w:t>
            </w:r>
          </w:p>
        </w:tc>
        <w:tc>
          <w:tcPr>
            <w:tcW w:w="1100" w:type="dxa"/>
            <w:tcBorders>
              <w:top w:val="nil"/>
              <w:left w:val="nil"/>
              <w:bottom w:val="single" w:sz="4" w:space="0" w:color="auto"/>
              <w:right w:val="single" w:sz="4" w:space="0" w:color="auto"/>
            </w:tcBorders>
            <w:shd w:val="clear" w:color="auto" w:fill="auto"/>
            <w:noWrap/>
            <w:vAlign w:val="center"/>
            <w:hideMark/>
          </w:tcPr>
          <w:p w14:paraId="23C8F5D2" w14:textId="77777777" w:rsidR="00BD7222" w:rsidRDefault="00BD7222">
            <w:pPr>
              <w:jc w:val="center"/>
              <w:rPr>
                <w:color w:val="000000"/>
              </w:rPr>
            </w:pPr>
            <w:r>
              <w:rPr>
                <w:color w:val="000000"/>
              </w:rPr>
              <w:t>0.98</w:t>
            </w:r>
          </w:p>
        </w:tc>
        <w:tc>
          <w:tcPr>
            <w:tcW w:w="1100" w:type="dxa"/>
            <w:tcBorders>
              <w:top w:val="nil"/>
              <w:left w:val="nil"/>
              <w:bottom w:val="single" w:sz="4" w:space="0" w:color="auto"/>
              <w:right w:val="single" w:sz="4" w:space="0" w:color="auto"/>
            </w:tcBorders>
            <w:shd w:val="clear" w:color="auto" w:fill="auto"/>
            <w:noWrap/>
            <w:vAlign w:val="center"/>
            <w:hideMark/>
          </w:tcPr>
          <w:p w14:paraId="6F8B37ED" w14:textId="77777777" w:rsidR="00BD7222" w:rsidRDefault="00BD7222">
            <w:pPr>
              <w:jc w:val="center"/>
              <w:rPr>
                <w:color w:val="000000"/>
              </w:rPr>
            </w:pPr>
            <w:r>
              <w:rPr>
                <w:color w:val="000000"/>
              </w:rPr>
              <w:t>4.93</w:t>
            </w:r>
          </w:p>
        </w:tc>
        <w:tc>
          <w:tcPr>
            <w:tcW w:w="1100" w:type="dxa"/>
            <w:tcBorders>
              <w:top w:val="nil"/>
              <w:left w:val="nil"/>
              <w:bottom w:val="single" w:sz="4" w:space="0" w:color="auto"/>
              <w:right w:val="single" w:sz="4" w:space="0" w:color="auto"/>
            </w:tcBorders>
            <w:shd w:val="clear" w:color="auto" w:fill="auto"/>
            <w:noWrap/>
            <w:vAlign w:val="center"/>
            <w:hideMark/>
          </w:tcPr>
          <w:p w14:paraId="4AED799B" w14:textId="77777777" w:rsidR="00BD7222" w:rsidRDefault="00BD7222">
            <w:pPr>
              <w:jc w:val="center"/>
              <w:rPr>
                <w:color w:val="000000"/>
              </w:rPr>
            </w:pPr>
            <w:r>
              <w:rPr>
                <w:color w:val="000000"/>
              </w:rPr>
              <w:t>4.54</w:t>
            </w:r>
          </w:p>
        </w:tc>
        <w:tc>
          <w:tcPr>
            <w:tcW w:w="1100" w:type="dxa"/>
            <w:tcBorders>
              <w:top w:val="nil"/>
              <w:left w:val="nil"/>
              <w:bottom w:val="single" w:sz="4" w:space="0" w:color="auto"/>
              <w:right w:val="single" w:sz="4" w:space="0" w:color="auto"/>
            </w:tcBorders>
            <w:shd w:val="clear" w:color="auto" w:fill="auto"/>
            <w:noWrap/>
            <w:vAlign w:val="center"/>
            <w:hideMark/>
          </w:tcPr>
          <w:p w14:paraId="135F088D" w14:textId="77777777" w:rsidR="00BD7222" w:rsidRDefault="00BD7222">
            <w:pPr>
              <w:jc w:val="center"/>
              <w:rPr>
                <w:color w:val="000000"/>
              </w:rPr>
            </w:pPr>
            <w:r>
              <w:rPr>
                <w:color w:val="000000"/>
              </w:rPr>
              <w:t>4.17</w:t>
            </w:r>
          </w:p>
        </w:tc>
      </w:tr>
      <w:tr w:rsidR="00BD7222" w14:paraId="2937F86E" w14:textId="77777777" w:rsidTr="00BD7222">
        <w:trPr>
          <w:trHeight w:val="36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545A7A95" w14:textId="77777777" w:rsidR="00BD7222" w:rsidRDefault="00BD7222">
            <w:pPr>
              <w:jc w:val="center"/>
              <w:rPr>
                <w:color w:val="000000"/>
              </w:rPr>
            </w:pPr>
            <w:r>
              <w:rPr>
                <w:color w:val="000000"/>
              </w:rPr>
              <w:t>Na</w:t>
            </w:r>
            <w:r>
              <w:rPr>
                <w:color w:val="000000"/>
                <w:vertAlign w:val="subscript"/>
              </w:rPr>
              <w:t>2</w:t>
            </w:r>
            <w:r>
              <w:rPr>
                <w:color w:val="000000"/>
              </w:rPr>
              <w:t>O</w:t>
            </w:r>
          </w:p>
        </w:tc>
        <w:tc>
          <w:tcPr>
            <w:tcW w:w="1100" w:type="dxa"/>
            <w:tcBorders>
              <w:top w:val="nil"/>
              <w:left w:val="nil"/>
              <w:bottom w:val="single" w:sz="4" w:space="0" w:color="auto"/>
              <w:right w:val="single" w:sz="4" w:space="0" w:color="auto"/>
            </w:tcBorders>
            <w:shd w:val="clear" w:color="auto" w:fill="auto"/>
            <w:noWrap/>
            <w:vAlign w:val="center"/>
            <w:hideMark/>
          </w:tcPr>
          <w:p w14:paraId="2E1D97B9" w14:textId="77777777" w:rsidR="00BD7222" w:rsidRDefault="00BD7222">
            <w:pPr>
              <w:jc w:val="center"/>
              <w:rPr>
                <w:color w:val="000000"/>
              </w:rPr>
            </w:pPr>
            <w:r>
              <w:rPr>
                <w:color w:val="000000"/>
              </w:rPr>
              <w:t>0.10</w:t>
            </w:r>
          </w:p>
        </w:tc>
        <w:tc>
          <w:tcPr>
            <w:tcW w:w="1100" w:type="dxa"/>
            <w:tcBorders>
              <w:top w:val="nil"/>
              <w:left w:val="nil"/>
              <w:bottom w:val="single" w:sz="4" w:space="0" w:color="auto"/>
              <w:right w:val="single" w:sz="4" w:space="0" w:color="auto"/>
            </w:tcBorders>
            <w:shd w:val="clear" w:color="auto" w:fill="auto"/>
            <w:noWrap/>
            <w:vAlign w:val="center"/>
            <w:hideMark/>
          </w:tcPr>
          <w:p w14:paraId="405255C5" w14:textId="77777777" w:rsidR="00BD7222" w:rsidRDefault="00BD7222">
            <w:pPr>
              <w:jc w:val="center"/>
              <w:rPr>
                <w:color w:val="000000"/>
              </w:rPr>
            </w:pPr>
            <w:r>
              <w:rPr>
                <w:color w:val="000000"/>
              </w:rPr>
              <w:t>0.05</w:t>
            </w:r>
          </w:p>
        </w:tc>
        <w:tc>
          <w:tcPr>
            <w:tcW w:w="1100" w:type="dxa"/>
            <w:tcBorders>
              <w:top w:val="nil"/>
              <w:left w:val="nil"/>
              <w:bottom w:val="single" w:sz="4" w:space="0" w:color="auto"/>
              <w:right w:val="single" w:sz="4" w:space="0" w:color="auto"/>
            </w:tcBorders>
            <w:shd w:val="clear" w:color="auto" w:fill="auto"/>
            <w:noWrap/>
            <w:vAlign w:val="center"/>
            <w:hideMark/>
          </w:tcPr>
          <w:p w14:paraId="31B13DEF" w14:textId="77777777" w:rsidR="00BD7222" w:rsidRDefault="00BD7222">
            <w:pPr>
              <w:jc w:val="center"/>
              <w:rPr>
                <w:color w:val="000000"/>
              </w:rPr>
            </w:pPr>
            <w:r>
              <w:rPr>
                <w:color w:val="000000"/>
              </w:rPr>
              <w:t>0.01</w:t>
            </w:r>
          </w:p>
        </w:tc>
        <w:tc>
          <w:tcPr>
            <w:tcW w:w="1100" w:type="dxa"/>
            <w:tcBorders>
              <w:top w:val="nil"/>
              <w:left w:val="nil"/>
              <w:bottom w:val="single" w:sz="4" w:space="0" w:color="auto"/>
              <w:right w:val="single" w:sz="4" w:space="0" w:color="auto"/>
            </w:tcBorders>
            <w:shd w:val="clear" w:color="auto" w:fill="auto"/>
            <w:noWrap/>
            <w:vAlign w:val="center"/>
            <w:hideMark/>
          </w:tcPr>
          <w:p w14:paraId="77A1CBB8" w14:textId="77777777" w:rsidR="00BD7222" w:rsidRDefault="00BD7222">
            <w:pPr>
              <w:jc w:val="center"/>
              <w:rPr>
                <w:color w:val="000000"/>
              </w:rPr>
            </w:pPr>
            <w:r>
              <w:rPr>
                <w:color w:val="000000"/>
              </w:rPr>
              <w:t>0.15</w:t>
            </w:r>
          </w:p>
        </w:tc>
        <w:tc>
          <w:tcPr>
            <w:tcW w:w="1100" w:type="dxa"/>
            <w:tcBorders>
              <w:top w:val="nil"/>
              <w:left w:val="nil"/>
              <w:bottom w:val="single" w:sz="4" w:space="0" w:color="auto"/>
              <w:right w:val="single" w:sz="4" w:space="0" w:color="auto"/>
            </w:tcBorders>
            <w:shd w:val="clear" w:color="auto" w:fill="auto"/>
            <w:noWrap/>
            <w:vAlign w:val="center"/>
            <w:hideMark/>
          </w:tcPr>
          <w:p w14:paraId="15114024" w14:textId="77777777" w:rsidR="00BD7222" w:rsidRDefault="00BD7222">
            <w:pPr>
              <w:jc w:val="center"/>
              <w:rPr>
                <w:color w:val="000000"/>
              </w:rPr>
            </w:pPr>
            <w:r>
              <w:rPr>
                <w:color w:val="000000"/>
              </w:rPr>
              <w:t>0.08</w:t>
            </w:r>
          </w:p>
        </w:tc>
        <w:tc>
          <w:tcPr>
            <w:tcW w:w="1100" w:type="dxa"/>
            <w:tcBorders>
              <w:top w:val="nil"/>
              <w:left w:val="nil"/>
              <w:bottom w:val="single" w:sz="4" w:space="0" w:color="auto"/>
              <w:right w:val="single" w:sz="4" w:space="0" w:color="auto"/>
            </w:tcBorders>
            <w:shd w:val="clear" w:color="auto" w:fill="auto"/>
            <w:noWrap/>
            <w:vAlign w:val="center"/>
            <w:hideMark/>
          </w:tcPr>
          <w:p w14:paraId="51D666F0" w14:textId="77777777" w:rsidR="00BD7222" w:rsidRDefault="00BD7222">
            <w:pPr>
              <w:jc w:val="center"/>
              <w:rPr>
                <w:color w:val="000000"/>
              </w:rPr>
            </w:pPr>
            <w:r>
              <w:rPr>
                <w:color w:val="000000"/>
              </w:rPr>
              <w:t>0.02</w:t>
            </w:r>
          </w:p>
        </w:tc>
      </w:tr>
      <w:tr w:rsidR="00BD7222" w14:paraId="18536B8B" w14:textId="77777777" w:rsidTr="00BD7222">
        <w:trPr>
          <w:trHeight w:val="36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6342555F" w14:textId="77777777" w:rsidR="00BD7222" w:rsidRDefault="00BD7222">
            <w:pPr>
              <w:jc w:val="center"/>
              <w:rPr>
                <w:color w:val="000000"/>
              </w:rPr>
            </w:pPr>
            <w:r>
              <w:rPr>
                <w:color w:val="000000"/>
              </w:rPr>
              <w:t>K</w:t>
            </w:r>
            <w:r>
              <w:rPr>
                <w:color w:val="000000"/>
                <w:vertAlign w:val="subscript"/>
              </w:rPr>
              <w:t>2</w:t>
            </w:r>
            <w:r>
              <w:rPr>
                <w:color w:val="000000"/>
              </w:rPr>
              <w:t>O</w:t>
            </w:r>
          </w:p>
        </w:tc>
        <w:tc>
          <w:tcPr>
            <w:tcW w:w="1100" w:type="dxa"/>
            <w:tcBorders>
              <w:top w:val="nil"/>
              <w:left w:val="nil"/>
              <w:bottom w:val="single" w:sz="4" w:space="0" w:color="auto"/>
              <w:right w:val="single" w:sz="4" w:space="0" w:color="auto"/>
            </w:tcBorders>
            <w:shd w:val="clear" w:color="auto" w:fill="auto"/>
            <w:noWrap/>
            <w:vAlign w:val="center"/>
            <w:hideMark/>
          </w:tcPr>
          <w:p w14:paraId="02D20D4F" w14:textId="77777777" w:rsidR="00BD7222" w:rsidRDefault="00BD7222">
            <w:pPr>
              <w:jc w:val="center"/>
              <w:rPr>
                <w:color w:val="000000"/>
              </w:rPr>
            </w:pPr>
            <w:r>
              <w:rPr>
                <w:color w:val="000000"/>
              </w:rPr>
              <w:t>0.01</w:t>
            </w:r>
          </w:p>
        </w:tc>
        <w:tc>
          <w:tcPr>
            <w:tcW w:w="1100" w:type="dxa"/>
            <w:tcBorders>
              <w:top w:val="nil"/>
              <w:left w:val="nil"/>
              <w:bottom w:val="single" w:sz="4" w:space="0" w:color="auto"/>
              <w:right w:val="single" w:sz="4" w:space="0" w:color="auto"/>
            </w:tcBorders>
            <w:shd w:val="clear" w:color="auto" w:fill="auto"/>
            <w:noWrap/>
            <w:vAlign w:val="center"/>
            <w:hideMark/>
          </w:tcPr>
          <w:p w14:paraId="4F554379" w14:textId="77777777" w:rsidR="00BD7222" w:rsidRDefault="00BD7222">
            <w:pPr>
              <w:jc w:val="center"/>
              <w:rPr>
                <w:color w:val="000000"/>
              </w:rPr>
            </w:pPr>
            <w:r>
              <w:rPr>
                <w:color w:val="000000"/>
              </w:rPr>
              <w:t>0.00</w:t>
            </w:r>
          </w:p>
        </w:tc>
        <w:tc>
          <w:tcPr>
            <w:tcW w:w="1100" w:type="dxa"/>
            <w:tcBorders>
              <w:top w:val="nil"/>
              <w:left w:val="nil"/>
              <w:bottom w:val="single" w:sz="4" w:space="0" w:color="auto"/>
              <w:right w:val="single" w:sz="4" w:space="0" w:color="auto"/>
            </w:tcBorders>
            <w:shd w:val="clear" w:color="auto" w:fill="auto"/>
            <w:noWrap/>
            <w:vAlign w:val="center"/>
            <w:hideMark/>
          </w:tcPr>
          <w:p w14:paraId="150A6682" w14:textId="77777777" w:rsidR="00BD7222" w:rsidRDefault="00BD7222">
            <w:pPr>
              <w:jc w:val="center"/>
              <w:rPr>
                <w:color w:val="000000"/>
              </w:rPr>
            </w:pPr>
            <w:r>
              <w:rPr>
                <w:color w:val="000000"/>
              </w:rPr>
              <w:t>0.00</w:t>
            </w:r>
          </w:p>
        </w:tc>
        <w:tc>
          <w:tcPr>
            <w:tcW w:w="1100" w:type="dxa"/>
            <w:tcBorders>
              <w:top w:val="nil"/>
              <w:left w:val="nil"/>
              <w:bottom w:val="single" w:sz="4" w:space="0" w:color="auto"/>
              <w:right w:val="single" w:sz="4" w:space="0" w:color="auto"/>
            </w:tcBorders>
            <w:shd w:val="clear" w:color="auto" w:fill="auto"/>
            <w:noWrap/>
            <w:vAlign w:val="center"/>
            <w:hideMark/>
          </w:tcPr>
          <w:p w14:paraId="4B0B42C5" w14:textId="77777777" w:rsidR="00BD7222" w:rsidRDefault="00BD7222">
            <w:pPr>
              <w:jc w:val="center"/>
              <w:rPr>
                <w:color w:val="000000"/>
              </w:rPr>
            </w:pPr>
            <w:r>
              <w:rPr>
                <w:color w:val="000000"/>
              </w:rPr>
              <w:t>0.01</w:t>
            </w:r>
          </w:p>
        </w:tc>
        <w:tc>
          <w:tcPr>
            <w:tcW w:w="1100" w:type="dxa"/>
            <w:tcBorders>
              <w:top w:val="nil"/>
              <w:left w:val="nil"/>
              <w:bottom w:val="single" w:sz="4" w:space="0" w:color="auto"/>
              <w:right w:val="single" w:sz="4" w:space="0" w:color="auto"/>
            </w:tcBorders>
            <w:shd w:val="clear" w:color="auto" w:fill="auto"/>
            <w:noWrap/>
            <w:vAlign w:val="center"/>
            <w:hideMark/>
          </w:tcPr>
          <w:p w14:paraId="0A0D6C97" w14:textId="77777777" w:rsidR="00BD7222" w:rsidRDefault="00BD7222">
            <w:pPr>
              <w:jc w:val="center"/>
              <w:rPr>
                <w:color w:val="000000"/>
              </w:rPr>
            </w:pPr>
            <w:r>
              <w:rPr>
                <w:color w:val="000000"/>
              </w:rPr>
              <w:t>0.00</w:t>
            </w:r>
          </w:p>
        </w:tc>
        <w:tc>
          <w:tcPr>
            <w:tcW w:w="1100" w:type="dxa"/>
            <w:tcBorders>
              <w:top w:val="nil"/>
              <w:left w:val="nil"/>
              <w:bottom w:val="single" w:sz="4" w:space="0" w:color="auto"/>
              <w:right w:val="single" w:sz="4" w:space="0" w:color="auto"/>
            </w:tcBorders>
            <w:shd w:val="clear" w:color="auto" w:fill="auto"/>
            <w:noWrap/>
            <w:vAlign w:val="center"/>
            <w:hideMark/>
          </w:tcPr>
          <w:p w14:paraId="400B9B59" w14:textId="77777777" w:rsidR="00BD7222" w:rsidRDefault="00BD7222">
            <w:pPr>
              <w:jc w:val="center"/>
              <w:rPr>
                <w:color w:val="000000"/>
              </w:rPr>
            </w:pPr>
            <w:r>
              <w:rPr>
                <w:color w:val="000000"/>
              </w:rPr>
              <w:t>0.00</w:t>
            </w:r>
          </w:p>
        </w:tc>
      </w:tr>
      <w:tr w:rsidR="00BD7222" w14:paraId="56555ECD" w14:textId="77777777" w:rsidTr="00BD72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53516E8A" w14:textId="77777777" w:rsidR="00BD7222" w:rsidRDefault="00BD7222">
            <w:pPr>
              <w:jc w:val="center"/>
              <w:rPr>
                <w:color w:val="000000"/>
              </w:rPr>
            </w:pPr>
            <w:r>
              <w:rPr>
                <w:color w:val="000000"/>
              </w:rPr>
              <w:t>Total</w:t>
            </w:r>
          </w:p>
        </w:tc>
        <w:tc>
          <w:tcPr>
            <w:tcW w:w="1100" w:type="dxa"/>
            <w:tcBorders>
              <w:top w:val="nil"/>
              <w:left w:val="nil"/>
              <w:bottom w:val="single" w:sz="4" w:space="0" w:color="auto"/>
              <w:right w:val="single" w:sz="4" w:space="0" w:color="auto"/>
            </w:tcBorders>
            <w:shd w:val="clear" w:color="auto" w:fill="auto"/>
            <w:noWrap/>
            <w:vAlign w:val="center"/>
            <w:hideMark/>
          </w:tcPr>
          <w:p w14:paraId="760A8310" w14:textId="77777777" w:rsidR="00BD7222" w:rsidRDefault="00BD7222">
            <w:pPr>
              <w:jc w:val="center"/>
              <w:rPr>
                <w:color w:val="000000"/>
              </w:rPr>
            </w:pPr>
            <w:r>
              <w:rPr>
                <w:color w:val="000000"/>
              </w:rPr>
              <w:t>100.00</w:t>
            </w:r>
          </w:p>
        </w:tc>
        <w:tc>
          <w:tcPr>
            <w:tcW w:w="1100" w:type="dxa"/>
            <w:tcBorders>
              <w:top w:val="nil"/>
              <w:left w:val="nil"/>
              <w:bottom w:val="single" w:sz="4" w:space="0" w:color="auto"/>
              <w:right w:val="single" w:sz="4" w:space="0" w:color="auto"/>
            </w:tcBorders>
            <w:shd w:val="clear" w:color="auto" w:fill="auto"/>
            <w:noWrap/>
            <w:vAlign w:val="center"/>
            <w:hideMark/>
          </w:tcPr>
          <w:p w14:paraId="0C530257" w14:textId="77777777" w:rsidR="00BD7222" w:rsidRDefault="00BD7222">
            <w:pPr>
              <w:jc w:val="center"/>
              <w:rPr>
                <w:color w:val="000000"/>
              </w:rPr>
            </w:pPr>
            <w:r>
              <w:rPr>
                <w:color w:val="000000"/>
              </w:rPr>
              <w:t>100.00</w:t>
            </w:r>
          </w:p>
        </w:tc>
        <w:tc>
          <w:tcPr>
            <w:tcW w:w="1100" w:type="dxa"/>
            <w:tcBorders>
              <w:top w:val="nil"/>
              <w:left w:val="nil"/>
              <w:bottom w:val="single" w:sz="4" w:space="0" w:color="auto"/>
              <w:right w:val="single" w:sz="4" w:space="0" w:color="auto"/>
            </w:tcBorders>
            <w:shd w:val="clear" w:color="auto" w:fill="auto"/>
            <w:noWrap/>
            <w:vAlign w:val="center"/>
            <w:hideMark/>
          </w:tcPr>
          <w:p w14:paraId="678D6B17" w14:textId="77777777" w:rsidR="00BD7222" w:rsidRDefault="00BD7222">
            <w:pPr>
              <w:jc w:val="center"/>
              <w:rPr>
                <w:color w:val="000000"/>
              </w:rPr>
            </w:pPr>
            <w:r>
              <w:rPr>
                <w:color w:val="000000"/>
              </w:rPr>
              <w:t>100.00</w:t>
            </w:r>
          </w:p>
        </w:tc>
        <w:tc>
          <w:tcPr>
            <w:tcW w:w="1100" w:type="dxa"/>
            <w:tcBorders>
              <w:top w:val="nil"/>
              <w:left w:val="nil"/>
              <w:bottom w:val="single" w:sz="4" w:space="0" w:color="auto"/>
              <w:right w:val="single" w:sz="4" w:space="0" w:color="auto"/>
            </w:tcBorders>
            <w:shd w:val="clear" w:color="auto" w:fill="auto"/>
            <w:noWrap/>
            <w:vAlign w:val="center"/>
            <w:hideMark/>
          </w:tcPr>
          <w:p w14:paraId="375246FE" w14:textId="77777777" w:rsidR="00BD7222" w:rsidRDefault="00BD7222">
            <w:pPr>
              <w:jc w:val="center"/>
              <w:rPr>
                <w:color w:val="000000"/>
              </w:rPr>
            </w:pPr>
            <w:r>
              <w:rPr>
                <w:color w:val="000000"/>
              </w:rPr>
              <w:t>100.00</w:t>
            </w:r>
          </w:p>
        </w:tc>
        <w:tc>
          <w:tcPr>
            <w:tcW w:w="1100" w:type="dxa"/>
            <w:tcBorders>
              <w:top w:val="nil"/>
              <w:left w:val="nil"/>
              <w:bottom w:val="single" w:sz="4" w:space="0" w:color="auto"/>
              <w:right w:val="single" w:sz="4" w:space="0" w:color="auto"/>
            </w:tcBorders>
            <w:shd w:val="clear" w:color="auto" w:fill="auto"/>
            <w:noWrap/>
            <w:vAlign w:val="center"/>
            <w:hideMark/>
          </w:tcPr>
          <w:p w14:paraId="6A7A5EDB" w14:textId="77777777" w:rsidR="00BD7222" w:rsidRDefault="00BD7222">
            <w:pPr>
              <w:jc w:val="center"/>
              <w:rPr>
                <w:color w:val="000000"/>
              </w:rPr>
            </w:pPr>
            <w:r>
              <w:rPr>
                <w:color w:val="000000"/>
              </w:rPr>
              <w:t>100.00</w:t>
            </w:r>
          </w:p>
        </w:tc>
        <w:tc>
          <w:tcPr>
            <w:tcW w:w="1100" w:type="dxa"/>
            <w:tcBorders>
              <w:top w:val="nil"/>
              <w:left w:val="nil"/>
              <w:bottom w:val="single" w:sz="4" w:space="0" w:color="auto"/>
              <w:right w:val="single" w:sz="4" w:space="0" w:color="auto"/>
            </w:tcBorders>
            <w:shd w:val="clear" w:color="auto" w:fill="auto"/>
            <w:noWrap/>
            <w:vAlign w:val="center"/>
            <w:hideMark/>
          </w:tcPr>
          <w:p w14:paraId="7395D691" w14:textId="77777777" w:rsidR="00BD7222" w:rsidRDefault="00BD7222">
            <w:pPr>
              <w:jc w:val="center"/>
              <w:rPr>
                <w:color w:val="000000"/>
              </w:rPr>
            </w:pPr>
            <w:r>
              <w:rPr>
                <w:color w:val="000000"/>
              </w:rPr>
              <w:t>100.00</w:t>
            </w:r>
          </w:p>
        </w:tc>
      </w:tr>
      <w:tr w:rsidR="00BD7222" w14:paraId="49CFACF3" w14:textId="77777777" w:rsidTr="00BD72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2422CE7E" w14:textId="77777777" w:rsidR="00BD7222" w:rsidRDefault="00BD7222">
            <w:pPr>
              <w:jc w:val="center"/>
              <w:rPr>
                <w:color w:val="000000"/>
              </w:rPr>
            </w:pPr>
            <w:r>
              <w:rPr>
                <w:color w:val="000000"/>
              </w:rPr>
              <w:t>Mg#</w:t>
            </w:r>
          </w:p>
        </w:tc>
        <w:tc>
          <w:tcPr>
            <w:tcW w:w="1100" w:type="dxa"/>
            <w:tcBorders>
              <w:top w:val="nil"/>
              <w:left w:val="nil"/>
              <w:bottom w:val="single" w:sz="4" w:space="0" w:color="auto"/>
              <w:right w:val="single" w:sz="4" w:space="0" w:color="auto"/>
            </w:tcBorders>
            <w:shd w:val="clear" w:color="auto" w:fill="auto"/>
            <w:noWrap/>
            <w:vAlign w:val="center"/>
            <w:hideMark/>
          </w:tcPr>
          <w:p w14:paraId="66588074" w14:textId="77777777" w:rsidR="00BD7222" w:rsidRDefault="00BD7222">
            <w:pPr>
              <w:jc w:val="center"/>
              <w:rPr>
                <w:color w:val="000000"/>
              </w:rPr>
            </w:pPr>
            <w:r>
              <w:rPr>
                <w:color w:val="000000"/>
              </w:rPr>
              <w:t>81.74</w:t>
            </w:r>
          </w:p>
        </w:tc>
        <w:tc>
          <w:tcPr>
            <w:tcW w:w="1100" w:type="dxa"/>
            <w:tcBorders>
              <w:top w:val="nil"/>
              <w:left w:val="nil"/>
              <w:bottom w:val="single" w:sz="4" w:space="0" w:color="auto"/>
              <w:right w:val="single" w:sz="4" w:space="0" w:color="auto"/>
            </w:tcBorders>
            <w:shd w:val="clear" w:color="auto" w:fill="auto"/>
            <w:noWrap/>
            <w:vAlign w:val="center"/>
            <w:hideMark/>
          </w:tcPr>
          <w:p w14:paraId="6C44C352" w14:textId="77777777" w:rsidR="00BD7222" w:rsidRDefault="00BD7222">
            <w:pPr>
              <w:jc w:val="center"/>
              <w:rPr>
                <w:color w:val="000000"/>
              </w:rPr>
            </w:pPr>
            <w:r>
              <w:rPr>
                <w:color w:val="000000"/>
              </w:rPr>
              <w:t>81.02</w:t>
            </w:r>
          </w:p>
        </w:tc>
        <w:tc>
          <w:tcPr>
            <w:tcW w:w="1100" w:type="dxa"/>
            <w:tcBorders>
              <w:top w:val="nil"/>
              <w:left w:val="nil"/>
              <w:bottom w:val="single" w:sz="4" w:space="0" w:color="auto"/>
              <w:right w:val="single" w:sz="4" w:space="0" w:color="auto"/>
            </w:tcBorders>
            <w:shd w:val="clear" w:color="auto" w:fill="auto"/>
            <w:noWrap/>
            <w:vAlign w:val="center"/>
            <w:hideMark/>
          </w:tcPr>
          <w:p w14:paraId="2506112F" w14:textId="77777777" w:rsidR="00BD7222" w:rsidRDefault="00BD7222">
            <w:pPr>
              <w:jc w:val="center"/>
              <w:rPr>
                <w:color w:val="000000"/>
              </w:rPr>
            </w:pPr>
            <w:r>
              <w:rPr>
                <w:color w:val="000000"/>
              </w:rPr>
              <w:t>80.38</w:t>
            </w:r>
          </w:p>
        </w:tc>
        <w:tc>
          <w:tcPr>
            <w:tcW w:w="1100" w:type="dxa"/>
            <w:tcBorders>
              <w:top w:val="nil"/>
              <w:left w:val="nil"/>
              <w:bottom w:val="single" w:sz="4" w:space="0" w:color="auto"/>
              <w:right w:val="single" w:sz="4" w:space="0" w:color="auto"/>
            </w:tcBorders>
            <w:shd w:val="clear" w:color="auto" w:fill="auto"/>
            <w:noWrap/>
            <w:vAlign w:val="center"/>
            <w:hideMark/>
          </w:tcPr>
          <w:p w14:paraId="74CDFD3B" w14:textId="77777777" w:rsidR="00BD7222" w:rsidRDefault="00BD7222">
            <w:pPr>
              <w:jc w:val="center"/>
              <w:rPr>
                <w:color w:val="000000"/>
              </w:rPr>
            </w:pPr>
            <w:r>
              <w:rPr>
                <w:color w:val="000000"/>
              </w:rPr>
              <w:t>80.87</w:t>
            </w:r>
          </w:p>
        </w:tc>
        <w:tc>
          <w:tcPr>
            <w:tcW w:w="1100" w:type="dxa"/>
            <w:tcBorders>
              <w:top w:val="nil"/>
              <w:left w:val="nil"/>
              <w:bottom w:val="single" w:sz="4" w:space="0" w:color="auto"/>
              <w:right w:val="single" w:sz="4" w:space="0" w:color="auto"/>
            </w:tcBorders>
            <w:shd w:val="clear" w:color="auto" w:fill="auto"/>
            <w:noWrap/>
            <w:vAlign w:val="center"/>
            <w:hideMark/>
          </w:tcPr>
          <w:p w14:paraId="1D78B360" w14:textId="77777777" w:rsidR="00BD7222" w:rsidRDefault="00BD7222">
            <w:pPr>
              <w:jc w:val="center"/>
              <w:rPr>
                <w:color w:val="000000"/>
              </w:rPr>
            </w:pPr>
            <w:r>
              <w:rPr>
                <w:color w:val="000000"/>
              </w:rPr>
              <w:t>80.25</w:t>
            </w:r>
          </w:p>
        </w:tc>
        <w:tc>
          <w:tcPr>
            <w:tcW w:w="1100" w:type="dxa"/>
            <w:tcBorders>
              <w:top w:val="nil"/>
              <w:left w:val="nil"/>
              <w:bottom w:val="single" w:sz="4" w:space="0" w:color="auto"/>
              <w:right w:val="single" w:sz="4" w:space="0" w:color="auto"/>
            </w:tcBorders>
            <w:shd w:val="clear" w:color="auto" w:fill="auto"/>
            <w:noWrap/>
            <w:vAlign w:val="center"/>
            <w:hideMark/>
          </w:tcPr>
          <w:p w14:paraId="3A8635EE" w14:textId="77777777" w:rsidR="00BD7222" w:rsidRDefault="00BD7222">
            <w:pPr>
              <w:jc w:val="center"/>
              <w:rPr>
                <w:color w:val="000000"/>
              </w:rPr>
            </w:pPr>
            <w:r>
              <w:rPr>
                <w:color w:val="000000"/>
              </w:rPr>
              <w:t>79.70</w:t>
            </w:r>
          </w:p>
        </w:tc>
      </w:tr>
    </w:tbl>
    <w:p w14:paraId="1D42605A" w14:textId="0ACA6587" w:rsidR="00AC5857" w:rsidRDefault="00AC5857" w:rsidP="00AC5857">
      <w:pPr>
        <w:rPr>
          <w:color w:val="000000"/>
        </w:rPr>
      </w:pPr>
      <w:r>
        <w:rPr>
          <w:color w:val="000000"/>
        </w:rPr>
        <w:t>Major element compositions were estimated using the modal mineral proportions from models in this study and experimental mineral compositions from and Elardo et al. (2011) and Charlier et al. (2018).</w:t>
      </w:r>
    </w:p>
    <w:p w14:paraId="5AAA131E" w14:textId="0CE486F5" w:rsidR="00AC5857" w:rsidRDefault="00AC5857" w:rsidP="00AC5857">
      <w:pPr>
        <w:rPr>
          <w:color w:val="000000"/>
        </w:rPr>
      </w:pPr>
      <w:r>
        <w:rPr>
          <w:color w:val="000000"/>
        </w:rPr>
        <w:t>Hybridized Mantle Source #1 was estimated assuming mechanical mixing between IBC #1 (Table 2.4.) and EMOC (i.e., olivine from experiment LPUM 2.015 in Elardo et al. (2011)).</w:t>
      </w:r>
    </w:p>
    <w:p w14:paraId="7FA7DDBE" w14:textId="72F15F17" w:rsidR="00064E79" w:rsidRDefault="00064E79" w:rsidP="00064E79">
      <w:pPr>
        <w:rPr>
          <w:color w:val="000000"/>
        </w:rPr>
      </w:pPr>
      <w:r>
        <w:rPr>
          <w:color w:val="000000"/>
        </w:rPr>
        <w:t>Hybridized Mantle Source #2 was estimated assuming mechanical mixing between IBC #2 (Table 2.4.) and EMOC (i.e., olivine from experiment LPUM 2.015 in Elardo et al. (2011)).</w:t>
      </w:r>
    </w:p>
    <w:p w14:paraId="6CC09265" w14:textId="77777777" w:rsidR="0087051B" w:rsidRDefault="0087051B" w:rsidP="0087051B">
      <w:pPr>
        <w:rPr>
          <w:color w:val="000000"/>
        </w:rPr>
      </w:pPr>
      <w:r>
        <w:rPr>
          <w:color w:val="000000"/>
        </w:rPr>
        <w:t>Estimates for scenarios that assume no pre-overturn mixing occurs (i.e., Hybridized Mantle Source #1), assume that the hybridized source is composed of an 80% EMOC to 20% IBC mixture.</w:t>
      </w:r>
    </w:p>
    <w:p w14:paraId="01BB0D75" w14:textId="77777777" w:rsidR="0087051B" w:rsidRDefault="0087051B" w:rsidP="0087051B">
      <w:pPr>
        <w:rPr>
          <w:color w:val="000000"/>
        </w:rPr>
      </w:pPr>
      <w:r>
        <w:rPr>
          <w:color w:val="000000"/>
        </w:rPr>
        <w:t>Estimates for scenarios that assume pre-overturn mixing occurs (i.e., Hybridized Mantle Source #2), assume that the hybridized source is composed of a 55% EMOC to 45% IBC mixture.</w:t>
      </w:r>
    </w:p>
    <w:p w14:paraId="56BF878E" w14:textId="4B9FCC06" w:rsidR="0001733B" w:rsidRDefault="0087051B" w:rsidP="0087051B">
      <w:pPr>
        <w:rPr>
          <w:color w:val="000000"/>
        </w:rPr>
      </w:pPr>
      <w:r>
        <w:rPr>
          <w:color w:val="000000"/>
        </w:rPr>
        <w:t>Early-Crystallizing Magma Ocean Cumulate (EMOC)</w:t>
      </w:r>
    </w:p>
    <w:p w14:paraId="4C62EA11" w14:textId="77777777" w:rsidR="0001733B" w:rsidRDefault="0001733B">
      <w:pPr>
        <w:rPr>
          <w:color w:val="000000"/>
        </w:rPr>
      </w:pPr>
      <w:r>
        <w:rPr>
          <w:color w:val="000000"/>
        </w:rPr>
        <w:br w:type="page"/>
      </w:r>
    </w:p>
    <w:p w14:paraId="20147038" w14:textId="77777777" w:rsidR="0023168F" w:rsidRPr="00DB5D3F" w:rsidRDefault="0023168F" w:rsidP="008F4313">
      <w:pPr>
        <w:spacing w:line="480" w:lineRule="auto"/>
        <w:rPr>
          <w:b/>
          <w:bCs/>
        </w:rPr>
      </w:pPr>
      <w:r w:rsidRPr="00DB5D3F">
        <w:rPr>
          <w:b/>
          <w:bCs/>
        </w:rPr>
        <w:lastRenderedPageBreak/>
        <w:t>Lattice Strain Partitioning Model Development Methods and</w:t>
      </w:r>
      <w:r w:rsidRPr="00DB5D3F">
        <w:t xml:space="preserve"> </w:t>
      </w:r>
      <w:r w:rsidRPr="00DB5D3F">
        <w:rPr>
          <w:b/>
          <w:bCs/>
        </w:rPr>
        <w:t>ƒO</w:t>
      </w:r>
      <w:r w:rsidRPr="00DB5D3F">
        <w:rPr>
          <w:b/>
          <w:bCs/>
          <w:vertAlign w:val="subscript"/>
        </w:rPr>
        <w:t>2</w:t>
      </w:r>
      <w:r w:rsidRPr="00DB5D3F">
        <w:rPr>
          <w:b/>
          <w:bCs/>
        </w:rPr>
        <w:t xml:space="preserve"> Dependent Eu Approximation</w:t>
      </w:r>
    </w:p>
    <w:p w14:paraId="4EFB87C3" w14:textId="6CECFAF3" w:rsidR="00B463CA" w:rsidRPr="00B463CA" w:rsidRDefault="00B463CA" w:rsidP="00B463CA">
      <w:pPr>
        <w:spacing w:line="480" w:lineRule="auto"/>
        <w:ind w:firstLine="720"/>
        <w:rPr>
          <w:color w:val="000000" w:themeColor="text1"/>
        </w:rPr>
      </w:pPr>
      <w:r w:rsidRPr="00B463CA">
        <w:rPr>
          <w:color w:val="000000" w:themeColor="text1"/>
        </w:rPr>
        <w:t>To determine how oxygen fugacity (ƒO</w:t>
      </w:r>
      <w:r w:rsidRPr="00B463CA">
        <w:rPr>
          <w:color w:val="000000" w:themeColor="text1"/>
          <w:vertAlign w:val="subscript"/>
        </w:rPr>
        <w:t>2</w:t>
      </w:r>
      <w:r w:rsidRPr="00B463CA">
        <w:rPr>
          <w:color w:val="000000" w:themeColor="text1"/>
        </w:rPr>
        <w:t>) affects the partitioning behavior of Eu in olivine and ilmenite, we need to estimate the Eu</w:t>
      </w:r>
      <w:r w:rsidRPr="00B463CA">
        <w:rPr>
          <w:color w:val="000000" w:themeColor="text1"/>
          <w:vertAlign w:val="superscript"/>
        </w:rPr>
        <w:t>2+</w:t>
      </w:r>
      <w:r w:rsidRPr="00B463CA">
        <w:rPr>
          <w:color w:val="000000" w:themeColor="text1"/>
        </w:rPr>
        <w:t xml:space="preserve"> partition coefficient (</w:t>
      </w:r>
      <m:oMath>
        <m:sSub>
          <m:sSubPr>
            <m:ctrlPr>
              <w:rPr>
                <w:rFonts w:ascii="Cambria Math" w:hAnsi="Cambria Math"/>
                <w:i/>
                <w:color w:val="000000" w:themeColor="text1"/>
              </w:rPr>
            </m:ctrlPr>
          </m:sSubPr>
          <m:e>
            <m:r>
              <w:rPr>
                <w:rFonts w:ascii="Cambria Math" w:hAnsi="Cambria Math"/>
                <w:color w:val="000000" w:themeColor="text1"/>
              </w:rPr>
              <m:t>D</m:t>
            </m:r>
          </m:e>
          <m:sub>
            <m:sSup>
              <m:sSupPr>
                <m:ctrlPr>
                  <w:rPr>
                    <w:rFonts w:ascii="Cambria Math" w:hAnsi="Cambria Math"/>
                    <w:i/>
                    <w:color w:val="000000" w:themeColor="text1"/>
                  </w:rPr>
                </m:ctrlPr>
              </m:sSupPr>
              <m:e>
                <m:r>
                  <m:rPr>
                    <m:nor/>
                  </m:rPr>
                  <w:rPr>
                    <w:color w:val="000000" w:themeColor="text1"/>
                  </w:rPr>
                  <m:t>Eu</m:t>
                </m:r>
              </m:e>
              <m:sup>
                <m:r>
                  <w:rPr>
                    <w:rFonts w:ascii="Cambria Math" w:hAnsi="Cambria Math"/>
                    <w:color w:val="000000" w:themeColor="text1"/>
                  </w:rPr>
                  <m:t>2+</m:t>
                </m:r>
              </m:sup>
            </m:sSup>
          </m:sub>
        </m:sSub>
      </m:oMath>
      <w:r w:rsidRPr="00B463CA">
        <w:rPr>
          <w:rFonts w:eastAsiaTheme="minorEastAsia"/>
          <w:color w:val="000000" w:themeColor="text1"/>
        </w:rPr>
        <w:t>). To</w:t>
      </w:r>
      <w:r w:rsidRPr="00B463CA">
        <w:rPr>
          <w:color w:val="000000" w:themeColor="text1"/>
        </w:rPr>
        <w:t xml:space="preserve"> approximate the partitioning behavior of divalent Eu in olivine and ilmenite, we use the lattice strain model (Brice, 1975; Blundy and Wood, 1994; Wood and Blundy, 1997):</w:t>
      </w:r>
    </w:p>
    <w:p w14:paraId="259A0106" w14:textId="2EACB16A" w:rsidR="00B463CA" w:rsidRPr="00B463CA" w:rsidRDefault="00000000" w:rsidP="00E941A9">
      <w:pPr>
        <w:spacing w:line="480" w:lineRule="auto"/>
        <w:jc w:val="right"/>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j</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0</m:t>
            </m:r>
          </m:sub>
        </m:sSub>
        <m:r>
          <m:rPr>
            <m:sty m:val="p"/>
          </m:rPr>
          <w:rPr>
            <w:rFonts w:ascii="Cambria Math" w:hAnsi="Cambria Math"/>
            <w:color w:val="000000" w:themeColor="text1"/>
          </w:rPr>
          <m:t>exp⁡</m:t>
        </m:r>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-4πE</m:t>
            </m:r>
            <m:sSub>
              <m:sSubPr>
                <m:ctrlPr>
                  <w:rPr>
                    <w:rFonts w:ascii="Cambria Math" w:hAnsi="Cambria Math"/>
                    <w:i/>
                    <w:color w:val="000000" w:themeColor="text1"/>
                  </w:rPr>
                </m:ctrlPr>
              </m:sSubPr>
              <m:e>
                <m:r>
                  <w:rPr>
                    <w:rFonts w:ascii="Cambria Math" w:hAnsi="Cambria Math"/>
                    <w:color w:val="000000" w:themeColor="text1"/>
                  </w:rPr>
                  <m:t>N</m:t>
                </m:r>
              </m:e>
              <m:sub>
                <m:r>
                  <w:rPr>
                    <w:rFonts w:ascii="Cambria Math" w:hAnsi="Cambria Math"/>
                    <w:color w:val="000000" w:themeColor="text1"/>
                  </w:rPr>
                  <m:t>A</m:t>
                </m:r>
              </m:sub>
            </m:sSub>
          </m:num>
          <m:den>
            <m:r>
              <w:rPr>
                <w:rFonts w:ascii="Cambria Math" w:hAnsi="Cambria Math"/>
                <w:color w:val="000000" w:themeColor="text1"/>
              </w:rPr>
              <m:t>RT</m:t>
            </m:r>
          </m:den>
        </m:f>
        <m:d>
          <m:dPr>
            <m:ctrlPr>
              <w:rPr>
                <w:rFonts w:ascii="Cambria Math" w:hAnsi="Cambria Math"/>
                <w:i/>
                <w:color w:val="000000" w:themeColor="text1"/>
              </w:rPr>
            </m:ctrlPr>
          </m:dPr>
          <m:e>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num>
              <m:den>
                <m:r>
                  <w:rPr>
                    <w:rFonts w:ascii="Cambria Math" w:hAnsi="Cambria Math"/>
                    <w:color w:val="000000" w:themeColor="text1"/>
                  </w:rPr>
                  <m:t>2</m:t>
                </m:r>
              </m:den>
            </m:f>
            <m:sSup>
              <m:sSupPr>
                <m:ctrlPr>
                  <w:rPr>
                    <w:rFonts w:ascii="Cambria Math" w:hAnsi="Cambria Math"/>
                    <w:i/>
                    <w:color w:val="000000" w:themeColor="text1"/>
                  </w:rPr>
                </m:ctrlPr>
              </m:sSupPr>
              <m:e>
                <m:d>
                  <m:dPr>
                    <m:ctrlPr>
                      <w:rPr>
                        <w:rFonts w:ascii="Cambria Math" w:hAnsi="Cambria Math"/>
                        <w:i/>
                        <w:color w:val="000000" w:themeColor="text1"/>
                      </w:rPr>
                    </m:ctrlPr>
                  </m:dPr>
                  <m:e>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j</m:t>
                        </m:r>
                      </m:sub>
                    </m:sSub>
                  </m:e>
                </m:d>
              </m:e>
              <m:sup>
                <m:r>
                  <w:rPr>
                    <w:rFonts w:ascii="Cambria Math" w:hAnsi="Cambria Math"/>
                    <w:color w:val="000000" w:themeColor="text1"/>
                  </w:rPr>
                  <m:t>2</m:t>
                </m:r>
              </m:sup>
            </m:sSup>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3</m:t>
                </m:r>
              </m:den>
            </m:f>
            <m:sSup>
              <m:sSupPr>
                <m:ctrlPr>
                  <w:rPr>
                    <w:rFonts w:ascii="Cambria Math" w:hAnsi="Cambria Math"/>
                    <w:i/>
                    <w:color w:val="000000" w:themeColor="text1"/>
                  </w:rPr>
                </m:ctrlPr>
              </m:sSupPr>
              <m:e>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j</m:t>
                    </m:r>
                  </m:sub>
                </m:sSub>
                <m:r>
                  <w:rPr>
                    <w:rFonts w:ascii="Cambria Math" w:hAnsi="Cambria Math"/>
                    <w:color w:val="000000" w:themeColor="text1"/>
                  </w:rPr>
                  <m:t>)</m:t>
                </m:r>
              </m:e>
              <m:sup>
                <m:r>
                  <w:rPr>
                    <w:rFonts w:ascii="Cambria Math" w:hAnsi="Cambria Math"/>
                    <w:color w:val="000000" w:themeColor="text1"/>
                  </w:rPr>
                  <m:t>3</m:t>
                </m:r>
              </m:sup>
            </m:sSup>
          </m:e>
        </m:d>
        <m:r>
          <w:rPr>
            <w:rFonts w:ascii="Cambria Math" w:hAnsi="Cambria Math"/>
            <w:color w:val="000000" w:themeColor="text1"/>
          </w:rPr>
          <m:t>)</m:t>
        </m:r>
      </m:oMath>
      <w:r w:rsidR="00B463CA" w:rsidRPr="00B463CA">
        <w:rPr>
          <w:rFonts w:eastAsiaTheme="minorEastAsia"/>
          <w:color w:val="000000" w:themeColor="text1"/>
        </w:rPr>
        <w:tab/>
      </w:r>
      <w:r w:rsidR="00B463CA">
        <w:rPr>
          <w:rFonts w:eastAsiaTheme="minorEastAsia"/>
          <w:color w:val="000000" w:themeColor="text1"/>
        </w:rPr>
        <w:tab/>
      </w:r>
      <w:r w:rsidR="00B463CA">
        <w:rPr>
          <w:rFonts w:eastAsiaTheme="minorEastAsia"/>
          <w:color w:val="000000" w:themeColor="text1"/>
        </w:rPr>
        <w:tab/>
      </w:r>
      <w:r w:rsidR="00B463CA" w:rsidRPr="00B463CA">
        <w:rPr>
          <w:rFonts w:eastAsiaTheme="minorEastAsia"/>
          <w:color w:val="000000" w:themeColor="text1"/>
        </w:rPr>
        <w:t>(</w:t>
      </w:r>
      <w:r w:rsidR="00B463CA">
        <w:rPr>
          <w:rFonts w:eastAsiaTheme="minorEastAsia"/>
          <w:color w:val="000000" w:themeColor="text1"/>
        </w:rPr>
        <w:t>B</w:t>
      </w:r>
      <w:r w:rsidR="00B463CA" w:rsidRPr="00B463CA">
        <w:rPr>
          <w:rFonts w:eastAsiaTheme="minorEastAsia"/>
          <w:color w:val="000000" w:themeColor="text1"/>
        </w:rPr>
        <w:t>1)</w:t>
      </w:r>
    </w:p>
    <w:p w14:paraId="708D61FD" w14:textId="5A780A98" w:rsidR="00B463CA" w:rsidRPr="00B463CA" w:rsidRDefault="00B463CA" w:rsidP="00B463CA">
      <w:pPr>
        <w:spacing w:line="480" w:lineRule="auto"/>
        <w:rPr>
          <w:rFonts w:eastAsiaTheme="minorEastAsia"/>
          <w:color w:val="000000" w:themeColor="text1"/>
        </w:rPr>
      </w:pPr>
      <w:r w:rsidRPr="00B463CA">
        <w:rPr>
          <w:color w:val="000000" w:themeColor="text1"/>
        </w:rPr>
        <w:t xml:space="preserve">where </w:t>
      </w: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j</m:t>
            </m:r>
          </m:sub>
        </m:sSub>
        <m:r>
          <w:rPr>
            <w:rFonts w:ascii="Cambria Math" w:hAnsi="Cambria Math"/>
            <w:color w:val="000000" w:themeColor="text1"/>
          </w:rPr>
          <m:t xml:space="preserve"> </m:t>
        </m:r>
      </m:oMath>
      <w:r w:rsidRPr="00B463CA">
        <w:rPr>
          <w:rFonts w:eastAsiaTheme="minorEastAsia"/>
          <w:color w:val="000000" w:themeColor="text1"/>
        </w:rPr>
        <w:t xml:space="preserve">is the mineral-melt partition coefficient of element </w:t>
      </w:r>
      <m:oMath>
        <m:r>
          <w:rPr>
            <w:rFonts w:ascii="Cambria Math" w:eastAsiaTheme="minorEastAsia" w:hAnsi="Cambria Math"/>
            <w:color w:val="000000" w:themeColor="text1"/>
          </w:rPr>
          <m:t>j</m:t>
        </m:r>
      </m:oMath>
      <w:r w:rsidRPr="00B463CA">
        <w:rPr>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0</m:t>
            </m:r>
          </m:sub>
        </m:sSub>
      </m:oMath>
      <w:r w:rsidRPr="00B463CA">
        <w:rPr>
          <w:rFonts w:eastAsiaTheme="minorEastAsia"/>
          <w:color w:val="000000" w:themeColor="text1"/>
        </w:rPr>
        <w:t xml:space="preserve"> is the partition coefficient for a strain-free substitution;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oMath>
      <w:r w:rsidRPr="00B463CA">
        <w:rPr>
          <w:rFonts w:eastAsiaTheme="minorEastAsia"/>
          <w:color w:val="000000" w:themeColor="text1"/>
        </w:rPr>
        <w:t xml:space="preserve"> is the ideal ionic radius for the lattice site;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j</m:t>
            </m:r>
          </m:sub>
        </m:sSub>
      </m:oMath>
      <w:r w:rsidRPr="00B463CA">
        <w:rPr>
          <w:rFonts w:eastAsiaTheme="minorEastAsia"/>
          <w:color w:val="000000" w:themeColor="text1"/>
        </w:rPr>
        <w:t xml:space="preserve"> is the ionic radius of the given divalent element (i.e., Mg, Mn, Fe, Ca, etc…); </w:t>
      </w:r>
      <m:oMath>
        <m:r>
          <w:rPr>
            <w:rFonts w:ascii="Cambria Math" w:hAnsi="Cambria Math"/>
            <w:color w:val="000000" w:themeColor="text1"/>
          </w:rPr>
          <m:t>E</m:t>
        </m:r>
      </m:oMath>
      <w:r w:rsidRPr="00B463CA">
        <w:rPr>
          <w:rFonts w:eastAsiaTheme="minorEastAsia"/>
          <w:color w:val="000000" w:themeColor="text1"/>
        </w:rPr>
        <w:t xml:space="preserve"> is the effective Young’s modulus of the lattice site; </w:t>
      </w:r>
      <m:oMath>
        <m:sSub>
          <m:sSubPr>
            <m:ctrlPr>
              <w:rPr>
                <w:rFonts w:ascii="Cambria Math" w:hAnsi="Cambria Math"/>
                <w:i/>
                <w:color w:val="000000" w:themeColor="text1"/>
              </w:rPr>
            </m:ctrlPr>
          </m:sSubPr>
          <m:e>
            <m:r>
              <w:rPr>
                <w:rFonts w:ascii="Cambria Math" w:hAnsi="Cambria Math"/>
                <w:color w:val="000000" w:themeColor="text1"/>
              </w:rPr>
              <m:t>N</m:t>
            </m:r>
          </m:e>
          <m:sub>
            <m:r>
              <w:rPr>
                <w:rFonts w:ascii="Cambria Math" w:hAnsi="Cambria Math"/>
                <w:color w:val="000000" w:themeColor="text1"/>
              </w:rPr>
              <m:t>A</m:t>
            </m:r>
          </m:sub>
        </m:sSub>
      </m:oMath>
      <w:r w:rsidRPr="00B463CA">
        <w:rPr>
          <w:rFonts w:eastAsiaTheme="minorEastAsia"/>
          <w:color w:val="000000" w:themeColor="text1"/>
        </w:rPr>
        <w:t xml:space="preserve"> is Avogadro’s number; </w:t>
      </w:r>
      <m:oMath>
        <m:r>
          <w:rPr>
            <w:rFonts w:ascii="Cambria Math" w:hAnsi="Cambria Math"/>
            <w:color w:val="000000" w:themeColor="text1"/>
          </w:rPr>
          <m:t>R</m:t>
        </m:r>
      </m:oMath>
      <w:r w:rsidRPr="00B463CA">
        <w:rPr>
          <w:rFonts w:eastAsiaTheme="minorEastAsia"/>
          <w:color w:val="000000" w:themeColor="text1"/>
        </w:rPr>
        <w:t xml:space="preserve"> is the gas constant; and </w:t>
      </w:r>
      <m:oMath>
        <m:r>
          <w:rPr>
            <w:rFonts w:ascii="Cambria Math" w:eastAsiaTheme="minorEastAsia" w:hAnsi="Cambria Math"/>
            <w:color w:val="000000" w:themeColor="text1"/>
          </w:rPr>
          <m:t>T</m:t>
        </m:r>
      </m:oMath>
      <w:r w:rsidRPr="00B463CA">
        <w:rPr>
          <w:rFonts w:eastAsiaTheme="minorEastAsia"/>
          <w:color w:val="000000" w:themeColor="text1"/>
        </w:rPr>
        <w:t xml:space="preserve"> is the temperature. For both olivine and ilmenite, we use the sixfold ionic radius for divalent ions (Shannon, 1976). To develop the divalent element partitioning models for olivine and ilmenite, we used methods similar to those of Sun and Liang (2013) and compiled large datasets of experimentally determined partitioning data (</w:t>
      </w:r>
      <w:r w:rsidRPr="00B463CA">
        <w:rPr>
          <w:rFonts w:eastAsiaTheme="minorEastAsia"/>
          <w:b/>
          <w:bCs/>
          <w:color w:val="000000" w:themeColor="text1"/>
        </w:rPr>
        <w:t>Figures B1a and B2a</w:t>
      </w:r>
      <w:r w:rsidRPr="00B463CA">
        <w:rPr>
          <w:rFonts w:eastAsiaTheme="minorEastAsia"/>
          <w:color w:val="000000" w:themeColor="text1"/>
        </w:rPr>
        <w:t>). For olivine and ilmenite, we fit Eq. (</w:t>
      </w:r>
      <w:r>
        <w:rPr>
          <w:rFonts w:eastAsiaTheme="minorEastAsia"/>
          <w:color w:val="000000" w:themeColor="text1"/>
        </w:rPr>
        <w:t>B</w:t>
      </w:r>
      <w:r w:rsidRPr="00B463CA">
        <w:rPr>
          <w:rFonts w:eastAsiaTheme="minorEastAsia"/>
          <w:color w:val="000000" w:themeColor="text1"/>
        </w:rPr>
        <w:t xml:space="preserve">1) to two or three experiments at a given P-T condition to obtain parameters for </w:t>
      </w: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0</m:t>
            </m:r>
          </m:sub>
        </m:sSub>
      </m:oMath>
      <w:r w:rsidRPr="00B463CA">
        <w:rPr>
          <w:rFonts w:eastAsiaTheme="minorEastAsia"/>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oMath>
      <w:r w:rsidRPr="00B463CA">
        <w:rPr>
          <w:rFonts w:eastAsiaTheme="minorEastAsia"/>
          <w:color w:val="000000" w:themeColor="text1"/>
        </w:rPr>
        <w:t xml:space="preserve">, and </w:t>
      </w:r>
      <m:oMath>
        <m:r>
          <w:rPr>
            <w:rFonts w:ascii="Cambria Math" w:hAnsi="Cambria Math"/>
            <w:color w:val="000000" w:themeColor="text1"/>
          </w:rPr>
          <m:t>E</m:t>
        </m:r>
      </m:oMath>
      <w:r w:rsidRPr="00B463CA">
        <w:rPr>
          <w:rFonts w:eastAsiaTheme="minorEastAsia"/>
          <w:color w:val="000000" w:themeColor="text1"/>
        </w:rPr>
        <w:t xml:space="preserve"> by using nonlinear least squares method to minimize the Chi-square (</w:t>
      </w:r>
      <m:oMath>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χ</m:t>
            </m:r>
          </m:e>
          <m:sup>
            <m:r>
              <w:rPr>
                <w:rFonts w:ascii="Cambria Math" w:eastAsiaTheme="minorEastAsia" w:hAnsi="Cambria Math"/>
                <w:color w:val="000000" w:themeColor="text1"/>
              </w:rPr>
              <m:t>2</m:t>
            </m:r>
          </m:sup>
        </m:sSup>
      </m:oMath>
      <w:r w:rsidRPr="00B463CA">
        <w:rPr>
          <w:rFonts w:eastAsiaTheme="minorEastAsia"/>
          <w:color w:val="000000" w:themeColor="text1"/>
        </w:rPr>
        <w:t>) defined below.</w:t>
      </w:r>
    </w:p>
    <w:p w14:paraId="256C8904" w14:textId="613512B7" w:rsidR="00B463CA" w:rsidRPr="00B463CA" w:rsidRDefault="00000000" w:rsidP="001636D4">
      <w:pPr>
        <w:spacing w:line="480" w:lineRule="auto"/>
        <w:jc w:val="right"/>
        <w:rPr>
          <w:rFonts w:eastAsiaTheme="minorEastAsia"/>
          <w:color w:val="000000" w:themeColor="text1"/>
        </w:rPr>
      </w:pPr>
      <m:oMath>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χ</m:t>
            </m:r>
          </m:e>
          <m:sup>
            <m:r>
              <w:rPr>
                <w:rFonts w:ascii="Cambria Math" w:eastAsiaTheme="minorEastAsia" w:hAnsi="Cambria Math"/>
                <w:color w:val="000000" w:themeColor="text1"/>
              </w:rPr>
              <m:t>2</m:t>
            </m:r>
          </m:sup>
        </m:sSup>
        <m:r>
          <w:rPr>
            <w:rFonts w:ascii="Cambria Math" w:eastAsiaTheme="minorEastAsia" w:hAnsi="Cambria Math"/>
            <w:color w:val="000000" w:themeColor="text1"/>
          </w:rPr>
          <m:t>=</m:t>
        </m:r>
        <m:nary>
          <m:naryPr>
            <m:chr m:val="∑"/>
            <m:limLoc m:val="undOvr"/>
            <m:ctrlPr>
              <w:rPr>
                <w:rFonts w:ascii="Cambria Math" w:eastAsiaTheme="minorEastAsia" w:hAnsi="Cambria Math"/>
                <w:i/>
                <w:color w:val="000000" w:themeColor="text1"/>
              </w:rPr>
            </m:ctrlPr>
          </m:naryPr>
          <m:sub>
            <m:r>
              <w:rPr>
                <w:rFonts w:ascii="Cambria Math" w:eastAsiaTheme="minorEastAsia" w:hAnsi="Cambria Math"/>
                <w:color w:val="000000" w:themeColor="text1"/>
              </w:rPr>
              <m:t>j=1</m:t>
            </m:r>
          </m:sub>
          <m:sup>
            <m:r>
              <w:rPr>
                <w:rFonts w:ascii="Cambria Math" w:eastAsiaTheme="minorEastAsia" w:hAnsi="Cambria Math"/>
                <w:color w:val="000000" w:themeColor="text1"/>
              </w:rPr>
              <m:t>N</m:t>
            </m:r>
          </m:sup>
          <m:e>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(ln</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D</m:t>
                    </m:r>
                  </m:e>
                  <m:sub>
                    <m:r>
                      <w:rPr>
                        <w:rFonts w:ascii="Cambria Math" w:eastAsiaTheme="minorEastAsia" w:hAnsi="Cambria Math"/>
                        <w:color w:val="000000" w:themeColor="text1"/>
                      </w:rPr>
                      <m:t>j</m:t>
                    </m:r>
                  </m:sub>
                </m:sSub>
                <m:r>
                  <w:rPr>
                    <w:rFonts w:ascii="Cambria Math" w:eastAsiaTheme="minorEastAsia" w:hAnsi="Cambria Math"/>
                    <w:color w:val="000000" w:themeColor="text1"/>
                  </w:rPr>
                  <m:t>-ln</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D</m:t>
                    </m:r>
                  </m:e>
                  <m:sub>
                    <m:r>
                      <w:rPr>
                        <w:rFonts w:ascii="Cambria Math" w:eastAsiaTheme="minorEastAsia" w:hAnsi="Cambria Math"/>
                        <w:color w:val="000000" w:themeColor="text1"/>
                      </w:rPr>
                      <m:t>j</m:t>
                    </m:r>
                  </m:sub>
                  <m:sup>
                    <m:r>
                      <w:rPr>
                        <w:rFonts w:ascii="Cambria Math" w:eastAsiaTheme="minorEastAsia" w:hAnsi="Cambria Math"/>
                        <w:color w:val="000000" w:themeColor="text1"/>
                      </w:rPr>
                      <m:t>m</m:t>
                    </m:r>
                  </m:sup>
                </m:sSubSup>
                <m:r>
                  <w:rPr>
                    <w:rFonts w:ascii="Cambria Math" w:eastAsiaTheme="minorEastAsia" w:hAnsi="Cambria Math"/>
                    <w:color w:val="000000" w:themeColor="text1"/>
                  </w:rPr>
                  <m:t>)</m:t>
                </m:r>
              </m:e>
              <m:sup>
                <m:r>
                  <w:rPr>
                    <w:rFonts w:ascii="Cambria Math" w:eastAsiaTheme="minorEastAsia" w:hAnsi="Cambria Math"/>
                    <w:color w:val="000000" w:themeColor="text1"/>
                  </w:rPr>
                  <m:t>2</m:t>
                </m:r>
              </m:sup>
            </m:sSup>
          </m:e>
        </m:nary>
      </m:oMath>
      <w:r w:rsidR="00B463CA" w:rsidRPr="00B463CA">
        <w:rPr>
          <w:rFonts w:eastAsiaTheme="minorEastAsia"/>
          <w:color w:val="000000" w:themeColor="text1"/>
        </w:rPr>
        <w:t>,</w:t>
      </w:r>
      <w:r w:rsidR="00B463CA" w:rsidRPr="00B463CA">
        <w:rPr>
          <w:rFonts w:eastAsiaTheme="minorEastAsia"/>
          <w:color w:val="000000" w:themeColor="text1"/>
        </w:rPr>
        <w:tab/>
      </w:r>
      <w:r w:rsidR="00B463CA" w:rsidRPr="00B463CA">
        <w:rPr>
          <w:rFonts w:eastAsiaTheme="minorEastAsia"/>
          <w:color w:val="000000" w:themeColor="text1"/>
        </w:rPr>
        <w:tab/>
      </w:r>
      <w:r w:rsidR="001636D4">
        <w:rPr>
          <w:rFonts w:eastAsiaTheme="minorEastAsia"/>
          <w:color w:val="000000" w:themeColor="text1"/>
        </w:rPr>
        <w:tab/>
      </w:r>
      <w:r w:rsidR="00B463CA">
        <w:rPr>
          <w:rFonts w:eastAsiaTheme="minorEastAsia"/>
          <w:color w:val="000000" w:themeColor="text1"/>
        </w:rPr>
        <w:tab/>
      </w:r>
      <w:r w:rsidR="00B463CA" w:rsidRPr="00B463CA">
        <w:rPr>
          <w:rFonts w:eastAsiaTheme="minorEastAsia"/>
          <w:color w:val="000000" w:themeColor="text1"/>
        </w:rPr>
        <w:t>(</w:t>
      </w:r>
      <w:r w:rsidR="00B463CA">
        <w:rPr>
          <w:rFonts w:eastAsiaTheme="minorEastAsia"/>
          <w:color w:val="000000" w:themeColor="text1"/>
        </w:rPr>
        <w:t>B</w:t>
      </w:r>
      <w:r w:rsidR="00B463CA" w:rsidRPr="00B463CA">
        <w:rPr>
          <w:rFonts w:eastAsiaTheme="minorEastAsia"/>
          <w:color w:val="000000" w:themeColor="text1"/>
        </w:rPr>
        <w:t>2)</w:t>
      </w:r>
    </w:p>
    <w:p w14:paraId="4FD11753" w14:textId="61CFC25B" w:rsidR="00B463CA" w:rsidRPr="00B463CA" w:rsidRDefault="00B463CA" w:rsidP="00B463CA">
      <w:pPr>
        <w:spacing w:line="480" w:lineRule="auto"/>
        <w:rPr>
          <w:rFonts w:eastAsiaTheme="minorEastAsia"/>
          <w:color w:val="000000" w:themeColor="text1"/>
        </w:rPr>
      </w:pPr>
      <w:r w:rsidRPr="00B463CA">
        <w:rPr>
          <w:rFonts w:eastAsiaTheme="minorEastAsia"/>
          <w:color w:val="000000" w:themeColor="text1"/>
        </w:rPr>
        <w:t xml:space="preserve">where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D</m:t>
            </m:r>
          </m:e>
          <m:sub>
            <m:r>
              <w:rPr>
                <w:rFonts w:ascii="Cambria Math" w:eastAsiaTheme="minorEastAsia" w:hAnsi="Cambria Math"/>
                <w:color w:val="000000" w:themeColor="text1"/>
              </w:rPr>
              <m:t>j</m:t>
            </m:r>
          </m:sub>
        </m:sSub>
      </m:oMath>
      <w:r w:rsidRPr="00B463CA">
        <w:rPr>
          <w:rFonts w:eastAsiaTheme="minorEastAsia"/>
          <w:color w:val="000000" w:themeColor="text1"/>
        </w:rPr>
        <w:t xml:space="preserve"> is defined by Eq. (</w:t>
      </w:r>
      <w:r>
        <w:rPr>
          <w:rFonts w:eastAsiaTheme="minorEastAsia"/>
          <w:color w:val="000000" w:themeColor="text1"/>
        </w:rPr>
        <w:t>B</w:t>
      </w:r>
      <w:r w:rsidRPr="00B463CA">
        <w:rPr>
          <w:rFonts w:eastAsiaTheme="minorEastAsia"/>
          <w:color w:val="000000" w:themeColor="text1"/>
        </w:rPr>
        <w:t xml:space="preserve">1); </w:t>
      </w:r>
      <m:oMath>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D</m:t>
            </m:r>
          </m:e>
          <m:sub>
            <m:r>
              <w:rPr>
                <w:rFonts w:ascii="Cambria Math" w:eastAsiaTheme="minorEastAsia" w:hAnsi="Cambria Math"/>
                <w:color w:val="000000" w:themeColor="text1"/>
              </w:rPr>
              <m:t>j</m:t>
            </m:r>
          </m:sub>
          <m:sup>
            <m:r>
              <w:rPr>
                <w:rFonts w:ascii="Cambria Math" w:eastAsiaTheme="minorEastAsia" w:hAnsi="Cambria Math"/>
                <w:color w:val="000000" w:themeColor="text1"/>
              </w:rPr>
              <m:t>m</m:t>
            </m:r>
          </m:sup>
        </m:sSubSup>
      </m:oMath>
      <w:r w:rsidRPr="00B463CA">
        <w:rPr>
          <w:rFonts w:eastAsiaTheme="minorEastAsia"/>
          <w:color w:val="000000" w:themeColor="text1"/>
        </w:rPr>
        <w:t xml:space="preserve"> is the measured mineral-melt partition coefficient for element </w:t>
      </w:r>
      <m:oMath>
        <m:r>
          <w:rPr>
            <w:rFonts w:ascii="Cambria Math" w:eastAsiaTheme="minorEastAsia" w:hAnsi="Cambria Math"/>
            <w:color w:val="000000" w:themeColor="text1"/>
          </w:rPr>
          <m:t>j</m:t>
        </m:r>
      </m:oMath>
      <w:r w:rsidRPr="00B463CA">
        <w:rPr>
          <w:color w:val="000000" w:themeColor="text1"/>
        </w:rPr>
        <w:t xml:space="preserve">; </w:t>
      </w:r>
      <m:oMath>
        <m:r>
          <w:rPr>
            <w:rFonts w:ascii="Cambria Math" w:eastAsiaTheme="minorEastAsia" w:hAnsi="Cambria Math"/>
            <w:color w:val="000000" w:themeColor="text1"/>
          </w:rPr>
          <m:t>N</m:t>
        </m:r>
      </m:oMath>
      <w:r w:rsidRPr="00B463CA">
        <w:rPr>
          <w:rFonts w:eastAsiaTheme="minorEastAsia"/>
          <w:color w:val="000000" w:themeColor="text1"/>
        </w:rPr>
        <w:t xml:space="preserve"> is the total number of measured partitioning data used in the fit to the lattice strain model.</w:t>
      </w:r>
    </w:p>
    <w:p w14:paraId="65981EDE" w14:textId="1A720949" w:rsidR="00B463CA" w:rsidRPr="00B463CA" w:rsidRDefault="00B463CA" w:rsidP="00BC4523">
      <w:pPr>
        <w:spacing w:line="480" w:lineRule="auto"/>
        <w:ind w:firstLine="720"/>
        <w:rPr>
          <w:rFonts w:eastAsiaTheme="minorEastAsia"/>
          <w:color w:val="000000" w:themeColor="text1"/>
        </w:rPr>
      </w:pPr>
      <w:r w:rsidRPr="00B463CA">
        <w:rPr>
          <w:rFonts w:eastAsiaTheme="minorEastAsia"/>
          <w:color w:val="000000" w:themeColor="text1"/>
        </w:rPr>
        <w:lastRenderedPageBreak/>
        <w:t xml:space="preserve">These models demonstrate that the </w:t>
      </w: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0</m:t>
            </m:r>
          </m:sub>
        </m:sSub>
      </m:oMath>
      <w:r w:rsidRPr="00B463CA">
        <w:rPr>
          <w:rFonts w:eastAsiaTheme="minorEastAsia"/>
          <w:color w:val="000000" w:themeColor="text1"/>
        </w:rPr>
        <w:t xml:space="preserve"> for both olivine and ilmenite is well correlated with the </w:t>
      </w:r>
      <m:oMath>
        <m:r>
          <w:rPr>
            <w:rFonts w:ascii="Cambria Math" w:eastAsiaTheme="minorEastAsia" w:hAnsi="Cambria Math"/>
            <w:color w:val="000000" w:themeColor="text1"/>
          </w:rPr>
          <m:t>P</m:t>
        </m:r>
      </m:oMath>
      <w:r w:rsidRPr="00B463CA">
        <w:rPr>
          <w:rFonts w:eastAsiaTheme="minorEastAsia"/>
          <w:color w:val="000000" w:themeColor="text1"/>
        </w:rPr>
        <w:t>-</w:t>
      </w:r>
      <m:oMath>
        <m:r>
          <w:rPr>
            <w:rFonts w:ascii="Cambria Math" w:eastAsiaTheme="minorEastAsia" w:hAnsi="Cambria Math"/>
            <w:color w:val="000000" w:themeColor="text1"/>
          </w:rPr>
          <m:t>T</m:t>
        </m:r>
      </m:oMath>
      <w:r w:rsidRPr="00B463CA">
        <w:rPr>
          <w:rFonts w:eastAsiaTheme="minorEastAsia"/>
          <w:color w:val="000000" w:themeColor="text1"/>
        </w:rPr>
        <w:t xml:space="preserve"> conditions of the experiments, while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oMath>
      <w:r w:rsidRPr="00B463CA">
        <w:rPr>
          <w:rFonts w:eastAsiaTheme="minorEastAsia"/>
          <w:color w:val="000000" w:themeColor="text1"/>
        </w:rPr>
        <w:t xml:space="preserve"> and </w:t>
      </w:r>
      <m:oMath>
        <m:r>
          <w:rPr>
            <w:rFonts w:ascii="Cambria Math" w:hAnsi="Cambria Math"/>
            <w:color w:val="000000" w:themeColor="text1"/>
          </w:rPr>
          <m:t>E</m:t>
        </m:r>
      </m:oMath>
      <w:r w:rsidRPr="00B463CA">
        <w:rPr>
          <w:rFonts w:eastAsiaTheme="minorEastAsia"/>
          <w:color w:val="000000" w:themeColor="text1"/>
        </w:rPr>
        <w:t xml:space="preserve"> are relatively consistent regardless of the </w:t>
      </w:r>
      <m:oMath>
        <m:r>
          <w:rPr>
            <w:rFonts w:ascii="Cambria Math" w:eastAsiaTheme="minorEastAsia" w:hAnsi="Cambria Math"/>
            <w:color w:val="000000" w:themeColor="text1"/>
          </w:rPr>
          <m:t>P</m:t>
        </m:r>
      </m:oMath>
      <w:r w:rsidRPr="00B463CA">
        <w:rPr>
          <w:rFonts w:eastAsiaTheme="minorEastAsia"/>
          <w:color w:val="000000" w:themeColor="text1"/>
        </w:rPr>
        <w:t>-</w:t>
      </w:r>
      <m:oMath>
        <m:r>
          <w:rPr>
            <w:rFonts w:ascii="Cambria Math" w:eastAsiaTheme="minorEastAsia" w:hAnsi="Cambria Math"/>
            <w:color w:val="000000" w:themeColor="text1"/>
          </w:rPr>
          <m:t>T</m:t>
        </m:r>
      </m:oMath>
      <w:r w:rsidRPr="00B463CA">
        <w:rPr>
          <w:rFonts w:eastAsiaTheme="minorEastAsia"/>
          <w:color w:val="000000" w:themeColor="text1"/>
        </w:rPr>
        <w:t xml:space="preserve"> conditions. Using these observations, we found that the lattice strain parameters </w:t>
      </w: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0</m:t>
            </m:r>
          </m:sub>
        </m:sSub>
      </m:oMath>
      <w:r w:rsidRPr="00B463CA">
        <w:rPr>
          <w:rFonts w:eastAsiaTheme="minorEastAsia"/>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oMath>
      <w:r w:rsidRPr="00B463CA">
        <w:rPr>
          <w:rFonts w:eastAsiaTheme="minorEastAsia"/>
          <w:color w:val="000000" w:themeColor="text1"/>
        </w:rPr>
        <w:t xml:space="preserve">, and </w:t>
      </w:r>
      <m:oMath>
        <m:r>
          <w:rPr>
            <w:rFonts w:ascii="Cambria Math" w:hAnsi="Cambria Math"/>
            <w:color w:val="000000" w:themeColor="text1"/>
          </w:rPr>
          <m:t>E</m:t>
        </m:r>
      </m:oMath>
      <w:r w:rsidRPr="00B463CA">
        <w:rPr>
          <w:rFonts w:eastAsiaTheme="minorEastAsia"/>
          <w:color w:val="000000" w:themeColor="text1"/>
        </w:rPr>
        <w:t xml:space="preserve"> for divalent element partitioning into olivine can be described using the following expressions:</w:t>
      </w:r>
    </w:p>
    <w:p w14:paraId="17E513DA" w14:textId="44A52A85" w:rsidR="00B463CA" w:rsidRPr="00B463CA" w:rsidRDefault="00B463CA" w:rsidP="001636D4">
      <w:pPr>
        <w:spacing w:line="480" w:lineRule="auto"/>
        <w:jc w:val="right"/>
        <w:rPr>
          <w:rFonts w:eastAsiaTheme="minorEastAsia"/>
          <w:color w:val="000000" w:themeColor="text1"/>
        </w:rPr>
      </w:pPr>
      <m:oMath>
        <m:r>
          <m:rPr>
            <m:nor/>
          </m:rPr>
          <w:rPr>
            <w:rFonts w:eastAsiaTheme="minorEastAsia"/>
            <w:color w:val="000000" w:themeColor="text1"/>
          </w:rPr>
          <m:t>ln</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D</m:t>
            </m:r>
          </m:e>
          <m:sub>
            <m:r>
              <w:rPr>
                <w:rFonts w:ascii="Cambria Math" w:eastAsiaTheme="minorEastAsia" w:hAnsi="Cambria Math"/>
                <w:color w:val="000000" w:themeColor="text1"/>
              </w:rPr>
              <m:t>0</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 xml:space="preserve">= </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0</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1</m:t>
            </m:r>
          </m:sub>
          <m:sup>
            <m:r>
              <w:rPr>
                <w:rFonts w:ascii="Cambria Math" w:eastAsiaTheme="minorEastAsia" w:hAnsi="Cambria Math"/>
                <w:color w:val="000000" w:themeColor="text1"/>
              </w:rPr>
              <m:t>ol</m:t>
            </m:r>
          </m:sup>
        </m:sSubSup>
        <m:d>
          <m:dPr>
            <m:ctrlPr>
              <w:rPr>
                <w:rFonts w:ascii="Cambria Math" w:eastAsiaTheme="minorEastAsia" w:hAnsi="Cambria Math"/>
                <w:i/>
                <w:color w:val="000000" w:themeColor="text1"/>
              </w:rPr>
            </m:ctrlPr>
          </m:dPr>
          <m:e>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10000</m:t>
                </m:r>
              </m:num>
              <m:den>
                <m:r>
                  <w:rPr>
                    <w:rFonts w:ascii="Cambria Math" w:eastAsiaTheme="minorEastAsia" w:hAnsi="Cambria Math"/>
                    <w:color w:val="000000" w:themeColor="text1"/>
                  </w:rPr>
                  <m:t>RT</m:t>
                </m:r>
              </m:den>
            </m:f>
          </m:e>
        </m:d>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2</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P</m:t>
        </m:r>
      </m:oMath>
      <w:r w:rsidRPr="00B463CA">
        <w:rPr>
          <w:rFonts w:eastAsiaTheme="minorEastAsia"/>
          <w:color w:val="000000" w:themeColor="text1"/>
        </w:rPr>
        <w:t>,</w:t>
      </w:r>
      <w:r w:rsidRPr="00B463CA">
        <w:rPr>
          <w:rFonts w:eastAsiaTheme="minorEastAsia"/>
          <w:color w:val="000000" w:themeColor="text1"/>
        </w:rPr>
        <w:tab/>
      </w:r>
      <w:r w:rsidRPr="00B463CA">
        <w:rPr>
          <w:rFonts w:eastAsiaTheme="minorEastAsia"/>
          <w:color w:val="000000" w:themeColor="text1"/>
        </w:rPr>
        <w:tab/>
      </w:r>
      <w:r w:rsidRPr="00B463CA">
        <w:rPr>
          <w:rFonts w:eastAsiaTheme="minorEastAsia"/>
          <w:color w:val="000000" w:themeColor="text1"/>
        </w:rPr>
        <w:tab/>
      </w:r>
      <w:r w:rsidR="00BC4523">
        <w:rPr>
          <w:rFonts w:eastAsiaTheme="minorEastAsia"/>
          <w:color w:val="000000" w:themeColor="text1"/>
        </w:rPr>
        <w:tab/>
      </w:r>
      <w:r w:rsidRPr="00B463CA">
        <w:rPr>
          <w:rFonts w:eastAsiaTheme="minorEastAsia"/>
          <w:color w:val="000000" w:themeColor="text1"/>
        </w:rPr>
        <w:t>(</w:t>
      </w:r>
      <w:r w:rsidR="00BC4523">
        <w:rPr>
          <w:rFonts w:eastAsiaTheme="minorEastAsia"/>
          <w:color w:val="000000" w:themeColor="text1"/>
        </w:rPr>
        <w:t>B</w:t>
      </w:r>
      <w:r w:rsidRPr="00B463CA">
        <w:rPr>
          <w:rFonts w:eastAsiaTheme="minorEastAsia"/>
          <w:color w:val="000000" w:themeColor="text1"/>
        </w:rPr>
        <w:t>3)</w:t>
      </w:r>
    </w:p>
    <w:p w14:paraId="4A374692" w14:textId="61A86553" w:rsidR="00B463CA" w:rsidRPr="00B463CA" w:rsidRDefault="00000000" w:rsidP="001636D4">
      <w:pPr>
        <w:spacing w:line="480" w:lineRule="auto"/>
        <w:jc w:val="right"/>
        <w:rPr>
          <w:rFonts w:eastAsiaTheme="minorEastAsia"/>
          <w:color w:val="000000" w:themeColor="text1"/>
        </w:rPr>
      </w:pPr>
      <m:oMath>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r</m:t>
            </m:r>
          </m:e>
          <m:sub>
            <m:r>
              <w:rPr>
                <w:rFonts w:ascii="Cambria Math" w:eastAsiaTheme="minorEastAsia" w:hAnsi="Cambria Math"/>
                <w:color w:val="000000" w:themeColor="text1"/>
              </w:rPr>
              <m:t>0</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3</m:t>
            </m:r>
          </m:sub>
          <m:sup>
            <m:r>
              <w:rPr>
                <w:rFonts w:ascii="Cambria Math" w:eastAsiaTheme="minorEastAsia" w:hAnsi="Cambria Math"/>
                <w:color w:val="000000" w:themeColor="text1"/>
              </w:rPr>
              <m:t>ol</m:t>
            </m:r>
          </m:sup>
        </m:sSubSup>
      </m:oMath>
      <w:r w:rsidR="00B463CA" w:rsidRPr="00B463CA">
        <w:rPr>
          <w:rFonts w:eastAsiaTheme="minorEastAsia"/>
          <w:color w:val="000000" w:themeColor="text1"/>
        </w:rPr>
        <w:t>,</w:t>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t>(</w:t>
      </w:r>
      <w:r w:rsidR="00BC4523">
        <w:rPr>
          <w:rFonts w:eastAsiaTheme="minorEastAsia"/>
          <w:color w:val="000000" w:themeColor="text1"/>
        </w:rPr>
        <w:t>B</w:t>
      </w:r>
      <w:r w:rsidR="00B463CA" w:rsidRPr="00B463CA">
        <w:rPr>
          <w:rFonts w:eastAsiaTheme="minorEastAsia"/>
          <w:color w:val="000000" w:themeColor="text1"/>
        </w:rPr>
        <w:t>4)</w:t>
      </w:r>
    </w:p>
    <w:p w14:paraId="6C4B339B" w14:textId="7846A74A" w:rsidR="00B463CA" w:rsidRPr="00B463CA" w:rsidRDefault="00000000" w:rsidP="001636D4">
      <w:pPr>
        <w:spacing w:line="480" w:lineRule="auto"/>
        <w:jc w:val="right"/>
        <w:rPr>
          <w:rFonts w:eastAsiaTheme="minorEastAsia"/>
          <w:color w:val="000000" w:themeColor="text1"/>
        </w:rPr>
      </w:pPr>
      <m:oMath>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E</m:t>
            </m:r>
          </m:e>
          <m:sup>
            <m:r>
              <w:rPr>
                <w:rFonts w:ascii="Cambria Math" w:eastAsiaTheme="minorEastAsia" w:hAnsi="Cambria Math"/>
                <w:color w:val="000000" w:themeColor="text1"/>
              </w:rPr>
              <m:t>ol</m:t>
            </m:r>
          </m:sup>
        </m:sSup>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4</m:t>
            </m:r>
          </m:sub>
          <m:sup>
            <m:r>
              <w:rPr>
                <w:rFonts w:ascii="Cambria Math" w:eastAsiaTheme="minorEastAsia" w:hAnsi="Cambria Math"/>
                <w:color w:val="000000" w:themeColor="text1"/>
              </w:rPr>
              <m:t>ol</m:t>
            </m:r>
          </m:sup>
        </m:sSubSup>
      </m:oMath>
      <w:r w:rsidR="00B463CA" w:rsidRPr="00B463CA">
        <w:rPr>
          <w:rFonts w:eastAsiaTheme="minorEastAsia"/>
          <w:color w:val="000000" w:themeColor="text1"/>
        </w:rPr>
        <w:t>,</w:t>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t>(</w:t>
      </w:r>
      <w:r w:rsidR="00BC4523">
        <w:rPr>
          <w:rFonts w:eastAsiaTheme="minorEastAsia"/>
          <w:color w:val="000000" w:themeColor="text1"/>
        </w:rPr>
        <w:t>B</w:t>
      </w:r>
      <w:r w:rsidR="00B463CA" w:rsidRPr="00B463CA">
        <w:rPr>
          <w:rFonts w:eastAsiaTheme="minorEastAsia"/>
          <w:color w:val="000000" w:themeColor="text1"/>
        </w:rPr>
        <w:t>5)</w:t>
      </w:r>
    </w:p>
    <w:p w14:paraId="6F867C8C" w14:textId="45067BD3" w:rsidR="00B463CA" w:rsidRPr="00B463CA" w:rsidRDefault="00B463CA" w:rsidP="00B463CA">
      <w:pPr>
        <w:spacing w:line="480" w:lineRule="auto"/>
        <w:rPr>
          <w:rFonts w:eastAsiaTheme="minorEastAsia"/>
          <w:color w:val="000000" w:themeColor="text1"/>
        </w:rPr>
      </w:pPr>
      <w:r w:rsidRPr="00B463CA">
        <w:rPr>
          <w:rFonts w:eastAsiaTheme="minorEastAsia"/>
          <w:color w:val="000000" w:themeColor="text1"/>
        </w:rPr>
        <w:t xml:space="preserve">and the parameters of </w:t>
      </w: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0</m:t>
            </m:r>
          </m:sub>
        </m:sSub>
      </m:oMath>
      <w:r w:rsidRPr="00B463CA">
        <w:rPr>
          <w:rFonts w:eastAsiaTheme="minorEastAsia"/>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oMath>
      <w:r w:rsidRPr="00B463CA">
        <w:rPr>
          <w:rFonts w:eastAsiaTheme="minorEastAsia"/>
          <w:color w:val="000000" w:themeColor="text1"/>
        </w:rPr>
        <w:t xml:space="preserve">, and </w:t>
      </w:r>
      <m:oMath>
        <m:r>
          <w:rPr>
            <w:rFonts w:ascii="Cambria Math" w:hAnsi="Cambria Math"/>
            <w:color w:val="000000" w:themeColor="text1"/>
          </w:rPr>
          <m:t>E</m:t>
        </m:r>
      </m:oMath>
      <w:r w:rsidRPr="00B463CA">
        <w:rPr>
          <w:rFonts w:eastAsiaTheme="minorEastAsia"/>
          <w:color w:val="000000" w:themeColor="text1"/>
        </w:rPr>
        <w:t xml:space="preserve"> for divalent element partitioning into ilmenite can be described using the expressions:</w:t>
      </w:r>
    </w:p>
    <w:p w14:paraId="1564E81F" w14:textId="6C21D660" w:rsidR="00B463CA" w:rsidRPr="00B463CA" w:rsidRDefault="00B463CA" w:rsidP="001636D4">
      <w:pPr>
        <w:spacing w:line="480" w:lineRule="auto"/>
        <w:jc w:val="right"/>
        <w:rPr>
          <w:rFonts w:eastAsiaTheme="minorEastAsia"/>
          <w:color w:val="000000" w:themeColor="text1"/>
        </w:rPr>
      </w:pPr>
      <m:oMath>
        <m:r>
          <m:rPr>
            <m:nor/>
          </m:rPr>
          <w:rPr>
            <w:rFonts w:eastAsiaTheme="minorEastAsia"/>
            <w:color w:val="000000" w:themeColor="text1"/>
          </w:rPr>
          <m:t>ln</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D</m:t>
            </m:r>
          </m:e>
          <m:sub>
            <m:r>
              <w:rPr>
                <w:rFonts w:ascii="Cambria Math" w:eastAsiaTheme="minorEastAsia" w:hAnsi="Cambria Math"/>
                <w:color w:val="000000" w:themeColor="text1"/>
              </w:rPr>
              <m:t>0</m:t>
            </m:r>
          </m:sub>
          <m:sup>
            <m:r>
              <w:rPr>
                <w:rFonts w:ascii="Cambria Math" w:eastAsiaTheme="minorEastAsia" w:hAnsi="Cambria Math"/>
                <w:color w:val="000000" w:themeColor="text1"/>
              </w:rPr>
              <m:t>ilm</m:t>
            </m:r>
          </m:sup>
        </m:sSubSup>
        <m:r>
          <w:rPr>
            <w:rFonts w:ascii="Cambria Math" w:eastAsiaTheme="minorEastAsia" w:hAnsi="Cambria Math"/>
            <w:color w:val="000000" w:themeColor="text1"/>
          </w:rPr>
          <m:t xml:space="preserve">= </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0</m:t>
            </m:r>
          </m:sub>
          <m:sup>
            <m:r>
              <w:rPr>
                <w:rFonts w:ascii="Cambria Math" w:eastAsiaTheme="minorEastAsia" w:hAnsi="Cambria Math"/>
                <w:color w:val="000000" w:themeColor="text1"/>
              </w:rPr>
              <m:t>ilm</m:t>
            </m:r>
          </m:sup>
        </m:sSubSup>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1</m:t>
            </m:r>
          </m:sub>
          <m:sup>
            <m:r>
              <w:rPr>
                <w:rFonts w:ascii="Cambria Math" w:eastAsiaTheme="minorEastAsia" w:hAnsi="Cambria Math"/>
                <w:color w:val="000000" w:themeColor="text1"/>
              </w:rPr>
              <m:t>ilm</m:t>
            </m:r>
          </m:sup>
        </m:sSubSup>
        <m:r>
          <w:rPr>
            <w:rFonts w:ascii="Cambria Math" w:eastAsiaTheme="minorEastAsia" w:hAnsi="Cambria Math"/>
            <w:color w:val="000000" w:themeColor="text1"/>
          </w:rPr>
          <m:t>P</m:t>
        </m:r>
        <m:d>
          <m:dPr>
            <m:ctrlPr>
              <w:rPr>
                <w:rFonts w:ascii="Cambria Math" w:eastAsiaTheme="minorEastAsia" w:hAnsi="Cambria Math"/>
                <w:i/>
                <w:color w:val="000000" w:themeColor="text1"/>
              </w:rPr>
            </m:ctrlPr>
          </m:dPr>
          <m:e>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10000</m:t>
                </m:r>
              </m:num>
              <m:den>
                <m:r>
                  <w:rPr>
                    <w:rFonts w:ascii="Cambria Math" w:eastAsiaTheme="minorEastAsia" w:hAnsi="Cambria Math"/>
                    <w:color w:val="000000" w:themeColor="text1"/>
                  </w:rPr>
                  <m:t>RT</m:t>
                </m:r>
              </m:den>
            </m:f>
          </m:e>
        </m:d>
      </m:oMath>
      <w:r w:rsidRPr="00B463CA">
        <w:rPr>
          <w:rFonts w:eastAsiaTheme="minorEastAsia"/>
          <w:color w:val="000000" w:themeColor="text1"/>
        </w:rPr>
        <w:t>,</w:t>
      </w:r>
      <w:r w:rsidRPr="00B463CA">
        <w:rPr>
          <w:rFonts w:eastAsiaTheme="minorEastAsia"/>
          <w:color w:val="000000" w:themeColor="text1"/>
        </w:rPr>
        <w:tab/>
      </w:r>
      <w:r w:rsidRPr="00B463CA">
        <w:rPr>
          <w:rFonts w:eastAsiaTheme="minorEastAsia"/>
          <w:color w:val="000000" w:themeColor="text1"/>
        </w:rPr>
        <w:tab/>
      </w:r>
      <w:r w:rsidRPr="00B463CA">
        <w:rPr>
          <w:rFonts w:eastAsiaTheme="minorEastAsia"/>
          <w:color w:val="000000" w:themeColor="text1"/>
        </w:rPr>
        <w:tab/>
        <w:t>(</w:t>
      </w:r>
      <w:r w:rsidR="00BC4523">
        <w:rPr>
          <w:rFonts w:eastAsiaTheme="minorEastAsia"/>
          <w:color w:val="000000" w:themeColor="text1"/>
        </w:rPr>
        <w:t>B</w:t>
      </w:r>
      <w:r w:rsidRPr="00B463CA">
        <w:rPr>
          <w:rFonts w:eastAsiaTheme="minorEastAsia"/>
          <w:color w:val="000000" w:themeColor="text1"/>
        </w:rPr>
        <w:t>6)</w:t>
      </w:r>
    </w:p>
    <w:p w14:paraId="5B29980B" w14:textId="5D66EACE" w:rsidR="00B463CA" w:rsidRPr="00B463CA" w:rsidRDefault="00000000" w:rsidP="001636D4">
      <w:pPr>
        <w:spacing w:line="480" w:lineRule="auto"/>
        <w:jc w:val="right"/>
        <w:rPr>
          <w:rFonts w:eastAsiaTheme="minorEastAsia"/>
          <w:color w:val="000000" w:themeColor="text1"/>
        </w:rPr>
      </w:pPr>
      <m:oMath>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r</m:t>
            </m:r>
          </m:e>
          <m:sub>
            <m:r>
              <w:rPr>
                <w:rFonts w:ascii="Cambria Math" w:eastAsiaTheme="minorEastAsia" w:hAnsi="Cambria Math"/>
                <w:color w:val="000000" w:themeColor="text1"/>
              </w:rPr>
              <m:t>0</m:t>
            </m:r>
          </m:sub>
          <m:sup>
            <m:r>
              <w:rPr>
                <w:rFonts w:ascii="Cambria Math" w:eastAsiaTheme="minorEastAsia" w:hAnsi="Cambria Math"/>
                <w:color w:val="000000" w:themeColor="text1"/>
              </w:rPr>
              <m:t>ilm</m:t>
            </m:r>
          </m:sup>
        </m:sSubSup>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2</m:t>
            </m:r>
          </m:sub>
          <m:sup>
            <m:r>
              <w:rPr>
                <w:rFonts w:ascii="Cambria Math" w:eastAsiaTheme="minorEastAsia" w:hAnsi="Cambria Math"/>
                <w:color w:val="000000" w:themeColor="text1"/>
              </w:rPr>
              <m:t>ilm</m:t>
            </m:r>
          </m:sup>
        </m:sSubSup>
      </m:oMath>
      <w:r w:rsidR="00B463CA" w:rsidRPr="00B463CA">
        <w:rPr>
          <w:rFonts w:eastAsiaTheme="minorEastAsia"/>
          <w:color w:val="000000" w:themeColor="text1"/>
        </w:rPr>
        <w:t>,</w:t>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t>(</w:t>
      </w:r>
      <w:r w:rsidR="00BC4523">
        <w:rPr>
          <w:rFonts w:eastAsiaTheme="minorEastAsia"/>
          <w:color w:val="000000" w:themeColor="text1"/>
        </w:rPr>
        <w:t>B</w:t>
      </w:r>
      <w:r w:rsidR="00B463CA" w:rsidRPr="00B463CA">
        <w:rPr>
          <w:rFonts w:eastAsiaTheme="minorEastAsia"/>
          <w:color w:val="000000" w:themeColor="text1"/>
        </w:rPr>
        <w:t>7)</w:t>
      </w:r>
    </w:p>
    <w:p w14:paraId="4B4A4EF3" w14:textId="57A31DEA" w:rsidR="00B463CA" w:rsidRPr="00B463CA" w:rsidRDefault="00000000" w:rsidP="001636D4">
      <w:pPr>
        <w:spacing w:line="480" w:lineRule="auto"/>
        <w:jc w:val="right"/>
        <w:rPr>
          <w:rFonts w:eastAsiaTheme="minorEastAsia"/>
          <w:color w:val="000000" w:themeColor="text1"/>
        </w:rPr>
      </w:pPr>
      <m:oMath>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E</m:t>
            </m:r>
          </m:e>
          <m:sup>
            <m:r>
              <w:rPr>
                <w:rFonts w:ascii="Cambria Math" w:eastAsiaTheme="minorEastAsia" w:hAnsi="Cambria Math"/>
                <w:color w:val="000000" w:themeColor="text1"/>
              </w:rPr>
              <m:t>ilm</m:t>
            </m:r>
          </m:sup>
        </m:sSup>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3</m:t>
            </m:r>
          </m:sub>
          <m:sup>
            <m:r>
              <w:rPr>
                <w:rFonts w:ascii="Cambria Math" w:eastAsiaTheme="minorEastAsia" w:hAnsi="Cambria Math"/>
                <w:color w:val="000000" w:themeColor="text1"/>
              </w:rPr>
              <m:t>ilm</m:t>
            </m:r>
          </m:sup>
        </m:sSubSup>
      </m:oMath>
      <w:r w:rsidR="00B463CA" w:rsidRPr="00B463CA">
        <w:rPr>
          <w:rFonts w:eastAsiaTheme="minorEastAsia"/>
          <w:color w:val="000000" w:themeColor="text1"/>
        </w:rPr>
        <w:t>,</w:t>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t>(</w:t>
      </w:r>
      <w:r w:rsidR="00BC4523">
        <w:rPr>
          <w:rFonts w:eastAsiaTheme="minorEastAsia"/>
          <w:color w:val="000000" w:themeColor="text1"/>
        </w:rPr>
        <w:t>B</w:t>
      </w:r>
      <w:r w:rsidR="00B463CA" w:rsidRPr="00B463CA">
        <w:rPr>
          <w:rFonts w:eastAsiaTheme="minorEastAsia"/>
          <w:color w:val="000000" w:themeColor="text1"/>
        </w:rPr>
        <w:t>8)</w:t>
      </w:r>
    </w:p>
    <w:p w14:paraId="7A3AFD31" w14:textId="3111B4D9" w:rsidR="00B463CA" w:rsidRPr="00B463CA" w:rsidRDefault="00B463CA" w:rsidP="00B463CA">
      <w:pPr>
        <w:spacing w:line="480" w:lineRule="auto"/>
        <w:rPr>
          <w:rFonts w:eastAsiaTheme="minorEastAsia"/>
          <w:color w:val="000000" w:themeColor="text1"/>
        </w:rPr>
      </w:pPr>
      <w:r w:rsidRPr="00B463CA">
        <w:rPr>
          <w:rFonts w:eastAsiaTheme="minorEastAsia"/>
          <w:color w:val="000000" w:themeColor="text1"/>
        </w:rPr>
        <w:t xml:space="preserve">where </w:t>
      </w:r>
      <m:oMath>
        <m:r>
          <w:rPr>
            <w:rFonts w:ascii="Cambria Math" w:eastAsiaTheme="minorEastAsia" w:hAnsi="Cambria Math"/>
            <w:color w:val="000000" w:themeColor="text1"/>
          </w:rPr>
          <m:t>P</m:t>
        </m:r>
      </m:oMath>
      <w:r w:rsidRPr="00B463CA">
        <w:rPr>
          <w:rFonts w:eastAsiaTheme="minorEastAsia"/>
          <w:color w:val="000000" w:themeColor="text1"/>
        </w:rPr>
        <w:t xml:space="preserve"> is the pressure (GPa) of crystallization and coefficients (</w:t>
      </w:r>
      <m:oMath>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0</m:t>
            </m:r>
          </m:sub>
          <m:sup>
            <m:r>
              <w:rPr>
                <w:rFonts w:ascii="Cambria Math" w:eastAsiaTheme="minorEastAsia" w:hAnsi="Cambria Math"/>
                <w:color w:val="000000" w:themeColor="text1"/>
              </w:rPr>
              <m:t>min</m:t>
            </m:r>
          </m:sup>
        </m:sSubSup>
        <m:r>
          <w:rPr>
            <w:rFonts w:ascii="Cambria Math" w:eastAsiaTheme="minorEastAsia" w:hAnsi="Cambria Math"/>
            <w:color w:val="000000" w:themeColor="text1"/>
          </w:rPr>
          <m:t xml:space="preserve">, </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1</m:t>
            </m:r>
          </m:sub>
          <m:sup>
            <m:r>
              <w:rPr>
                <w:rFonts w:ascii="Cambria Math" w:eastAsiaTheme="minorEastAsia" w:hAnsi="Cambria Math"/>
                <w:color w:val="000000" w:themeColor="text1"/>
              </w:rPr>
              <m:t>min</m:t>
            </m:r>
          </m:sup>
        </m:sSubSup>
        <m:r>
          <w:rPr>
            <w:rFonts w:ascii="Cambria Math" w:eastAsiaTheme="minorEastAsia" w:hAnsi="Cambria Math"/>
            <w:color w:val="000000" w:themeColor="text1"/>
          </w:rPr>
          <m:t xml:space="preserve">,…, </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4</m:t>
            </m:r>
          </m:sub>
          <m:sup>
            <m:r>
              <w:rPr>
                <w:rFonts w:ascii="Cambria Math" w:eastAsiaTheme="minorEastAsia" w:hAnsi="Cambria Math"/>
                <w:color w:val="000000" w:themeColor="text1"/>
              </w:rPr>
              <m:t>min</m:t>
            </m:r>
          </m:sup>
        </m:sSubSup>
        <m:r>
          <w:rPr>
            <w:rFonts w:ascii="Cambria Math" w:eastAsiaTheme="minorEastAsia" w:hAnsi="Cambria Math"/>
            <w:color w:val="000000" w:themeColor="text1"/>
          </w:rPr>
          <m:t>)</m:t>
        </m:r>
      </m:oMath>
      <w:r w:rsidRPr="00B463CA">
        <w:rPr>
          <w:rFonts w:eastAsiaTheme="minorEastAsia"/>
          <w:color w:val="000000" w:themeColor="text1"/>
        </w:rPr>
        <w:t xml:space="preserve"> are constants for the respective minerals. Coefficients (</w:t>
      </w:r>
      <m:oMath>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0</m:t>
            </m:r>
          </m:sub>
          <m:sup>
            <m:r>
              <w:rPr>
                <w:rFonts w:ascii="Cambria Math" w:eastAsiaTheme="minorEastAsia" w:hAnsi="Cambria Math"/>
                <w:color w:val="000000" w:themeColor="text1"/>
              </w:rPr>
              <m:t>min</m:t>
            </m:r>
          </m:sup>
        </m:sSubSup>
        <m:r>
          <w:rPr>
            <w:rFonts w:ascii="Cambria Math" w:eastAsiaTheme="minorEastAsia" w:hAnsi="Cambria Math"/>
            <w:color w:val="000000" w:themeColor="text1"/>
          </w:rPr>
          <m:t xml:space="preserve">, </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1</m:t>
            </m:r>
          </m:sub>
          <m:sup>
            <m:r>
              <w:rPr>
                <w:rFonts w:ascii="Cambria Math" w:eastAsiaTheme="minorEastAsia" w:hAnsi="Cambria Math"/>
                <w:color w:val="000000" w:themeColor="text1"/>
              </w:rPr>
              <m:t>min</m:t>
            </m:r>
          </m:sup>
        </m:sSubSup>
        <m:r>
          <w:rPr>
            <w:rFonts w:ascii="Cambria Math" w:eastAsiaTheme="minorEastAsia" w:hAnsi="Cambria Math"/>
            <w:color w:val="000000" w:themeColor="text1"/>
          </w:rPr>
          <m:t xml:space="preserve">,…, </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4</m:t>
            </m:r>
          </m:sub>
          <m:sup>
            <m:r>
              <w:rPr>
                <w:rFonts w:ascii="Cambria Math" w:eastAsiaTheme="minorEastAsia" w:hAnsi="Cambria Math"/>
                <w:color w:val="000000" w:themeColor="text1"/>
              </w:rPr>
              <m:t>min</m:t>
            </m:r>
          </m:sup>
        </m:sSubSup>
        <m:r>
          <w:rPr>
            <w:rFonts w:ascii="Cambria Math" w:eastAsiaTheme="minorEastAsia" w:hAnsi="Cambria Math"/>
            <w:color w:val="000000" w:themeColor="text1"/>
          </w:rPr>
          <m:t>)</m:t>
        </m:r>
      </m:oMath>
      <w:r w:rsidRPr="00B463CA">
        <w:rPr>
          <w:rFonts w:eastAsiaTheme="minorEastAsia"/>
          <w:color w:val="000000" w:themeColor="text1"/>
        </w:rPr>
        <w:t xml:space="preserve"> were determined using nonlinear least squared regression analysis for olivine and ilmenite by substituting Eqs. (</w:t>
      </w:r>
      <w:r w:rsidR="00152E19">
        <w:rPr>
          <w:rFonts w:eastAsiaTheme="minorEastAsia"/>
          <w:color w:val="000000" w:themeColor="text1"/>
        </w:rPr>
        <w:t>B</w:t>
      </w:r>
      <w:r w:rsidRPr="00B463CA">
        <w:rPr>
          <w:rFonts w:eastAsiaTheme="minorEastAsia"/>
          <w:color w:val="000000" w:themeColor="text1"/>
        </w:rPr>
        <w:t>3)-(</w:t>
      </w:r>
      <w:r w:rsidR="00152E19">
        <w:rPr>
          <w:rFonts w:eastAsiaTheme="minorEastAsia"/>
          <w:color w:val="000000" w:themeColor="text1"/>
        </w:rPr>
        <w:t>B</w:t>
      </w:r>
      <w:r w:rsidRPr="00B463CA">
        <w:rPr>
          <w:rFonts w:eastAsiaTheme="minorEastAsia"/>
          <w:color w:val="000000" w:themeColor="text1"/>
        </w:rPr>
        <w:t>5) and (</w:t>
      </w:r>
      <w:r w:rsidR="00152E19">
        <w:rPr>
          <w:rFonts w:eastAsiaTheme="minorEastAsia"/>
          <w:color w:val="000000" w:themeColor="text1"/>
        </w:rPr>
        <w:t>B</w:t>
      </w:r>
      <w:r w:rsidRPr="00B463CA">
        <w:rPr>
          <w:rFonts w:eastAsiaTheme="minorEastAsia"/>
          <w:color w:val="000000" w:themeColor="text1"/>
        </w:rPr>
        <w:t>6)-(</w:t>
      </w:r>
      <w:r w:rsidR="00152E19">
        <w:rPr>
          <w:rFonts w:eastAsiaTheme="minorEastAsia"/>
          <w:color w:val="000000" w:themeColor="text1"/>
        </w:rPr>
        <w:t>B</w:t>
      </w:r>
      <w:r w:rsidRPr="00B463CA">
        <w:rPr>
          <w:rFonts w:eastAsiaTheme="minorEastAsia"/>
          <w:color w:val="000000" w:themeColor="text1"/>
        </w:rPr>
        <w:t>8) into Eq. (</w:t>
      </w:r>
      <w:r w:rsidR="00152E19">
        <w:rPr>
          <w:rFonts w:eastAsiaTheme="minorEastAsia"/>
          <w:color w:val="000000" w:themeColor="text1"/>
        </w:rPr>
        <w:t>B</w:t>
      </w:r>
      <w:r w:rsidRPr="00B463CA">
        <w:rPr>
          <w:rFonts w:eastAsiaTheme="minorEastAsia"/>
          <w:color w:val="000000" w:themeColor="text1"/>
        </w:rPr>
        <w:t xml:space="preserve">1), respectively (coefficients reported in </w:t>
      </w:r>
      <w:r w:rsidRPr="00686387">
        <w:rPr>
          <w:rFonts w:eastAsiaTheme="minorEastAsia"/>
          <w:b/>
          <w:bCs/>
          <w:color w:val="000000" w:themeColor="text1"/>
        </w:rPr>
        <w:t xml:space="preserve">Figures </w:t>
      </w:r>
      <w:r w:rsidR="00152E19" w:rsidRPr="00686387">
        <w:rPr>
          <w:rFonts w:eastAsiaTheme="minorEastAsia"/>
          <w:b/>
          <w:bCs/>
          <w:color w:val="000000" w:themeColor="text1"/>
        </w:rPr>
        <w:t>B</w:t>
      </w:r>
      <w:r w:rsidRPr="00686387">
        <w:rPr>
          <w:rFonts w:eastAsiaTheme="minorEastAsia"/>
          <w:b/>
          <w:bCs/>
          <w:color w:val="000000" w:themeColor="text1"/>
        </w:rPr>
        <w:t xml:space="preserve">1a and </w:t>
      </w:r>
      <w:r w:rsidR="00152E19" w:rsidRPr="00686387">
        <w:rPr>
          <w:rFonts w:eastAsiaTheme="minorEastAsia"/>
          <w:b/>
          <w:bCs/>
          <w:color w:val="000000" w:themeColor="text1"/>
        </w:rPr>
        <w:t>B</w:t>
      </w:r>
      <w:r w:rsidRPr="00686387">
        <w:rPr>
          <w:rFonts w:eastAsiaTheme="minorEastAsia"/>
          <w:b/>
          <w:bCs/>
          <w:color w:val="000000" w:themeColor="text1"/>
        </w:rPr>
        <w:t>2a</w:t>
      </w:r>
      <w:r w:rsidRPr="00B463CA">
        <w:rPr>
          <w:rFonts w:eastAsiaTheme="minorEastAsia"/>
          <w:color w:val="000000" w:themeColor="text1"/>
        </w:rPr>
        <w:t>). We inverted all coefficients simultaneously through a global inversion of 496 filtered data for olivine and 101 filtered data for ilmenite. As noted by Sun and Liang (2013), the absolute values of the Chi-square Eq. (</w:t>
      </w:r>
      <w:r w:rsidR="00152E19">
        <w:rPr>
          <w:rFonts w:eastAsiaTheme="minorEastAsia"/>
          <w:color w:val="000000" w:themeColor="text1"/>
        </w:rPr>
        <w:t>B</w:t>
      </w:r>
      <w:r w:rsidRPr="00B463CA">
        <w:rPr>
          <w:rFonts w:eastAsiaTheme="minorEastAsia"/>
          <w:color w:val="000000" w:themeColor="text1"/>
        </w:rPr>
        <w:t xml:space="preserve">2) are </w:t>
      </w:r>
      <w:r w:rsidRPr="00B463CA">
        <w:rPr>
          <w:rFonts w:eastAsiaTheme="minorEastAsia"/>
          <w:color w:val="000000" w:themeColor="text1"/>
        </w:rPr>
        <w:lastRenderedPageBreak/>
        <w:t>dependent on the number of data used in the inversion, so to better assess the goodness of fit, we calculated the Pearson’s Chi-square (</w:t>
      </w:r>
      <m:oMath>
        <m:sSubSup>
          <m:sSubSupPr>
            <m:ctrlPr>
              <w:rPr>
                <w:rFonts w:ascii="Cambria Math" w:hAnsi="Cambria Math"/>
                <w:i/>
                <w:color w:val="000000" w:themeColor="text1"/>
              </w:rPr>
            </m:ctrlPr>
          </m:sSubSupPr>
          <m:e>
            <m:r>
              <w:rPr>
                <w:rFonts w:ascii="Cambria Math" w:hAnsi="Cambria Math"/>
                <w:color w:val="000000" w:themeColor="text1"/>
              </w:rPr>
              <m:t>χ</m:t>
            </m:r>
          </m:e>
          <m:sub>
            <m:r>
              <w:rPr>
                <w:rFonts w:ascii="Cambria Math" w:hAnsi="Cambria Math"/>
                <w:color w:val="000000" w:themeColor="text1"/>
              </w:rPr>
              <m:t>P</m:t>
            </m:r>
          </m:sub>
          <m:sup>
            <m:r>
              <w:rPr>
                <w:rFonts w:ascii="Cambria Math" w:hAnsi="Cambria Math"/>
                <w:color w:val="000000" w:themeColor="text1"/>
              </w:rPr>
              <m:t>2</m:t>
            </m:r>
          </m:sup>
        </m:sSubSup>
      </m:oMath>
      <w:r w:rsidRPr="00B463CA">
        <w:rPr>
          <w:rFonts w:eastAsiaTheme="minorEastAsia"/>
          <w:color w:val="000000" w:themeColor="text1"/>
        </w:rPr>
        <w:t>):</w:t>
      </w:r>
    </w:p>
    <w:p w14:paraId="3E4A18BB" w14:textId="21B4FBA3" w:rsidR="00B463CA" w:rsidRPr="00B463CA" w:rsidRDefault="00000000" w:rsidP="004550F2">
      <w:pPr>
        <w:spacing w:line="480" w:lineRule="auto"/>
        <w:jc w:val="right"/>
        <w:rPr>
          <w:color w:val="000000" w:themeColor="text1"/>
        </w:rPr>
      </w:pPr>
      <m:oMath>
        <m:sSubSup>
          <m:sSubSupPr>
            <m:ctrlPr>
              <w:rPr>
                <w:rFonts w:ascii="Cambria Math" w:hAnsi="Cambria Math"/>
                <w:i/>
                <w:color w:val="000000" w:themeColor="text1"/>
              </w:rPr>
            </m:ctrlPr>
          </m:sSubSupPr>
          <m:e>
            <m:r>
              <w:rPr>
                <w:rFonts w:ascii="Cambria Math" w:hAnsi="Cambria Math"/>
                <w:color w:val="000000" w:themeColor="text1"/>
              </w:rPr>
              <m:t>χ</m:t>
            </m:r>
          </m:e>
          <m:sub>
            <m:r>
              <w:rPr>
                <w:rFonts w:ascii="Cambria Math" w:hAnsi="Cambria Math"/>
                <w:color w:val="000000" w:themeColor="text1"/>
              </w:rPr>
              <m:t>P</m:t>
            </m:r>
          </m:sub>
          <m:sup>
            <m:r>
              <w:rPr>
                <w:rFonts w:ascii="Cambria Math" w:hAnsi="Cambria Math"/>
                <w:color w:val="000000" w:themeColor="text1"/>
              </w:rPr>
              <m:t>2</m:t>
            </m:r>
          </m:sup>
        </m:sSubSup>
        <m:r>
          <w:rPr>
            <w:rFonts w:ascii="Cambria Math" w:hAnsi="Cambria Math"/>
            <w:color w:val="000000" w:themeColor="text1"/>
          </w:rPr>
          <m:t>=</m:t>
        </m:r>
        <m:nary>
          <m:naryPr>
            <m:chr m:val="∑"/>
            <m:limLoc m:val="undOvr"/>
            <m:ctrlPr>
              <w:rPr>
                <w:rFonts w:ascii="Cambria Math" w:hAnsi="Cambria Math"/>
                <w:i/>
                <w:color w:val="000000" w:themeColor="text1"/>
              </w:rPr>
            </m:ctrlPr>
          </m:naryPr>
          <m:sub>
            <m:r>
              <w:rPr>
                <w:rFonts w:ascii="Cambria Math" w:hAnsi="Cambria Math"/>
                <w:color w:val="000000" w:themeColor="text1"/>
              </w:rPr>
              <m:t>j=1</m:t>
            </m:r>
          </m:sub>
          <m:sup>
            <m:r>
              <w:rPr>
                <w:rFonts w:ascii="Cambria Math" w:hAnsi="Cambria Math"/>
                <w:color w:val="000000" w:themeColor="text1"/>
              </w:rPr>
              <m:t>N</m:t>
            </m:r>
          </m:sup>
          <m:e>
            <m:f>
              <m:fPr>
                <m:ctrlPr>
                  <w:rPr>
                    <w:rFonts w:ascii="Cambria Math" w:hAnsi="Cambria Math"/>
                    <w:i/>
                    <w:color w:val="000000" w:themeColor="text1"/>
                  </w:rPr>
                </m:ctrlPr>
              </m:fPr>
              <m:num>
                <m:sSup>
                  <m:sSupPr>
                    <m:ctrlPr>
                      <w:rPr>
                        <w:rFonts w:ascii="Cambria Math" w:hAnsi="Cambria Math"/>
                        <w:i/>
                        <w:color w:val="000000" w:themeColor="text1"/>
                      </w:rPr>
                    </m:ctrlPr>
                  </m:sSupPr>
                  <m:e>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j</m:t>
                        </m:r>
                      </m:sub>
                    </m:sSub>
                    <m:r>
                      <w:rPr>
                        <w:rFonts w:ascii="Cambria Math" w:hAnsi="Cambria Math"/>
                        <w:color w:val="000000" w:themeColor="text1"/>
                      </w:rPr>
                      <m:t>-</m:t>
                    </m:r>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j</m:t>
                        </m:r>
                      </m:sub>
                      <m:sup>
                        <m:r>
                          <w:rPr>
                            <w:rFonts w:ascii="Cambria Math" w:hAnsi="Cambria Math"/>
                            <w:color w:val="000000" w:themeColor="text1"/>
                          </w:rPr>
                          <m:t>m</m:t>
                        </m:r>
                      </m:sup>
                    </m:sSubSup>
                    <m:r>
                      <w:rPr>
                        <w:rFonts w:ascii="Cambria Math" w:hAnsi="Cambria Math"/>
                        <w:color w:val="000000" w:themeColor="text1"/>
                      </w:rPr>
                      <m:t>)</m:t>
                    </m:r>
                  </m:e>
                  <m:sup>
                    <m:r>
                      <w:rPr>
                        <w:rFonts w:ascii="Cambria Math" w:hAnsi="Cambria Math"/>
                        <w:color w:val="000000" w:themeColor="text1"/>
                      </w:rPr>
                      <m:t>2</m:t>
                    </m:r>
                  </m:sup>
                </m:sSup>
              </m:num>
              <m:den>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j</m:t>
                    </m:r>
                  </m:sub>
                </m:sSub>
              </m:den>
            </m:f>
          </m:e>
        </m:nary>
      </m:oMath>
      <w:r w:rsidR="00B463CA" w:rsidRPr="00B463CA">
        <w:rPr>
          <w:rFonts w:eastAsiaTheme="minorEastAsia"/>
          <w:color w:val="000000" w:themeColor="text1"/>
        </w:rPr>
        <w:t>,</w:t>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t>(</w:t>
      </w:r>
      <w:r w:rsidR="004550F2">
        <w:rPr>
          <w:rFonts w:eastAsiaTheme="minorEastAsia"/>
          <w:color w:val="000000" w:themeColor="text1"/>
        </w:rPr>
        <w:t>B</w:t>
      </w:r>
      <w:r w:rsidR="00B463CA" w:rsidRPr="00B463CA">
        <w:rPr>
          <w:rFonts w:eastAsiaTheme="minorEastAsia"/>
          <w:color w:val="000000" w:themeColor="text1"/>
        </w:rPr>
        <w:t>9)</w:t>
      </w:r>
    </w:p>
    <w:p w14:paraId="0F07ECD6" w14:textId="70D5EB28" w:rsidR="00B463CA" w:rsidRPr="00B463CA" w:rsidRDefault="00B463CA" w:rsidP="004550F2">
      <w:pPr>
        <w:spacing w:line="480" w:lineRule="auto"/>
        <w:ind w:firstLine="720"/>
        <w:rPr>
          <w:color w:val="000000" w:themeColor="text1"/>
        </w:rPr>
      </w:pPr>
      <w:r w:rsidRPr="00B463CA">
        <w:rPr>
          <w:color w:val="000000" w:themeColor="text1"/>
        </w:rPr>
        <w:t>The olivine and ilmenite models for divalent element partitioning were used to estimate the Eu</w:t>
      </w:r>
      <w:r w:rsidRPr="00B463CA">
        <w:rPr>
          <w:color w:val="000000" w:themeColor="text1"/>
          <w:vertAlign w:val="superscript"/>
        </w:rPr>
        <w:t>2+</w:t>
      </w:r>
      <w:r w:rsidRPr="00B463CA">
        <w:rPr>
          <w:color w:val="000000" w:themeColor="text1"/>
        </w:rPr>
        <w:t xml:space="preserve"> partition coefficient (</w:t>
      </w:r>
      <m:oMath>
        <m:sSub>
          <m:sSubPr>
            <m:ctrlPr>
              <w:rPr>
                <w:rFonts w:ascii="Cambria Math" w:hAnsi="Cambria Math"/>
                <w:i/>
                <w:color w:val="000000" w:themeColor="text1"/>
              </w:rPr>
            </m:ctrlPr>
          </m:sSubPr>
          <m:e>
            <m:r>
              <w:rPr>
                <w:rFonts w:ascii="Cambria Math" w:hAnsi="Cambria Math"/>
                <w:color w:val="000000" w:themeColor="text1"/>
              </w:rPr>
              <m:t>D</m:t>
            </m:r>
          </m:e>
          <m:sub>
            <m:sSup>
              <m:sSupPr>
                <m:ctrlPr>
                  <w:rPr>
                    <w:rFonts w:ascii="Cambria Math" w:hAnsi="Cambria Math"/>
                    <w:i/>
                    <w:color w:val="000000" w:themeColor="text1"/>
                  </w:rPr>
                </m:ctrlPr>
              </m:sSupPr>
              <m:e>
                <m:r>
                  <m:rPr>
                    <m:nor/>
                  </m:rPr>
                  <w:rPr>
                    <w:color w:val="000000" w:themeColor="text1"/>
                  </w:rPr>
                  <m:t>Eu</m:t>
                </m:r>
              </m:e>
              <m:sup>
                <m:r>
                  <w:rPr>
                    <w:rFonts w:ascii="Cambria Math" w:hAnsi="Cambria Math"/>
                    <w:color w:val="000000" w:themeColor="text1"/>
                  </w:rPr>
                  <m:t>2+</m:t>
                </m:r>
              </m:sup>
            </m:sSup>
          </m:sub>
        </m:sSub>
      </m:oMath>
      <w:r w:rsidRPr="00B463CA">
        <w:rPr>
          <w:rFonts w:eastAsiaTheme="minorEastAsia"/>
          <w:color w:val="000000" w:themeColor="text1"/>
        </w:rPr>
        <w:t>)</w:t>
      </w:r>
      <w:r w:rsidRPr="00B463CA">
        <w:rPr>
          <w:color w:val="000000" w:themeColor="text1"/>
        </w:rPr>
        <w:t xml:space="preserve"> for a </w:t>
      </w:r>
      <w:r w:rsidRPr="00B463CA">
        <w:rPr>
          <w:rFonts w:eastAsiaTheme="minorEastAsia"/>
          <w:color w:val="000000" w:themeColor="text1"/>
        </w:rPr>
        <w:t>sixfold ionic radius (1.17 Å; Shannon, 1976)</w:t>
      </w:r>
      <w:r w:rsidRPr="00B463CA">
        <w:rPr>
          <w:color w:val="000000" w:themeColor="text1"/>
        </w:rPr>
        <w:t xml:space="preserve"> (see </w:t>
      </w:r>
      <w:r w:rsidRPr="004550F2">
        <w:rPr>
          <w:rFonts w:eastAsiaTheme="minorEastAsia"/>
          <w:b/>
          <w:bCs/>
          <w:color w:val="000000" w:themeColor="text1"/>
        </w:rPr>
        <w:t xml:space="preserve">Figures </w:t>
      </w:r>
      <w:r w:rsidR="004550F2" w:rsidRPr="004550F2">
        <w:rPr>
          <w:rFonts w:eastAsiaTheme="minorEastAsia"/>
          <w:b/>
          <w:bCs/>
          <w:color w:val="000000" w:themeColor="text1"/>
        </w:rPr>
        <w:t>B</w:t>
      </w:r>
      <w:r w:rsidRPr="004550F2">
        <w:rPr>
          <w:rFonts w:eastAsiaTheme="minorEastAsia"/>
          <w:b/>
          <w:bCs/>
          <w:color w:val="000000" w:themeColor="text1"/>
        </w:rPr>
        <w:t xml:space="preserve">1b and </w:t>
      </w:r>
      <w:r w:rsidR="004550F2" w:rsidRPr="004550F2">
        <w:rPr>
          <w:rFonts w:eastAsiaTheme="minorEastAsia"/>
          <w:b/>
          <w:bCs/>
          <w:color w:val="000000" w:themeColor="text1"/>
        </w:rPr>
        <w:t>B</w:t>
      </w:r>
      <w:r w:rsidRPr="004550F2">
        <w:rPr>
          <w:rFonts w:eastAsiaTheme="minorEastAsia"/>
          <w:b/>
          <w:bCs/>
          <w:color w:val="000000" w:themeColor="text1"/>
        </w:rPr>
        <w:t>2b</w:t>
      </w:r>
      <w:r w:rsidRPr="00B463CA">
        <w:rPr>
          <w:rFonts w:eastAsiaTheme="minorEastAsia"/>
          <w:color w:val="000000" w:themeColor="text1"/>
        </w:rPr>
        <w:t xml:space="preserve"> for a schematic</w:t>
      </w:r>
      <w:r w:rsidRPr="00B463CA">
        <w:rPr>
          <w:color w:val="000000" w:themeColor="text1"/>
        </w:rPr>
        <w:t>). Using the same P-T conditions as the trivalent elements partitioning models within the main text (</w:t>
      </w:r>
      <w:r w:rsidRPr="004550F2">
        <w:rPr>
          <w:b/>
          <w:bCs/>
          <w:color w:val="000000" w:themeColor="text1"/>
        </w:rPr>
        <w:t xml:space="preserve">Tables </w:t>
      </w:r>
      <w:r w:rsidR="004550F2" w:rsidRPr="004550F2">
        <w:rPr>
          <w:b/>
          <w:bCs/>
          <w:color w:val="000000" w:themeColor="text1"/>
        </w:rPr>
        <w:t>2.</w:t>
      </w:r>
      <w:r w:rsidRPr="004550F2">
        <w:rPr>
          <w:b/>
          <w:bCs/>
          <w:color w:val="000000" w:themeColor="text1"/>
        </w:rPr>
        <w:t xml:space="preserve">2 and </w:t>
      </w:r>
      <w:r w:rsidR="004550F2" w:rsidRPr="004550F2">
        <w:rPr>
          <w:b/>
          <w:bCs/>
          <w:color w:val="000000" w:themeColor="text1"/>
        </w:rPr>
        <w:t>2.</w:t>
      </w:r>
      <w:r w:rsidRPr="004550F2">
        <w:rPr>
          <w:b/>
          <w:bCs/>
          <w:color w:val="000000" w:themeColor="text1"/>
        </w:rPr>
        <w:t>6</w:t>
      </w:r>
      <w:r w:rsidRPr="00B463CA">
        <w:rPr>
          <w:color w:val="000000" w:themeColor="text1"/>
        </w:rPr>
        <w:t>), we estimated the Eu</w:t>
      </w:r>
      <w:r w:rsidRPr="00B463CA">
        <w:rPr>
          <w:color w:val="000000" w:themeColor="text1"/>
          <w:vertAlign w:val="superscript"/>
        </w:rPr>
        <w:t>2+</w:t>
      </w:r>
      <w:r w:rsidRPr="00B463CA">
        <w:rPr>
          <w:color w:val="000000" w:themeColor="text1"/>
        </w:rPr>
        <w:t xml:space="preserve"> partition coefficients for the modeled olivine and ilmenite (</w:t>
      </w:r>
      <w:r w:rsidRPr="004550F2">
        <w:rPr>
          <w:rFonts w:eastAsiaTheme="minorEastAsia"/>
          <w:b/>
          <w:bCs/>
          <w:color w:val="000000" w:themeColor="text1"/>
        </w:rPr>
        <w:t xml:space="preserve">Figures </w:t>
      </w:r>
      <w:r w:rsidR="004550F2" w:rsidRPr="004550F2">
        <w:rPr>
          <w:rFonts w:eastAsiaTheme="minorEastAsia"/>
          <w:b/>
          <w:bCs/>
          <w:color w:val="000000" w:themeColor="text1"/>
        </w:rPr>
        <w:t>B</w:t>
      </w:r>
      <w:r w:rsidRPr="004550F2">
        <w:rPr>
          <w:rFonts w:eastAsiaTheme="minorEastAsia"/>
          <w:b/>
          <w:bCs/>
          <w:color w:val="000000" w:themeColor="text1"/>
        </w:rPr>
        <w:t xml:space="preserve">1c and </w:t>
      </w:r>
      <w:r w:rsidR="004550F2" w:rsidRPr="004550F2">
        <w:rPr>
          <w:rFonts w:eastAsiaTheme="minorEastAsia"/>
          <w:b/>
          <w:bCs/>
          <w:color w:val="000000" w:themeColor="text1"/>
        </w:rPr>
        <w:t>B</w:t>
      </w:r>
      <w:r w:rsidRPr="004550F2">
        <w:rPr>
          <w:rFonts w:eastAsiaTheme="minorEastAsia"/>
          <w:b/>
          <w:bCs/>
          <w:color w:val="000000" w:themeColor="text1"/>
        </w:rPr>
        <w:t>2c</w:t>
      </w:r>
      <w:r w:rsidRPr="00B463CA">
        <w:rPr>
          <w:color w:val="000000" w:themeColor="text1"/>
        </w:rPr>
        <w:t>). Using the calculated Eu</w:t>
      </w:r>
      <w:r w:rsidRPr="00B463CA">
        <w:rPr>
          <w:color w:val="000000" w:themeColor="text1"/>
          <w:vertAlign w:val="superscript"/>
        </w:rPr>
        <w:t>3+</w:t>
      </w:r>
      <w:r w:rsidRPr="00B463CA">
        <w:rPr>
          <w:color w:val="000000" w:themeColor="text1"/>
        </w:rPr>
        <w:t xml:space="preserve"> and Eu</w:t>
      </w:r>
      <w:r w:rsidRPr="00B463CA">
        <w:rPr>
          <w:color w:val="000000" w:themeColor="text1"/>
          <w:vertAlign w:val="superscript"/>
        </w:rPr>
        <w:t>2+</w:t>
      </w:r>
      <w:r w:rsidRPr="00B463CA">
        <w:rPr>
          <w:color w:val="000000" w:themeColor="text1"/>
        </w:rPr>
        <w:t xml:space="preserve"> partition coefficients (i.e., </w:t>
      </w:r>
      <m:oMath>
        <m:sSub>
          <m:sSubPr>
            <m:ctrlPr>
              <w:rPr>
                <w:rFonts w:ascii="Cambria Math" w:hAnsi="Cambria Math"/>
                <w:i/>
                <w:color w:val="000000" w:themeColor="text1"/>
              </w:rPr>
            </m:ctrlPr>
          </m:sSubPr>
          <m:e>
            <m:r>
              <w:rPr>
                <w:rFonts w:ascii="Cambria Math" w:hAnsi="Cambria Math"/>
                <w:color w:val="000000" w:themeColor="text1"/>
              </w:rPr>
              <m:t>D</m:t>
            </m:r>
          </m:e>
          <m:sub>
            <m:sSup>
              <m:sSupPr>
                <m:ctrlPr>
                  <w:rPr>
                    <w:rFonts w:ascii="Cambria Math" w:hAnsi="Cambria Math"/>
                    <w:i/>
                    <w:color w:val="000000" w:themeColor="text1"/>
                  </w:rPr>
                </m:ctrlPr>
              </m:sSupPr>
              <m:e>
                <m:r>
                  <m:rPr>
                    <m:nor/>
                  </m:rPr>
                  <w:rPr>
                    <w:color w:val="000000" w:themeColor="text1"/>
                  </w:rPr>
                  <m:t>Eu</m:t>
                </m:r>
              </m:e>
              <m:sup>
                <m:r>
                  <w:rPr>
                    <w:rFonts w:ascii="Cambria Math" w:hAnsi="Cambria Math"/>
                    <w:color w:val="000000" w:themeColor="text1"/>
                  </w:rPr>
                  <m:t>3+</m:t>
                </m:r>
              </m:sup>
            </m:sSup>
          </m:sub>
        </m:sSub>
      </m:oMath>
      <w:r w:rsidRPr="00B463CA">
        <w:rPr>
          <w:rFonts w:eastAsiaTheme="minorEastAsia"/>
          <w:color w:val="000000" w:themeColor="text1"/>
        </w:rPr>
        <w:t xml:space="preserve"> </w:t>
      </w:r>
      <w:r w:rsidRPr="00B463CA">
        <w:rPr>
          <w:color w:val="000000" w:themeColor="text1"/>
        </w:rPr>
        <w:t xml:space="preserve">and </w:t>
      </w:r>
      <m:oMath>
        <m:sSub>
          <m:sSubPr>
            <m:ctrlPr>
              <w:rPr>
                <w:rFonts w:ascii="Cambria Math" w:hAnsi="Cambria Math"/>
                <w:i/>
                <w:color w:val="000000" w:themeColor="text1"/>
              </w:rPr>
            </m:ctrlPr>
          </m:sSubPr>
          <m:e>
            <m:r>
              <w:rPr>
                <w:rFonts w:ascii="Cambria Math" w:hAnsi="Cambria Math"/>
                <w:color w:val="000000" w:themeColor="text1"/>
              </w:rPr>
              <m:t>D</m:t>
            </m:r>
          </m:e>
          <m:sub>
            <m:sSup>
              <m:sSupPr>
                <m:ctrlPr>
                  <w:rPr>
                    <w:rFonts w:ascii="Cambria Math" w:hAnsi="Cambria Math"/>
                    <w:i/>
                    <w:color w:val="000000" w:themeColor="text1"/>
                  </w:rPr>
                </m:ctrlPr>
              </m:sSupPr>
              <m:e>
                <m:r>
                  <m:rPr>
                    <m:nor/>
                  </m:rPr>
                  <w:rPr>
                    <w:color w:val="000000" w:themeColor="text1"/>
                  </w:rPr>
                  <m:t>Eu</m:t>
                </m:r>
              </m:e>
              <m:sup>
                <m:r>
                  <w:rPr>
                    <w:rFonts w:ascii="Cambria Math" w:hAnsi="Cambria Math"/>
                    <w:color w:val="000000" w:themeColor="text1"/>
                  </w:rPr>
                  <m:t>2+</m:t>
                </m:r>
              </m:sup>
            </m:sSup>
          </m:sub>
        </m:sSub>
      </m:oMath>
      <w:r w:rsidRPr="00B463CA">
        <w:rPr>
          <w:color w:val="000000" w:themeColor="text1"/>
        </w:rPr>
        <w:t>) we calculated the combined Eu partition coefficient (</w:t>
      </w:r>
      <m:oMath>
        <m:sSub>
          <m:sSubPr>
            <m:ctrlPr>
              <w:rPr>
                <w:rFonts w:ascii="Cambria Math" w:hAnsi="Cambria Math"/>
                <w:i/>
                <w:color w:val="000000" w:themeColor="text1"/>
              </w:rPr>
            </m:ctrlPr>
          </m:sSubPr>
          <m:e>
            <m:r>
              <w:rPr>
                <w:rFonts w:ascii="Cambria Math" w:hAnsi="Cambria Math"/>
                <w:color w:val="000000" w:themeColor="text1"/>
              </w:rPr>
              <m:t>D</m:t>
            </m:r>
          </m:e>
          <m:sub>
            <m:r>
              <m:rPr>
                <m:nor/>
              </m:rPr>
              <w:rPr>
                <w:color w:val="000000" w:themeColor="text1"/>
              </w:rPr>
              <m:t>Eu</m:t>
            </m:r>
          </m:sub>
        </m:sSub>
      </m:oMath>
      <w:r w:rsidRPr="00B463CA">
        <w:rPr>
          <w:rFonts w:eastAsiaTheme="minorEastAsia"/>
          <w:color w:val="000000" w:themeColor="text1"/>
        </w:rPr>
        <w:t>)</w:t>
      </w:r>
      <w:r w:rsidRPr="00B463CA">
        <w:rPr>
          <w:color w:val="000000" w:themeColor="text1"/>
        </w:rPr>
        <w:t xml:space="preserve"> using the equation from Dygert et al. (2020) below.</w:t>
      </w:r>
    </w:p>
    <w:p w14:paraId="5B4464EB" w14:textId="737440EF" w:rsidR="00B463CA" w:rsidRPr="00B463CA" w:rsidRDefault="00000000" w:rsidP="004550F2">
      <w:pPr>
        <w:spacing w:line="480" w:lineRule="auto"/>
        <w:jc w:val="right"/>
        <w:rPr>
          <w:rFonts w:eastAsiaTheme="minorEastAsia"/>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D</m:t>
            </m:r>
          </m:e>
          <m:sub>
            <m:r>
              <m:rPr>
                <m:nor/>
              </m:rPr>
              <w:rPr>
                <w:color w:val="000000" w:themeColor="text1"/>
              </w:rPr>
              <m:t>Eu</m:t>
            </m:r>
          </m:sub>
        </m:sSub>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K∙</m:t>
            </m:r>
            <m:sSub>
              <m:sSubPr>
                <m:ctrlPr>
                  <w:rPr>
                    <w:rFonts w:ascii="Cambria Math" w:hAnsi="Cambria Math"/>
                    <w:i/>
                    <w:color w:val="000000" w:themeColor="text1"/>
                  </w:rPr>
                </m:ctrlPr>
              </m:sSubPr>
              <m:e>
                <m:r>
                  <w:rPr>
                    <w:rFonts w:ascii="Cambria Math" w:hAnsi="Cambria Math"/>
                    <w:color w:val="000000" w:themeColor="text1"/>
                  </w:rPr>
                  <m:t>D</m:t>
                </m:r>
              </m:e>
              <m:sub>
                <m:sSup>
                  <m:sSupPr>
                    <m:ctrlPr>
                      <w:rPr>
                        <w:rFonts w:ascii="Cambria Math" w:hAnsi="Cambria Math"/>
                        <w:i/>
                        <w:color w:val="000000" w:themeColor="text1"/>
                      </w:rPr>
                    </m:ctrlPr>
                  </m:sSupPr>
                  <m:e>
                    <m:r>
                      <m:rPr>
                        <m:nor/>
                      </m:rPr>
                      <w:rPr>
                        <w:color w:val="000000" w:themeColor="text1"/>
                      </w:rPr>
                      <m:t>Eu</m:t>
                    </m:r>
                  </m:e>
                  <m:sup>
                    <m:r>
                      <w:rPr>
                        <w:rFonts w:ascii="Cambria Math" w:hAnsi="Cambria Math"/>
                        <w:color w:val="000000" w:themeColor="text1"/>
                      </w:rPr>
                      <m:t>2+</m:t>
                    </m:r>
                  </m:sup>
                </m:sSup>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D</m:t>
                </m:r>
              </m:e>
              <m:sub>
                <m:sSup>
                  <m:sSupPr>
                    <m:ctrlPr>
                      <w:rPr>
                        <w:rFonts w:ascii="Cambria Math" w:hAnsi="Cambria Math"/>
                        <w:i/>
                        <w:color w:val="000000" w:themeColor="text1"/>
                      </w:rPr>
                    </m:ctrlPr>
                  </m:sSupPr>
                  <m:e>
                    <m:r>
                      <m:rPr>
                        <m:nor/>
                      </m:rPr>
                      <w:rPr>
                        <w:color w:val="000000" w:themeColor="text1"/>
                      </w:rPr>
                      <m:t>Eu</m:t>
                    </m:r>
                  </m:e>
                  <m:sup>
                    <m:r>
                      <w:rPr>
                        <w:rFonts w:ascii="Cambria Math" w:hAnsi="Cambria Math"/>
                        <w:color w:val="000000" w:themeColor="text1"/>
                      </w:rPr>
                      <m:t>3+</m:t>
                    </m:r>
                  </m:sup>
                </m:sSup>
              </m:sub>
            </m:sSub>
            <m:r>
              <w:rPr>
                <w:rFonts w:ascii="Cambria Math" w:hAnsi="Cambria Math"/>
                <w:color w:val="000000" w:themeColor="text1"/>
              </w:rPr>
              <m:t>∙</m:t>
            </m:r>
            <m:sSup>
              <m:sSupPr>
                <m:ctrlPr>
                  <w:rPr>
                    <w:rFonts w:ascii="Cambria Math" w:hAnsi="Cambria Math"/>
                    <w:i/>
                    <w:color w:val="000000" w:themeColor="text1"/>
                  </w:rPr>
                </m:ctrlPr>
              </m:sSupPr>
              <m:e>
                <m:r>
                  <w:rPr>
                    <w:rFonts w:ascii="Cambria Math" w:hAnsi="Cambria Math"/>
                    <w:color w:val="000000" w:themeColor="text1"/>
                  </w:rPr>
                  <m:t>(f</m:t>
                </m:r>
                <m:sSub>
                  <m:sSubPr>
                    <m:ctrlPr>
                      <w:rPr>
                        <w:rFonts w:ascii="Cambria Math" w:hAnsi="Cambria Math"/>
                        <w:i/>
                        <w:color w:val="000000" w:themeColor="text1"/>
                      </w:rPr>
                    </m:ctrlPr>
                  </m:sSubPr>
                  <m:e>
                    <m:r>
                      <m:rPr>
                        <m:nor/>
                      </m:rPr>
                      <w:rPr>
                        <w:color w:val="000000" w:themeColor="text1"/>
                      </w:rPr>
                      <m:t>O</m:t>
                    </m:r>
                  </m:e>
                  <m:sub>
                    <m:r>
                      <w:rPr>
                        <w:rFonts w:ascii="Cambria Math" w:hAnsi="Cambria Math"/>
                        <w:color w:val="000000" w:themeColor="text1"/>
                      </w:rPr>
                      <m:t>2</m:t>
                    </m:r>
                  </m:sub>
                </m:sSub>
                <m:r>
                  <w:rPr>
                    <w:rFonts w:ascii="Cambria Math" w:hAnsi="Cambria Math"/>
                    <w:color w:val="000000" w:themeColor="text1"/>
                  </w:rPr>
                  <m:t>)</m:t>
                </m:r>
              </m:e>
              <m:sup>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4</m:t>
                    </m:r>
                  </m:den>
                </m:f>
              </m:sup>
            </m:sSup>
          </m:num>
          <m:den>
            <m:r>
              <w:rPr>
                <w:rFonts w:ascii="Cambria Math" w:hAnsi="Cambria Math"/>
                <w:color w:val="000000" w:themeColor="text1"/>
              </w:rPr>
              <m:t>K+</m:t>
            </m:r>
            <m:sSup>
              <m:sSupPr>
                <m:ctrlPr>
                  <w:rPr>
                    <w:rFonts w:ascii="Cambria Math" w:hAnsi="Cambria Math"/>
                    <w:i/>
                    <w:color w:val="000000" w:themeColor="text1"/>
                  </w:rPr>
                </m:ctrlPr>
              </m:sSupPr>
              <m:e>
                <m:r>
                  <w:rPr>
                    <w:rFonts w:ascii="Cambria Math" w:hAnsi="Cambria Math"/>
                    <w:color w:val="000000" w:themeColor="text1"/>
                  </w:rPr>
                  <m:t>(f</m:t>
                </m:r>
                <m:sSub>
                  <m:sSubPr>
                    <m:ctrlPr>
                      <w:rPr>
                        <w:rFonts w:ascii="Cambria Math" w:hAnsi="Cambria Math"/>
                        <w:i/>
                        <w:color w:val="000000" w:themeColor="text1"/>
                      </w:rPr>
                    </m:ctrlPr>
                  </m:sSubPr>
                  <m:e>
                    <m:r>
                      <m:rPr>
                        <m:nor/>
                      </m:rPr>
                      <w:rPr>
                        <w:color w:val="000000" w:themeColor="text1"/>
                      </w:rPr>
                      <m:t>O</m:t>
                    </m:r>
                  </m:e>
                  <m:sub>
                    <m:r>
                      <w:rPr>
                        <w:rFonts w:ascii="Cambria Math" w:hAnsi="Cambria Math"/>
                        <w:color w:val="000000" w:themeColor="text1"/>
                      </w:rPr>
                      <m:t>2</m:t>
                    </m:r>
                  </m:sub>
                </m:sSub>
                <m:r>
                  <w:rPr>
                    <w:rFonts w:ascii="Cambria Math" w:hAnsi="Cambria Math"/>
                    <w:color w:val="000000" w:themeColor="text1"/>
                  </w:rPr>
                  <m:t>)</m:t>
                </m:r>
              </m:e>
              <m:sup>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4</m:t>
                    </m:r>
                  </m:den>
                </m:f>
              </m:sup>
            </m:sSup>
          </m:den>
        </m:f>
      </m:oMath>
      <w:r w:rsidR="00B463CA" w:rsidRPr="00B463CA">
        <w:rPr>
          <w:rFonts w:eastAsiaTheme="minorEastAsia"/>
          <w:color w:val="000000" w:themeColor="text1"/>
        </w:rPr>
        <w:t>,</w:t>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r>
      <w:r w:rsidR="00B463CA" w:rsidRPr="00B463CA">
        <w:rPr>
          <w:rFonts w:eastAsiaTheme="minorEastAsia"/>
          <w:color w:val="000000" w:themeColor="text1"/>
        </w:rPr>
        <w:tab/>
        <w:t>(</w:t>
      </w:r>
      <w:r w:rsidR="004550F2">
        <w:rPr>
          <w:rFonts w:eastAsiaTheme="minorEastAsia"/>
          <w:color w:val="000000" w:themeColor="text1"/>
        </w:rPr>
        <w:t>B</w:t>
      </w:r>
      <w:r w:rsidR="00B463CA" w:rsidRPr="00B463CA">
        <w:rPr>
          <w:rFonts w:eastAsiaTheme="minorEastAsia"/>
          <w:color w:val="000000" w:themeColor="text1"/>
        </w:rPr>
        <w:t>10)</w:t>
      </w:r>
    </w:p>
    <w:p w14:paraId="6232A7CB" w14:textId="7E6670D0" w:rsidR="00B463CA" w:rsidRPr="00B463CA" w:rsidRDefault="00B463CA" w:rsidP="00B463CA">
      <w:pPr>
        <w:spacing w:line="480" w:lineRule="auto"/>
        <w:rPr>
          <w:rFonts w:eastAsiaTheme="minorEastAsia"/>
          <w:color w:val="000000" w:themeColor="text1"/>
        </w:rPr>
      </w:pPr>
      <w:r w:rsidRPr="00B463CA">
        <w:rPr>
          <w:rFonts w:eastAsiaTheme="minorEastAsia"/>
          <w:color w:val="000000" w:themeColor="text1"/>
        </w:rPr>
        <w:t xml:space="preserve">where </w:t>
      </w:r>
      <m:oMath>
        <m:r>
          <w:rPr>
            <w:rFonts w:ascii="Cambria Math" w:hAnsi="Cambria Math"/>
            <w:color w:val="000000" w:themeColor="text1"/>
          </w:rPr>
          <m:t>K</m:t>
        </m:r>
      </m:oMath>
      <w:r w:rsidRPr="00B463CA">
        <w:rPr>
          <w:rFonts w:eastAsiaTheme="minorEastAsia"/>
          <w:color w:val="000000" w:themeColor="text1"/>
        </w:rPr>
        <w:t xml:space="preserve"> is the equilibrium constant for the </w:t>
      </w:r>
      <m:oMath>
        <m:sSup>
          <m:sSupPr>
            <m:ctrlPr>
              <w:rPr>
                <w:rFonts w:ascii="Cambria Math" w:eastAsiaTheme="minorEastAsia" w:hAnsi="Cambria Math"/>
                <w:i/>
                <w:color w:val="000000" w:themeColor="text1"/>
              </w:rPr>
            </m:ctrlPr>
          </m:sSupPr>
          <m:e>
            <m:r>
              <m:rPr>
                <m:nor/>
              </m:rPr>
              <w:rPr>
                <w:rFonts w:eastAsiaTheme="minorEastAsia"/>
                <w:color w:val="000000" w:themeColor="text1"/>
              </w:rPr>
              <m:t>Eu</m:t>
            </m:r>
          </m:e>
          <m:sup>
            <m:r>
              <w:rPr>
                <w:rFonts w:ascii="Cambria Math" w:eastAsiaTheme="minorEastAsia" w:hAnsi="Cambria Math"/>
                <w:color w:val="000000" w:themeColor="text1"/>
              </w:rPr>
              <m:t>3+</m:t>
            </m:r>
          </m:sup>
        </m:sSup>
        <m:r>
          <w:rPr>
            <w:rFonts w:ascii="Cambria Math" w:eastAsiaTheme="minorEastAsia" w:hAnsi="Cambria Math"/>
            <w:color w:val="000000" w:themeColor="text1"/>
          </w:rPr>
          <m:t>→</m:t>
        </m:r>
        <m:sSup>
          <m:sSupPr>
            <m:ctrlPr>
              <w:rPr>
                <w:rFonts w:ascii="Cambria Math" w:eastAsiaTheme="minorEastAsia" w:hAnsi="Cambria Math"/>
                <w:i/>
                <w:color w:val="000000" w:themeColor="text1"/>
              </w:rPr>
            </m:ctrlPr>
          </m:sSupPr>
          <m:e>
            <m:r>
              <m:rPr>
                <m:nor/>
              </m:rPr>
              <w:rPr>
                <w:rFonts w:eastAsiaTheme="minorEastAsia"/>
                <w:color w:val="000000" w:themeColor="text1"/>
              </w:rPr>
              <m:t>Eu</m:t>
            </m:r>
          </m:e>
          <m:sup>
            <m:r>
              <w:rPr>
                <w:rFonts w:ascii="Cambria Math" w:eastAsiaTheme="minorEastAsia" w:hAnsi="Cambria Math"/>
                <w:color w:val="000000" w:themeColor="text1"/>
              </w:rPr>
              <m:t>2+</m:t>
            </m:r>
          </m:sup>
        </m:sSup>
      </m:oMath>
      <w:r w:rsidRPr="00B463CA">
        <w:rPr>
          <w:rFonts w:eastAsiaTheme="minorEastAsia"/>
          <w:color w:val="000000" w:themeColor="text1"/>
        </w:rPr>
        <w:t xml:space="preserve"> reduction reaction in silicate melts and </w:t>
      </w:r>
      <m:oMath>
        <m:r>
          <w:rPr>
            <w:rFonts w:ascii="Cambria Math" w:hAnsi="Cambria Math"/>
            <w:color w:val="000000" w:themeColor="text1"/>
          </w:rPr>
          <m:t>f</m:t>
        </m:r>
        <m:sSub>
          <m:sSubPr>
            <m:ctrlPr>
              <w:rPr>
                <w:rFonts w:ascii="Cambria Math" w:hAnsi="Cambria Math"/>
                <w:i/>
                <w:color w:val="000000" w:themeColor="text1"/>
              </w:rPr>
            </m:ctrlPr>
          </m:sSubPr>
          <m:e>
            <m:r>
              <m:rPr>
                <m:nor/>
              </m:rPr>
              <w:rPr>
                <w:color w:val="000000" w:themeColor="text1"/>
              </w:rPr>
              <m:t>O</m:t>
            </m:r>
          </m:e>
          <m:sub>
            <m:r>
              <w:rPr>
                <w:rFonts w:ascii="Cambria Math" w:hAnsi="Cambria Math"/>
                <w:color w:val="000000" w:themeColor="text1"/>
              </w:rPr>
              <m:t>2</m:t>
            </m:r>
          </m:sub>
        </m:sSub>
      </m:oMath>
      <w:r w:rsidRPr="00B463CA">
        <w:rPr>
          <w:rFonts w:eastAsiaTheme="minorEastAsia"/>
          <w:color w:val="000000" w:themeColor="text1"/>
        </w:rPr>
        <w:t xml:space="preserve"> is the oxygen fugacity of the melt. This constant is defined by the equation:</w:t>
      </w:r>
    </w:p>
    <w:p w14:paraId="01C432A8" w14:textId="2BCA1534" w:rsidR="00B463CA" w:rsidRPr="00B463CA" w:rsidRDefault="00B463CA" w:rsidP="004550F2">
      <w:pPr>
        <w:spacing w:line="480" w:lineRule="auto"/>
        <w:jc w:val="right"/>
        <w:rPr>
          <w:color w:val="000000" w:themeColor="text1"/>
        </w:rPr>
      </w:pPr>
      <m:oMath>
        <m:r>
          <w:rPr>
            <w:rFonts w:ascii="Cambria Math" w:hAnsi="Cambria Math"/>
            <w:color w:val="000000" w:themeColor="text1"/>
          </w:rPr>
          <m:t xml:space="preserve">K= </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M</m:t>
                    </m:r>
                  </m:e>
                  <m:sub>
                    <m:sSup>
                      <m:sSupPr>
                        <m:ctrlPr>
                          <w:rPr>
                            <w:rFonts w:ascii="Cambria Math" w:hAnsi="Cambria Math"/>
                            <w:i/>
                            <w:color w:val="000000" w:themeColor="text1"/>
                          </w:rPr>
                        </m:ctrlPr>
                      </m:sSupPr>
                      <m:e>
                        <m:r>
                          <m:rPr>
                            <m:nor/>
                          </m:rPr>
                          <w:rPr>
                            <w:color w:val="000000" w:themeColor="text1"/>
                          </w:rPr>
                          <m:t>Eu</m:t>
                        </m:r>
                      </m:e>
                      <m:sup>
                        <m:r>
                          <w:rPr>
                            <w:rFonts w:ascii="Cambria Math" w:hAnsi="Cambria Math"/>
                            <w:color w:val="000000" w:themeColor="text1"/>
                          </w:rPr>
                          <m:t>2+</m:t>
                        </m:r>
                      </m:sup>
                    </m:sSup>
                  </m:sub>
                </m:sSub>
                <m:r>
                  <w:rPr>
                    <w:rFonts w:ascii="Cambria Math" w:hAnsi="Cambria Math"/>
                    <w:color w:val="000000" w:themeColor="text1"/>
                  </w:rPr>
                  <m:t>]</m:t>
                </m:r>
              </m:e>
              <m:sub>
                <m:r>
                  <w:rPr>
                    <w:rFonts w:ascii="Cambria Math" w:hAnsi="Cambria Math"/>
                    <w:color w:val="000000" w:themeColor="text1"/>
                  </w:rPr>
                  <m:t>melt</m:t>
                </m:r>
              </m:sub>
            </m:sSub>
            <m:r>
              <w:rPr>
                <w:rFonts w:ascii="Cambria Math" w:hAnsi="Cambria Math"/>
                <w:color w:val="000000" w:themeColor="text1"/>
              </w:rPr>
              <m:t>∙</m:t>
            </m:r>
            <m:sSup>
              <m:sSupPr>
                <m:ctrlPr>
                  <w:rPr>
                    <w:rFonts w:ascii="Cambria Math" w:hAnsi="Cambria Math"/>
                    <w:i/>
                    <w:color w:val="000000" w:themeColor="text1"/>
                  </w:rPr>
                </m:ctrlPr>
              </m:sSupPr>
              <m:e>
                <m:r>
                  <w:rPr>
                    <w:rFonts w:ascii="Cambria Math" w:hAnsi="Cambria Math"/>
                    <w:color w:val="000000" w:themeColor="text1"/>
                  </w:rPr>
                  <m:t>(f</m:t>
                </m:r>
                <m:sSub>
                  <m:sSubPr>
                    <m:ctrlPr>
                      <w:rPr>
                        <w:rFonts w:ascii="Cambria Math" w:hAnsi="Cambria Math"/>
                        <w:i/>
                        <w:color w:val="000000" w:themeColor="text1"/>
                      </w:rPr>
                    </m:ctrlPr>
                  </m:sSubPr>
                  <m:e>
                    <m:r>
                      <m:rPr>
                        <m:nor/>
                      </m:rPr>
                      <w:rPr>
                        <w:color w:val="000000" w:themeColor="text1"/>
                      </w:rPr>
                      <m:t>O</m:t>
                    </m:r>
                  </m:e>
                  <m:sub>
                    <m:r>
                      <w:rPr>
                        <w:rFonts w:ascii="Cambria Math" w:hAnsi="Cambria Math"/>
                        <w:color w:val="000000" w:themeColor="text1"/>
                      </w:rPr>
                      <m:t>2</m:t>
                    </m:r>
                  </m:sub>
                </m:sSub>
                <m:r>
                  <w:rPr>
                    <w:rFonts w:ascii="Cambria Math" w:hAnsi="Cambria Math"/>
                    <w:color w:val="000000" w:themeColor="text1"/>
                  </w:rPr>
                  <m:t>)</m:t>
                </m:r>
              </m:e>
              <m:sup>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4</m:t>
                    </m:r>
                  </m:den>
                </m:f>
              </m:sup>
            </m:sSup>
          </m:num>
          <m:den>
            <m:sSub>
              <m:sSubPr>
                <m:ctrlPr>
                  <w:rPr>
                    <w:rFonts w:ascii="Cambria Math" w:hAnsi="Cambria Math"/>
                    <w:i/>
                    <w:color w:val="000000" w:themeColor="text1"/>
                  </w:rPr>
                </m:ctrlPr>
              </m:sSubPr>
              <m:e>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M</m:t>
                    </m:r>
                  </m:e>
                  <m:sub>
                    <m:sSup>
                      <m:sSupPr>
                        <m:ctrlPr>
                          <w:rPr>
                            <w:rFonts w:ascii="Cambria Math" w:hAnsi="Cambria Math"/>
                            <w:i/>
                            <w:color w:val="000000" w:themeColor="text1"/>
                          </w:rPr>
                        </m:ctrlPr>
                      </m:sSupPr>
                      <m:e>
                        <m:r>
                          <m:rPr>
                            <m:nor/>
                          </m:rPr>
                          <w:rPr>
                            <w:color w:val="000000" w:themeColor="text1"/>
                          </w:rPr>
                          <m:t>Eu</m:t>
                        </m:r>
                      </m:e>
                      <m:sup>
                        <m:r>
                          <w:rPr>
                            <w:rFonts w:ascii="Cambria Math" w:hAnsi="Cambria Math"/>
                            <w:color w:val="000000" w:themeColor="text1"/>
                          </w:rPr>
                          <m:t>3+</m:t>
                        </m:r>
                      </m:sup>
                    </m:sSup>
                  </m:sub>
                </m:sSub>
                <m:r>
                  <w:rPr>
                    <w:rFonts w:ascii="Cambria Math" w:hAnsi="Cambria Math"/>
                    <w:color w:val="000000" w:themeColor="text1"/>
                  </w:rPr>
                  <m:t>]</m:t>
                </m:r>
              </m:e>
              <m:sub>
                <m:r>
                  <w:rPr>
                    <w:rFonts w:ascii="Cambria Math" w:hAnsi="Cambria Math"/>
                    <w:color w:val="000000" w:themeColor="text1"/>
                  </w:rPr>
                  <m:t>melt</m:t>
                </m:r>
              </m:sub>
            </m:sSub>
          </m:den>
        </m:f>
      </m:oMath>
      <w:r w:rsidRPr="00B463CA">
        <w:rPr>
          <w:rFonts w:eastAsiaTheme="minorEastAsia"/>
          <w:color w:val="000000" w:themeColor="text1"/>
        </w:rPr>
        <w:t>,</w:t>
      </w:r>
      <w:r w:rsidRPr="00B463CA">
        <w:rPr>
          <w:rFonts w:eastAsiaTheme="minorEastAsia"/>
          <w:color w:val="000000" w:themeColor="text1"/>
        </w:rPr>
        <w:tab/>
      </w:r>
      <w:r w:rsidRPr="00B463CA">
        <w:rPr>
          <w:rFonts w:eastAsiaTheme="minorEastAsia"/>
          <w:color w:val="000000" w:themeColor="text1"/>
        </w:rPr>
        <w:tab/>
      </w:r>
      <w:r w:rsidRPr="00B463CA">
        <w:rPr>
          <w:rFonts w:eastAsiaTheme="minorEastAsia"/>
          <w:color w:val="000000" w:themeColor="text1"/>
        </w:rPr>
        <w:tab/>
      </w:r>
      <w:r w:rsidRPr="00B463CA">
        <w:rPr>
          <w:rFonts w:eastAsiaTheme="minorEastAsia"/>
          <w:color w:val="000000" w:themeColor="text1"/>
        </w:rPr>
        <w:tab/>
        <w:t>(</w:t>
      </w:r>
      <w:r w:rsidR="004550F2">
        <w:rPr>
          <w:rFonts w:eastAsiaTheme="minorEastAsia"/>
          <w:color w:val="000000" w:themeColor="text1"/>
        </w:rPr>
        <w:t>B</w:t>
      </w:r>
      <w:r w:rsidRPr="00B463CA">
        <w:rPr>
          <w:rFonts w:eastAsiaTheme="minorEastAsia"/>
          <w:color w:val="000000" w:themeColor="text1"/>
        </w:rPr>
        <w:t>11)</w:t>
      </w:r>
    </w:p>
    <w:p w14:paraId="6A696340" w14:textId="335DEC2B" w:rsidR="0018484D" w:rsidRDefault="00B463CA" w:rsidP="00B463CA">
      <w:pPr>
        <w:spacing w:line="480" w:lineRule="auto"/>
        <w:rPr>
          <w:rFonts w:eastAsiaTheme="minorEastAsia"/>
          <w:color w:val="000000" w:themeColor="text1"/>
        </w:rPr>
      </w:pPr>
      <w:r w:rsidRPr="00B463CA">
        <w:rPr>
          <w:color w:val="000000" w:themeColor="text1"/>
        </w:rPr>
        <w:t xml:space="preserve">where </w:t>
      </w:r>
      <m:oMath>
        <m:sSub>
          <m:sSubPr>
            <m:ctrlPr>
              <w:rPr>
                <w:rFonts w:ascii="Cambria Math" w:hAnsi="Cambria Math"/>
                <w:i/>
                <w:color w:val="000000" w:themeColor="text1"/>
              </w:rPr>
            </m:ctrlPr>
          </m:sSubPr>
          <m:e>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M</m:t>
                </m:r>
              </m:e>
              <m:sub>
                <m:sSup>
                  <m:sSupPr>
                    <m:ctrlPr>
                      <w:rPr>
                        <w:rFonts w:ascii="Cambria Math" w:hAnsi="Cambria Math"/>
                        <w:i/>
                        <w:color w:val="000000" w:themeColor="text1"/>
                      </w:rPr>
                    </m:ctrlPr>
                  </m:sSupPr>
                  <m:e>
                    <m:r>
                      <m:rPr>
                        <m:nor/>
                      </m:rPr>
                      <w:rPr>
                        <w:color w:val="000000" w:themeColor="text1"/>
                      </w:rPr>
                      <m:t>Eu</m:t>
                    </m:r>
                  </m:e>
                  <m:sup>
                    <m:r>
                      <w:rPr>
                        <w:rFonts w:ascii="Cambria Math" w:hAnsi="Cambria Math"/>
                        <w:color w:val="000000" w:themeColor="text1"/>
                      </w:rPr>
                      <m:t>2+</m:t>
                    </m:r>
                  </m:sup>
                </m:sSup>
              </m:sub>
            </m:sSub>
            <m:r>
              <w:rPr>
                <w:rFonts w:ascii="Cambria Math" w:hAnsi="Cambria Math"/>
                <w:color w:val="000000" w:themeColor="text1"/>
              </w:rPr>
              <m:t>]</m:t>
            </m:r>
          </m:e>
          <m:sub>
            <m:r>
              <w:rPr>
                <w:rFonts w:ascii="Cambria Math" w:hAnsi="Cambria Math"/>
                <w:color w:val="000000" w:themeColor="text1"/>
              </w:rPr>
              <m:t>melt</m:t>
            </m:r>
          </m:sub>
        </m:sSub>
      </m:oMath>
      <w:r w:rsidRPr="00B463CA">
        <w:rPr>
          <w:rFonts w:eastAsiaTheme="minorEastAsia"/>
          <w:color w:val="000000" w:themeColor="text1"/>
        </w:rPr>
        <w:t xml:space="preserve"> and </w:t>
      </w:r>
      <m:oMath>
        <m:sSub>
          <m:sSubPr>
            <m:ctrlPr>
              <w:rPr>
                <w:rFonts w:ascii="Cambria Math" w:hAnsi="Cambria Math"/>
                <w:i/>
                <w:color w:val="000000" w:themeColor="text1"/>
              </w:rPr>
            </m:ctrlPr>
          </m:sSubPr>
          <m:e>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M</m:t>
                </m:r>
              </m:e>
              <m:sub>
                <m:sSup>
                  <m:sSupPr>
                    <m:ctrlPr>
                      <w:rPr>
                        <w:rFonts w:ascii="Cambria Math" w:hAnsi="Cambria Math"/>
                        <w:i/>
                        <w:color w:val="000000" w:themeColor="text1"/>
                      </w:rPr>
                    </m:ctrlPr>
                  </m:sSupPr>
                  <m:e>
                    <m:r>
                      <m:rPr>
                        <m:nor/>
                      </m:rPr>
                      <w:rPr>
                        <w:color w:val="000000" w:themeColor="text1"/>
                      </w:rPr>
                      <m:t>Eu</m:t>
                    </m:r>
                  </m:e>
                  <m:sup>
                    <m:r>
                      <w:rPr>
                        <w:rFonts w:ascii="Cambria Math" w:hAnsi="Cambria Math"/>
                        <w:color w:val="000000" w:themeColor="text1"/>
                      </w:rPr>
                      <m:t>3+</m:t>
                    </m:r>
                  </m:sup>
                </m:sSup>
              </m:sub>
            </m:sSub>
            <m:r>
              <w:rPr>
                <w:rFonts w:ascii="Cambria Math" w:hAnsi="Cambria Math"/>
                <w:color w:val="000000" w:themeColor="text1"/>
              </w:rPr>
              <m:t>]</m:t>
            </m:r>
          </m:e>
          <m:sub>
            <m:r>
              <w:rPr>
                <w:rFonts w:ascii="Cambria Math" w:hAnsi="Cambria Math"/>
                <w:color w:val="000000" w:themeColor="text1"/>
              </w:rPr>
              <m:t>melt</m:t>
            </m:r>
          </m:sub>
        </m:sSub>
      </m:oMath>
      <w:r w:rsidRPr="00B463CA">
        <w:rPr>
          <w:rFonts w:eastAsiaTheme="minorEastAsia"/>
          <w:color w:val="000000" w:themeColor="text1"/>
        </w:rPr>
        <w:t xml:space="preserve"> are the mass fraction of Eu</w:t>
      </w:r>
      <w:r w:rsidRPr="00B463CA">
        <w:rPr>
          <w:rFonts w:eastAsiaTheme="minorEastAsia"/>
          <w:color w:val="000000" w:themeColor="text1"/>
          <w:vertAlign w:val="superscript"/>
        </w:rPr>
        <w:t>2+</w:t>
      </w:r>
      <w:r w:rsidRPr="00B463CA">
        <w:rPr>
          <w:rFonts w:eastAsiaTheme="minorEastAsia"/>
          <w:color w:val="000000" w:themeColor="text1"/>
        </w:rPr>
        <w:t xml:space="preserve"> and Eu</w:t>
      </w:r>
      <w:r w:rsidRPr="00B463CA">
        <w:rPr>
          <w:rFonts w:eastAsiaTheme="minorEastAsia"/>
          <w:color w:val="000000" w:themeColor="text1"/>
          <w:vertAlign w:val="superscript"/>
        </w:rPr>
        <w:t>3+</w:t>
      </w:r>
      <w:r w:rsidRPr="00B463CA">
        <w:rPr>
          <w:rFonts w:eastAsiaTheme="minorEastAsia"/>
          <w:color w:val="000000" w:themeColor="text1"/>
        </w:rPr>
        <w:t xml:space="preserve"> in the silicate melt. Since </w:t>
      </w:r>
      <m:oMath>
        <m:r>
          <w:rPr>
            <w:rFonts w:ascii="Cambria Math" w:hAnsi="Cambria Math"/>
            <w:color w:val="000000" w:themeColor="text1"/>
          </w:rPr>
          <m:t>K</m:t>
        </m:r>
      </m:oMath>
      <w:r w:rsidRPr="00B463CA">
        <w:rPr>
          <w:rFonts w:eastAsiaTheme="minorEastAsia"/>
          <w:color w:val="000000" w:themeColor="text1"/>
        </w:rPr>
        <w:t xml:space="preserve"> has never been calculated using olivine or ilmenite partitioning data, the ƒO</w:t>
      </w:r>
      <w:r w:rsidRPr="00B463CA">
        <w:rPr>
          <w:rFonts w:eastAsiaTheme="minorEastAsia"/>
          <w:color w:val="000000" w:themeColor="text1"/>
          <w:vertAlign w:val="subscript"/>
        </w:rPr>
        <w:t>2</w:t>
      </w:r>
      <w:r w:rsidRPr="00B463CA">
        <w:rPr>
          <w:rFonts w:eastAsiaTheme="minorEastAsia"/>
          <w:color w:val="000000" w:themeColor="text1"/>
        </w:rPr>
        <w:t xml:space="preserve"> dependent Eu models in this study use the </w:t>
      </w:r>
      <m:oMath>
        <m:r>
          <w:rPr>
            <w:rFonts w:ascii="Cambria Math" w:hAnsi="Cambria Math"/>
            <w:color w:val="000000" w:themeColor="text1"/>
          </w:rPr>
          <m:t>K</m:t>
        </m:r>
      </m:oMath>
      <w:r w:rsidRPr="00B463CA">
        <w:rPr>
          <w:rFonts w:eastAsiaTheme="minorEastAsia"/>
          <w:color w:val="000000" w:themeColor="text1"/>
        </w:rPr>
        <w:t xml:space="preserve"> of (9.46x10</w:t>
      </w:r>
      <w:r w:rsidRPr="00B463CA">
        <w:rPr>
          <w:rFonts w:eastAsiaTheme="minorEastAsia"/>
          <w:color w:val="000000" w:themeColor="text1"/>
          <w:vertAlign w:val="superscript"/>
        </w:rPr>
        <w:t>-4</w:t>
      </w:r>
      <w:r w:rsidRPr="00B463CA">
        <w:rPr>
          <w:rFonts w:eastAsiaTheme="minorEastAsia"/>
          <w:color w:val="000000" w:themeColor="text1"/>
        </w:rPr>
        <w:t xml:space="preserve"> </w:t>
      </w:r>
      <w:r w:rsidRPr="00B463CA">
        <w:rPr>
          <w:rFonts w:eastAsiaTheme="minorEastAsia"/>
          <w:color w:val="000000" w:themeColor="text1"/>
        </w:rPr>
        <w:sym w:font="Symbol" w:char="F0B1"/>
      </w:r>
      <w:r w:rsidRPr="00B463CA">
        <w:rPr>
          <w:rFonts w:eastAsiaTheme="minorEastAsia"/>
          <w:color w:val="000000" w:themeColor="text1"/>
        </w:rPr>
        <w:t xml:space="preserve"> 5.5x10</w:t>
      </w:r>
      <w:r w:rsidRPr="00B463CA">
        <w:rPr>
          <w:rFonts w:eastAsiaTheme="minorEastAsia"/>
          <w:color w:val="000000" w:themeColor="text1"/>
          <w:vertAlign w:val="superscript"/>
        </w:rPr>
        <w:t>-4</w:t>
      </w:r>
      <w:r w:rsidRPr="00B463CA">
        <w:rPr>
          <w:rFonts w:eastAsiaTheme="minorEastAsia"/>
          <w:color w:val="000000" w:themeColor="text1"/>
        </w:rPr>
        <w:t>) from Dygert et</w:t>
      </w:r>
      <w:r w:rsidR="002F641F">
        <w:rPr>
          <w:rFonts w:eastAsiaTheme="minorEastAsia"/>
          <w:color w:val="000000" w:themeColor="text1"/>
        </w:rPr>
        <w:t xml:space="preserve"> </w:t>
      </w:r>
      <w:r w:rsidRPr="00B463CA">
        <w:rPr>
          <w:rFonts w:eastAsiaTheme="minorEastAsia"/>
          <w:color w:val="000000" w:themeColor="text1"/>
        </w:rPr>
        <w:t xml:space="preserve">al. (2020) to approximate the </w:t>
      </w:r>
      <m:oMath>
        <m:sSub>
          <m:sSubPr>
            <m:ctrlPr>
              <w:rPr>
                <w:rFonts w:ascii="Cambria Math" w:hAnsi="Cambria Math"/>
                <w:i/>
                <w:color w:val="000000" w:themeColor="text1"/>
              </w:rPr>
            </m:ctrlPr>
          </m:sSubPr>
          <m:e>
            <m:r>
              <w:rPr>
                <w:rFonts w:ascii="Cambria Math" w:hAnsi="Cambria Math"/>
                <w:color w:val="000000" w:themeColor="text1"/>
              </w:rPr>
              <m:t>D</m:t>
            </m:r>
          </m:e>
          <m:sub>
            <m:r>
              <m:rPr>
                <m:nor/>
              </m:rPr>
              <w:rPr>
                <w:color w:val="000000" w:themeColor="text1"/>
              </w:rPr>
              <m:t>Eu</m:t>
            </m:r>
          </m:sub>
        </m:sSub>
      </m:oMath>
      <w:r w:rsidRPr="00B463CA">
        <w:rPr>
          <w:rFonts w:eastAsiaTheme="minorEastAsia"/>
          <w:color w:val="000000" w:themeColor="text1"/>
        </w:rPr>
        <w:t xml:space="preserve"> for olivine or ilmenite (</w:t>
      </w:r>
      <w:r w:rsidRPr="00EE2C8B">
        <w:rPr>
          <w:rFonts w:eastAsiaTheme="minorEastAsia"/>
          <w:b/>
          <w:bCs/>
          <w:color w:val="000000" w:themeColor="text1"/>
        </w:rPr>
        <w:t xml:space="preserve">Figures </w:t>
      </w:r>
      <w:r w:rsidR="00EE2C8B" w:rsidRPr="00EE2C8B">
        <w:rPr>
          <w:rFonts w:eastAsiaTheme="minorEastAsia"/>
          <w:b/>
          <w:bCs/>
          <w:color w:val="000000" w:themeColor="text1"/>
        </w:rPr>
        <w:t>B</w:t>
      </w:r>
      <w:r w:rsidRPr="00EE2C8B">
        <w:rPr>
          <w:rFonts w:eastAsiaTheme="minorEastAsia"/>
          <w:b/>
          <w:bCs/>
          <w:color w:val="000000" w:themeColor="text1"/>
        </w:rPr>
        <w:t xml:space="preserve">1c and </w:t>
      </w:r>
      <w:r w:rsidR="00EE2C8B" w:rsidRPr="00EE2C8B">
        <w:rPr>
          <w:rFonts w:eastAsiaTheme="minorEastAsia"/>
          <w:b/>
          <w:bCs/>
          <w:color w:val="000000" w:themeColor="text1"/>
        </w:rPr>
        <w:t>B</w:t>
      </w:r>
      <w:r w:rsidRPr="00EE2C8B">
        <w:rPr>
          <w:rFonts w:eastAsiaTheme="minorEastAsia"/>
          <w:b/>
          <w:bCs/>
          <w:color w:val="000000" w:themeColor="text1"/>
        </w:rPr>
        <w:t>2c</w:t>
      </w:r>
      <w:r w:rsidRPr="00B463CA">
        <w:rPr>
          <w:rFonts w:eastAsiaTheme="minorEastAsia"/>
          <w:color w:val="000000" w:themeColor="text1"/>
        </w:rPr>
        <w:t>).</w:t>
      </w:r>
    </w:p>
    <w:p w14:paraId="0AA534ED" w14:textId="77777777" w:rsidR="0018484D" w:rsidRDefault="0018484D" w:rsidP="0018484D">
      <w:r w:rsidRPr="00DC25E2">
        <w:rPr>
          <w:b/>
          <w:bCs/>
        </w:rPr>
        <w:lastRenderedPageBreak/>
        <w:t>Figure B1.</w:t>
      </w:r>
      <w:r w:rsidRPr="00595E24">
        <w:t xml:space="preserve"> </w:t>
      </w:r>
      <w:r w:rsidRPr="00966892">
        <w:rPr>
          <w:color w:val="000000" w:themeColor="text1"/>
        </w:rPr>
        <w:t>Lattice Strain model for divalent element partitioning into olivine and predictive charge dependent Eu partitioning estimate. (a) Comparison of measured mineral-melt partition coefficients for Fe, Mn, and Ca in olivine and predicted partition coefficients using the parameters from this study. (b) Schematic figure showing a calculated lattice strain parabola for the literature data and how the calculated parabolas are used to determine the Eu</w:t>
      </w:r>
      <w:r w:rsidRPr="00966892">
        <w:rPr>
          <w:color w:val="000000" w:themeColor="text1"/>
          <w:vertAlign w:val="superscript"/>
        </w:rPr>
        <w:t>2+</w:t>
      </w:r>
      <w:r w:rsidRPr="00966892">
        <w:rPr>
          <w:color w:val="000000" w:themeColor="text1"/>
        </w:rPr>
        <w:t xml:space="preserve"> partitioning behavior. (c) Comparison of modeled Eu</w:t>
      </w:r>
      <w:r w:rsidRPr="00966892">
        <w:rPr>
          <w:color w:val="000000" w:themeColor="text1"/>
          <w:vertAlign w:val="superscript"/>
        </w:rPr>
        <w:t>3+</w:t>
      </w:r>
      <w:r w:rsidRPr="00966892">
        <w:rPr>
          <w:color w:val="000000" w:themeColor="text1"/>
        </w:rPr>
        <w:t xml:space="preserve"> and Eu</w:t>
      </w:r>
      <w:r w:rsidRPr="00966892">
        <w:rPr>
          <w:color w:val="000000" w:themeColor="text1"/>
          <w:vertAlign w:val="superscript"/>
        </w:rPr>
        <w:t>2+</w:t>
      </w:r>
      <w:r w:rsidRPr="00966892">
        <w:rPr>
          <w:color w:val="000000" w:themeColor="text1"/>
        </w:rPr>
        <w:t xml:space="preserve"> mineral-melt partition coefficients with the estimated Eu partition coefficient at an ƒO</w:t>
      </w:r>
      <w:r w:rsidRPr="00966892">
        <w:rPr>
          <w:color w:val="000000" w:themeColor="text1"/>
          <w:vertAlign w:val="subscript"/>
        </w:rPr>
        <w:t>2</w:t>
      </w:r>
      <w:r w:rsidRPr="00966892">
        <w:rPr>
          <w:color w:val="000000" w:themeColor="text1"/>
        </w:rPr>
        <w:t xml:space="preserve"> of IW. The trivalent olivine partitioning model of Sun and Liang (2013) was used to calculate the Eu</w:t>
      </w:r>
      <w:r w:rsidRPr="00966892">
        <w:rPr>
          <w:color w:val="000000" w:themeColor="text1"/>
          <w:vertAlign w:val="superscript"/>
        </w:rPr>
        <w:t>3+</w:t>
      </w:r>
      <w:r w:rsidRPr="00966892">
        <w:rPr>
          <w:color w:val="000000" w:themeColor="text1"/>
        </w:rPr>
        <w:t xml:space="preserve"> partition coefficient. The Log(ƒO2) of the IW redox buffer for each given temperature was determined using the IW buffer model from O'Neill and Pownceby (1993) (Tables </w:t>
      </w:r>
      <w:r>
        <w:rPr>
          <w:color w:val="000000" w:themeColor="text1"/>
        </w:rPr>
        <w:t>2.</w:t>
      </w:r>
      <w:r w:rsidRPr="00966892">
        <w:rPr>
          <w:color w:val="000000" w:themeColor="text1"/>
        </w:rPr>
        <w:t xml:space="preserve">2 and </w:t>
      </w:r>
      <w:r>
        <w:rPr>
          <w:color w:val="000000" w:themeColor="text1"/>
        </w:rPr>
        <w:t>2.</w:t>
      </w:r>
      <w:r w:rsidRPr="00966892">
        <w:rPr>
          <w:color w:val="000000" w:themeColor="text1"/>
        </w:rPr>
        <w:t>6). Experimentally determined mineral-melt partitioning data for Fe, Mn, and Ca in olivine from the literature (Kennedy et al., 1993; Tuara et al., 1998; Salters et al., 2002; Wasylenki et al., 2003; Filiberto et al., 2009; Elardo et al., 2011; Dalou et al., 2012; Imai et al., 2012; Krawczynski and Grove, 2012; Barr and Grove, 2013; Davis et al., 2013; Mallmann and O’Neill, 2013; Fonseca et al., 2014; Leitzke et al., 2016; Dygert et al., 2020; Snape et al., 2022; Haupt et al., 2024, Jing et al., 2024).</w:t>
      </w:r>
    </w:p>
    <w:p w14:paraId="1EAB796C" w14:textId="7EEC2982" w:rsidR="00B463CA" w:rsidRPr="00B463CA" w:rsidRDefault="0018484D" w:rsidP="0018484D">
      <w:pPr>
        <w:rPr>
          <w:rFonts w:eastAsiaTheme="minorEastAsia"/>
          <w:color w:val="000000" w:themeColor="text1"/>
        </w:rPr>
      </w:pPr>
      <w:r>
        <w:rPr>
          <w:rFonts w:eastAsiaTheme="minorEastAsia"/>
          <w:color w:val="000000" w:themeColor="text1"/>
        </w:rPr>
        <w:br w:type="page"/>
      </w:r>
    </w:p>
    <w:p w14:paraId="5D59BD57" w14:textId="45015005" w:rsidR="006D706B" w:rsidRPr="0018484D" w:rsidRDefault="00754E3D" w:rsidP="0018484D">
      <w:pPr>
        <w:jc w:val="center"/>
        <w:rPr>
          <w:b/>
          <w:bCs/>
          <w:color w:val="000000"/>
          <w:u w:val="single"/>
        </w:rPr>
      </w:pPr>
      <w:r w:rsidRPr="00754E3D">
        <w:rPr>
          <w:b/>
          <w:bCs/>
          <w:noProof/>
          <w:color w:val="000000"/>
        </w:rPr>
        <w:lastRenderedPageBreak/>
        <w:drawing>
          <wp:inline distT="0" distB="0" distL="0" distR="0" wp14:anchorId="18C47981" wp14:editId="00587A7E">
            <wp:extent cx="3335254" cy="7734925"/>
            <wp:effectExtent l="0" t="0" r="5080" b="0"/>
            <wp:docPr id="234291267" name="Picture 35"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291267" name="Picture 35" descr="A diagram of a graph&#10;&#10;Description automatically generated"/>
                    <pic:cNvPicPr/>
                  </pic:nvPicPr>
                  <pic:blipFill>
                    <a:blip r:embed="rId304" cstate="print">
                      <a:extLst>
                        <a:ext uri="{28A0092B-C50C-407E-A947-70E740481C1C}">
                          <a14:useLocalDpi xmlns:a14="http://schemas.microsoft.com/office/drawing/2010/main" val="0"/>
                        </a:ext>
                      </a:extLst>
                    </a:blip>
                    <a:stretch>
                      <a:fillRect/>
                    </a:stretch>
                  </pic:blipFill>
                  <pic:spPr>
                    <a:xfrm>
                      <a:off x="0" y="0"/>
                      <a:ext cx="3339505" cy="7744783"/>
                    </a:xfrm>
                    <a:prstGeom prst="rect">
                      <a:avLst/>
                    </a:prstGeom>
                  </pic:spPr>
                </pic:pic>
              </a:graphicData>
            </a:graphic>
          </wp:inline>
        </w:drawing>
      </w:r>
      <w:r w:rsidR="006D706B">
        <w:br w:type="page"/>
      </w:r>
    </w:p>
    <w:p w14:paraId="6D680CB1" w14:textId="77777777" w:rsidR="0018484D" w:rsidRDefault="0018484D" w:rsidP="0018484D">
      <w:pPr>
        <w:rPr>
          <w:color w:val="000000" w:themeColor="text1"/>
        </w:rPr>
      </w:pPr>
      <w:r w:rsidRPr="00DC25E2">
        <w:rPr>
          <w:b/>
          <w:bCs/>
        </w:rPr>
        <w:lastRenderedPageBreak/>
        <w:t>Figure B</w:t>
      </w:r>
      <w:r>
        <w:rPr>
          <w:b/>
          <w:bCs/>
        </w:rPr>
        <w:t>2</w:t>
      </w:r>
      <w:r w:rsidRPr="00DC25E2">
        <w:rPr>
          <w:b/>
          <w:bCs/>
        </w:rPr>
        <w:t>.</w:t>
      </w:r>
      <w:r w:rsidRPr="00595E24">
        <w:t xml:space="preserve"> </w:t>
      </w:r>
      <w:r w:rsidRPr="00966892">
        <w:rPr>
          <w:color w:val="000000" w:themeColor="text1"/>
        </w:rPr>
        <w:t>Lattice Strain model for divalent element partitioning into ilmenite and predictive charge dependent Eu partitioning estimate. (a) Comparison of measured mineral-melt partition coefficients for Mg, Fe, Mn, and Ca in ilmenite and predicted partition coefficients using the parameters from this study. (b) Schematic figure showing a calculated lattice strain parabola for the literature data and how the calculated parabolas are used to determine the Eu</w:t>
      </w:r>
      <w:r w:rsidRPr="00966892">
        <w:rPr>
          <w:color w:val="000000" w:themeColor="text1"/>
          <w:vertAlign w:val="superscript"/>
        </w:rPr>
        <w:t>2+</w:t>
      </w:r>
      <w:r w:rsidRPr="00966892">
        <w:rPr>
          <w:color w:val="000000" w:themeColor="text1"/>
        </w:rPr>
        <w:t xml:space="preserve"> partitioning behavior. (c) Comparison of modeled Eu</w:t>
      </w:r>
      <w:r w:rsidRPr="00966892">
        <w:rPr>
          <w:color w:val="000000" w:themeColor="text1"/>
          <w:vertAlign w:val="superscript"/>
        </w:rPr>
        <w:t>3+</w:t>
      </w:r>
      <w:r w:rsidRPr="00966892">
        <w:rPr>
          <w:color w:val="000000" w:themeColor="text1"/>
        </w:rPr>
        <w:t xml:space="preserve"> and Eu</w:t>
      </w:r>
      <w:r w:rsidRPr="00966892">
        <w:rPr>
          <w:color w:val="000000" w:themeColor="text1"/>
          <w:vertAlign w:val="superscript"/>
        </w:rPr>
        <w:t>2+</w:t>
      </w:r>
      <w:r w:rsidRPr="00966892">
        <w:rPr>
          <w:color w:val="000000" w:themeColor="text1"/>
        </w:rPr>
        <w:t xml:space="preserve"> mineral-melt partition coefficients with the estimated Eu partition coefficient at an ƒO</w:t>
      </w:r>
      <w:r w:rsidRPr="00966892">
        <w:rPr>
          <w:color w:val="000000" w:themeColor="text1"/>
          <w:vertAlign w:val="subscript"/>
        </w:rPr>
        <w:t>2</w:t>
      </w:r>
      <w:r w:rsidRPr="00966892">
        <w:rPr>
          <w:color w:val="000000" w:themeColor="text1"/>
        </w:rPr>
        <w:t xml:space="preserve"> of IW. The trivalent ilmenite partitioning model of Dygert et al. (2013) was used to calculate the Eu</w:t>
      </w:r>
      <w:r w:rsidRPr="00966892">
        <w:rPr>
          <w:color w:val="000000" w:themeColor="text1"/>
          <w:vertAlign w:val="superscript"/>
        </w:rPr>
        <w:t>3+</w:t>
      </w:r>
      <w:r w:rsidRPr="00966892">
        <w:rPr>
          <w:color w:val="000000" w:themeColor="text1"/>
        </w:rPr>
        <w:t xml:space="preserve"> partition coefficient. The Log(ƒO2) of the IW redox buffer for each given temperature was determined using the IW buffer model from O'Neill and Pownceby (1993) (Tables </w:t>
      </w:r>
      <w:r>
        <w:rPr>
          <w:color w:val="000000" w:themeColor="text1"/>
        </w:rPr>
        <w:t>2.</w:t>
      </w:r>
      <w:r w:rsidRPr="00966892">
        <w:rPr>
          <w:color w:val="000000" w:themeColor="text1"/>
        </w:rPr>
        <w:t xml:space="preserve">2 and </w:t>
      </w:r>
      <w:r>
        <w:rPr>
          <w:color w:val="000000" w:themeColor="text1"/>
        </w:rPr>
        <w:t>2.</w:t>
      </w:r>
      <w:r w:rsidRPr="00966892">
        <w:rPr>
          <w:color w:val="000000" w:themeColor="text1"/>
        </w:rPr>
        <w:t>6). Experimentally determined mineral-melt partitioning data for Mg, Fe, Mn, and Ca in ilmenite from the literature (McKay et al., 1986; Klemme et al., 2006; Van Kan Parker et al., 2011; Krawczynski and Grove, 2012; Dygert et al., 2013; Leitzke et al., 2016; Charlier et al., 2018; Mallik et al., 2019; Shepherd et al., 2022; Snape et al., 2022).</w:t>
      </w:r>
    </w:p>
    <w:p w14:paraId="49EFE32F" w14:textId="77777777" w:rsidR="0018484D" w:rsidRDefault="0018484D">
      <w:r>
        <w:br w:type="page"/>
      </w:r>
    </w:p>
    <w:p w14:paraId="16E417AA" w14:textId="4BBBC654" w:rsidR="007433C1" w:rsidRPr="0018484D" w:rsidRDefault="005F77D2" w:rsidP="0018484D">
      <w:pPr>
        <w:jc w:val="center"/>
      </w:pPr>
      <w:r>
        <w:rPr>
          <w:noProof/>
        </w:rPr>
        <w:lastRenderedPageBreak/>
        <w:drawing>
          <wp:inline distT="0" distB="0" distL="0" distR="0" wp14:anchorId="16603E26" wp14:editId="27D5F44E">
            <wp:extent cx="3260062" cy="7749915"/>
            <wp:effectExtent l="0" t="0" r="4445" b="0"/>
            <wp:docPr id="720936272" name="Picture 36"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936272" name="Picture 36" descr="A diagram of a graph&#10;&#10;Description automatically generated"/>
                    <pic:cNvPicPr/>
                  </pic:nvPicPr>
                  <pic:blipFill>
                    <a:blip r:embed="rId305" cstate="print">
                      <a:extLst>
                        <a:ext uri="{28A0092B-C50C-407E-A947-70E740481C1C}">
                          <a14:useLocalDpi xmlns:a14="http://schemas.microsoft.com/office/drawing/2010/main" val="0"/>
                        </a:ext>
                      </a:extLst>
                    </a:blip>
                    <a:stretch>
                      <a:fillRect/>
                    </a:stretch>
                  </pic:blipFill>
                  <pic:spPr>
                    <a:xfrm>
                      <a:off x="0" y="0"/>
                      <a:ext cx="3263163" cy="7757286"/>
                    </a:xfrm>
                    <a:prstGeom prst="rect">
                      <a:avLst/>
                    </a:prstGeom>
                  </pic:spPr>
                </pic:pic>
              </a:graphicData>
            </a:graphic>
          </wp:inline>
        </w:drawing>
      </w:r>
      <w:r w:rsidR="007433C1">
        <w:rPr>
          <w:color w:val="000000" w:themeColor="text1"/>
        </w:rPr>
        <w:br w:type="page"/>
      </w:r>
    </w:p>
    <w:p w14:paraId="436CD8BF" w14:textId="77777777" w:rsidR="007433C1" w:rsidRDefault="007433C1">
      <w:r>
        <w:rPr>
          <w:noProof/>
        </w:rPr>
        <w:lastRenderedPageBreak/>
        <w:drawing>
          <wp:inline distT="0" distB="0" distL="0" distR="0" wp14:anchorId="4B52E3B9" wp14:editId="65B1F362">
            <wp:extent cx="5486400" cy="2313305"/>
            <wp:effectExtent l="0" t="0" r="0" b="0"/>
            <wp:docPr id="739547477" name="Picture 37"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547477" name="Picture 37" descr="A graph of different colored lines&#10;&#10;Description automatically generated"/>
                    <pic:cNvPicPr/>
                  </pic:nvPicPr>
                  <pic:blipFill>
                    <a:blip r:embed="rId306" cstate="print">
                      <a:extLst>
                        <a:ext uri="{28A0092B-C50C-407E-A947-70E740481C1C}">
                          <a14:useLocalDpi xmlns:a14="http://schemas.microsoft.com/office/drawing/2010/main" val="0"/>
                        </a:ext>
                      </a:extLst>
                    </a:blip>
                    <a:stretch>
                      <a:fillRect/>
                    </a:stretch>
                  </pic:blipFill>
                  <pic:spPr>
                    <a:xfrm>
                      <a:off x="0" y="0"/>
                      <a:ext cx="5486400" cy="2313305"/>
                    </a:xfrm>
                    <a:prstGeom prst="rect">
                      <a:avLst/>
                    </a:prstGeom>
                  </pic:spPr>
                </pic:pic>
              </a:graphicData>
            </a:graphic>
          </wp:inline>
        </w:drawing>
      </w:r>
    </w:p>
    <w:p w14:paraId="016C0015" w14:textId="03673834" w:rsidR="006D706B" w:rsidRDefault="007433C1">
      <w:r w:rsidRPr="00966892">
        <w:rPr>
          <w:b/>
          <w:bCs/>
          <w:color w:val="000000" w:themeColor="text1"/>
        </w:rPr>
        <w:t xml:space="preserve">Figure </w:t>
      </w:r>
      <w:r w:rsidR="009B1F3F">
        <w:rPr>
          <w:b/>
          <w:bCs/>
          <w:color w:val="000000" w:themeColor="text1"/>
        </w:rPr>
        <w:t>B</w:t>
      </w:r>
      <w:r w:rsidRPr="00966892">
        <w:rPr>
          <w:b/>
          <w:bCs/>
          <w:color w:val="000000" w:themeColor="text1"/>
        </w:rPr>
        <w:t xml:space="preserve">3. </w:t>
      </w:r>
      <w:r w:rsidRPr="00966892">
        <w:rPr>
          <w:color w:val="000000" w:themeColor="text1"/>
        </w:rPr>
        <w:t>Modeled mineral-melt partitioning behavior of Eu in plagioclase, Opx, Cpx, olivine, and ilmenite at various</w:t>
      </w:r>
      <w:r w:rsidRPr="00966892">
        <w:rPr>
          <w:rFonts w:eastAsiaTheme="minorEastAsia"/>
          <w:color w:val="000000" w:themeColor="text1"/>
        </w:rPr>
        <w:t xml:space="preserve"> ƒO</w:t>
      </w:r>
      <w:r w:rsidRPr="00966892">
        <w:rPr>
          <w:rFonts w:eastAsiaTheme="minorEastAsia"/>
          <w:color w:val="000000" w:themeColor="text1"/>
          <w:vertAlign w:val="subscript"/>
        </w:rPr>
        <w:t>2</w:t>
      </w:r>
      <w:r w:rsidRPr="00966892">
        <w:rPr>
          <w:rFonts w:eastAsiaTheme="minorEastAsia"/>
          <w:color w:val="000000" w:themeColor="text1"/>
        </w:rPr>
        <w:t xml:space="preserve"> conditions and temperatures</w:t>
      </w:r>
      <w:r w:rsidRPr="00966892">
        <w:rPr>
          <w:color w:val="000000" w:themeColor="text1"/>
        </w:rPr>
        <w:t>. (a) Modeled mineral-melt partitioning behavior of Eu in plagioclase, Cpx, olivine, and ilmenite at 1020</w:t>
      </w:r>
      <w:r w:rsidRPr="00966892">
        <w:rPr>
          <w:color w:val="000000" w:themeColor="text1"/>
        </w:rPr>
        <w:sym w:font="Symbol" w:char="F0B0"/>
      </w:r>
      <w:r w:rsidRPr="00966892">
        <w:rPr>
          <w:color w:val="000000" w:themeColor="text1"/>
        </w:rPr>
        <w:t xml:space="preserve">C. The large dots along the mineral partitioning lines in panel (a) correlate with the values reported in Table </w:t>
      </w:r>
      <w:r>
        <w:rPr>
          <w:color w:val="000000" w:themeColor="text1"/>
        </w:rPr>
        <w:t>(2.</w:t>
      </w:r>
      <w:r w:rsidRPr="00966892">
        <w:rPr>
          <w:color w:val="000000" w:themeColor="text1"/>
        </w:rPr>
        <w:t>2). (b) Modeled mineral-melt partitioning behavior of Eu in Cpx, Opx, olivine, and ilmenite at 1350</w:t>
      </w:r>
      <w:r w:rsidRPr="00966892">
        <w:rPr>
          <w:color w:val="000000" w:themeColor="text1"/>
        </w:rPr>
        <w:sym w:font="Symbol" w:char="F0B0"/>
      </w:r>
      <w:r w:rsidRPr="00966892">
        <w:rPr>
          <w:color w:val="000000" w:themeColor="text1"/>
        </w:rPr>
        <w:t xml:space="preserve">C. The large dots along the mineral partitioning lines in panel (b) correlate with the values reported in Table </w:t>
      </w:r>
      <w:r>
        <w:rPr>
          <w:color w:val="000000" w:themeColor="text1"/>
        </w:rPr>
        <w:t>(2.</w:t>
      </w:r>
      <w:r w:rsidRPr="00966892">
        <w:rPr>
          <w:color w:val="000000" w:themeColor="text1"/>
        </w:rPr>
        <w:t xml:space="preserve">6). For plagioclase, Cpx, and Opx, the mineral-melt partitioning models of Dygert et al. (2020) and Fibbrizio et al. (2021). The mineral-melt partitioning models discussed above were used for olivine and ilmenite. The Log(ƒO2) of the IW redox buffer for each temperature was determined using the IW buffer model from O'Neill and Pownceby (1993). The Log(ƒO2) of the FMQ redox buffer for each temperature was determined using the FMQ buffer model from Frost (1993). Clinopyroxene (Cpx), Orthopyroxene (Opx). The models above demonstrate how both </w:t>
      </w:r>
      <w:r w:rsidRPr="00966892">
        <w:rPr>
          <w:rFonts w:eastAsiaTheme="minorEastAsia"/>
          <w:color w:val="000000" w:themeColor="text1"/>
        </w:rPr>
        <w:t>ƒO</w:t>
      </w:r>
      <w:r w:rsidRPr="00966892">
        <w:rPr>
          <w:rFonts w:eastAsiaTheme="minorEastAsia"/>
          <w:color w:val="000000" w:themeColor="text1"/>
          <w:vertAlign w:val="subscript"/>
        </w:rPr>
        <w:t>2</w:t>
      </w:r>
      <w:r w:rsidRPr="00966892">
        <w:rPr>
          <w:rFonts w:eastAsiaTheme="minorEastAsia"/>
          <w:color w:val="000000" w:themeColor="text1"/>
        </w:rPr>
        <w:t xml:space="preserve"> conditions and temperatures</w:t>
      </w:r>
      <w:r w:rsidRPr="00966892">
        <w:rPr>
          <w:color w:val="000000" w:themeColor="text1"/>
        </w:rPr>
        <w:t xml:space="preserve"> can significantly affect the partitioning behavior of Eu in magma ocean cumulate minerals. This figure also demonstrates how the </w:t>
      </w:r>
      <w:r w:rsidRPr="00966892">
        <w:rPr>
          <w:rFonts w:eastAsiaTheme="minorEastAsia"/>
          <w:color w:val="000000" w:themeColor="text1"/>
        </w:rPr>
        <w:t>ƒO</w:t>
      </w:r>
      <w:r w:rsidRPr="00966892">
        <w:rPr>
          <w:rFonts w:eastAsiaTheme="minorEastAsia"/>
          <w:color w:val="000000" w:themeColor="text1"/>
          <w:vertAlign w:val="subscript"/>
        </w:rPr>
        <w:t>2</w:t>
      </w:r>
      <w:r w:rsidRPr="00966892">
        <w:rPr>
          <w:rFonts w:eastAsiaTheme="minorEastAsia"/>
          <w:color w:val="000000" w:themeColor="text1"/>
        </w:rPr>
        <w:t xml:space="preserve"> conditions for redox buffers evolve with temperature. Thus, to accurately model the evolution of Eu during magma ocean solidification, the effect of evolving crystallization temperatures must be accounted for.</w:t>
      </w:r>
      <w:r w:rsidR="006D706B">
        <w:br w:type="page"/>
      </w:r>
    </w:p>
    <w:p w14:paraId="7C8FDE36" w14:textId="77777777" w:rsidR="0018484D" w:rsidRDefault="0018484D" w:rsidP="0018484D">
      <w:r w:rsidRPr="00DC25E2">
        <w:rPr>
          <w:b/>
          <w:bCs/>
        </w:rPr>
        <w:lastRenderedPageBreak/>
        <w:t>Figure B</w:t>
      </w:r>
      <w:r>
        <w:rPr>
          <w:b/>
          <w:bCs/>
        </w:rPr>
        <w:t>4</w:t>
      </w:r>
      <w:r w:rsidRPr="00DC25E2">
        <w:rPr>
          <w:b/>
          <w:bCs/>
        </w:rPr>
        <w:t>.</w:t>
      </w:r>
      <w:r w:rsidRPr="00595E24">
        <w:t xml:space="preserve"> </w:t>
      </w:r>
      <w:r w:rsidRPr="00966892">
        <w:rPr>
          <w:color w:val="000000" w:themeColor="text1"/>
        </w:rPr>
        <w:t>Trace element comparison between evolving magma ocean cumulates (with and without Apatite), lunar picritic glasses, and lunar KREEP basalts. (a) modeled LMO cumulate evolution assuming different plagioclase floatation efficiencies and an apatite-free IBC. The dashed light blue line represents the LMO cumulate composition assuming 98% plagioclase floatation and an ƒO</w:t>
      </w:r>
      <w:r w:rsidRPr="00966892">
        <w:rPr>
          <w:color w:val="000000" w:themeColor="text1"/>
          <w:vertAlign w:val="subscript"/>
        </w:rPr>
        <w:t>2</w:t>
      </w:r>
      <w:r w:rsidRPr="00966892">
        <w:rPr>
          <w:color w:val="000000" w:themeColor="text1"/>
        </w:rPr>
        <w:t xml:space="preserve"> of IW. The dashed green line represents the LMO cumulate composition assuming 98% plagioclase floatation and an ƒO</w:t>
      </w:r>
      <w:r w:rsidRPr="00966892">
        <w:rPr>
          <w:color w:val="000000" w:themeColor="text1"/>
          <w:vertAlign w:val="subscript"/>
        </w:rPr>
        <w:t>2</w:t>
      </w:r>
      <w:r w:rsidRPr="00966892">
        <w:rPr>
          <w:color w:val="000000" w:themeColor="text1"/>
        </w:rPr>
        <w:t xml:space="preserve"> of IW-2. (b) Comparison of modeled LMO liquids and the compositional ranges of picritic glasses and KREEP basalts. A low-degree partial melt of LMO cumulate layer #6 (i.e., the IBC layer) is plotted to show the effect of partial melting on REE trends in an apatite-free IBC. (c) modeled LMO cumulate evolution assuming different plagioclase floatation efficiencies and an apatite-bearing IBC containing 0.2% apatite. (d) Comparison of modeled LMO liquids and the compositional ranges of picritic glasses and KREEP basalts. A low-degree partial melt of LMO cumulate layer #6 (i.e., the IBC layer) is plotted to show the effect of partial melting on REE trends in an apatite-bearing IBC containing 0.2% apatite. (e) modeled LMO cumulate evolution assuming different plagioclase floatation efficiencies and an apatite-bearing IBC containing 2% apatite. (f) Comparison of modeled LMO liquids and the compositional ranges of picritic glasses and KREEP basalts. A low-degree partial melt of LMO cumulate layer #6 (i.e., the IBC layer) is plotted to show the effect of partial melting on REE trends in an apatite-bearing IBC containing 2% apatite. Partial melting models in panels (b), (d), and (f) assume 90% plagioclase floatation. Low-Ti picritic glasses: very low-Ti (VLT) glass &amp; green glass groups; Intermediate-Ti picritic glasses: yellow glass group; High-Ti picritic glasses: orange glass, red glass, &amp; black glass groups. The intermediate-Ti and high-Ti picritic glasses are plotted together to declutter the plot as there is significant overlap in their trace element compositions. Lunar picritic glass compositions were compiled from (Hughes et al., 1990; Shearer et al., 1991; Shearer and Papike, 1993; McIntosh et al., 2024) and lunar KREEP basalt compositions from (Neal and Krammer, 2003; Hallis et al., 2014; Borg et al., 2019). Apatite partition coefficients were determined using the ƒO</w:t>
      </w:r>
      <w:r w:rsidRPr="00966892">
        <w:rPr>
          <w:color w:val="000000" w:themeColor="text1"/>
          <w:vertAlign w:val="subscript"/>
        </w:rPr>
        <w:t>2</w:t>
      </w:r>
      <w:r w:rsidRPr="00966892">
        <w:rPr>
          <w:color w:val="000000" w:themeColor="text1"/>
        </w:rPr>
        <w:t xml:space="preserve"> dependent lattice strain partitioning models for hydroxylapatite from Ji and Dygert (2023). Note that in panels (b), (d), and (f), KREEP basalts and many glasses have steeper REE patterns than the LMO residual liquids, suggesting their KREEPy signature cannot result from direct assimilation of an LMO residual liquid regardless of the modal apatite abundance. Partial melting of KREEPy LMO cumulates (i.e., an apatite-free or apatite-bearing IBC layer) increases the slope of the REE pattern (dashed gray line), better fitting lunar basalts and suggesting basalt sources contained a KREEP-bearing solid component that precipitated from the late-stage LMO. It should also be noted that the addition of apatite to the IBC progressively increases the REE abundance in the IBC (a, c, e), but it also has the effect of flattening out the LREE trends of IBC partial melts (b, d, f). Partial melting models are discussed further in the main text.</w:t>
      </w:r>
    </w:p>
    <w:p w14:paraId="0E68FA25" w14:textId="77777777" w:rsidR="0018484D" w:rsidRDefault="0018484D">
      <w:r>
        <w:br w:type="page"/>
      </w:r>
    </w:p>
    <w:p w14:paraId="688AF34D" w14:textId="7DB4713C" w:rsidR="006D706B" w:rsidRDefault="005E145F" w:rsidP="00435661">
      <w:r>
        <w:rPr>
          <w:noProof/>
        </w:rPr>
        <w:lastRenderedPageBreak/>
        <w:drawing>
          <wp:inline distT="0" distB="0" distL="0" distR="0" wp14:anchorId="6444816F" wp14:editId="5A2E7A5D">
            <wp:extent cx="5486400" cy="6306820"/>
            <wp:effectExtent l="0" t="0" r="0" b="5080"/>
            <wp:docPr id="757811930" name="Picture 38" descr="A graph of different types of pa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11930" name="Picture 38" descr="A graph of different types of parts&#10;&#10;Description automatically generated with medium confidence"/>
                    <pic:cNvPicPr/>
                  </pic:nvPicPr>
                  <pic:blipFill>
                    <a:blip r:embed="rId307" cstate="print">
                      <a:extLst>
                        <a:ext uri="{28A0092B-C50C-407E-A947-70E740481C1C}">
                          <a14:useLocalDpi xmlns:a14="http://schemas.microsoft.com/office/drawing/2010/main" val="0"/>
                        </a:ext>
                      </a:extLst>
                    </a:blip>
                    <a:stretch>
                      <a:fillRect/>
                    </a:stretch>
                  </pic:blipFill>
                  <pic:spPr>
                    <a:xfrm>
                      <a:off x="0" y="0"/>
                      <a:ext cx="5486400" cy="6306820"/>
                    </a:xfrm>
                    <a:prstGeom prst="rect">
                      <a:avLst/>
                    </a:prstGeom>
                  </pic:spPr>
                </pic:pic>
              </a:graphicData>
            </a:graphic>
          </wp:inline>
        </w:drawing>
      </w:r>
    </w:p>
    <w:p w14:paraId="10AD4C72" w14:textId="3AC45FE5" w:rsidR="006D706B" w:rsidRPr="0018484D" w:rsidRDefault="00A65F77">
      <w:pPr>
        <w:rPr>
          <w:b/>
          <w:bCs/>
        </w:rPr>
      </w:pPr>
      <w:r>
        <w:rPr>
          <w:b/>
          <w:bCs/>
        </w:rPr>
        <w:br w:type="page"/>
      </w:r>
    </w:p>
    <w:p w14:paraId="7C73C899" w14:textId="3A0B8B85" w:rsidR="0018484D" w:rsidRDefault="0018484D">
      <w:r w:rsidRPr="00DC25E2">
        <w:rPr>
          <w:b/>
          <w:bCs/>
        </w:rPr>
        <w:lastRenderedPageBreak/>
        <w:t>Figure B</w:t>
      </w:r>
      <w:r>
        <w:rPr>
          <w:b/>
          <w:bCs/>
        </w:rPr>
        <w:t>5</w:t>
      </w:r>
      <w:r w:rsidRPr="00DC25E2">
        <w:rPr>
          <w:b/>
          <w:bCs/>
        </w:rPr>
        <w:t>.</w:t>
      </w:r>
      <w:r w:rsidRPr="00595E24">
        <w:t xml:space="preserve"> </w:t>
      </w:r>
      <w:r w:rsidRPr="00966892">
        <w:rPr>
          <w:color w:val="000000" w:themeColor="text1"/>
        </w:rPr>
        <w:t>Comparison of LMO residual melt and cumulates during fractional crystallization of the LMO with and without apatite in the IBC layer. The color and texture of the trend lines indicate the plagioclase floatation efficiency. (Lu/Hf)</w:t>
      </w:r>
      <w:r w:rsidRPr="00966892">
        <w:rPr>
          <w:color w:val="000000" w:themeColor="text1"/>
          <w:vertAlign w:val="subscript"/>
        </w:rPr>
        <w:t>N</w:t>
      </w:r>
      <w:r w:rsidRPr="00966892">
        <w:rPr>
          <w:color w:val="000000" w:themeColor="text1"/>
        </w:rPr>
        <w:t xml:space="preserve"> and (Sm/Nd)</w:t>
      </w:r>
      <w:r w:rsidRPr="00966892">
        <w:rPr>
          <w:color w:val="000000" w:themeColor="text1"/>
          <w:vertAlign w:val="subscript"/>
        </w:rPr>
        <w:t>N</w:t>
      </w:r>
      <w:r w:rsidRPr="00966892">
        <w:rPr>
          <w:color w:val="000000" w:themeColor="text1"/>
        </w:rPr>
        <w:t xml:space="preserve"> are chondrite normalized ratios. Lunar picritic glass compositions were compiled from (Hughes et al., 1990; Shearer et al., 1991; Shearer and Papike, 1993; McIntosh et al., 2024) and lunar KREEP basalt compositions from (Neal and Krammer, 2003; Hallis et al., 2014; Borg et al., 2019). Low-Ti picritic glasses: VLT glass &amp; green glass groups. Percent LMO solidification (PCS), Early Magma Ocean Cumulate (EMOC), Ilmenite-Bearing Cumulate (IBC). Apatite partition coefficients were determined using the ƒO</w:t>
      </w:r>
      <w:r w:rsidRPr="00966892">
        <w:rPr>
          <w:color w:val="000000" w:themeColor="text1"/>
          <w:vertAlign w:val="subscript"/>
        </w:rPr>
        <w:t>2</w:t>
      </w:r>
      <w:r w:rsidRPr="00966892">
        <w:rPr>
          <w:color w:val="000000" w:themeColor="text1"/>
        </w:rPr>
        <w:t xml:space="preserve"> dependent lattice strain partitioning models for hydroxylapatite from Ji and Dygert (2023). These models indicate that the theoretical IBC layer would exhibit similar (Lu/Hf)</w:t>
      </w:r>
      <w:r w:rsidRPr="00966892">
        <w:rPr>
          <w:color w:val="000000" w:themeColor="text1"/>
          <w:vertAlign w:val="subscript"/>
        </w:rPr>
        <w:t>N</w:t>
      </w:r>
      <w:r w:rsidRPr="00966892">
        <w:rPr>
          <w:color w:val="000000" w:themeColor="text1"/>
        </w:rPr>
        <w:t xml:space="preserve"> ratios to the intermediate to high-Ti lunar picritic glasses (i.e., yellow, orange, red, and black glasses) while the earliest LMO cumulates plot far from all lunar picritic glass groups. The addition of apatite to the late crystallizing LMO cumulates drives the (Lu/Hf)</w:t>
      </w:r>
      <w:r w:rsidRPr="00966892">
        <w:rPr>
          <w:color w:val="000000" w:themeColor="text1"/>
          <w:vertAlign w:val="subscript"/>
        </w:rPr>
        <w:t>N</w:t>
      </w:r>
      <w:r w:rsidRPr="00966892">
        <w:rPr>
          <w:color w:val="000000" w:themeColor="text1"/>
        </w:rPr>
        <w:t xml:space="preserve"> ratios of the theoretical IBC away from the lunar orange glasses while simultaneously pushing the (Yb/Sm)</w:t>
      </w:r>
      <w:r w:rsidRPr="00966892">
        <w:rPr>
          <w:color w:val="000000" w:themeColor="text1"/>
          <w:vertAlign w:val="subscript"/>
        </w:rPr>
        <w:t>N</w:t>
      </w:r>
      <w:r w:rsidRPr="00966892">
        <w:rPr>
          <w:color w:val="000000" w:themeColor="text1"/>
        </w:rPr>
        <w:t xml:space="preserve"> ratios toward the (i.e., yellow, orange, red, and black glasses). This figure highlights the counteracting effects of apatite addition to the late crystallizing LMO cumulates.</w:t>
      </w:r>
      <w:r>
        <w:br w:type="page"/>
      </w:r>
    </w:p>
    <w:p w14:paraId="4A405CF5" w14:textId="1A9FB873" w:rsidR="006D706B" w:rsidRDefault="006D706B" w:rsidP="00435661">
      <w:r>
        <w:rPr>
          <w:noProof/>
        </w:rPr>
        <w:lastRenderedPageBreak/>
        <w:drawing>
          <wp:inline distT="0" distB="0" distL="0" distR="0" wp14:anchorId="183DDD1C" wp14:editId="738031CA">
            <wp:extent cx="5486400" cy="6163945"/>
            <wp:effectExtent l="0" t="0" r="0" b="0"/>
            <wp:docPr id="179482141" name="Picture 8" descr="A chart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82141" name="Picture 8" descr="A chart of a diagram&#10;&#10;Description automatically generated with medium confidence"/>
                    <pic:cNvPicPr/>
                  </pic:nvPicPr>
                  <pic:blipFill>
                    <a:blip r:embed="rId308" cstate="print">
                      <a:extLst>
                        <a:ext uri="{28A0092B-C50C-407E-A947-70E740481C1C}">
                          <a14:useLocalDpi xmlns:a14="http://schemas.microsoft.com/office/drawing/2010/main" val="0"/>
                        </a:ext>
                      </a:extLst>
                    </a:blip>
                    <a:stretch>
                      <a:fillRect/>
                    </a:stretch>
                  </pic:blipFill>
                  <pic:spPr>
                    <a:xfrm>
                      <a:off x="0" y="0"/>
                      <a:ext cx="5486400" cy="6163945"/>
                    </a:xfrm>
                    <a:prstGeom prst="rect">
                      <a:avLst/>
                    </a:prstGeom>
                  </pic:spPr>
                </pic:pic>
              </a:graphicData>
            </a:graphic>
          </wp:inline>
        </w:drawing>
      </w:r>
    </w:p>
    <w:p w14:paraId="4283F9D6" w14:textId="22F5A8B6" w:rsidR="006D706B" w:rsidRPr="0018484D" w:rsidRDefault="004936FC">
      <w:pPr>
        <w:rPr>
          <w:b/>
          <w:bCs/>
        </w:rPr>
      </w:pPr>
      <w:r>
        <w:rPr>
          <w:b/>
          <w:bCs/>
        </w:rPr>
        <w:br w:type="page"/>
      </w:r>
    </w:p>
    <w:p w14:paraId="55AF01A5" w14:textId="063D3DEE" w:rsidR="006D706B" w:rsidRDefault="00A55AB0" w:rsidP="006D706B">
      <w:pPr>
        <w:jc w:val="center"/>
      </w:pPr>
      <w:r>
        <w:rPr>
          <w:noProof/>
        </w:rPr>
        <w:lastRenderedPageBreak/>
        <w:drawing>
          <wp:inline distT="0" distB="0" distL="0" distR="0" wp14:anchorId="767D8057" wp14:editId="5F8B44BD">
            <wp:extent cx="4114800" cy="5943600"/>
            <wp:effectExtent l="0" t="0" r="0" b="0"/>
            <wp:docPr id="2086514048" name="Picture 39" descr="A graph of different lay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514048" name="Picture 39" descr="A graph of different layers&#10;&#10;Description automatically generated"/>
                    <pic:cNvPicPr/>
                  </pic:nvPicPr>
                  <pic:blipFill>
                    <a:blip r:embed="rId309" cstate="print">
                      <a:extLst>
                        <a:ext uri="{28A0092B-C50C-407E-A947-70E740481C1C}">
                          <a14:useLocalDpi xmlns:a14="http://schemas.microsoft.com/office/drawing/2010/main" val="0"/>
                        </a:ext>
                      </a:extLst>
                    </a:blip>
                    <a:stretch>
                      <a:fillRect/>
                    </a:stretch>
                  </pic:blipFill>
                  <pic:spPr>
                    <a:xfrm>
                      <a:off x="0" y="0"/>
                      <a:ext cx="4114800" cy="5943600"/>
                    </a:xfrm>
                    <a:prstGeom prst="rect">
                      <a:avLst/>
                    </a:prstGeom>
                  </pic:spPr>
                </pic:pic>
              </a:graphicData>
            </a:graphic>
          </wp:inline>
        </w:drawing>
      </w:r>
    </w:p>
    <w:p w14:paraId="51962FF7" w14:textId="750CA22C" w:rsidR="0006356B" w:rsidRDefault="00E05433" w:rsidP="00435661">
      <w:r w:rsidRPr="00DC25E2">
        <w:rPr>
          <w:b/>
          <w:bCs/>
        </w:rPr>
        <w:t>Figure B</w:t>
      </w:r>
      <w:r w:rsidR="00A55AB0">
        <w:rPr>
          <w:b/>
          <w:bCs/>
        </w:rPr>
        <w:t>6</w:t>
      </w:r>
      <w:r w:rsidRPr="00DC25E2">
        <w:rPr>
          <w:b/>
          <w:bCs/>
        </w:rPr>
        <w:t>.</w:t>
      </w:r>
      <w:r w:rsidRPr="00595E24">
        <w:t xml:space="preserve"> </w:t>
      </w:r>
      <w:r w:rsidR="00A55AB0" w:rsidRPr="00966892">
        <w:rPr>
          <w:color w:val="000000" w:themeColor="text1"/>
        </w:rPr>
        <w:t>Comparison of modeled LMO mantle cumulate layer #2 partial melts and low-Ti lunar picritic glass compositions. (a) composition of partial melts if early crystallizing portions of LMO cumulate layer #2 were melted. (b) composition of partial melts if late crystallizing portions of LMO cumulate layer #2 were melted. Melting models in this figure assume an LMO ƒO</w:t>
      </w:r>
      <w:r w:rsidR="00A55AB0" w:rsidRPr="00966892">
        <w:rPr>
          <w:color w:val="000000" w:themeColor="text1"/>
          <w:vertAlign w:val="subscript"/>
        </w:rPr>
        <w:t>2</w:t>
      </w:r>
      <w:r w:rsidR="00A55AB0" w:rsidRPr="00966892">
        <w:rPr>
          <w:color w:val="000000" w:themeColor="text1"/>
        </w:rPr>
        <w:t xml:space="preserve"> of IW. These models demonstrate that partial melts of early and late crystallizing portions of LMO cumulate layer #2 can achieve the levels of REE enrichment observed in the Low-Ti picritic glasses. While these models can’t account for every geochemical feature of the low-Ti picritic glasses, the models further demonstrate that it is theoretically possible for some of the low-Ti picritic melts to come from an unhybridized portion LMO cumulate layer #2.</w:t>
      </w:r>
    </w:p>
    <w:p w14:paraId="61E5B725" w14:textId="77777777" w:rsidR="0006356B" w:rsidRDefault="0006356B">
      <w:r>
        <w:br w:type="page"/>
      </w:r>
    </w:p>
    <w:p w14:paraId="6CA11F41" w14:textId="749B4E29" w:rsidR="00C71A33" w:rsidRDefault="00C71A33">
      <w:r w:rsidRPr="00DC25E2">
        <w:rPr>
          <w:b/>
          <w:bCs/>
        </w:rPr>
        <w:lastRenderedPageBreak/>
        <w:t>Figure B</w:t>
      </w:r>
      <w:r>
        <w:rPr>
          <w:b/>
          <w:bCs/>
        </w:rPr>
        <w:t>7</w:t>
      </w:r>
      <w:r w:rsidRPr="00DC25E2">
        <w:rPr>
          <w:b/>
          <w:bCs/>
        </w:rPr>
        <w:t>.</w:t>
      </w:r>
      <w:r w:rsidRPr="00595E24">
        <w:t xml:space="preserve"> </w:t>
      </w:r>
      <w:r w:rsidRPr="00966892">
        <w:rPr>
          <w:color w:val="000000" w:themeColor="text1"/>
        </w:rPr>
        <w:t>Comparison of modeled thickened IBC and hybridized source partial melts with high-Ti lunar picritic glass compositions. (a) composition of partial melts if a garnet-bearing IBC #2 was melted during a cumulate overturn event, assuming a plagioclase floatation efficiency of 90%. (b) composition of partial melts if a garnet-bearing hybridized mantle source #2 was melted following a cumulate overturn event, assuming a plagioclase floatation efficiency of 90%. (c) composition of partial melts if a garnet-bearing IBC #2 was melted during a cumulate overturn event, assuming a plagioclase floatation efficiency of 95%. (d) composition of partial melts if a garnet-bearing hybridized mantle source #2 was melted following a cumulate overturn event, assuming a plagioclase floatation efficiency of 95%. (e) composition of partial melts if a garnet-bearing IBC #2 was melted during a cumulate overturn event, assuming a plagioclase floatation efficiency of 98%. (f) composition of partial melts if a garnet-bearing hybridized mantle source #2 was melted following a cumulate overturn event, assuming a plagioclase floatation efficiency of 98%. For models in panels (b), (d), and (f), we assume hybridized mantle source #2 is composed of a 55% EMOC to 45% IBC #2 mixture. Both models above assume an LMO ƒO</w:t>
      </w:r>
      <w:r w:rsidRPr="00966892">
        <w:rPr>
          <w:color w:val="000000" w:themeColor="text1"/>
          <w:vertAlign w:val="subscript"/>
        </w:rPr>
        <w:t>2</w:t>
      </w:r>
      <w:r w:rsidRPr="00966892">
        <w:rPr>
          <w:color w:val="000000" w:themeColor="text1"/>
        </w:rPr>
        <w:t xml:space="preserve"> of IW and a garnet abundance of 0.5% in the IBC or hybridized source. These models demonstrate that a garnet-bearing thickened IBC or garnet-bearing hybridized mantle source fertilized by the thickened IBC can still achieve the levels of REE enrichment required to explain the intermediate to high-Ti picritic glasses. These models also highlight the requirement for plagioclase floatation efficiencies of &gt;90% as the partial melts of IBC #2 and hybridized mantle source #2 never develop a negative Eu anomaly in models assuming a plagioclase floatation efficiency of 90%.</w:t>
      </w:r>
      <w:r>
        <w:br w:type="page"/>
      </w:r>
    </w:p>
    <w:p w14:paraId="0D698E67" w14:textId="5938A1B9" w:rsidR="006D706B" w:rsidRDefault="004E496F" w:rsidP="00435661">
      <w:r>
        <w:rPr>
          <w:noProof/>
        </w:rPr>
        <w:lastRenderedPageBreak/>
        <w:drawing>
          <wp:inline distT="0" distB="0" distL="0" distR="0" wp14:anchorId="596FC1EE" wp14:editId="2E3CE74C">
            <wp:extent cx="5486400" cy="6306820"/>
            <wp:effectExtent l="0" t="0" r="0" b="5080"/>
            <wp:docPr id="1320389936" name="Picture 40" descr="A graph of different types of floa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389936" name="Picture 40" descr="A graph of different types of floating&#10;&#10;Description automatically generated"/>
                    <pic:cNvPicPr/>
                  </pic:nvPicPr>
                  <pic:blipFill>
                    <a:blip r:embed="rId310" cstate="print">
                      <a:extLst>
                        <a:ext uri="{28A0092B-C50C-407E-A947-70E740481C1C}">
                          <a14:useLocalDpi xmlns:a14="http://schemas.microsoft.com/office/drawing/2010/main" val="0"/>
                        </a:ext>
                      </a:extLst>
                    </a:blip>
                    <a:stretch>
                      <a:fillRect/>
                    </a:stretch>
                  </pic:blipFill>
                  <pic:spPr>
                    <a:xfrm>
                      <a:off x="0" y="0"/>
                      <a:ext cx="5486400" cy="6306820"/>
                    </a:xfrm>
                    <a:prstGeom prst="rect">
                      <a:avLst/>
                    </a:prstGeom>
                  </pic:spPr>
                </pic:pic>
              </a:graphicData>
            </a:graphic>
          </wp:inline>
        </w:drawing>
      </w:r>
    </w:p>
    <w:p w14:paraId="10BB6734" w14:textId="2E34E06C" w:rsidR="008C1D96" w:rsidRPr="00C71A33" w:rsidRDefault="004E496F" w:rsidP="006D706B">
      <w:pPr>
        <w:rPr>
          <w:b/>
          <w:bCs/>
        </w:rPr>
      </w:pPr>
      <w:r>
        <w:rPr>
          <w:b/>
          <w:bCs/>
        </w:rPr>
        <w:br w:type="page"/>
      </w:r>
    </w:p>
    <w:p w14:paraId="1EF46CC7" w14:textId="77777777" w:rsidR="006F0E6B" w:rsidRPr="00874C5D" w:rsidRDefault="006F0E6B" w:rsidP="00922EAB">
      <w:pPr>
        <w:spacing w:line="480" w:lineRule="auto"/>
      </w:pPr>
      <w:r w:rsidRPr="00874C5D">
        <w:rPr>
          <w:b/>
          <w:bCs/>
        </w:rPr>
        <w:lastRenderedPageBreak/>
        <w:t>pMELTS Modeling Methods</w:t>
      </w:r>
    </w:p>
    <w:p w14:paraId="6C1D1583" w14:textId="155A166E" w:rsidR="00393CBC" w:rsidRPr="00966892" w:rsidRDefault="00393CBC" w:rsidP="00393CBC">
      <w:pPr>
        <w:spacing w:line="480" w:lineRule="auto"/>
        <w:ind w:firstLine="720"/>
        <w:rPr>
          <w:color w:val="000000" w:themeColor="text1"/>
        </w:rPr>
      </w:pPr>
      <w:r w:rsidRPr="00966892">
        <w:rPr>
          <w:color w:val="000000" w:themeColor="text1"/>
        </w:rPr>
        <w:t xml:space="preserve">To test the effect of plagioclase floatation on downwelling hybridized source mineralogy, we ran thermodynamic models using the pMELTS algorithm (Ghiorso and Sack, 1995; Ghiorso et al., 2002). The major element composition of the hybridized source was calculated using the estimated composition of IBC material </w:t>
      </w:r>
      <w:r w:rsidR="009E29B1">
        <w:rPr>
          <w:color w:val="000000" w:themeColor="text1"/>
        </w:rPr>
        <w:t>(</w:t>
      </w:r>
      <w:r w:rsidRPr="009E29B1">
        <w:rPr>
          <w:b/>
          <w:bCs/>
          <w:color w:val="000000" w:themeColor="text1"/>
        </w:rPr>
        <w:t xml:space="preserve">Figure </w:t>
      </w:r>
      <w:r w:rsidR="009E29B1" w:rsidRPr="009E29B1">
        <w:rPr>
          <w:b/>
          <w:bCs/>
          <w:color w:val="000000" w:themeColor="text1"/>
        </w:rPr>
        <w:t>2.</w:t>
      </w:r>
      <w:r w:rsidRPr="009E29B1">
        <w:rPr>
          <w:b/>
          <w:bCs/>
          <w:color w:val="000000" w:themeColor="text1"/>
        </w:rPr>
        <w:t>6</w:t>
      </w:r>
      <w:r w:rsidRPr="00966892">
        <w:rPr>
          <w:color w:val="000000" w:themeColor="text1"/>
        </w:rPr>
        <w:t>) and the olivine composition of experiment LPUM 2.015 from Elardo et al. (2011). We tested two IBC compositions: IBC #1, an IBC composition that wasn’t affected by pre-overturn mixing in the upper lunar mantle, and IBC #2, an IBC composition that was affected by pre-overturn mixing in the upper 100 km of the lunar mantle (</w:t>
      </w:r>
      <w:r w:rsidRPr="009E29B1">
        <w:rPr>
          <w:b/>
          <w:bCs/>
          <w:color w:val="000000" w:themeColor="text1"/>
        </w:rPr>
        <w:t xml:space="preserve">Table </w:t>
      </w:r>
      <w:r w:rsidR="009E29B1" w:rsidRPr="009E29B1">
        <w:rPr>
          <w:b/>
          <w:bCs/>
          <w:color w:val="000000" w:themeColor="text1"/>
        </w:rPr>
        <w:t>2.</w:t>
      </w:r>
      <w:r w:rsidRPr="009E29B1">
        <w:rPr>
          <w:b/>
          <w:bCs/>
          <w:color w:val="000000" w:themeColor="text1"/>
        </w:rPr>
        <w:t>5</w:t>
      </w:r>
      <w:r w:rsidRPr="00966892">
        <w:rPr>
          <w:color w:val="000000" w:themeColor="text1"/>
        </w:rPr>
        <w:t>). For each model, we set the ƒO</w:t>
      </w:r>
      <w:r w:rsidRPr="00966892">
        <w:rPr>
          <w:color w:val="000000" w:themeColor="text1"/>
          <w:vertAlign w:val="subscript"/>
        </w:rPr>
        <w:t>2</w:t>
      </w:r>
      <w:r w:rsidRPr="00966892">
        <w:rPr>
          <w:color w:val="000000" w:themeColor="text1"/>
        </w:rPr>
        <w:t xml:space="preserve"> conditions to IW and the P-T conditions to 2 GPa and 1250</w:t>
      </w:r>
      <w:r w:rsidRPr="00966892">
        <w:rPr>
          <w:color w:val="000000" w:themeColor="text1"/>
        </w:rPr>
        <w:sym w:font="Symbol" w:char="F0B0"/>
      </w:r>
      <w:r w:rsidRPr="00966892">
        <w:rPr>
          <w:color w:val="000000" w:themeColor="text1"/>
        </w:rPr>
        <w:t xml:space="preserve">C, as our goals were to determine whether garnet would stabilize in hybridized source compositions at 2 GPa and to consider how the floatation efficiency of plagioclase might affect the abundance of garnet in lunar mantle sources. </w:t>
      </w:r>
    </w:p>
    <w:p w14:paraId="02981486" w14:textId="0CBD14FE" w:rsidR="00672BA0" w:rsidRDefault="00393CBC" w:rsidP="00393CBC">
      <w:pPr>
        <w:spacing w:line="480" w:lineRule="auto"/>
        <w:ind w:firstLine="720"/>
        <w:rPr>
          <w:color w:val="000000"/>
        </w:rPr>
      </w:pPr>
      <w:r w:rsidRPr="00966892">
        <w:rPr>
          <w:color w:val="000000" w:themeColor="text1"/>
        </w:rPr>
        <w:t>The major element composition of hybridized mantle source #1 was estimated assuming mechanical mixing between IBC #1 (</w:t>
      </w:r>
      <w:r w:rsidRPr="00393CBC">
        <w:rPr>
          <w:b/>
          <w:bCs/>
          <w:color w:val="000000" w:themeColor="text1"/>
        </w:rPr>
        <w:t>Table 2.4</w:t>
      </w:r>
      <w:r w:rsidRPr="00966892">
        <w:rPr>
          <w:color w:val="000000" w:themeColor="text1"/>
        </w:rPr>
        <w:t>) and EMOC (</w:t>
      </w:r>
      <w:r w:rsidRPr="00393CBC">
        <w:rPr>
          <w:b/>
          <w:bCs/>
          <w:color w:val="000000" w:themeColor="text1"/>
        </w:rPr>
        <w:t>Figure B8a</w:t>
      </w:r>
      <w:r w:rsidRPr="00966892">
        <w:rPr>
          <w:color w:val="000000" w:themeColor="text1"/>
        </w:rPr>
        <w:t>). For this model, we assume hybridized mantle source #1 comprises an 80% EMOC to 20% IBC #1 mixture (</w:t>
      </w:r>
      <w:r w:rsidRPr="00393CBC">
        <w:rPr>
          <w:b/>
          <w:bCs/>
          <w:color w:val="000000" w:themeColor="text1"/>
        </w:rPr>
        <w:t>Table B4</w:t>
      </w:r>
      <w:r w:rsidRPr="00966892">
        <w:rPr>
          <w:color w:val="000000" w:themeColor="text1"/>
        </w:rPr>
        <w:t xml:space="preserve">). The major element composition of hybridized mantle source #2 was estimated assuming mechanical mixing between IBC #2 </w:t>
      </w:r>
      <w:r>
        <w:rPr>
          <w:color w:val="000000" w:themeColor="text1"/>
        </w:rPr>
        <w:t>(</w:t>
      </w:r>
      <w:r w:rsidRPr="00393CBC">
        <w:rPr>
          <w:b/>
          <w:bCs/>
          <w:color w:val="000000" w:themeColor="text1"/>
        </w:rPr>
        <w:t>Table 2.4</w:t>
      </w:r>
      <w:r w:rsidRPr="00966892">
        <w:rPr>
          <w:color w:val="000000" w:themeColor="text1"/>
        </w:rPr>
        <w:t>) and EMOC (</w:t>
      </w:r>
      <w:r w:rsidRPr="00393CBC">
        <w:rPr>
          <w:b/>
          <w:bCs/>
          <w:color w:val="000000" w:themeColor="text1"/>
        </w:rPr>
        <w:t>Figure B8b</w:t>
      </w:r>
      <w:r w:rsidRPr="00966892">
        <w:rPr>
          <w:color w:val="000000" w:themeColor="text1"/>
        </w:rPr>
        <w:t>). For this model, we assume hybridized mantle source #2 comprises a 55% EMOC to 45% IBC #2 mixture (</w:t>
      </w:r>
      <w:r w:rsidRPr="00393CBC">
        <w:rPr>
          <w:b/>
          <w:bCs/>
          <w:color w:val="000000" w:themeColor="text1"/>
        </w:rPr>
        <w:t>Table B4</w:t>
      </w:r>
      <w:r w:rsidRPr="00966892">
        <w:rPr>
          <w:color w:val="000000" w:themeColor="text1"/>
        </w:rPr>
        <w:t>).</w:t>
      </w:r>
      <w:r w:rsidR="00672BA0">
        <w:rPr>
          <w:color w:val="000000"/>
        </w:rPr>
        <w:br w:type="page"/>
      </w:r>
    </w:p>
    <w:p w14:paraId="1E807405" w14:textId="40EF97D1" w:rsidR="00C14CE7" w:rsidRDefault="00C14CE7">
      <w:pPr>
        <w:rPr>
          <w:color w:val="000000"/>
        </w:rPr>
      </w:pPr>
      <w:r w:rsidRPr="00D108BF">
        <w:rPr>
          <w:b/>
          <w:bCs/>
          <w:color w:val="000000" w:themeColor="text1"/>
        </w:rPr>
        <w:lastRenderedPageBreak/>
        <w:t>Figure B8.</w:t>
      </w:r>
      <w:r w:rsidRPr="00D108BF">
        <w:rPr>
          <w:color w:val="000000" w:themeColor="text1"/>
        </w:rPr>
        <w:t xml:space="preserve"> </w:t>
      </w:r>
      <w:r w:rsidRPr="00966892">
        <w:rPr>
          <w:color w:val="000000" w:themeColor="text1"/>
        </w:rPr>
        <w:t>Thermodynamic models of the hybridized mantle source mineralogy at 1250</w:t>
      </w:r>
      <w:r w:rsidRPr="00966892">
        <w:rPr>
          <w:color w:val="000000" w:themeColor="text1"/>
        </w:rPr>
        <w:sym w:font="Symbol" w:char="F0B0"/>
      </w:r>
      <w:r w:rsidRPr="00966892">
        <w:rPr>
          <w:color w:val="000000" w:themeColor="text1"/>
        </w:rPr>
        <w:t xml:space="preserve">C and 2 GPa, assuming mechanical mixing between IBC and EMOC material and plagioclase floatation efficiencies of 80-98%. The modal mineralogy of the hybridized mantle sources in these models varies significantly from the IBC material (Figure </w:t>
      </w:r>
      <w:r>
        <w:rPr>
          <w:color w:val="000000" w:themeColor="text1"/>
        </w:rPr>
        <w:t>2.</w:t>
      </w:r>
      <w:r w:rsidRPr="00966892">
        <w:rPr>
          <w:color w:val="000000" w:themeColor="text1"/>
        </w:rPr>
        <w:t xml:space="preserve">6), as the hybridized source is assumed to contain a significant portion of EMOC material. Modal mineralogy of the hybridized mantle source, assuming no pre-overturn mixing in the upper mantle (i.e., IBC #1) (a). Modal mineralogy of the hybridized mantle source, assuming pre-overturn mixing in the upper 100 km of the lunar mantle (i.e., IBC #2) (b). The composition of LMO cumulate material was assumed using the mineral compositions of LMO solidification experiments (Elardo et al., 2011; Charlier et al., 2018: see Table </w:t>
      </w:r>
      <w:r>
        <w:rPr>
          <w:color w:val="000000" w:themeColor="text1"/>
        </w:rPr>
        <w:t>(2.</w:t>
      </w:r>
      <w:r w:rsidRPr="00966892">
        <w:rPr>
          <w:color w:val="000000" w:themeColor="text1"/>
        </w:rPr>
        <w:t>2</w:t>
      </w:r>
      <w:r>
        <w:rPr>
          <w:color w:val="000000" w:themeColor="text1"/>
        </w:rPr>
        <w:t>)</w:t>
      </w:r>
      <w:r w:rsidRPr="00966892">
        <w:rPr>
          <w:color w:val="000000" w:themeColor="text1"/>
        </w:rPr>
        <w:t xml:space="preserve"> for referenced experiments), and the modal mineral proportions for the initial magma ocean cumulates (Tables </w:t>
      </w:r>
      <w:r>
        <w:rPr>
          <w:color w:val="000000" w:themeColor="text1"/>
        </w:rPr>
        <w:t>B</w:t>
      </w:r>
      <w:r w:rsidRPr="00966892">
        <w:rPr>
          <w:color w:val="000000" w:themeColor="text1"/>
        </w:rPr>
        <w:t>1-</w:t>
      </w:r>
      <w:r>
        <w:rPr>
          <w:color w:val="000000" w:themeColor="text1"/>
        </w:rPr>
        <w:t>B</w:t>
      </w:r>
      <w:r w:rsidRPr="00966892">
        <w:rPr>
          <w:color w:val="000000" w:themeColor="text1"/>
        </w:rPr>
        <w:t xml:space="preserve">3). Estimated hybridized mantle source compositions can be found in Table </w:t>
      </w:r>
      <w:r>
        <w:rPr>
          <w:color w:val="000000" w:themeColor="text1"/>
        </w:rPr>
        <w:t>B</w:t>
      </w:r>
      <w:r w:rsidRPr="00966892">
        <w:rPr>
          <w:color w:val="000000" w:themeColor="text1"/>
        </w:rPr>
        <w:t>4. Olivine (Ol), Orthopyroxene (Opx), Clinopyroxene (Cpx), Garnet (Grnt), Ilmenite (Ilm), Ulvöspinel (Usp). These thermodynamic models demonstrate that garnet is far less likely to stabilize in the hybridized source than the downwelling IBC.</w:t>
      </w:r>
      <w:r>
        <w:rPr>
          <w:color w:val="000000"/>
        </w:rPr>
        <w:br w:type="page"/>
      </w:r>
    </w:p>
    <w:p w14:paraId="71799AFA" w14:textId="42A00903" w:rsidR="00284389" w:rsidRPr="00C14CE7" w:rsidRDefault="00672BA0" w:rsidP="00C14CE7">
      <w:pPr>
        <w:jc w:val="center"/>
        <w:rPr>
          <w:color w:val="000000"/>
        </w:rPr>
      </w:pPr>
      <w:r>
        <w:rPr>
          <w:noProof/>
          <w:color w:val="000000"/>
        </w:rPr>
        <w:lastRenderedPageBreak/>
        <w:drawing>
          <wp:inline distT="0" distB="0" distL="0" distR="0" wp14:anchorId="177BD7DA" wp14:editId="66983C29">
            <wp:extent cx="5167950" cy="7772400"/>
            <wp:effectExtent l="0" t="0" r="1270" b="0"/>
            <wp:docPr id="15239846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98463" name="Picture 152398463"/>
                    <pic:cNvPicPr/>
                  </pic:nvPicPr>
                  <pic:blipFill>
                    <a:blip r:embed="rId311" cstate="print">
                      <a:extLst>
                        <a:ext uri="{28A0092B-C50C-407E-A947-70E740481C1C}">
                          <a14:useLocalDpi xmlns:a14="http://schemas.microsoft.com/office/drawing/2010/main" val="0"/>
                        </a:ext>
                      </a:extLst>
                    </a:blip>
                    <a:stretch>
                      <a:fillRect/>
                    </a:stretch>
                  </pic:blipFill>
                  <pic:spPr>
                    <a:xfrm>
                      <a:off x="0" y="0"/>
                      <a:ext cx="5211694" cy="7838189"/>
                    </a:xfrm>
                    <a:prstGeom prst="rect">
                      <a:avLst/>
                    </a:prstGeom>
                  </pic:spPr>
                </pic:pic>
              </a:graphicData>
            </a:graphic>
          </wp:inline>
        </w:drawing>
      </w:r>
      <w:r w:rsidR="00284389">
        <w:br w:type="page"/>
      </w:r>
    </w:p>
    <w:p w14:paraId="4F5DA063" w14:textId="435F0ABB" w:rsidR="00284389" w:rsidRDefault="00284389" w:rsidP="0091263B">
      <w:pPr>
        <w:spacing w:line="480" w:lineRule="auto"/>
        <w:jc w:val="center"/>
        <w:rPr>
          <w:rStyle w:val="Strong"/>
        </w:rPr>
      </w:pPr>
      <w:r>
        <w:rPr>
          <w:rStyle w:val="Strong"/>
        </w:rPr>
        <w:lastRenderedPageBreak/>
        <w:t xml:space="preserve">Appendix </w:t>
      </w:r>
      <w:r w:rsidR="003F0654">
        <w:rPr>
          <w:rStyle w:val="Strong"/>
        </w:rPr>
        <w:t>B</w:t>
      </w:r>
      <w:r>
        <w:rPr>
          <w:rStyle w:val="Strong"/>
        </w:rPr>
        <w:t xml:space="preserve"> References</w:t>
      </w:r>
    </w:p>
    <w:p w14:paraId="3C8CC34C" w14:textId="77777777" w:rsidR="003648E7" w:rsidRPr="003648E7" w:rsidRDefault="003648E7" w:rsidP="0091263B">
      <w:pPr>
        <w:spacing w:line="480" w:lineRule="auto"/>
        <w:ind w:left="450" w:hanging="450"/>
      </w:pPr>
      <w:r w:rsidRPr="003648E7">
        <w:t>Barr, J.A., and Grove, T.L., 2013, Experimental petrology of the Apollo 15 group A green glasses: Melting primordial lunar mantle and magma ocean cumulate assimilation: Geochimica et Cosmochimica Acta, v. 106, p. 216–230, doi:</w:t>
      </w:r>
      <w:hyperlink r:id="rId312" w:history="1">
        <w:r w:rsidRPr="003648E7">
          <w:rPr>
            <w:color w:val="0000FF"/>
            <w:u w:val="single"/>
          </w:rPr>
          <w:t>10.1016/j.gca.2012.12.035</w:t>
        </w:r>
      </w:hyperlink>
      <w:r w:rsidRPr="003648E7">
        <w:t>.</w:t>
      </w:r>
    </w:p>
    <w:p w14:paraId="7F2D16EB" w14:textId="77777777" w:rsidR="003648E7" w:rsidRPr="003648E7" w:rsidRDefault="003648E7" w:rsidP="0091263B">
      <w:pPr>
        <w:spacing w:line="480" w:lineRule="auto"/>
        <w:ind w:left="450" w:hanging="450"/>
      </w:pPr>
      <w:r w:rsidRPr="003648E7">
        <w:t>Blundy, J., and Wood, B., 1994, Prediction of crystal–melt partition coefficients from elastic moduli: Nature, v. 372, p. 452–454, doi:</w:t>
      </w:r>
      <w:hyperlink r:id="rId313" w:history="1">
        <w:r w:rsidRPr="003648E7">
          <w:rPr>
            <w:color w:val="0000FF"/>
            <w:u w:val="single"/>
          </w:rPr>
          <w:t>10.1038/372452a0</w:t>
        </w:r>
      </w:hyperlink>
      <w:r w:rsidRPr="003648E7">
        <w:t>.</w:t>
      </w:r>
    </w:p>
    <w:p w14:paraId="7FD52D2E" w14:textId="77777777" w:rsidR="003648E7" w:rsidRPr="003648E7" w:rsidRDefault="003648E7" w:rsidP="0091263B">
      <w:pPr>
        <w:spacing w:line="480" w:lineRule="auto"/>
        <w:ind w:left="450" w:hanging="450"/>
      </w:pPr>
      <w:r w:rsidRPr="003648E7">
        <w:t>Borg, L.E., Gaffney, A.M., Kruijer, T.S., Marks, N.A., Sio, C.K., and Wimpenny, J., 2019, Isotopic evidence for a young lunar magma ocean: Earth and Planetary Science Letters, v. 523, p. 115706, doi:</w:t>
      </w:r>
      <w:hyperlink r:id="rId314" w:history="1">
        <w:r w:rsidRPr="003648E7">
          <w:rPr>
            <w:color w:val="0000FF"/>
            <w:u w:val="single"/>
          </w:rPr>
          <w:t>10.1016/j.epsl.2019.07.008</w:t>
        </w:r>
      </w:hyperlink>
      <w:r w:rsidRPr="003648E7">
        <w:t>.</w:t>
      </w:r>
    </w:p>
    <w:p w14:paraId="303328A3" w14:textId="77777777" w:rsidR="003648E7" w:rsidRPr="003648E7" w:rsidRDefault="003648E7" w:rsidP="0091263B">
      <w:pPr>
        <w:spacing w:line="480" w:lineRule="auto"/>
        <w:ind w:left="450" w:hanging="450"/>
      </w:pPr>
      <w:r w:rsidRPr="003648E7">
        <w:t>Brice, J.C., 1975, Some thermodynamic aspects of the growth of strained crystals: Journal of Crystal Growth, v. 28, p. 249–253, doi:</w:t>
      </w:r>
      <w:hyperlink r:id="rId315" w:history="1">
        <w:r w:rsidRPr="003648E7">
          <w:rPr>
            <w:color w:val="0000FF"/>
            <w:u w:val="single"/>
          </w:rPr>
          <w:t>10.1016/0022-0248(75)90241-9</w:t>
        </w:r>
      </w:hyperlink>
      <w:r w:rsidRPr="003648E7">
        <w:t>.</w:t>
      </w:r>
    </w:p>
    <w:p w14:paraId="35AAB07C" w14:textId="77777777" w:rsidR="003648E7" w:rsidRPr="003648E7" w:rsidRDefault="003648E7" w:rsidP="0091263B">
      <w:pPr>
        <w:spacing w:line="480" w:lineRule="auto"/>
        <w:ind w:left="450" w:hanging="450"/>
      </w:pPr>
      <w:r w:rsidRPr="003648E7">
        <w:t>Charlier, B., Grove, T.L., Namur, O., and Holtz, F., 2018, Crystallization of the lunar magma ocean and the primordial mantle-crust differentiation of the Moon: Geochimica et Cosmochimica Acta, v. 234, p. 50–69, doi:</w:t>
      </w:r>
      <w:hyperlink r:id="rId316" w:history="1">
        <w:r w:rsidRPr="003648E7">
          <w:rPr>
            <w:color w:val="0000FF"/>
            <w:u w:val="single"/>
          </w:rPr>
          <w:t>10.1016/j.gca.2018.05.006</w:t>
        </w:r>
      </w:hyperlink>
      <w:r w:rsidRPr="003648E7">
        <w:t>.</w:t>
      </w:r>
    </w:p>
    <w:p w14:paraId="70415285" w14:textId="77777777" w:rsidR="003648E7" w:rsidRPr="003648E7" w:rsidRDefault="003648E7" w:rsidP="0091263B">
      <w:pPr>
        <w:spacing w:line="480" w:lineRule="auto"/>
        <w:ind w:left="450" w:hanging="450"/>
      </w:pPr>
      <w:r w:rsidRPr="003648E7">
        <w:t>Dalou, C., Koga, K.T., Shimizu, N., Boulon, J., and Devidal, J.-L., 2012, Experimental determination of F and Cl partitioning between lherzolite and basaltic melt: Contributions to Mineralogy and Petrology, v. 163, p. 591–609, doi:</w:t>
      </w:r>
      <w:hyperlink r:id="rId317" w:history="1">
        <w:r w:rsidRPr="003648E7">
          <w:rPr>
            <w:color w:val="0000FF"/>
            <w:u w:val="single"/>
          </w:rPr>
          <w:t>10.1007/s00410-011-0688-2</w:t>
        </w:r>
      </w:hyperlink>
      <w:r w:rsidRPr="003648E7">
        <w:t>.</w:t>
      </w:r>
    </w:p>
    <w:p w14:paraId="1507B17A" w14:textId="77777777" w:rsidR="003648E7" w:rsidRPr="003648E7" w:rsidRDefault="003648E7" w:rsidP="0091263B">
      <w:pPr>
        <w:spacing w:line="480" w:lineRule="auto"/>
        <w:ind w:left="450" w:hanging="450"/>
      </w:pPr>
      <w:r w:rsidRPr="003648E7">
        <w:t xml:space="preserve">Davis, F.A., Humayun, M., Hirschmann, M.M., and Cooper, R.S., 2013, Experimentally determined mineral/melt partitioning of first-row transition elements (FRTE) during </w:t>
      </w:r>
      <w:r w:rsidRPr="003648E7">
        <w:lastRenderedPageBreak/>
        <w:t>partial melting of peridotite at 3GPa: Geochimica et Cosmochimica Acta, v. 104, p. 232–260, doi:</w:t>
      </w:r>
      <w:hyperlink r:id="rId318" w:history="1">
        <w:r w:rsidRPr="003648E7">
          <w:rPr>
            <w:color w:val="0000FF"/>
            <w:u w:val="single"/>
          </w:rPr>
          <w:t>10.1016/j.gca.2012.11.009</w:t>
        </w:r>
      </w:hyperlink>
      <w:r w:rsidRPr="003648E7">
        <w:t>.</w:t>
      </w:r>
    </w:p>
    <w:p w14:paraId="63306438" w14:textId="77777777" w:rsidR="003648E7" w:rsidRPr="003648E7" w:rsidRDefault="003648E7" w:rsidP="0091263B">
      <w:pPr>
        <w:spacing w:line="480" w:lineRule="auto"/>
        <w:ind w:left="450" w:hanging="450"/>
      </w:pPr>
      <w:r w:rsidRPr="003648E7">
        <w:t>Dygert, N., Draper, D.S., Rapp, J.F., Lapen, T.J., Fagan, A.L., and Neal, C.R., 2020, Experimental determinations of trace element partitioning between plagioclase, pigeonite, olivine, and lunar basaltic melts and an fO2 dependent model for plagioclase-melt Eu partitioning: Geochimica et Cosmochimica Acta, v. 279, p. 258–280, doi:</w:t>
      </w:r>
      <w:hyperlink r:id="rId319" w:history="1">
        <w:r w:rsidRPr="003648E7">
          <w:rPr>
            <w:color w:val="0000FF"/>
            <w:u w:val="single"/>
          </w:rPr>
          <w:t>10.1016/j.gca.2020.03.037</w:t>
        </w:r>
      </w:hyperlink>
      <w:r w:rsidRPr="003648E7">
        <w:t>.</w:t>
      </w:r>
    </w:p>
    <w:p w14:paraId="52819C72" w14:textId="77777777" w:rsidR="003648E7" w:rsidRPr="003648E7" w:rsidRDefault="003648E7" w:rsidP="0091263B">
      <w:pPr>
        <w:spacing w:line="480" w:lineRule="auto"/>
        <w:ind w:left="450" w:hanging="450"/>
      </w:pPr>
      <w:r w:rsidRPr="003648E7">
        <w:t>Dygert, N., Liang, Y., and Hess, P., 2013, The importance of melt TiO2 in affecting major and trace element partitioning between Fe–Ti oxides and lunar picritic glass melts: Geochimica et Cosmochimica Acta, v. 106, p. 134–151, doi:</w:t>
      </w:r>
      <w:hyperlink r:id="rId320" w:history="1">
        <w:r w:rsidRPr="003648E7">
          <w:rPr>
            <w:color w:val="0000FF"/>
            <w:u w:val="single"/>
          </w:rPr>
          <w:t>10.1016/j.gca.2012.12.005</w:t>
        </w:r>
      </w:hyperlink>
      <w:r w:rsidRPr="003648E7">
        <w:t>.</w:t>
      </w:r>
    </w:p>
    <w:p w14:paraId="515BB507" w14:textId="77777777" w:rsidR="003648E7" w:rsidRPr="003648E7" w:rsidRDefault="003648E7" w:rsidP="0091263B">
      <w:pPr>
        <w:spacing w:line="480" w:lineRule="auto"/>
        <w:ind w:left="450" w:hanging="450"/>
      </w:pPr>
      <w:r w:rsidRPr="003648E7">
        <w:t>Elardo, S.M., Draper, D.S., and Shearer, C.K., 2011, Lunar Magma Ocean crystallization revisited: Bulk composition, early cumulate mineralogy, and the source regions of the highlands Mg-suite: Geochimica et Cosmochimica Acta, v. 75, p. 3024–3045, doi:</w:t>
      </w:r>
      <w:hyperlink r:id="rId321" w:history="1">
        <w:r w:rsidRPr="003648E7">
          <w:rPr>
            <w:color w:val="0000FF"/>
            <w:u w:val="single"/>
          </w:rPr>
          <w:t>10.1016/j.gca.2011.02.033</w:t>
        </w:r>
      </w:hyperlink>
      <w:r w:rsidRPr="003648E7">
        <w:t>.</w:t>
      </w:r>
    </w:p>
    <w:p w14:paraId="463CB1CC" w14:textId="77777777" w:rsidR="003648E7" w:rsidRPr="003648E7" w:rsidRDefault="003648E7" w:rsidP="0091263B">
      <w:pPr>
        <w:spacing w:line="480" w:lineRule="auto"/>
        <w:ind w:left="450" w:hanging="450"/>
      </w:pPr>
      <w:r w:rsidRPr="003648E7">
        <w:t>Filiberto, J., Jackson, C., Le, L., and Treiman, A.H., 2009, Partitioning of Ni between olivine and an iron-rich basalt: Experiments, partition models, and planetary implications: American Mineralogist, v. 94, p. 256–261, doi:</w:t>
      </w:r>
      <w:hyperlink r:id="rId322" w:history="1">
        <w:r w:rsidRPr="003648E7">
          <w:rPr>
            <w:color w:val="0000FF"/>
            <w:u w:val="single"/>
          </w:rPr>
          <w:t>10.2138/am.2009.3047</w:t>
        </w:r>
      </w:hyperlink>
      <w:r w:rsidRPr="003648E7">
        <w:t>.</w:t>
      </w:r>
    </w:p>
    <w:p w14:paraId="217DBA4D" w14:textId="277F7D63" w:rsidR="003648E7" w:rsidRPr="003648E7" w:rsidRDefault="003648E7" w:rsidP="0091263B">
      <w:pPr>
        <w:spacing w:line="480" w:lineRule="auto"/>
        <w:ind w:left="450" w:hanging="450"/>
      </w:pPr>
      <w:r w:rsidRPr="003648E7">
        <w:t>Frost, B.R., 1991, Chapter 1.</w:t>
      </w:r>
      <w:r w:rsidR="00023D10">
        <w:t>I</w:t>
      </w:r>
      <w:r w:rsidR="00023D10" w:rsidRPr="003648E7">
        <w:t>ntroduction to oxygen fugacity and its petrologic importance</w:t>
      </w:r>
      <w:r w:rsidRPr="003648E7">
        <w:t xml:space="preserve">, </w:t>
      </w:r>
      <w:r w:rsidRPr="003648E7">
        <w:rPr>
          <w:i/>
          <w:iCs/>
        </w:rPr>
        <w:t>in</w:t>
      </w:r>
      <w:r w:rsidRPr="003648E7">
        <w:t xml:space="preserve"> Lindsley, D.H. ed., Petrologic and Magnetic Significance, Berlin, Boston, De Gruyter, p. 1–10, doi:</w:t>
      </w:r>
      <w:hyperlink r:id="rId323" w:history="1">
        <w:r w:rsidRPr="003648E7">
          <w:rPr>
            <w:color w:val="0000FF"/>
            <w:u w:val="single"/>
          </w:rPr>
          <w:t>doi:10.1515/9781501508684-004</w:t>
        </w:r>
      </w:hyperlink>
      <w:r w:rsidRPr="003648E7">
        <w:t>.</w:t>
      </w:r>
    </w:p>
    <w:p w14:paraId="6F60D19E" w14:textId="77777777" w:rsidR="003648E7" w:rsidRPr="003648E7" w:rsidRDefault="003648E7" w:rsidP="0091263B">
      <w:pPr>
        <w:spacing w:line="480" w:lineRule="auto"/>
        <w:ind w:left="450" w:hanging="450"/>
      </w:pPr>
      <w:r w:rsidRPr="003648E7">
        <w:lastRenderedPageBreak/>
        <w:t>Ghiorso, M.S., Hirschmann, M.M., Reiners, P.W., and Kress III, V.C., 2002, The pMELTS: A revision of MELTS for improved calculation of phase relations and major element partitioning related to partial melting of the mantle to 3 GPa: Geochemistry, Geophysics, Geosystems, v. 3, p. 1–35.</w:t>
      </w:r>
    </w:p>
    <w:p w14:paraId="70569CB2" w14:textId="77777777" w:rsidR="003648E7" w:rsidRPr="003648E7" w:rsidRDefault="003648E7" w:rsidP="0091263B">
      <w:pPr>
        <w:spacing w:line="480" w:lineRule="auto"/>
        <w:ind w:left="450" w:hanging="450"/>
      </w:pPr>
      <w:r w:rsidRPr="003648E7">
        <w:t>Ghiorso, M.S., and Sack, R.O., 1995, Chemical mass transfer in magmatic processes IV. A revised and internally consistent thermodynamic model for the interpolation and extrapolation of liquid-solid equilibria in magmatic systems at elevated temperatures and pressures: Contributions to Mineralogy and Petrology, v. 119, p. 197–212, doi:</w:t>
      </w:r>
      <w:hyperlink r:id="rId324" w:history="1">
        <w:r w:rsidRPr="003648E7">
          <w:rPr>
            <w:color w:val="0000FF"/>
            <w:u w:val="single"/>
          </w:rPr>
          <w:t>10.1007/BF00307281</w:t>
        </w:r>
      </w:hyperlink>
      <w:r w:rsidRPr="003648E7">
        <w:t>.</w:t>
      </w:r>
    </w:p>
    <w:p w14:paraId="45C65412" w14:textId="77777777" w:rsidR="003648E7" w:rsidRPr="003648E7" w:rsidRDefault="003648E7" w:rsidP="0091263B">
      <w:pPr>
        <w:spacing w:line="480" w:lineRule="auto"/>
        <w:ind w:left="450" w:hanging="450"/>
      </w:pPr>
      <w:r w:rsidRPr="003648E7">
        <w:t>Hallis, L.J., Anand, M., and Strekopytov, S., 2014, Trace-element modelling of mare basalt parental melts: Implications for a heterogeneous lunar mantle: Geochimica et Cosmochimica Acta, v. 134, p. 289–316, doi:</w:t>
      </w:r>
      <w:hyperlink r:id="rId325" w:history="1">
        <w:r w:rsidRPr="003648E7">
          <w:rPr>
            <w:color w:val="0000FF"/>
            <w:u w:val="single"/>
          </w:rPr>
          <w:t>10.1016/j.gca.2014.01.012</w:t>
        </w:r>
      </w:hyperlink>
      <w:r w:rsidRPr="003648E7">
        <w:t>.</w:t>
      </w:r>
    </w:p>
    <w:p w14:paraId="649416AC" w14:textId="77777777" w:rsidR="003648E7" w:rsidRPr="003648E7" w:rsidRDefault="003648E7" w:rsidP="0091263B">
      <w:pPr>
        <w:spacing w:line="480" w:lineRule="auto"/>
        <w:ind w:left="450" w:hanging="450"/>
      </w:pPr>
      <w:r w:rsidRPr="003648E7">
        <w:t>Haupt, C.P., Renggli, C.J., Rohrbach, A., Berndt, J., and Klemme, S., 2024, Experimental Constraints on the Origin of the Lunar High-Ti Basalts: Journal of Geophysical Research: Planets, v. 129, p. e2023JE008239, doi:</w:t>
      </w:r>
      <w:hyperlink r:id="rId326" w:history="1">
        <w:r w:rsidRPr="003648E7">
          <w:rPr>
            <w:color w:val="0000FF"/>
            <w:u w:val="single"/>
          </w:rPr>
          <w:t>10.1029/2023JE008239</w:t>
        </w:r>
      </w:hyperlink>
      <w:r w:rsidRPr="003648E7">
        <w:t>.</w:t>
      </w:r>
    </w:p>
    <w:p w14:paraId="2036A00D" w14:textId="77777777" w:rsidR="003648E7" w:rsidRPr="003648E7" w:rsidRDefault="003648E7" w:rsidP="0091263B">
      <w:pPr>
        <w:spacing w:line="480" w:lineRule="auto"/>
        <w:ind w:left="450" w:hanging="450"/>
      </w:pPr>
      <w:r w:rsidRPr="003648E7">
        <w:t>Hughes, S.S., Delano, J.W., and Schmitt, R.A., 1990, Chemistry of individual mare volcanic glasses: evidence for distinct regions of hybridized mantle and a KREEP component in Apollo 14 magmatic sources.: Lunar and Planetary Science Conference Proceedings, v. 20, p. 127–138.</w:t>
      </w:r>
    </w:p>
    <w:p w14:paraId="6AA6C4D9" w14:textId="77777777" w:rsidR="003648E7" w:rsidRPr="003648E7" w:rsidRDefault="003648E7" w:rsidP="0091263B">
      <w:pPr>
        <w:spacing w:line="480" w:lineRule="auto"/>
        <w:ind w:left="450" w:hanging="450"/>
      </w:pPr>
      <w:r w:rsidRPr="003648E7">
        <w:t>Imai, T., Takahashi, E., Suzuki, T., and Hirata, T., 2012, Element partitioning between olivine and melt up to 10GPa: Implications for the effect of pressure: Physics of the Earth and Planetary Interiors, v. 212–213, p. 64–75, doi:</w:t>
      </w:r>
      <w:hyperlink r:id="rId327" w:history="1">
        <w:r w:rsidRPr="003648E7">
          <w:rPr>
            <w:color w:val="0000FF"/>
            <w:u w:val="single"/>
          </w:rPr>
          <w:t>10.1016/j.pepi.2012.09.001</w:t>
        </w:r>
      </w:hyperlink>
      <w:r w:rsidRPr="003648E7">
        <w:t>.</w:t>
      </w:r>
    </w:p>
    <w:p w14:paraId="1ADAA688" w14:textId="77777777" w:rsidR="003648E7" w:rsidRPr="003648E7" w:rsidRDefault="003648E7" w:rsidP="0091263B">
      <w:pPr>
        <w:spacing w:line="480" w:lineRule="auto"/>
        <w:ind w:left="450" w:hanging="450"/>
      </w:pPr>
      <w:r w:rsidRPr="003648E7">
        <w:lastRenderedPageBreak/>
        <w:t>Ji, D., and Dygert, N., 2023, Trace element partitioning between apatite and silicate melts: Effects of major element composition, temperature, and oxygen fugacity, and implications for the volatile element budget of the lunar magma ocean: Geochimica et Cosmochimica Acta, doi:</w:t>
      </w:r>
      <w:hyperlink r:id="rId328" w:history="1">
        <w:r w:rsidRPr="003648E7">
          <w:rPr>
            <w:color w:val="0000FF"/>
            <w:u w:val="single"/>
          </w:rPr>
          <w:t>10.1016/j.gca.2023.11.004</w:t>
        </w:r>
      </w:hyperlink>
      <w:r w:rsidRPr="003648E7">
        <w:t>.</w:t>
      </w:r>
    </w:p>
    <w:p w14:paraId="51335FE2" w14:textId="77777777" w:rsidR="003648E7" w:rsidRPr="003648E7" w:rsidRDefault="003648E7" w:rsidP="0091263B">
      <w:pPr>
        <w:spacing w:line="480" w:lineRule="auto"/>
        <w:ind w:left="450" w:hanging="450"/>
      </w:pPr>
      <w:r w:rsidRPr="003648E7">
        <w:t>Jing, J.-J., Su, B.-X., Berndt, J., Kuwahara, H., and van Westrenen, W., 2024, Experimental investigation of first-row transition elements partitioning between olivine and silicate melt: Implications for lunar basalt formation: Geochimica et Cosmochimica Acta, v. 373, p. 211–231, doi:</w:t>
      </w:r>
      <w:hyperlink r:id="rId329" w:history="1">
        <w:r w:rsidRPr="003648E7">
          <w:rPr>
            <w:color w:val="0000FF"/>
            <w:u w:val="single"/>
          </w:rPr>
          <w:t>10.1016/j.gca.2024.03.028</w:t>
        </w:r>
      </w:hyperlink>
      <w:r w:rsidRPr="003648E7">
        <w:t>.</w:t>
      </w:r>
    </w:p>
    <w:p w14:paraId="3AF24EF2" w14:textId="77777777" w:rsidR="003648E7" w:rsidRPr="003648E7" w:rsidRDefault="003648E7" w:rsidP="0091263B">
      <w:pPr>
        <w:spacing w:line="480" w:lineRule="auto"/>
        <w:ind w:left="450" w:hanging="450"/>
      </w:pPr>
      <w:r w:rsidRPr="003648E7">
        <w:t>van Kan Parker, M., Mason, P.R.D., and van Westrenen, W., 2011, Trace element partitioning between ilmenite, armalcolite and anhydrous silicate melt: Implications for the formation of lunar high-Ti mare basalts: Geochimica et Cosmochimica Acta, v. 75, p. 4179–4193, doi:</w:t>
      </w:r>
      <w:hyperlink r:id="rId330" w:history="1">
        <w:r w:rsidRPr="003648E7">
          <w:rPr>
            <w:color w:val="0000FF"/>
            <w:u w:val="single"/>
          </w:rPr>
          <w:t>10.1016/j.gca.2011.04.031</w:t>
        </w:r>
      </w:hyperlink>
      <w:r w:rsidRPr="003648E7">
        <w:t>.</w:t>
      </w:r>
    </w:p>
    <w:p w14:paraId="7CCB7EB0" w14:textId="77777777" w:rsidR="003648E7" w:rsidRPr="003648E7" w:rsidRDefault="003648E7" w:rsidP="0091263B">
      <w:pPr>
        <w:spacing w:line="480" w:lineRule="auto"/>
        <w:ind w:left="450" w:hanging="450"/>
      </w:pPr>
      <w:r w:rsidRPr="003648E7">
        <w:t>Kennedy, A.K., Lofgren, G.E., and Wasserburg, G.J., 1993, An experimental study of trace element partitioning between olivine, orthopyroxene and melt in chondrules: equilibrium values and kinetic effects: Earth and Planetary Science Letters, v. 115, p. 177–195, doi:</w:t>
      </w:r>
      <w:hyperlink r:id="rId331" w:history="1">
        <w:r w:rsidRPr="003648E7">
          <w:rPr>
            <w:color w:val="0000FF"/>
            <w:u w:val="single"/>
          </w:rPr>
          <w:t>10.1016/0012-821X(93)90221-T</w:t>
        </w:r>
      </w:hyperlink>
      <w:r w:rsidRPr="003648E7">
        <w:t>.</w:t>
      </w:r>
    </w:p>
    <w:p w14:paraId="25C831E8" w14:textId="77777777" w:rsidR="003648E7" w:rsidRPr="003648E7" w:rsidRDefault="003648E7" w:rsidP="0091263B">
      <w:pPr>
        <w:spacing w:line="480" w:lineRule="auto"/>
        <w:ind w:left="450" w:hanging="450"/>
      </w:pPr>
      <w:r w:rsidRPr="003648E7">
        <w:t>Klemme, S., Günther, D., Hametner, K., Prowatke, S., and Zack, T., 2006, The partitioning of trace elements between ilmenite, ulvospinel, armalcolite and silicate melts with implications for the early differentiation of the moon: Chemical Geology, v. 234, p. 251–263, doi:</w:t>
      </w:r>
      <w:hyperlink r:id="rId332" w:history="1">
        <w:r w:rsidRPr="003648E7">
          <w:rPr>
            <w:color w:val="0000FF"/>
            <w:u w:val="single"/>
          </w:rPr>
          <w:t>10.1016/j.chemgeo.2006.05.005</w:t>
        </w:r>
      </w:hyperlink>
      <w:r w:rsidRPr="003648E7">
        <w:t>.</w:t>
      </w:r>
    </w:p>
    <w:p w14:paraId="0C2F5073" w14:textId="77777777" w:rsidR="003648E7" w:rsidRPr="003648E7" w:rsidRDefault="003648E7" w:rsidP="0091263B">
      <w:pPr>
        <w:spacing w:line="480" w:lineRule="auto"/>
        <w:ind w:left="450" w:hanging="450"/>
      </w:pPr>
      <w:r w:rsidRPr="003648E7">
        <w:lastRenderedPageBreak/>
        <w:t>Krawczynski, M.J., and Grove, T.L., 2012, Experimental investigation of the influence of oxygen fugacity on the source depths for high titanium lunar ultramafic magmas: Geochimica et Cosmochimica Acta, v. 79, p. 1–19, doi:</w:t>
      </w:r>
      <w:hyperlink r:id="rId333" w:history="1">
        <w:r w:rsidRPr="003648E7">
          <w:rPr>
            <w:color w:val="0000FF"/>
            <w:u w:val="single"/>
          </w:rPr>
          <w:t>10.1016/j.gca.2011.10.043</w:t>
        </w:r>
      </w:hyperlink>
      <w:r w:rsidRPr="003648E7">
        <w:t>.</w:t>
      </w:r>
    </w:p>
    <w:p w14:paraId="0E2E03FA" w14:textId="77777777" w:rsidR="003648E7" w:rsidRPr="003648E7" w:rsidRDefault="003648E7" w:rsidP="0091263B">
      <w:pPr>
        <w:spacing w:line="480" w:lineRule="auto"/>
        <w:ind w:left="450" w:hanging="450"/>
      </w:pPr>
      <w:r w:rsidRPr="003648E7">
        <w:t>Leitzke, F.P., Fonseca, R.O.C., Michely, L.T., Sprung, P., Münker, C., Heuser, A., and Blanchard, H., 2016, The effect of titanium on the partitioning behavior of high-field strength elements between silicates, oxides and lunar basaltic melts with applications to the origin of mare basalts: Chemical Geology, v. 440, p. 219–238, doi:</w:t>
      </w:r>
      <w:hyperlink r:id="rId334" w:history="1">
        <w:r w:rsidRPr="003648E7">
          <w:rPr>
            <w:color w:val="0000FF"/>
            <w:u w:val="single"/>
          </w:rPr>
          <w:t>10.1016/j.chemgeo.2016.07.011</w:t>
        </w:r>
      </w:hyperlink>
      <w:r w:rsidRPr="003648E7">
        <w:t>.</w:t>
      </w:r>
    </w:p>
    <w:p w14:paraId="165B4A24" w14:textId="77777777" w:rsidR="003648E7" w:rsidRPr="003648E7" w:rsidRDefault="003648E7" w:rsidP="0091263B">
      <w:pPr>
        <w:spacing w:line="480" w:lineRule="auto"/>
        <w:ind w:left="450" w:hanging="450"/>
      </w:pPr>
      <w:r w:rsidRPr="003648E7">
        <w:t>Mallik, A., Ejaz, T., Shcheka, S., and Garapic, G., 2019, A petrologic study on the effect of mantle overturn: Implications for evolution of the lunar interior: Geochimica et Cosmochimica Acta, v. 250, p. 238–250, doi:</w:t>
      </w:r>
      <w:hyperlink r:id="rId335" w:history="1">
        <w:r w:rsidRPr="003648E7">
          <w:rPr>
            <w:color w:val="0000FF"/>
            <w:u w:val="single"/>
          </w:rPr>
          <w:t>10.1016/j.gca.2019.02.014</w:t>
        </w:r>
      </w:hyperlink>
      <w:r w:rsidRPr="003648E7">
        <w:t>.</w:t>
      </w:r>
    </w:p>
    <w:p w14:paraId="47380305" w14:textId="77777777" w:rsidR="003648E7" w:rsidRPr="003648E7" w:rsidRDefault="003648E7" w:rsidP="0091263B">
      <w:pPr>
        <w:spacing w:line="480" w:lineRule="auto"/>
        <w:ind w:left="450" w:hanging="450"/>
      </w:pPr>
      <w:r w:rsidRPr="003648E7">
        <w:t>Mallmann, G., and O’Neill, H.St.C., 2013, Calibration of an Empirical Thermometer and Oxybarometer based on the Partitioning of Sc, Y and V between Olivine and Silicate Melt: Journal of Petrology, v. 54, p. 933–949, doi:</w:t>
      </w:r>
      <w:hyperlink r:id="rId336" w:history="1">
        <w:r w:rsidRPr="003648E7">
          <w:rPr>
            <w:color w:val="0000FF"/>
            <w:u w:val="single"/>
          </w:rPr>
          <w:t>10.1093/petrology/egt001</w:t>
        </w:r>
      </w:hyperlink>
      <w:r w:rsidRPr="003648E7">
        <w:t>.</w:t>
      </w:r>
    </w:p>
    <w:p w14:paraId="4AD8BCA5" w14:textId="77777777" w:rsidR="003648E7" w:rsidRPr="003648E7" w:rsidRDefault="003648E7" w:rsidP="0091263B">
      <w:pPr>
        <w:spacing w:line="480" w:lineRule="auto"/>
        <w:ind w:left="450" w:hanging="450"/>
      </w:pPr>
      <w:r w:rsidRPr="003648E7">
        <w:t>McIntosh, E.C., Day, J.M.D., McCubbin, F.M., Vander Kaaden, K.E., Hattingh, R., and Porrachia, M., 2024, Revisiting the Petrogenesis of Pyroclastic Glass Bead Deposits at the Apollo 15 and 17 Sites: Journal of Petrology, v. 65, p. egae026, doi:</w:t>
      </w:r>
      <w:hyperlink r:id="rId337" w:history="1">
        <w:r w:rsidRPr="003648E7">
          <w:rPr>
            <w:color w:val="0000FF"/>
            <w:u w:val="single"/>
          </w:rPr>
          <w:t>10.1093/petrology/egae026</w:t>
        </w:r>
      </w:hyperlink>
      <w:r w:rsidRPr="003648E7">
        <w:t>.</w:t>
      </w:r>
    </w:p>
    <w:p w14:paraId="77C9DA02" w14:textId="77777777" w:rsidR="003648E7" w:rsidRPr="003648E7" w:rsidRDefault="003648E7" w:rsidP="0091263B">
      <w:pPr>
        <w:spacing w:line="480" w:lineRule="auto"/>
        <w:ind w:left="450" w:hanging="450"/>
      </w:pPr>
      <w:r w:rsidRPr="003648E7">
        <w:t>McKay, G., Wagstaff, J., and Yang, S.-R., 1986, Zirconium, hafnium, and rare earth element partition coefficients for ilmenite and other minerals in high-Ti lunar mare basalts: An experimental study: Journal of Geophysical Research: Solid Earth, v. 91, p. 229–237, doi:</w:t>
      </w:r>
      <w:hyperlink r:id="rId338" w:history="1">
        <w:r w:rsidRPr="003648E7">
          <w:rPr>
            <w:color w:val="0000FF"/>
            <w:u w:val="single"/>
          </w:rPr>
          <w:t>10.1029/JB091iB04p0D229</w:t>
        </w:r>
      </w:hyperlink>
      <w:r w:rsidRPr="003648E7">
        <w:t>.</w:t>
      </w:r>
    </w:p>
    <w:p w14:paraId="15BD774A" w14:textId="77777777" w:rsidR="003648E7" w:rsidRPr="003648E7" w:rsidRDefault="003648E7" w:rsidP="0091263B">
      <w:pPr>
        <w:spacing w:line="480" w:lineRule="auto"/>
        <w:ind w:left="450" w:hanging="450"/>
      </w:pPr>
      <w:r w:rsidRPr="003648E7">
        <w:lastRenderedPageBreak/>
        <w:t xml:space="preserve">Neal, C.R., and Kramer, G.Y., 2003, The Composition of KREEP: A Detailed Study of KREEP Basalt 15386, </w:t>
      </w:r>
      <w:r w:rsidRPr="003648E7">
        <w:rPr>
          <w:i/>
          <w:iCs/>
        </w:rPr>
        <w:t>in</w:t>
      </w:r>
      <w:r w:rsidRPr="003648E7">
        <w:t xml:space="preserve"> Mackwell, S. and Stansbery, E. eds., Lunar and Planetary Science Conference, Lunar and Planetary Science Conference, p. 2023.</w:t>
      </w:r>
    </w:p>
    <w:p w14:paraId="20960F67" w14:textId="77777777" w:rsidR="003648E7" w:rsidRPr="003648E7" w:rsidRDefault="003648E7" w:rsidP="0091263B">
      <w:pPr>
        <w:spacing w:line="480" w:lineRule="auto"/>
        <w:ind w:left="450" w:hanging="450"/>
      </w:pPr>
      <w:r w:rsidRPr="003648E7">
        <w:t>O’Neill, H.St.C., and Pownceby, M.I., 1993, Thermodynamic data from redox reactions at high temperatures. I. An experimental and theoretical assessment of the electrochemical method using stabilized zirconia electrolytes, with revised values for the Fe-“FeO”, Co-CoO, Ni-NiO and Cu-Cu2O oxygen buffers, and new data for the W-WO2 buffer: Contributions to Mineralogy and Petrology, v. 114, p. 296–314, doi:</w:t>
      </w:r>
      <w:hyperlink r:id="rId339" w:history="1">
        <w:r w:rsidRPr="003648E7">
          <w:rPr>
            <w:color w:val="0000FF"/>
            <w:u w:val="single"/>
          </w:rPr>
          <w:t>10.1007/BF01046533</w:t>
        </w:r>
      </w:hyperlink>
      <w:r w:rsidRPr="003648E7">
        <w:t>.</w:t>
      </w:r>
    </w:p>
    <w:p w14:paraId="37D99AC4" w14:textId="77777777" w:rsidR="003648E7" w:rsidRPr="003648E7" w:rsidRDefault="003648E7" w:rsidP="0091263B">
      <w:pPr>
        <w:spacing w:line="480" w:lineRule="auto"/>
        <w:ind w:left="450" w:hanging="450"/>
      </w:pPr>
      <w:r w:rsidRPr="003648E7">
        <w:t>Salters, V.J.M., Longhi, J.E., and Bizimis, M., 2002, Near mantle solidus trace element partitioning at pressures up to 3.4 GPa: Geochemistry, Geophysics, Geosystems, v. 3, p. 1–23, doi:</w:t>
      </w:r>
      <w:hyperlink r:id="rId340" w:history="1">
        <w:r w:rsidRPr="003648E7">
          <w:rPr>
            <w:color w:val="0000FF"/>
            <w:u w:val="single"/>
          </w:rPr>
          <w:t>10.1029/2001GC000148</w:t>
        </w:r>
      </w:hyperlink>
      <w:r w:rsidRPr="003648E7">
        <w:t>.</w:t>
      </w:r>
    </w:p>
    <w:p w14:paraId="32131B75" w14:textId="77777777" w:rsidR="003648E7" w:rsidRPr="003648E7" w:rsidRDefault="003648E7" w:rsidP="0091263B">
      <w:pPr>
        <w:spacing w:line="480" w:lineRule="auto"/>
        <w:ind w:left="450" w:hanging="450"/>
      </w:pPr>
      <w:r w:rsidRPr="003648E7">
        <w:t>Shannon, R.D., 1976, Revised effective ionic radii and systematic studies of interatomic distances in halides and chalcogenides: Acta Crystallographica Section A, v. 32, p. 751–767, doi:</w:t>
      </w:r>
      <w:hyperlink r:id="rId341" w:history="1">
        <w:r w:rsidRPr="003648E7">
          <w:rPr>
            <w:color w:val="0000FF"/>
            <w:u w:val="single"/>
          </w:rPr>
          <w:t>10.1107/S0567739476001551</w:t>
        </w:r>
      </w:hyperlink>
      <w:r w:rsidRPr="003648E7">
        <w:t>.</w:t>
      </w:r>
    </w:p>
    <w:p w14:paraId="22113192" w14:textId="77777777" w:rsidR="003648E7" w:rsidRPr="003648E7" w:rsidRDefault="003648E7" w:rsidP="0091263B">
      <w:pPr>
        <w:spacing w:line="480" w:lineRule="auto"/>
        <w:ind w:left="450" w:hanging="450"/>
      </w:pPr>
      <w:r w:rsidRPr="003648E7">
        <w:t>Shearer, C.K., and Papike, J.J., 1993, Basaltic magmatism on the Moon: A perspective from volcanic picritic glass beads: Geochimica et Cosmochimica Acta, v. 57, p. 4785–4812, doi:</w:t>
      </w:r>
      <w:hyperlink r:id="rId342" w:history="1">
        <w:r w:rsidRPr="003648E7">
          <w:rPr>
            <w:color w:val="0000FF"/>
            <w:u w:val="single"/>
          </w:rPr>
          <w:t>10.1016/0016-7037(93)90200-G</w:t>
        </w:r>
      </w:hyperlink>
      <w:r w:rsidRPr="003648E7">
        <w:t>.</w:t>
      </w:r>
    </w:p>
    <w:p w14:paraId="08A76E42" w14:textId="77777777" w:rsidR="003648E7" w:rsidRPr="003648E7" w:rsidRDefault="003648E7" w:rsidP="0091263B">
      <w:pPr>
        <w:spacing w:line="480" w:lineRule="auto"/>
        <w:ind w:left="450" w:hanging="450"/>
      </w:pPr>
      <w:r w:rsidRPr="003648E7">
        <w:t>Shearer, C.K., Papike, J.J., Galbreath, K.C., and Shimizu, N., 1991, Exploring the lunar mantle with secondary ion mass spectrometry: a comparison of lunar picritic glass beads from the Apollo 14 and Apollo 17 sites: Earth and Planetary Science Letters, v. 102, p. 134–147, doi:</w:t>
      </w:r>
      <w:hyperlink r:id="rId343" w:history="1">
        <w:r w:rsidRPr="003648E7">
          <w:rPr>
            <w:color w:val="0000FF"/>
            <w:u w:val="single"/>
          </w:rPr>
          <w:t>10.1016/0012-821X(91)90003-Z</w:t>
        </w:r>
      </w:hyperlink>
      <w:r w:rsidRPr="003648E7">
        <w:t>.</w:t>
      </w:r>
    </w:p>
    <w:p w14:paraId="1A3D80A4" w14:textId="77777777" w:rsidR="003648E7" w:rsidRPr="003648E7" w:rsidRDefault="003648E7" w:rsidP="0091263B">
      <w:pPr>
        <w:spacing w:line="480" w:lineRule="auto"/>
        <w:ind w:left="450" w:hanging="450"/>
      </w:pPr>
      <w:r w:rsidRPr="003648E7">
        <w:lastRenderedPageBreak/>
        <w:t>Shepherd, K., Namur, O., Toplis, M.J., Devidal, J.-L., and Charlier, B., 2022, Trace element partitioning between clinopyroxene, magnetite, ilmenite and ferrobasaltic to dacitic magmas: an experimental study on the role of oxygen fugacity and melt composition: Contributions to Mineralogy and Petrology, v. 177, p. 90, doi:</w:t>
      </w:r>
      <w:hyperlink r:id="rId344" w:history="1">
        <w:r w:rsidRPr="003648E7">
          <w:rPr>
            <w:color w:val="0000FF"/>
            <w:u w:val="single"/>
          </w:rPr>
          <w:t>10.1007/s00410-022-01957-y</w:t>
        </w:r>
      </w:hyperlink>
      <w:r w:rsidRPr="003648E7">
        <w:t>.</w:t>
      </w:r>
    </w:p>
    <w:p w14:paraId="447CE2ED" w14:textId="77777777" w:rsidR="003648E7" w:rsidRPr="003648E7" w:rsidRDefault="003648E7" w:rsidP="0091263B">
      <w:pPr>
        <w:spacing w:line="480" w:lineRule="auto"/>
        <w:ind w:left="450" w:hanging="450"/>
      </w:pPr>
      <w:r w:rsidRPr="003648E7">
        <w:t>Snape, J.F., Nemchin, A.A., Johnson, T., Luginbühl, S., Berndt, J., Klemme, S., Morrissey, L.J., and van Westrenen, W., 2022, Experimental constraints on the long-lived radiogenic isotope evolution of the Moon: Geochimica et Cosmochimica Acta, v. 326, p. 119–148, doi:</w:t>
      </w:r>
      <w:hyperlink r:id="rId345" w:history="1">
        <w:r w:rsidRPr="003648E7">
          <w:rPr>
            <w:color w:val="0000FF"/>
            <w:u w:val="single"/>
          </w:rPr>
          <w:t>10.1016/j.gca.2022.04.008</w:t>
        </w:r>
      </w:hyperlink>
      <w:r w:rsidRPr="003648E7">
        <w:t>.</w:t>
      </w:r>
    </w:p>
    <w:p w14:paraId="061A85A7" w14:textId="77777777" w:rsidR="003648E7" w:rsidRPr="003648E7" w:rsidRDefault="003648E7" w:rsidP="0091263B">
      <w:pPr>
        <w:spacing w:line="480" w:lineRule="auto"/>
        <w:ind w:left="450" w:hanging="450"/>
      </w:pPr>
      <w:r w:rsidRPr="003648E7">
        <w:t>Sun, C., and Liang, Y., 2013, The importance of crystal chemistry on REE partitioning between mantle minerals (garnet, clinopyroxene, orthopyroxene, and olivine) and basaltic melts: Chemical Geology, v. 358, p. 23–36, doi:</w:t>
      </w:r>
      <w:hyperlink r:id="rId346" w:history="1">
        <w:r w:rsidRPr="003648E7">
          <w:rPr>
            <w:color w:val="0000FF"/>
            <w:u w:val="single"/>
          </w:rPr>
          <w:t>10.1016/j.chemgeo.2013.08.045</w:t>
        </w:r>
      </w:hyperlink>
      <w:r w:rsidRPr="003648E7">
        <w:t>.</w:t>
      </w:r>
    </w:p>
    <w:p w14:paraId="42860C31" w14:textId="77777777" w:rsidR="003648E7" w:rsidRPr="003648E7" w:rsidRDefault="003648E7" w:rsidP="0091263B">
      <w:pPr>
        <w:spacing w:line="480" w:lineRule="auto"/>
        <w:ind w:left="450" w:hanging="450"/>
      </w:pPr>
      <w:r w:rsidRPr="003648E7">
        <w:t>Taura, H., Yurimoto, H., Kurita, K., and Sueno, S., 1998, Pressure dependence on partition coefficients for trace elements between olivine and the coexisting melts: Physics and Chemistry of Minerals, v. 25, p. 469–484, doi:</w:t>
      </w:r>
      <w:hyperlink r:id="rId347" w:history="1">
        <w:r w:rsidRPr="003648E7">
          <w:rPr>
            <w:color w:val="0000FF"/>
            <w:u w:val="single"/>
          </w:rPr>
          <w:t>10.1007/s002690050138</w:t>
        </w:r>
      </w:hyperlink>
      <w:r w:rsidRPr="003648E7">
        <w:t>.</w:t>
      </w:r>
    </w:p>
    <w:p w14:paraId="2B8E9A4E" w14:textId="38958606" w:rsidR="003648E7" w:rsidRPr="003648E7" w:rsidRDefault="003648E7" w:rsidP="0091263B">
      <w:pPr>
        <w:spacing w:line="480" w:lineRule="auto"/>
        <w:ind w:left="450" w:hanging="450"/>
      </w:pPr>
      <w:r w:rsidRPr="003648E7">
        <w:t>W</w:t>
      </w:r>
      <w:r w:rsidR="00023D10" w:rsidRPr="003648E7">
        <w:t>asylenki</w:t>
      </w:r>
      <w:r w:rsidRPr="003648E7">
        <w:t>, L.E., B</w:t>
      </w:r>
      <w:r w:rsidR="00023D10" w:rsidRPr="003648E7">
        <w:t>aker</w:t>
      </w:r>
      <w:r w:rsidRPr="003648E7">
        <w:t>, M.B., K</w:t>
      </w:r>
      <w:r w:rsidR="00023D10" w:rsidRPr="003648E7">
        <w:t>ent</w:t>
      </w:r>
      <w:r w:rsidRPr="003648E7">
        <w:t>, A.J.R., and S</w:t>
      </w:r>
      <w:r w:rsidR="00023D10" w:rsidRPr="003648E7">
        <w:t>tolper</w:t>
      </w:r>
      <w:r w:rsidRPr="003648E7">
        <w:t>, E.M., 2003, Near-solidus Melting of the Shallow Upper Mantle: Partial Melting Experiments on Depleted Peridotite: Journal of Petrology, v. 44, p. 1163–1191, doi:</w:t>
      </w:r>
      <w:hyperlink r:id="rId348" w:history="1">
        <w:r w:rsidRPr="003648E7">
          <w:rPr>
            <w:color w:val="0000FF"/>
            <w:u w:val="single"/>
          </w:rPr>
          <w:t>10.1093/petrology/44.7.1163</w:t>
        </w:r>
      </w:hyperlink>
      <w:r w:rsidRPr="003648E7">
        <w:t>.</w:t>
      </w:r>
    </w:p>
    <w:p w14:paraId="45FBDB45" w14:textId="0B18D49A" w:rsidR="00505A6F" w:rsidRPr="00505A6F" w:rsidRDefault="003648E7" w:rsidP="00827C2D">
      <w:pPr>
        <w:spacing w:line="480" w:lineRule="auto"/>
        <w:ind w:left="450" w:hanging="450"/>
      </w:pPr>
      <w:r w:rsidRPr="003648E7">
        <w:lastRenderedPageBreak/>
        <w:t>Wood, B.J., and Blundy, J.D., 1997, A predictive model for rare earth element partitioning between clinopyroxene and anhydrous silicate melt: Contributions to Mineralogy and Petrology, v. 129, p. 166–181, doi:</w:t>
      </w:r>
      <w:hyperlink r:id="rId349" w:history="1">
        <w:r w:rsidRPr="003648E7">
          <w:rPr>
            <w:color w:val="0000FF"/>
            <w:u w:val="single"/>
          </w:rPr>
          <w:t>10.1007/s004100050330</w:t>
        </w:r>
      </w:hyperlink>
      <w:r w:rsidRPr="003648E7">
        <w:t>.</w:t>
      </w:r>
    </w:p>
    <w:p w14:paraId="385B1FE5" w14:textId="77777777" w:rsidR="00672BA0" w:rsidRPr="007E4C5B" w:rsidRDefault="00672BA0" w:rsidP="006B22B8">
      <w:pPr>
        <w:rPr>
          <w:color w:val="000000"/>
        </w:rPr>
      </w:pPr>
    </w:p>
    <w:p w14:paraId="1470EF7A" w14:textId="77777777" w:rsidR="0087051B" w:rsidRDefault="0087051B" w:rsidP="0087051B">
      <w:pPr>
        <w:rPr>
          <w:color w:val="000000"/>
        </w:rPr>
      </w:pPr>
    </w:p>
    <w:bookmarkEnd w:id="226"/>
    <w:bookmarkEnd w:id="227"/>
    <w:p w14:paraId="419342EF" w14:textId="77777777" w:rsidR="00B71E3A" w:rsidRDefault="00B71E3A" w:rsidP="00DC0065">
      <w:pPr>
        <w:pStyle w:val="NonNumberedHeading"/>
        <w:rPr>
          <w:noProof/>
        </w:rPr>
        <w:sectPr w:rsidR="00B71E3A" w:rsidSect="004B09F9">
          <w:pgSz w:w="12240" w:h="15840" w:code="1"/>
          <w:pgMar w:top="1440" w:right="1800" w:bottom="1872" w:left="1800" w:header="720" w:footer="1440" w:gutter="0"/>
          <w:cols w:space="720"/>
          <w:noEndnote/>
          <w:docGrid w:linePitch="360"/>
        </w:sectPr>
      </w:pPr>
    </w:p>
    <w:p w14:paraId="3AE1A7BA" w14:textId="53DE4C0A" w:rsidR="00B71E3A" w:rsidRPr="00773120" w:rsidRDefault="00B71E3A" w:rsidP="001F2E4E">
      <w:pPr>
        <w:pStyle w:val="Chapter"/>
      </w:pPr>
      <w:bookmarkStart w:id="401" w:name="_Toc182331768"/>
      <w:bookmarkStart w:id="402" w:name="_Toc182995495"/>
      <w:bookmarkStart w:id="403" w:name="_Toc183536620"/>
      <w:bookmarkStart w:id="404" w:name="_Toc184727425"/>
      <w:bookmarkStart w:id="405" w:name="_Toc185325673"/>
      <w:r w:rsidRPr="00773120">
        <w:lastRenderedPageBreak/>
        <w:t>An Evaluation of the Lunar K/Th Ratio Using Geochemical Modeling: Implications for the Moon’s Thermal Evolution</w:t>
      </w:r>
      <w:bookmarkEnd w:id="401"/>
      <w:bookmarkEnd w:id="402"/>
      <w:bookmarkEnd w:id="403"/>
      <w:bookmarkEnd w:id="404"/>
      <w:bookmarkEnd w:id="405"/>
      <w:r w:rsidRPr="00773120">
        <w:t xml:space="preserve"> </w:t>
      </w:r>
    </w:p>
    <w:p w14:paraId="0EC9A96A" w14:textId="7DB9AA80" w:rsidR="004C65BD" w:rsidRDefault="003D63DF" w:rsidP="004C65BD">
      <w:pPr>
        <w:rPr>
          <w:noProof/>
        </w:rPr>
      </w:pPr>
      <w:r w:rsidRPr="009D2AA9">
        <w:rPr>
          <w:noProof/>
        </w:rPr>
        <w:br w:type="page"/>
      </w:r>
      <w:bookmarkStart w:id="406" w:name="_Toc420995913"/>
      <w:bookmarkStart w:id="407" w:name="_Toc422997500"/>
      <w:bookmarkStart w:id="408" w:name="_Toc427156485"/>
    </w:p>
    <w:p w14:paraId="6E977668" w14:textId="2399B3B3" w:rsidR="004C65BD" w:rsidRDefault="004C65BD" w:rsidP="00D01B3A">
      <w:pPr>
        <w:pStyle w:val="NonNumberedHeading2"/>
        <w:spacing w:line="480" w:lineRule="auto"/>
        <w:rPr>
          <w:noProof/>
        </w:rPr>
      </w:pPr>
      <w:bookmarkStart w:id="409" w:name="_Toc182331769"/>
      <w:bookmarkStart w:id="410" w:name="_Toc182995496"/>
      <w:bookmarkStart w:id="411" w:name="_Toc183536621"/>
      <w:bookmarkStart w:id="412" w:name="_Toc184727426"/>
      <w:bookmarkStart w:id="413" w:name="_Toc185325674"/>
      <w:r w:rsidRPr="0030705E">
        <w:rPr>
          <w:noProof/>
        </w:rPr>
        <w:lastRenderedPageBreak/>
        <w:t>Abstract</w:t>
      </w:r>
      <w:bookmarkEnd w:id="409"/>
      <w:bookmarkEnd w:id="410"/>
      <w:bookmarkEnd w:id="411"/>
      <w:bookmarkEnd w:id="412"/>
      <w:bookmarkEnd w:id="413"/>
    </w:p>
    <w:p w14:paraId="633B0230" w14:textId="5115E3F9" w:rsidR="004C65BD" w:rsidRDefault="0090308E" w:rsidP="004E6638">
      <w:pPr>
        <w:spacing w:line="480" w:lineRule="auto"/>
        <w:ind w:firstLine="720"/>
      </w:pPr>
      <w:r>
        <w:t xml:space="preserve">The Moon is K-depleted relative to Earth owing to the </w:t>
      </w:r>
      <w:r w:rsidRPr="00284532">
        <w:t xml:space="preserve">giant impact event </w:t>
      </w:r>
      <w:r>
        <w:t xml:space="preserve">that produced the lunar magma ocean (LMO). As K is a primary </w:t>
      </w:r>
      <w:r>
        <w:rPr>
          <w:bCs/>
        </w:rPr>
        <w:t>heat-producing</w:t>
      </w:r>
      <w:r w:rsidRPr="00404729">
        <w:rPr>
          <w:bCs/>
        </w:rPr>
        <w:t xml:space="preserve"> element</w:t>
      </w:r>
      <w:r>
        <w:rPr>
          <w:bCs/>
        </w:rPr>
        <w:t xml:space="preserve"> (HPE) in planetary interiors, variation in the level of </w:t>
      </w:r>
      <w:r>
        <w:t>K-depletion can significantly impact lunar thermal evolution and melt production potential. The range of published lunar bulk K abundances is large. Here, w</w:t>
      </w:r>
      <w:r w:rsidRPr="00284532">
        <w:t xml:space="preserve">e model </w:t>
      </w:r>
      <w:r>
        <w:t xml:space="preserve">the </w:t>
      </w:r>
      <w:r w:rsidRPr="00284532">
        <w:t xml:space="preserve">chemical fractionation </w:t>
      </w:r>
      <w:r>
        <w:t xml:space="preserve">of K and other HPEs (Th and U) </w:t>
      </w:r>
      <w:r w:rsidRPr="00284532">
        <w:t>during LMO solidification</w:t>
      </w:r>
      <w:r>
        <w:t xml:space="preserve"> </w:t>
      </w:r>
      <w:r w:rsidRPr="00284532">
        <w:t>and</w:t>
      </w:r>
      <w:r>
        <w:t xml:space="preserve"> subsequent</w:t>
      </w:r>
      <w:r w:rsidRPr="00284532">
        <w:t xml:space="preserve"> partial melting </w:t>
      </w:r>
      <w:r>
        <w:t xml:space="preserve">of LMO </w:t>
      </w:r>
      <w:r w:rsidRPr="00284532">
        <w:t>cumulates</w:t>
      </w:r>
      <w:r>
        <w:t>.</w:t>
      </w:r>
      <w:r w:rsidRPr="00284532">
        <w:t xml:space="preserve"> </w:t>
      </w:r>
      <w:r>
        <w:t>Using measured HPE concentrations in lunar basalts, picritic glasses, crustal cumulates, and remote sensing data, we</w:t>
      </w:r>
      <w:r w:rsidRPr="00284532">
        <w:t xml:space="preserve"> evaluate</w:t>
      </w:r>
      <w:r>
        <w:t xml:space="preserve"> the consistency of previous estimates of Th/K with natural samples</w:t>
      </w:r>
      <w:r w:rsidRPr="00284532">
        <w:t>.</w:t>
      </w:r>
      <w:r>
        <w:t xml:space="preserve"> We then explore how a Th/K ratio that best fits the natural samples affects long-term lunar thermal evolution. </w:t>
      </w:r>
      <w:r w:rsidRPr="00487150">
        <w:rPr>
          <w:color w:val="000000" w:themeColor="text1"/>
        </w:rPr>
        <w:t xml:space="preserve">Geochemical models of LMO solidification demonstrate that the K/Th ratio of the initial LMO could range from 450-550 if the floatation efficiency of plagioclase is </w:t>
      </w:r>
      <m:oMath>
        <m:r>
          <w:rPr>
            <w:rFonts w:ascii="Cambria Math" w:hAnsi="Cambria Math"/>
            <w:color w:val="000000" w:themeColor="text1"/>
          </w:rPr>
          <m:t>≥</m:t>
        </m:r>
      </m:oMath>
      <w:r w:rsidRPr="00487150">
        <w:rPr>
          <w:rFonts w:eastAsiaTheme="minorEastAsia"/>
          <w:color w:val="000000" w:themeColor="text1"/>
        </w:rPr>
        <w:t>95%</w:t>
      </w:r>
      <w:r w:rsidRPr="00487150">
        <w:rPr>
          <w:color w:val="000000" w:themeColor="text1"/>
        </w:rPr>
        <w:t xml:space="preserve">. If plagioclase floatation is less efficient, the </w:t>
      </w:r>
      <w:r>
        <w:t xml:space="preserve">LMO's </w:t>
      </w:r>
      <w:r>
        <w:rPr>
          <w:color w:val="000000" w:themeColor="text1"/>
        </w:rPr>
        <w:t xml:space="preserve">bulk </w:t>
      </w:r>
      <w:r w:rsidRPr="00487150">
        <w:rPr>
          <w:color w:val="000000" w:themeColor="text1"/>
        </w:rPr>
        <w:t xml:space="preserve">K/Th ratio would </w:t>
      </w:r>
      <w:r>
        <w:t xml:space="preserve">need to </w:t>
      </w:r>
      <w:r>
        <w:rPr>
          <w:color w:val="000000" w:themeColor="text1"/>
        </w:rPr>
        <w:t>be lower</w:t>
      </w:r>
      <w:r>
        <w:t>. Geochemical m</w:t>
      </w:r>
      <w:r w:rsidRPr="00487150">
        <w:rPr>
          <w:color w:val="000000" w:themeColor="text1"/>
        </w:rPr>
        <w:t>odels</w:t>
      </w:r>
      <w:r>
        <w:t xml:space="preserve"> also</w:t>
      </w:r>
      <w:r w:rsidRPr="00487150">
        <w:rPr>
          <w:color w:val="000000" w:themeColor="text1"/>
        </w:rPr>
        <w:t xml:space="preserve"> demonstrate that &gt;90% of the lunar HPE budget should initially </w:t>
      </w:r>
      <w:r>
        <w:t xml:space="preserve">be </w:t>
      </w:r>
      <w:r w:rsidRPr="00487150">
        <w:rPr>
          <w:color w:val="000000" w:themeColor="text1"/>
        </w:rPr>
        <w:t xml:space="preserve">concentrated in the </w:t>
      </w:r>
      <w:r>
        <w:t>lunar</w:t>
      </w:r>
      <w:r w:rsidRPr="00487150">
        <w:rPr>
          <w:color w:val="000000" w:themeColor="text1"/>
        </w:rPr>
        <w:t xml:space="preserve"> crust and upper mantle cumulates following LMO solidification</w:t>
      </w:r>
      <w:r>
        <w:t xml:space="preserve">. </w:t>
      </w:r>
      <w:r w:rsidRPr="00487150">
        <w:rPr>
          <w:color w:val="000000" w:themeColor="text1"/>
        </w:rPr>
        <w:t xml:space="preserve">Thermal evolution models </w:t>
      </w:r>
      <w:r>
        <w:t>indicate</w:t>
      </w:r>
      <w:r w:rsidRPr="00487150">
        <w:rPr>
          <w:color w:val="000000" w:themeColor="text1"/>
        </w:rPr>
        <w:t xml:space="preserve"> that the</w:t>
      </w:r>
      <w:r>
        <w:t xml:space="preserve"> degree of K depletion on the Moon would have</w:t>
      </w:r>
      <w:r w:rsidR="005311C0">
        <w:t xml:space="preserve"> a</w:t>
      </w:r>
      <w:r>
        <w:t xml:space="preserve"> more significant impact on lunar thermal evolution than the enrichment of Th or U relative to Earth</w:t>
      </w:r>
      <w:r w:rsidR="00D01B3A">
        <w:t>.</w:t>
      </w:r>
    </w:p>
    <w:p w14:paraId="4AF76A4B" w14:textId="6864AF4F" w:rsidR="004C65BD" w:rsidRDefault="004C65BD" w:rsidP="002F7368">
      <w:pPr>
        <w:pStyle w:val="Heading2"/>
        <w:rPr>
          <w:noProof/>
        </w:rPr>
      </w:pPr>
      <w:bookmarkStart w:id="414" w:name="_Toc182331770"/>
      <w:bookmarkStart w:id="415" w:name="_Toc182995497"/>
      <w:bookmarkStart w:id="416" w:name="_Toc183536622"/>
      <w:bookmarkStart w:id="417" w:name="_Toc184727427"/>
      <w:bookmarkStart w:id="418" w:name="_Toc185325675"/>
      <w:r>
        <w:rPr>
          <w:noProof/>
        </w:rPr>
        <w:t>Introduction</w:t>
      </w:r>
      <w:bookmarkEnd w:id="414"/>
      <w:bookmarkEnd w:id="415"/>
      <w:bookmarkEnd w:id="416"/>
      <w:bookmarkEnd w:id="417"/>
      <w:bookmarkEnd w:id="418"/>
    </w:p>
    <w:p w14:paraId="187FDDDE" w14:textId="756B2F65" w:rsidR="00CA6706" w:rsidRPr="00487150" w:rsidRDefault="00CA6706" w:rsidP="00CA6706">
      <w:pPr>
        <w:spacing w:line="480" w:lineRule="auto"/>
        <w:ind w:firstLine="720"/>
        <w:rPr>
          <w:bCs/>
          <w:color w:val="000000" w:themeColor="text1"/>
        </w:rPr>
      </w:pPr>
      <w:r w:rsidRPr="00487150">
        <w:rPr>
          <w:bCs/>
          <w:color w:val="000000" w:themeColor="text1"/>
        </w:rPr>
        <w:t>The concentration and distribution of heat-producing elements (HPEs) (K, U, and Th) within planetary interiors determine</w:t>
      </w:r>
      <w:r>
        <w:rPr>
          <w:bCs/>
          <w:color w:val="000000" w:themeColor="text1"/>
        </w:rPr>
        <w:t xml:space="preserve"> their</w:t>
      </w:r>
      <w:r w:rsidRPr="00487150">
        <w:rPr>
          <w:bCs/>
          <w:color w:val="000000" w:themeColor="text1"/>
        </w:rPr>
        <w:t xml:space="preserve"> thermal evolution (Laneuville et al., 2013, 2018; Criss and Hofemeister, 2016). The volatile nature of K at high temperatures and </w:t>
      </w:r>
      <w:r>
        <w:rPr>
          <w:bCs/>
        </w:rPr>
        <w:t xml:space="preserve">the </w:t>
      </w:r>
      <w:r w:rsidRPr="00487150">
        <w:rPr>
          <w:bCs/>
          <w:color w:val="000000" w:themeColor="text1"/>
        </w:rPr>
        <w:lastRenderedPageBreak/>
        <w:t>incompatible partitioning behavior of all HPE</w:t>
      </w:r>
      <w:r>
        <w:rPr>
          <w:bCs/>
          <w:color w:val="000000" w:themeColor="text1"/>
        </w:rPr>
        <w:t>s</w:t>
      </w:r>
      <w:r w:rsidRPr="00487150">
        <w:rPr>
          <w:bCs/>
          <w:color w:val="000000" w:themeColor="text1"/>
        </w:rPr>
        <w:t xml:space="preserve"> makes their concentrations and distributions </w:t>
      </w:r>
      <w:r>
        <w:rPr>
          <w:bCs/>
          <w:color w:val="000000" w:themeColor="text1"/>
        </w:rPr>
        <w:t>sensitive</w:t>
      </w:r>
      <w:r w:rsidRPr="00487150">
        <w:rPr>
          <w:bCs/>
          <w:color w:val="000000" w:themeColor="text1"/>
        </w:rPr>
        <w:t xml:space="preserve"> to processes like planetary accretion, high energy impacts, and fractional crystallization during planetary magma ocean solidification, all of which the Moon</w:t>
      </w:r>
      <w:r>
        <w:rPr>
          <w:bCs/>
          <w:color w:val="000000" w:themeColor="text1"/>
        </w:rPr>
        <w:t xml:space="preserve"> is thought to have</w:t>
      </w:r>
      <w:r w:rsidRPr="00487150">
        <w:rPr>
          <w:bCs/>
          <w:color w:val="000000" w:themeColor="text1"/>
        </w:rPr>
        <w:t xml:space="preserve"> experienced (Lodders, 2003; Canup, 2004, 2008; </w:t>
      </w:r>
      <w:r w:rsidRPr="00487150">
        <w:rPr>
          <w:color w:val="000000" w:themeColor="text1"/>
        </w:rPr>
        <w:t xml:space="preserve">Wang and Jacobsen, 2016a, 2016b; </w:t>
      </w:r>
      <w:r w:rsidRPr="00487150">
        <w:rPr>
          <w:bCs/>
          <w:color w:val="000000" w:themeColor="text1"/>
        </w:rPr>
        <w:t>Li et al., 2020). Previous studies conclude that like Earth, the Moon is K depleted and U and Th enriched relative to chondritic meteorites (</w:t>
      </w:r>
      <w:r w:rsidRPr="00487150">
        <w:rPr>
          <w:color w:val="000000" w:themeColor="text1"/>
        </w:rPr>
        <w:t>Ringwood and Kesson, 1977; Ringwood, 1986;</w:t>
      </w:r>
      <w:r w:rsidRPr="00487150">
        <w:rPr>
          <w:i/>
          <w:iCs/>
          <w:color w:val="000000" w:themeColor="text1"/>
        </w:rPr>
        <w:t xml:space="preserve"> </w:t>
      </w:r>
      <w:r w:rsidRPr="00487150">
        <w:rPr>
          <w:bCs/>
          <w:color w:val="000000" w:themeColor="text1"/>
        </w:rPr>
        <w:t xml:space="preserve">Taylor et al., 2006; Taylor </w:t>
      </w:r>
      <w:r>
        <w:rPr>
          <w:bCs/>
        </w:rPr>
        <w:t>and</w:t>
      </w:r>
      <w:r w:rsidRPr="00487150">
        <w:rPr>
          <w:bCs/>
          <w:color w:val="000000" w:themeColor="text1"/>
        </w:rPr>
        <w:t xml:space="preserve"> Wieczorek, 2014; </w:t>
      </w:r>
      <w:r w:rsidRPr="00487150">
        <w:rPr>
          <w:color w:val="000000" w:themeColor="text1"/>
        </w:rPr>
        <w:t>Wang and Jacobsen, 2016a, 2016b;</w:t>
      </w:r>
      <w:r w:rsidRPr="00487150">
        <w:rPr>
          <w:bCs/>
          <w:color w:val="000000" w:themeColor="text1"/>
        </w:rPr>
        <w:t xml:space="preserve"> Seigler et al., 2022) (</w:t>
      </w:r>
      <w:r w:rsidRPr="00487150">
        <w:rPr>
          <w:b/>
          <w:color w:val="000000" w:themeColor="text1"/>
        </w:rPr>
        <w:t>Table 3.1</w:t>
      </w:r>
      <w:r w:rsidRPr="00487150">
        <w:rPr>
          <w:bCs/>
          <w:color w:val="000000" w:themeColor="text1"/>
        </w:rPr>
        <w:t xml:space="preserve">); however, estimated abundances of HPEs have not been tested in the context of recent lunar magma ocean (LMO) solidification and mantle melting models (e.g., </w:t>
      </w:r>
      <w:r>
        <w:rPr>
          <w:bCs/>
        </w:rPr>
        <w:t xml:space="preserve">Scholpp and Dygert, </w:t>
      </w:r>
      <w:r w:rsidRPr="008D718B">
        <w:rPr>
          <w:bCs/>
          <w:i/>
          <w:iCs/>
        </w:rPr>
        <w:t>in review</w:t>
      </w:r>
      <w:r w:rsidRPr="00487150">
        <w:rPr>
          <w:bCs/>
          <w:color w:val="000000" w:themeColor="text1"/>
        </w:rPr>
        <w:t>).</w:t>
      </w:r>
    </w:p>
    <w:p w14:paraId="7C6F440B" w14:textId="0EFE797A" w:rsidR="00CA6706" w:rsidRPr="00487150" w:rsidRDefault="00CA6706" w:rsidP="00CA6706">
      <w:pPr>
        <w:spacing w:line="480" w:lineRule="auto"/>
        <w:ind w:firstLine="720"/>
        <w:rPr>
          <w:bCs/>
          <w:color w:val="000000" w:themeColor="text1"/>
        </w:rPr>
      </w:pPr>
      <w:r w:rsidRPr="00487150">
        <w:rPr>
          <w:bCs/>
          <w:color w:val="000000" w:themeColor="text1"/>
        </w:rPr>
        <w:t xml:space="preserve">Previous studies of lunar HPE concentrations often employ a combination of geophysical and geochemical </w:t>
      </w:r>
      <w:r>
        <w:rPr>
          <w:bCs/>
          <w:color w:val="000000" w:themeColor="text1"/>
        </w:rPr>
        <w:t>constraints</w:t>
      </w:r>
      <w:r w:rsidRPr="00487150">
        <w:rPr>
          <w:bCs/>
          <w:color w:val="000000" w:themeColor="text1"/>
        </w:rPr>
        <w:t xml:space="preserve"> to estimate the abundance of refractory elements indirectly, then estimate the initial volatile elements using </w:t>
      </w:r>
      <w:r>
        <w:rPr>
          <w:bCs/>
          <w:color w:val="000000" w:themeColor="text1"/>
        </w:rPr>
        <w:t>sample-based linear regressions</w:t>
      </w:r>
      <w:r w:rsidRPr="00487150">
        <w:rPr>
          <w:bCs/>
          <w:color w:val="000000" w:themeColor="text1"/>
        </w:rPr>
        <w:t xml:space="preserve"> (</w:t>
      </w:r>
      <w:r w:rsidRPr="00487150">
        <w:rPr>
          <w:color w:val="000000" w:themeColor="text1"/>
        </w:rPr>
        <w:t>Hagerty et al., 2006; Taylor</w:t>
      </w:r>
      <w:r w:rsidRPr="00487150">
        <w:rPr>
          <w:bCs/>
          <w:color w:val="000000" w:themeColor="text1"/>
        </w:rPr>
        <w:t xml:space="preserve"> et al., 2006; Taylor </w:t>
      </w:r>
      <w:r>
        <w:rPr>
          <w:bCs/>
        </w:rPr>
        <w:t>and</w:t>
      </w:r>
      <w:r w:rsidRPr="00487150">
        <w:rPr>
          <w:bCs/>
          <w:color w:val="000000" w:themeColor="text1"/>
        </w:rPr>
        <w:t xml:space="preserve"> Wieczorek, 2014). </w:t>
      </w:r>
      <w:r>
        <w:rPr>
          <w:bCs/>
          <w:color w:val="000000" w:themeColor="text1"/>
        </w:rPr>
        <w:t>L</w:t>
      </w:r>
      <w:r w:rsidRPr="00487150">
        <w:rPr>
          <w:bCs/>
          <w:color w:val="000000" w:themeColor="text1"/>
        </w:rPr>
        <w:t xml:space="preserve">unar HPE concentrations have also been estimated using the Urey ratio (the ratio between internal heat production and the total surface heat loss) determined via remote sensing measurements (Seigler et al., 2022). Both methods depend on </w:t>
      </w:r>
      <w:r>
        <w:rPr>
          <w:bCs/>
          <w:color w:val="000000" w:themeColor="text1"/>
        </w:rPr>
        <w:t>implicit</w:t>
      </w:r>
      <w:r w:rsidRPr="00487150">
        <w:rPr>
          <w:bCs/>
          <w:color w:val="000000" w:themeColor="text1"/>
        </w:rPr>
        <w:t xml:space="preserve"> assumptions (</w:t>
      </w:r>
      <w:r>
        <w:rPr>
          <w:bCs/>
          <w:color w:val="000000" w:themeColor="text1"/>
        </w:rPr>
        <w:t>e.g</w:t>
      </w:r>
      <w:r w:rsidRPr="00487150">
        <w:rPr>
          <w:bCs/>
          <w:color w:val="000000" w:themeColor="text1"/>
        </w:rPr>
        <w:t>., crustal thickness, crustal composition, crustal thermal conductivity, mare basalt source compositions, distribution of HPE</w:t>
      </w:r>
      <w:r>
        <w:rPr>
          <w:bCs/>
          <w:color w:val="000000" w:themeColor="text1"/>
        </w:rPr>
        <w:t>s</w:t>
      </w:r>
      <w:r w:rsidRPr="00487150">
        <w:rPr>
          <w:bCs/>
          <w:color w:val="000000" w:themeColor="text1"/>
        </w:rPr>
        <w:t xml:space="preserve"> within the Moon), which are </w:t>
      </w:r>
      <w:r>
        <w:rPr>
          <w:bCs/>
          <w:color w:val="000000" w:themeColor="text1"/>
        </w:rPr>
        <w:t>poorly</w:t>
      </w:r>
      <w:r w:rsidRPr="00487150">
        <w:rPr>
          <w:bCs/>
          <w:color w:val="000000" w:themeColor="text1"/>
        </w:rPr>
        <w:t xml:space="preserve"> constrained in some cases and could affect the HPE estimates if they differ from current estimates (e.g., Taylor et al., 2006; Taylor </w:t>
      </w:r>
      <w:r>
        <w:rPr>
          <w:bCs/>
        </w:rPr>
        <w:t>and</w:t>
      </w:r>
      <w:r w:rsidRPr="00487150">
        <w:rPr>
          <w:bCs/>
          <w:color w:val="000000" w:themeColor="text1"/>
        </w:rPr>
        <w:t xml:space="preserve"> Wieczorek, 2014)</w:t>
      </w:r>
      <w:r>
        <w:rPr>
          <w:bCs/>
          <w:color w:val="000000" w:themeColor="text1"/>
        </w:rPr>
        <w:t xml:space="preserve"> (</w:t>
      </w:r>
      <w:r w:rsidRPr="00CA6706">
        <w:rPr>
          <w:b/>
          <w:color w:val="000000" w:themeColor="text1"/>
        </w:rPr>
        <w:t>Table 3.1</w:t>
      </w:r>
      <w:r>
        <w:rPr>
          <w:bCs/>
          <w:color w:val="000000" w:themeColor="text1"/>
        </w:rPr>
        <w:t>)</w:t>
      </w:r>
      <w:r w:rsidRPr="00487150">
        <w:rPr>
          <w:bCs/>
          <w:color w:val="000000" w:themeColor="text1"/>
        </w:rPr>
        <w:t xml:space="preserve">. </w:t>
      </w:r>
    </w:p>
    <w:p w14:paraId="790A6836" w14:textId="77777777" w:rsidR="00CA6706" w:rsidRDefault="00CA6706">
      <w:pPr>
        <w:rPr>
          <w:color w:val="000000" w:themeColor="text1"/>
        </w:rPr>
      </w:pPr>
      <w:r>
        <w:rPr>
          <w:color w:val="000000" w:themeColor="text1"/>
        </w:rPr>
        <w:br w:type="page"/>
      </w:r>
    </w:p>
    <w:p w14:paraId="66D9E050" w14:textId="77777777" w:rsidR="00CA6706" w:rsidRPr="00487150" w:rsidRDefault="00CA6706" w:rsidP="00CA6706">
      <w:pPr>
        <w:pStyle w:val="Tables"/>
      </w:pPr>
      <w:bookmarkStart w:id="419" w:name="_Toc185263598"/>
      <w:r w:rsidRPr="00487150">
        <w:rPr>
          <w:b/>
          <w:bCs/>
        </w:rPr>
        <w:lastRenderedPageBreak/>
        <w:t>Table 3.1.</w:t>
      </w:r>
      <w:r w:rsidRPr="00487150">
        <w:t xml:space="preserve"> Comparison of assumed present day </w:t>
      </w:r>
      <w:r>
        <w:t xml:space="preserve">bulk </w:t>
      </w:r>
      <w:r w:rsidRPr="00487150">
        <w:t>moon HPE concentrations from previous studies.</w:t>
      </w:r>
      <w:bookmarkEnd w:id="419"/>
    </w:p>
    <w:tbl>
      <w:tblPr>
        <w:tblW w:w="8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0"/>
        <w:gridCol w:w="1160"/>
        <w:gridCol w:w="1160"/>
        <w:gridCol w:w="1300"/>
        <w:gridCol w:w="1660"/>
        <w:gridCol w:w="1940"/>
      </w:tblGrid>
      <w:tr w:rsidR="00CA6706" w:rsidRPr="00487150" w14:paraId="0EBC2BAA" w14:textId="77777777" w:rsidTr="00381517">
        <w:trPr>
          <w:trHeight w:val="360"/>
        </w:trPr>
        <w:tc>
          <w:tcPr>
            <w:tcW w:w="1160" w:type="dxa"/>
            <w:shd w:val="clear" w:color="auto" w:fill="auto"/>
            <w:noWrap/>
            <w:vAlign w:val="center"/>
            <w:hideMark/>
          </w:tcPr>
          <w:p w14:paraId="4F7F5193" w14:textId="77777777" w:rsidR="00CA6706" w:rsidRPr="00487150" w:rsidRDefault="00CA6706" w:rsidP="00381517">
            <w:pPr>
              <w:jc w:val="center"/>
              <w:rPr>
                <w:color w:val="000000" w:themeColor="text1"/>
              </w:rPr>
            </w:pPr>
            <w:r w:rsidRPr="00487150">
              <w:rPr>
                <w:color w:val="000000" w:themeColor="text1"/>
              </w:rPr>
              <w:t>Th (ppm)</w:t>
            </w:r>
          </w:p>
        </w:tc>
        <w:tc>
          <w:tcPr>
            <w:tcW w:w="1160" w:type="dxa"/>
            <w:shd w:val="clear" w:color="auto" w:fill="auto"/>
            <w:noWrap/>
            <w:vAlign w:val="center"/>
            <w:hideMark/>
          </w:tcPr>
          <w:p w14:paraId="62695F8C" w14:textId="77777777" w:rsidR="00CA6706" w:rsidRPr="00487150" w:rsidRDefault="00CA6706" w:rsidP="00381517">
            <w:pPr>
              <w:jc w:val="center"/>
              <w:rPr>
                <w:color w:val="000000" w:themeColor="text1"/>
              </w:rPr>
            </w:pPr>
            <w:r w:rsidRPr="00487150">
              <w:rPr>
                <w:color w:val="000000" w:themeColor="text1"/>
              </w:rPr>
              <w:t>U (ppm)</w:t>
            </w:r>
          </w:p>
        </w:tc>
        <w:tc>
          <w:tcPr>
            <w:tcW w:w="1160" w:type="dxa"/>
            <w:shd w:val="clear" w:color="auto" w:fill="auto"/>
            <w:noWrap/>
            <w:vAlign w:val="center"/>
            <w:hideMark/>
          </w:tcPr>
          <w:p w14:paraId="7F837451" w14:textId="77777777" w:rsidR="00CA6706" w:rsidRPr="00487150" w:rsidRDefault="00CA6706" w:rsidP="00381517">
            <w:pPr>
              <w:jc w:val="center"/>
              <w:rPr>
                <w:color w:val="000000" w:themeColor="text1"/>
              </w:rPr>
            </w:pPr>
            <w:r w:rsidRPr="00487150">
              <w:rPr>
                <w:color w:val="000000" w:themeColor="text1"/>
              </w:rPr>
              <w:t>K (ppm)</w:t>
            </w:r>
          </w:p>
        </w:tc>
        <w:tc>
          <w:tcPr>
            <w:tcW w:w="1300" w:type="dxa"/>
            <w:shd w:val="clear" w:color="auto" w:fill="auto"/>
            <w:vAlign w:val="center"/>
            <w:hideMark/>
          </w:tcPr>
          <w:p w14:paraId="71124E4B" w14:textId="77777777" w:rsidR="00CA6706" w:rsidRPr="00487150" w:rsidRDefault="00CA6706" w:rsidP="00381517">
            <w:pPr>
              <w:jc w:val="center"/>
              <w:rPr>
                <w:color w:val="000000" w:themeColor="text1"/>
              </w:rPr>
            </w:pPr>
            <w:r w:rsidRPr="00487150">
              <w:rPr>
                <w:color w:val="000000" w:themeColor="text1"/>
              </w:rPr>
              <w:t>K/Th</w:t>
            </w:r>
          </w:p>
        </w:tc>
        <w:tc>
          <w:tcPr>
            <w:tcW w:w="1660" w:type="dxa"/>
            <w:shd w:val="clear" w:color="auto" w:fill="auto"/>
            <w:noWrap/>
            <w:vAlign w:val="center"/>
            <w:hideMark/>
          </w:tcPr>
          <w:p w14:paraId="665291A6" w14:textId="77777777" w:rsidR="00CA6706" w:rsidRPr="00487150" w:rsidRDefault="00CA6706" w:rsidP="00381517">
            <w:pPr>
              <w:jc w:val="center"/>
              <w:rPr>
                <w:color w:val="000000" w:themeColor="text1"/>
              </w:rPr>
            </w:pPr>
            <w:r w:rsidRPr="00487150">
              <w:rPr>
                <w:color w:val="000000" w:themeColor="text1"/>
              </w:rPr>
              <w:t>Source</w:t>
            </w:r>
          </w:p>
        </w:tc>
        <w:tc>
          <w:tcPr>
            <w:tcW w:w="1940" w:type="dxa"/>
            <w:shd w:val="clear" w:color="auto" w:fill="auto"/>
            <w:noWrap/>
            <w:vAlign w:val="center"/>
            <w:hideMark/>
          </w:tcPr>
          <w:p w14:paraId="08AA77A2" w14:textId="77777777" w:rsidR="00CA6706" w:rsidRPr="00487150" w:rsidRDefault="00CA6706" w:rsidP="00381517">
            <w:pPr>
              <w:jc w:val="center"/>
              <w:rPr>
                <w:color w:val="000000" w:themeColor="text1"/>
              </w:rPr>
            </w:pPr>
            <w:r w:rsidRPr="00487150">
              <w:rPr>
                <w:color w:val="000000" w:themeColor="text1"/>
              </w:rPr>
              <w:t>Study</w:t>
            </w:r>
          </w:p>
        </w:tc>
      </w:tr>
      <w:tr w:rsidR="00CA6706" w:rsidRPr="00487150" w14:paraId="6EEF5637" w14:textId="77777777" w:rsidTr="00381517">
        <w:trPr>
          <w:trHeight w:val="740"/>
        </w:trPr>
        <w:tc>
          <w:tcPr>
            <w:tcW w:w="1160" w:type="dxa"/>
            <w:shd w:val="clear" w:color="auto" w:fill="auto"/>
            <w:noWrap/>
            <w:vAlign w:val="center"/>
            <w:hideMark/>
          </w:tcPr>
          <w:p w14:paraId="63E3D9DE" w14:textId="77777777" w:rsidR="00CA6706" w:rsidRPr="00487150" w:rsidRDefault="00CA6706" w:rsidP="00381517">
            <w:pPr>
              <w:jc w:val="center"/>
              <w:rPr>
                <w:color w:val="000000" w:themeColor="text1"/>
              </w:rPr>
            </w:pPr>
            <w:r w:rsidRPr="00487150">
              <w:rPr>
                <w:color w:val="000000" w:themeColor="text1"/>
              </w:rPr>
              <w:t>0.0335</w:t>
            </w:r>
          </w:p>
        </w:tc>
        <w:tc>
          <w:tcPr>
            <w:tcW w:w="1160" w:type="dxa"/>
            <w:shd w:val="clear" w:color="auto" w:fill="auto"/>
            <w:noWrap/>
            <w:vAlign w:val="center"/>
            <w:hideMark/>
          </w:tcPr>
          <w:p w14:paraId="372A13EF" w14:textId="77777777" w:rsidR="00CA6706" w:rsidRPr="00487150" w:rsidRDefault="00CA6706" w:rsidP="00381517">
            <w:pPr>
              <w:jc w:val="center"/>
              <w:rPr>
                <w:color w:val="000000" w:themeColor="text1"/>
              </w:rPr>
            </w:pPr>
            <w:r w:rsidRPr="00487150">
              <w:rPr>
                <w:color w:val="000000" w:themeColor="text1"/>
              </w:rPr>
              <w:t>0.0090</w:t>
            </w:r>
          </w:p>
        </w:tc>
        <w:tc>
          <w:tcPr>
            <w:tcW w:w="1160" w:type="dxa"/>
            <w:shd w:val="clear" w:color="auto" w:fill="auto"/>
            <w:noWrap/>
            <w:vAlign w:val="center"/>
            <w:hideMark/>
          </w:tcPr>
          <w:p w14:paraId="644B7C15" w14:textId="77777777" w:rsidR="00CA6706" w:rsidRPr="00487150" w:rsidRDefault="00CA6706" w:rsidP="00381517">
            <w:pPr>
              <w:jc w:val="center"/>
              <w:rPr>
                <w:color w:val="000000" w:themeColor="text1"/>
              </w:rPr>
            </w:pPr>
            <w:r w:rsidRPr="00487150">
              <w:rPr>
                <w:color w:val="000000" w:themeColor="text1"/>
              </w:rPr>
              <w:t>3770</w:t>
            </w:r>
          </w:p>
        </w:tc>
        <w:tc>
          <w:tcPr>
            <w:tcW w:w="1300" w:type="dxa"/>
            <w:shd w:val="clear" w:color="auto" w:fill="auto"/>
            <w:noWrap/>
            <w:vAlign w:val="center"/>
            <w:hideMark/>
          </w:tcPr>
          <w:p w14:paraId="3EE41DAD" w14:textId="77777777" w:rsidR="00CA6706" w:rsidRPr="00487150" w:rsidRDefault="00CA6706" w:rsidP="00381517">
            <w:pPr>
              <w:jc w:val="center"/>
              <w:rPr>
                <w:color w:val="000000" w:themeColor="text1"/>
              </w:rPr>
            </w:pPr>
            <w:r w:rsidRPr="00487150">
              <w:rPr>
                <w:color w:val="000000" w:themeColor="text1"/>
              </w:rPr>
              <w:t>112537.31</w:t>
            </w:r>
          </w:p>
        </w:tc>
        <w:tc>
          <w:tcPr>
            <w:tcW w:w="1660" w:type="dxa"/>
            <w:shd w:val="clear" w:color="auto" w:fill="auto"/>
            <w:noWrap/>
            <w:vAlign w:val="center"/>
            <w:hideMark/>
          </w:tcPr>
          <w:p w14:paraId="50534CD7" w14:textId="77777777" w:rsidR="00CA6706" w:rsidRPr="00487150" w:rsidRDefault="00CA6706" w:rsidP="00381517">
            <w:pPr>
              <w:jc w:val="center"/>
              <w:rPr>
                <w:color w:val="000000" w:themeColor="text1"/>
              </w:rPr>
            </w:pPr>
            <w:r w:rsidRPr="00487150">
              <w:rPr>
                <w:color w:val="000000" w:themeColor="text1"/>
              </w:rPr>
              <w:t>CHUR</w:t>
            </w:r>
          </w:p>
        </w:tc>
        <w:tc>
          <w:tcPr>
            <w:tcW w:w="1940" w:type="dxa"/>
            <w:shd w:val="clear" w:color="auto" w:fill="auto"/>
            <w:vAlign w:val="center"/>
            <w:hideMark/>
          </w:tcPr>
          <w:p w14:paraId="26B7A987" w14:textId="77777777" w:rsidR="00CA6706" w:rsidRPr="00487150" w:rsidRDefault="00CA6706" w:rsidP="00381517">
            <w:pPr>
              <w:jc w:val="center"/>
              <w:rPr>
                <w:color w:val="000000" w:themeColor="text1"/>
              </w:rPr>
            </w:pPr>
            <w:r w:rsidRPr="00487150">
              <w:rPr>
                <w:color w:val="000000" w:themeColor="text1"/>
              </w:rPr>
              <w:t>Anders and Grevesse (1989)</w:t>
            </w:r>
          </w:p>
        </w:tc>
      </w:tr>
      <w:tr w:rsidR="00CA6706" w:rsidRPr="00487150" w14:paraId="037CA0AE" w14:textId="77777777" w:rsidTr="00381517">
        <w:trPr>
          <w:trHeight w:val="740"/>
        </w:trPr>
        <w:tc>
          <w:tcPr>
            <w:tcW w:w="1160" w:type="dxa"/>
            <w:shd w:val="clear" w:color="auto" w:fill="auto"/>
            <w:noWrap/>
            <w:vAlign w:val="center"/>
            <w:hideMark/>
          </w:tcPr>
          <w:p w14:paraId="6ECB6254" w14:textId="77777777" w:rsidR="00CA6706" w:rsidRPr="00487150" w:rsidRDefault="00CA6706" w:rsidP="00381517">
            <w:pPr>
              <w:jc w:val="center"/>
              <w:rPr>
                <w:color w:val="000000" w:themeColor="text1"/>
              </w:rPr>
            </w:pPr>
            <w:r w:rsidRPr="00487150">
              <w:rPr>
                <w:color w:val="000000" w:themeColor="text1"/>
              </w:rPr>
              <w:t>0.0795</w:t>
            </w:r>
          </w:p>
        </w:tc>
        <w:tc>
          <w:tcPr>
            <w:tcW w:w="1160" w:type="dxa"/>
            <w:shd w:val="clear" w:color="auto" w:fill="auto"/>
            <w:noWrap/>
            <w:vAlign w:val="center"/>
            <w:hideMark/>
          </w:tcPr>
          <w:p w14:paraId="0B883584" w14:textId="77777777" w:rsidR="00CA6706" w:rsidRPr="00487150" w:rsidRDefault="00CA6706" w:rsidP="00381517">
            <w:pPr>
              <w:jc w:val="center"/>
              <w:rPr>
                <w:color w:val="000000" w:themeColor="text1"/>
              </w:rPr>
            </w:pPr>
            <w:r w:rsidRPr="00487150">
              <w:rPr>
                <w:color w:val="000000" w:themeColor="text1"/>
              </w:rPr>
              <w:t>0.0203</w:t>
            </w:r>
          </w:p>
        </w:tc>
        <w:tc>
          <w:tcPr>
            <w:tcW w:w="1160" w:type="dxa"/>
            <w:shd w:val="clear" w:color="auto" w:fill="auto"/>
            <w:noWrap/>
            <w:vAlign w:val="center"/>
            <w:hideMark/>
          </w:tcPr>
          <w:p w14:paraId="0379CC51" w14:textId="77777777" w:rsidR="00CA6706" w:rsidRPr="00487150" w:rsidRDefault="00CA6706" w:rsidP="00381517">
            <w:pPr>
              <w:jc w:val="center"/>
              <w:rPr>
                <w:color w:val="000000" w:themeColor="text1"/>
              </w:rPr>
            </w:pPr>
            <w:r w:rsidRPr="00487150">
              <w:rPr>
                <w:color w:val="000000" w:themeColor="text1"/>
              </w:rPr>
              <w:t>240</w:t>
            </w:r>
          </w:p>
        </w:tc>
        <w:tc>
          <w:tcPr>
            <w:tcW w:w="1300" w:type="dxa"/>
            <w:shd w:val="clear" w:color="auto" w:fill="auto"/>
            <w:noWrap/>
            <w:vAlign w:val="center"/>
            <w:hideMark/>
          </w:tcPr>
          <w:p w14:paraId="729FFE37" w14:textId="77777777" w:rsidR="00CA6706" w:rsidRPr="00487150" w:rsidRDefault="00CA6706" w:rsidP="00381517">
            <w:pPr>
              <w:jc w:val="center"/>
              <w:rPr>
                <w:color w:val="000000" w:themeColor="text1"/>
              </w:rPr>
            </w:pPr>
            <w:r w:rsidRPr="00487150">
              <w:rPr>
                <w:color w:val="000000" w:themeColor="text1"/>
              </w:rPr>
              <w:t>3018.87</w:t>
            </w:r>
          </w:p>
        </w:tc>
        <w:tc>
          <w:tcPr>
            <w:tcW w:w="1660" w:type="dxa"/>
            <w:shd w:val="clear" w:color="auto" w:fill="auto"/>
            <w:vAlign w:val="center"/>
            <w:hideMark/>
          </w:tcPr>
          <w:p w14:paraId="7EE8660F" w14:textId="77777777" w:rsidR="00CA6706" w:rsidRPr="00487150" w:rsidRDefault="00CA6706" w:rsidP="00381517">
            <w:pPr>
              <w:jc w:val="center"/>
              <w:rPr>
                <w:color w:val="000000" w:themeColor="text1"/>
              </w:rPr>
            </w:pPr>
            <w:r w:rsidRPr="00487150">
              <w:rPr>
                <w:color w:val="000000" w:themeColor="text1"/>
              </w:rPr>
              <w:t>Bulk Silicate Earth</w:t>
            </w:r>
          </w:p>
        </w:tc>
        <w:tc>
          <w:tcPr>
            <w:tcW w:w="1940" w:type="dxa"/>
            <w:shd w:val="clear" w:color="auto" w:fill="auto"/>
            <w:vAlign w:val="center"/>
            <w:hideMark/>
          </w:tcPr>
          <w:p w14:paraId="34A044D0" w14:textId="77777777" w:rsidR="00CA6706" w:rsidRPr="00487150" w:rsidRDefault="00CA6706" w:rsidP="00381517">
            <w:pPr>
              <w:jc w:val="center"/>
              <w:rPr>
                <w:color w:val="000000" w:themeColor="text1"/>
              </w:rPr>
            </w:pPr>
            <w:r w:rsidRPr="00487150">
              <w:rPr>
                <w:color w:val="000000" w:themeColor="text1"/>
              </w:rPr>
              <w:t>McDonough and Sun (1995)</w:t>
            </w:r>
          </w:p>
        </w:tc>
      </w:tr>
      <w:tr w:rsidR="00CA6706" w:rsidRPr="00487150" w14:paraId="10AD433C" w14:textId="77777777" w:rsidTr="00381517">
        <w:trPr>
          <w:trHeight w:val="740"/>
        </w:trPr>
        <w:tc>
          <w:tcPr>
            <w:tcW w:w="1160" w:type="dxa"/>
            <w:shd w:val="clear" w:color="auto" w:fill="auto"/>
            <w:noWrap/>
            <w:vAlign w:val="center"/>
            <w:hideMark/>
          </w:tcPr>
          <w:p w14:paraId="5F2CE0C4" w14:textId="77777777" w:rsidR="00CA6706" w:rsidRPr="00487150" w:rsidRDefault="00CA6706" w:rsidP="00381517">
            <w:pPr>
              <w:jc w:val="center"/>
              <w:rPr>
                <w:color w:val="000000" w:themeColor="text1"/>
              </w:rPr>
            </w:pPr>
            <w:r w:rsidRPr="00487150">
              <w:rPr>
                <w:color w:val="000000" w:themeColor="text1"/>
              </w:rPr>
              <w:t>0.1240</w:t>
            </w:r>
          </w:p>
        </w:tc>
        <w:tc>
          <w:tcPr>
            <w:tcW w:w="1160" w:type="dxa"/>
            <w:shd w:val="clear" w:color="auto" w:fill="auto"/>
            <w:noWrap/>
            <w:vAlign w:val="center"/>
            <w:hideMark/>
          </w:tcPr>
          <w:p w14:paraId="57B7A9D3" w14:textId="77777777" w:rsidR="00CA6706" w:rsidRPr="00487150" w:rsidRDefault="00CA6706" w:rsidP="00381517">
            <w:pPr>
              <w:jc w:val="center"/>
              <w:rPr>
                <w:color w:val="000000" w:themeColor="text1"/>
              </w:rPr>
            </w:pPr>
            <w:r w:rsidRPr="00487150">
              <w:rPr>
                <w:color w:val="000000" w:themeColor="text1"/>
              </w:rPr>
              <w:t>0.0310</w:t>
            </w:r>
          </w:p>
        </w:tc>
        <w:tc>
          <w:tcPr>
            <w:tcW w:w="1160" w:type="dxa"/>
            <w:shd w:val="clear" w:color="auto" w:fill="auto"/>
            <w:noWrap/>
            <w:vAlign w:val="center"/>
            <w:hideMark/>
          </w:tcPr>
          <w:p w14:paraId="3BFAEFB3" w14:textId="77777777" w:rsidR="00CA6706" w:rsidRPr="00487150" w:rsidRDefault="00CA6706" w:rsidP="00381517">
            <w:pPr>
              <w:jc w:val="center"/>
              <w:rPr>
                <w:color w:val="000000" w:themeColor="text1"/>
              </w:rPr>
            </w:pPr>
            <w:r w:rsidRPr="00487150">
              <w:rPr>
                <w:color w:val="000000" w:themeColor="text1"/>
              </w:rPr>
              <w:t>310</w:t>
            </w:r>
          </w:p>
        </w:tc>
        <w:tc>
          <w:tcPr>
            <w:tcW w:w="1300" w:type="dxa"/>
            <w:shd w:val="clear" w:color="auto" w:fill="auto"/>
            <w:noWrap/>
            <w:vAlign w:val="center"/>
            <w:hideMark/>
          </w:tcPr>
          <w:p w14:paraId="24CA7D05" w14:textId="77777777" w:rsidR="00CA6706" w:rsidRPr="00487150" w:rsidRDefault="00CA6706" w:rsidP="00381517">
            <w:pPr>
              <w:jc w:val="center"/>
              <w:rPr>
                <w:color w:val="000000" w:themeColor="text1"/>
              </w:rPr>
            </w:pPr>
            <w:r w:rsidRPr="00487150">
              <w:rPr>
                <w:color w:val="000000" w:themeColor="text1"/>
              </w:rPr>
              <w:t>2500.00</w:t>
            </w:r>
          </w:p>
        </w:tc>
        <w:tc>
          <w:tcPr>
            <w:tcW w:w="1660" w:type="dxa"/>
            <w:shd w:val="clear" w:color="auto" w:fill="auto"/>
            <w:vAlign w:val="center"/>
            <w:hideMark/>
          </w:tcPr>
          <w:p w14:paraId="072AFE3D" w14:textId="77777777" w:rsidR="00CA6706" w:rsidRPr="00487150" w:rsidRDefault="00CA6706" w:rsidP="00381517">
            <w:pPr>
              <w:jc w:val="center"/>
              <w:rPr>
                <w:color w:val="000000" w:themeColor="text1"/>
              </w:rPr>
            </w:pPr>
            <w:r w:rsidRPr="00487150">
              <w:rPr>
                <w:color w:val="000000" w:themeColor="text1"/>
              </w:rPr>
              <w:t>Bulk Silicate Earth</w:t>
            </w:r>
          </w:p>
        </w:tc>
        <w:tc>
          <w:tcPr>
            <w:tcW w:w="1940" w:type="dxa"/>
            <w:shd w:val="clear" w:color="auto" w:fill="auto"/>
            <w:vAlign w:val="center"/>
            <w:hideMark/>
          </w:tcPr>
          <w:p w14:paraId="17682056" w14:textId="77777777" w:rsidR="00CA6706" w:rsidRPr="00487150" w:rsidRDefault="00CA6706" w:rsidP="00381517">
            <w:pPr>
              <w:jc w:val="center"/>
              <w:rPr>
                <w:color w:val="000000" w:themeColor="text1"/>
              </w:rPr>
            </w:pPr>
            <w:r w:rsidRPr="00487150">
              <w:rPr>
                <w:color w:val="000000" w:themeColor="text1"/>
              </w:rPr>
              <w:t>Turcotte and Schubert (2002)</w:t>
            </w:r>
          </w:p>
        </w:tc>
      </w:tr>
      <w:tr w:rsidR="00CA6706" w:rsidRPr="00487150" w14:paraId="774240A8" w14:textId="77777777" w:rsidTr="00381517">
        <w:trPr>
          <w:trHeight w:val="740"/>
        </w:trPr>
        <w:tc>
          <w:tcPr>
            <w:tcW w:w="1160" w:type="dxa"/>
            <w:shd w:val="clear" w:color="auto" w:fill="auto"/>
            <w:noWrap/>
            <w:vAlign w:val="center"/>
            <w:hideMark/>
          </w:tcPr>
          <w:p w14:paraId="61F90CEB" w14:textId="77777777" w:rsidR="00CA6706" w:rsidRPr="00487150" w:rsidRDefault="00CA6706" w:rsidP="00381517">
            <w:pPr>
              <w:jc w:val="center"/>
              <w:rPr>
                <w:color w:val="000000" w:themeColor="text1"/>
              </w:rPr>
            </w:pPr>
            <w:r w:rsidRPr="00487150">
              <w:rPr>
                <w:color w:val="000000" w:themeColor="text1"/>
              </w:rPr>
              <w:t>0.1100</w:t>
            </w:r>
          </w:p>
        </w:tc>
        <w:tc>
          <w:tcPr>
            <w:tcW w:w="1160" w:type="dxa"/>
            <w:shd w:val="clear" w:color="auto" w:fill="auto"/>
            <w:noWrap/>
            <w:vAlign w:val="center"/>
            <w:hideMark/>
          </w:tcPr>
          <w:p w14:paraId="2A716F16" w14:textId="77777777" w:rsidR="00CA6706" w:rsidRPr="00487150" w:rsidRDefault="00CA6706" w:rsidP="00381517">
            <w:pPr>
              <w:jc w:val="center"/>
              <w:rPr>
                <w:color w:val="000000" w:themeColor="text1"/>
              </w:rPr>
            </w:pPr>
            <w:r w:rsidRPr="00487150">
              <w:rPr>
                <w:color w:val="000000" w:themeColor="text1"/>
              </w:rPr>
              <w:t>0.0275</w:t>
            </w:r>
          </w:p>
        </w:tc>
        <w:tc>
          <w:tcPr>
            <w:tcW w:w="1160" w:type="dxa"/>
            <w:shd w:val="clear" w:color="auto" w:fill="auto"/>
            <w:noWrap/>
            <w:vAlign w:val="center"/>
            <w:hideMark/>
          </w:tcPr>
          <w:p w14:paraId="5CBF5F0E" w14:textId="77777777" w:rsidR="00CA6706" w:rsidRPr="00487150" w:rsidRDefault="00CA6706" w:rsidP="00381517">
            <w:pPr>
              <w:jc w:val="center"/>
              <w:rPr>
                <w:color w:val="000000" w:themeColor="text1"/>
              </w:rPr>
            </w:pPr>
            <w:r w:rsidRPr="00487150">
              <w:rPr>
                <w:color w:val="000000" w:themeColor="text1"/>
              </w:rPr>
              <w:t>94.25</w:t>
            </w:r>
          </w:p>
        </w:tc>
        <w:tc>
          <w:tcPr>
            <w:tcW w:w="1300" w:type="dxa"/>
            <w:shd w:val="clear" w:color="auto" w:fill="auto"/>
            <w:noWrap/>
            <w:vAlign w:val="center"/>
            <w:hideMark/>
          </w:tcPr>
          <w:p w14:paraId="34AE818A" w14:textId="77777777" w:rsidR="00CA6706" w:rsidRPr="00487150" w:rsidRDefault="00CA6706" w:rsidP="00381517">
            <w:pPr>
              <w:jc w:val="center"/>
              <w:rPr>
                <w:color w:val="000000" w:themeColor="text1"/>
              </w:rPr>
            </w:pPr>
            <w:r w:rsidRPr="00487150">
              <w:rPr>
                <w:color w:val="000000" w:themeColor="text1"/>
              </w:rPr>
              <w:t>856.82</w:t>
            </w:r>
          </w:p>
        </w:tc>
        <w:tc>
          <w:tcPr>
            <w:tcW w:w="1660" w:type="dxa"/>
            <w:shd w:val="clear" w:color="auto" w:fill="auto"/>
            <w:vAlign w:val="center"/>
            <w:hideMark/>
          </w:tcPr>
          <w:p w14:paraId="25AC62BA" w14:textId="77777777" w:rsidR="00CA6706" w:rsidRPr="00487150" w:rsidRDefault="00CA6706" w:rsidP="00381517">
            <w:pPr>
              <w:jc w:val="center"/>
              <w:rPr>
                <w:color w:val="000000" w:themeColor="text1"/>
              </w:rPr>
            </w:pPr>
            <w:r w:rsidRPr="00487150">
              <w:rPr>
                <w:color w:val="000000" w:themeColor="text1"/>
              </w:rPr>
              <w:t>Bulk Silicate Moon</w:t>
            </w:r>
          </w:p>
        </w:tc>
        <w:tc>
          <w:tcPr>
            <w:tcW w:w="1940" w:type="dxa"/>
            <w:shd w:val="clear" w:color="auto" w:fill="auto"/>
            <w:vAlign w:val="center"/>
            <w:hideMark/>
          </w:tcPr>
          <w:p w14:paraId="61543A02" w14:textId="77777777" w:rsidR="00CA6706" w:rsidRPr="00487150" w:rsidRDefault="00CA6706" w:rsidP="00381517">
            <w:pPr>
              <w:jc w:val="center"/>
              <w:rPr>
                <w:color w:val="000000" w:themeColor="text1"/>
              </w:rPr>
            </w:pPr>
            <w:r w:rsidRPr="00487150">
              <w:rPr>
                <w:color w:val="000000" w:themeColor="text1"/>
              </w:rPr>
              <w:t>Taylor et al. (2006)</w:t>
            </w:r>
          </w:p>
        </w:tc>
      </w:tr>
      <w:tr w:rsidR="00CA6706" w:rsidRPr="00487150" w14:paraId="5555AA37" w14:textId="77777777" w:rsidTr="00381517">
        <w:trPr>
          <w:trHeight w:val="740"/>
        </w:trPr>
        <w:tc>
          <w:tcPr>
            <w:tcW w:w="1160" w:type="dxa"/>
            <w:shd w:val="clear" w:color="auto" w:fill="auto"/>
            <w:noWrap/>
            <w:vAlign w:val="center"/>
            <w:hideMark/>
          </w:tcPr>
          <w:p w14:paraId="43B75661" w14:textId="77777777" w:rsidR="00CA6706" w:rsidRPr="00487150" w:rsidRDefault="00CA6706" w:rsidP="00381517">
            <w:pPr>
              <w:jc w:val="center"/>
              <w:rPr>
                <w:color w:val="000000" w:themeColor="text1"/>
              </w:rPr>
            </w:pPr>
            <w:r w:rsidRPr="00487150">
              <w:rPr>
                <w:color w:val="000000" w:themeColor="text1"/>
              </w:rPr>
              <w:t>0.0795</w:t>
            </w:r>
          </w:p>
        </w:tc>
        <w:tc>
          <w:tcPr>
            <w:tcW w:w="1160" w:type="dxa"/>
            <w:shd w:val="clear" w:color="auto" w:fill="auto"/>
            <w:noWrap/>
            <w:vAlign w:val="center"/>
            <w:hideMark/>
          </w:tcPr>
          <w:p w14:paraId="6B79B010" w14:textId="77777777" w:rsidR="00CA6706" w:rsidRPr="00487150" w:rsidRDefault="00CA6706" w:rsidP="00381517">
            <w:pPr>
              <w:jc w:val="center"/>
              <w:rPr>
                <w:color w:val="000000" w:themeColor="text1"/>
              </w:rPr>
            </w:pPr>
            <w:r w:rsidRPr="00487150">
              <w:rPr>
                <w:color w:val="000000" w:themeColor="text1"/>
              </w:rPr>
              <w:t>0.0203</w:t>
            </w:r>
          </w:p>
        </w:tc>
        <w:tc>
          <w:tcPr>
            <w:tcW w:w="1160" w:type="dxa"/>
            <w:shd w:val="clear" w:color="auto" w:fill="auto"/>
            <w:noWrap/>
            <w:vAlign w:val="center"/>
            <w:hideMark/>
          </w:tcPr>
          <w:p w14:paraId="36643413" w14:textId="77777777" w:rsidR="00CA6706" w:rsidRPr="00487150" w:rsidRDefault="00CA6706" w:rsidP="00381517">
            <w:pPr>
              <w:jc w:val="center"/>
              <w:rPr>
                <w:color w:val="000000" w:themeColor="text1"/>
              </w:rPr>
            </w:pPr>
            <w:r w:rsidRPr="00487150">
              <w:rPr>
                <w:color w:val="000000" w:themeColor="text1"/>
              </w:rPr>
              <w:t>36.90</w:t>
            </w:r>
          </w:p>
        </w:tc>
        <w:tc>
          <w:tcPr>
            <w:tcW w:w="1300" w:type="dxa"/>
            <w:shd w:val="clear" w:color="auto" w:fill="auto"/>
            <w:noWrap/>
            <w:vAlign w:val="center"/>
            <w:hideMark/>
          </w:tcPr>
          <w:p w14:paraId="3D2E83DC" w14:textId="77777777" w:rsidR="00CA6706" w:rsidRPr="00487150" w:rsidRDefault="00CA6706" w:rsidP="00381517">
            <w:pPr>
              <w:jc w:val="center"/>
              <w:rPr>
                <w:color w:val="000000" w:themeColor="text1"/>
              </w:rPr>
            </w:pPr>
            <w:r w:rsidRPr="00487150">
              <w:rPr>
                <w:color w:val="000000" w:themeColor="text1"/>
              </w:rPr>
              <w:t>464.15</w:t>
            </w:r>
          </w:p>
        </w:tc>
        <w:tc>
          <w:tcPr>
            <w:tcW w:w="1660" w:type="dxa"/>
            <w:shd w:val="clear" w:color="auto" w:fill="auto"/>
            <w:vAlign w:val="center"/>
            <w:hideMark/>
          </w:tcPr>
          <w:p w14:paraId="3C856949" w14:textId="77777777" w:rsidR="00CA6706" w:rsidRPr="00487150" w:rsidRDefault="00CA6706" w:rsidP="00381517">
            <w:pPr>
              <w:jc w:val="center"/>
              <w:rPr>
                <w:color w:val="000000" w:themeColor="text1"/>
              </w:rPr>
            </w:pPr>
            <w:r w:rsidRPr="00487150">
              <w:rPr>
                <w:color w:val="000000" w:themeColor="text1"/>
              </w:rPr>
              <w:t>Bulk Silicate Moon</w:t>
            </w:r>
          </w:p>
        </w:tc>
        <w:tc>
          <w:tcPr>
            <w:tcW w:w="1940" w:type="dxa"/>
            <w:shd w:val="clear" w:color="auto" w:fill="auto"/>
            <w:vAlign w:val="center"/>
            <w:hideMark/>
          </w:tcPr>
          <w:p w14:paraId="6524F19B" w14:textId="77777777" w:rsidR="00CA6706" w:rsidRPr="00487150" w:rsidRDefault="00CA6706" w:rsidP="00381517">
            <w:pPr>
              <w:jc w:val="center"/>
              <w:rPr>
                <w:color w:val="000000" w:themeColor="text1"/>
              </w:rPr>
            </w:pPr>
            <w:r w:rsidRPr="00487150">
              <w:rPr>
                <w:color w:val="000000" w:themeColor="text1"/>
              </w:rPr>
              <w:t>Taylor and Wieczorek (2014)</w:t>
            </w:r>
          </w:p>
        </w:tc>
      </w:tr>
      <w:tr w:rsidR="00CA6706" w:rsidRPr="00487150" w14:paraId="6A19DB37" w14:textId="77777777" w:rsidTr="00381517">
        <w:trPr>
          <w:trHeight w:val="740"/>
        </w:trPr>
        <w:tc>
          <w:tcPr>
            <w:tcW w:w="1160" w:type="dxa"/>
            <w:shd w:val="clear" w:color="auto" w:fill="auto"/>
            <w:noWrap/>
            <w:vAlign w:val="center"/>
            <w:hideMark/>
          </w:tcPr>
          <w:p w14:paraId="526FD0D4" w14:textId="77777777" w:rsidR="00CA6706" w:rsidRPr="00487150" w:rsidRDefault="00CA6706" w:rsidP="00381517">
            <w:pPr>
              <w:jc w:val="center"/>
              <w:rPr>
                <w:color w:val="000000" w:themeColor="text1"/>
              </w:rPr>
            </w:pPr>
            <w:r w:rsidRPr="00487150">
              <w:rPr>
                <w:color w:val="000000" w:themeColor="text1"/>
              </w:rPr>
              <w:t>0.0790</w:t>
            </w:r>
          </w:p>
        </w:tc>
        <w:tc>
          <w:tcPr>
            <w:tcW w:w="1160" w:type="dxa"/>
            <w:shd w:val="clear" w:color="auto" w:fill="auto"/>
            <w:noWrap/>
            <w:vAlign w:val="center"/>
            <w:hideMark/>
          </w:tcPr>
          <w:p w14:paraId="26AB2E7B" w14:textId="77777777" w:rsidR="00CA6706" w:rsidRPr="00487150" w:rsidRDefault="00CA6706" w:rsidP="00381517">
            <w:pPr>
              <w:jc w:val="center"/>
              <w:rPr>
                <w:color w:val="000000" w:themeColor="text1"/>
              </w:rPr>
            </w:pPr>
            <w:r w:rsidRPr="00487150">
              <w:rPr>
                <w:color w:val="000000" w:themeColor="text1"/>
              </w:rPr>
              <w:t>0.0214</w:t>
            </w:r>
          </w:p>
        </w:tc>
        <w:tc>
          <w:tcPr>
            <w:tcW w:w="1160" w:type="dxa"/>
            <w:shd w:val="clear" w:color="auto" w:fill="auto"/>
            <w:noWrap/>
            <w:vAlign w:val="center"/>
            <w:hideMark/>
          </w:tcPr>
          <w:p w14:paraId="1022F9E1" w14:textId="77777777" w:rsidR="00CA6706" w:rsidRPr="00487150" w:rsidRDefault="00CA6706" w:rsidP="00381517">
            <w:pPr>
              <w:jc w:val="center"/>
              <w:rPr>
                <w:color w:val="000000" w:themeColor="text1"/>
              </w:rPr>
            </w:pPr>
            <w:r w:rsidRPr="00487150">
              <w:rPr>
                <w:color w:val="000000" w:themeColor="text1"/>
              </w:rPr>
              <w:t>42.72</w:t>
            </w:r>
          </w:p>
        </w:tc>
        <w:tc>
          <w:tcPr>
            <w:tcW w:w="1300" w:type="dxa"/>
            <w:shd w:val="clear" w:color="auto" w:fill="auto"/>
            <w:noWrap/>
            <w:vAlign w:val="center"/>
            <w:hideMark/>
          </w:tcPr>
          <w:p w14:paraId="28D8F45F" w14:textId="77777777" w:rsidR="00CA6706" w:rsidRPr="00487150" w:rsidRDefault="00CA6706" w:rsidP="00381517">
            <w:pPr>
              <w:jc w:val="center"/>
              <w:rPr>
                <w:color w:val="000000" w:themeColor="text1"/>
              </w:rPr>
            </w:pPr>
            <w:r w:rsidRPr="00487150">
              <w:rPr>
                <w:color w:val="000000" w:themeColor="text1"/>
              </w:rPr>
              <w:t>540.62</w:t>
            </w:r>
          </w:p>
        </w:tc>
        <w:tc>
          <w:tcPr>
            <w:tcW w:w="1660" w:type="dxa"/>
            <w:shd w:val="clear" w:color="auto" w:fill="auto"/>
            <w:vAlign w:val="center"/>
            <w:hideMark/>
          </w:tcPr>
          <w:p w14:paraId="2623ACDE" w14:textId="77777777" w:rsidR="00CA6706" w:rsidRPr="00487150" w:rsidRDefault="00CA6706" w:rsidP="00381517">
            <w:pPr>
              <w:jc w:val="center"/>
              <w:rPr>
                <w:color w:val="000000" w:themeColor="text1"/>
              </w:rPr>
            </w:pPr>
            <w:r w:rsidRPr="00487150">
              <w:rPr>
                <w:color w:val="000000" w:themeColor="text1"/>
              </w:rPr>
              <w:t>Bulk Silicate Moon</w:t>
            </w:r>
          </w:p>
        </w:tc>
        <w:tc>
          <w:tcPr>
            <w:tcW w:w="1940" w:type="dxa"/>
            <w:shd w:val="clear" w:color="auto" w:fill="auto"/>
            <w:vAlign w:val="center"/>
            <w:hideMark/>
          </w:tcPr>
          <w:p w14:paraId="41AB77A5" w14:textId="77777777" w:rsidR="00CA6706" w:rsidRPr="00487150" w:rsidRDefault="00CA6706" w:rsidP="00381517">
            <w:pPr>
              <w:jc w:val="center"/>
              <w:rPr>
                <w:color w:val="000000" w:themeColor="text1"/>
              </w:rPr>
            </w:pPr>
            <w:r w:rsidRPr="00487150">
              <w:rPr>
                <w:color w:val="000000" w:themeColor="text1"/>
              </w:rPr>
              <w:t>Seigler et al. (2022)</w:t>
            </w:r>
          </w:p>
        </w:tc>
      </w:tr>
    </w:tbl>
    <w:p w14:paraId="778B1968" w14:textId="77777777" w:rsidR="003E4C05" w:rsidRDefault="00CA6706">
      <w:pPr>
        <w:rPr>
          <w:color w:val="000000" w:themeColor="text1"/>
        </w:rPr>
      </w:pPr>
      <w:r w:rsidRPr="00487150">
        <w:rPr>
          <w:color w:val="000000" w:themeColor="text1"/>
        </w:rPr>
        <w:t>CHUR- Chondritic Uniform Reservoir</w:t>
      </w:r>
    </w:p>
    <w:p w14:paraId="62F9CF9F" w14:textId="19A55A6F" w:rsidR="00CA6706" w:rsidRDefault="00CA6706">
      <w:pPr>
        <w:rPr>
          <w:color w:val="000000" w:themeColor="text1"/>
        </w:rPr>
      </w:pPr>
      <w:r>
        <w:rPr>
          <w:color w:val="000000" w:themeColor="text1"/>
        </w:rPr>
        <w:br w:type="page"/>
      </w:r>
    </w:p>
    <w:p w14:paraId="53925541" w14:textId="5C62F146" w:rsidR="00CA6706" w:rsidRPr="00487150" w:rsidRDefault="00CA6706" w:rsidP="00CA6706">
      <w:pPr>
        <w:spacing w:line="480" w:lineRule="auto"/>
        <w:ind w:firstLine="720"/>
        <w:rPr>
          <w:color w:val="000000" w:themeColor="text1"/>
        </w:rPr>
      </w:pPr>
      <w:r w:rsidRPr="00487150">
        <w:rPr>
          <w:color w:val="000000" w:themeColor="text1"/>
        </w:rPr>
        <w:lastRenderedPageBreak/>
        <w:t xml:space="preserve">Due to the complexities that the poorly constrained isotope concentrations present, few studies have attempted to model the impacts of radiogenic heating (Gagnepain-Beyneix et al., 2006; Laneuville et al., 2013, 2018; Zhang et al., 2013; Zhao et al., 2019; Zhang et al., 2022). </w:t>
      </w:r>
      <w:r>
        <w:t>No published model for the distribution of HPE</w:t>
      </w:r>
      <w:r w:rsidR="008A0058">
        <w:t>s</w:t>
      </w:r>
      <w:r>
        <w:t xml:space="preserve"> throughout the Moon accounts</w:t>
      </w:r>
      <w:r w:rsidRPr="00487150">
        <w:rPr>
          <w:color w:val="000000" w:themeColor="text1"/>
        </w:rPr>
        <w:t xml:space="preserve"> for the effects of fractional crystallization during LMO solidification. </w:t>
      </w:r>
      <w:r>
        <w:rPr>
          <w:color w:val="000000" w:themeColor="text1"/>
        </w:rPr>
        <w:t>Existing</w:t>
      </w:r>
      <w:r w:rsidRPr="00487150">
        <w:rPr>
          <w:color w:val="000000" w:themeColor="text1"/>
        </w:rPr>
        <w:t xml:space="preserve"> studies make </w:t>
      </w:r>
      <w:r>
        <w:rPr>
          <w:color w:val="000000" w:themeColor="text1"/>
        </w:rPr>
        <w:t>the following simplifying</w:t>
      </w:r>
      <w:r w:rsidRPr="00487150">
        <w:rPr>
          <w:color w:val="000000" w:themeColor="text1"/>
        </w:rPr>
        <w:t xml:space="preserve"> assumptions about the HPE distributions: (1) HPE</w:t>
      </w:r>
      <w:r>
        <w:rPr>
          <w:color w:val="000000" w:themeColor="text1"/>
        </w:rPr>
        <w:t>s</w:t>
      </w:r>
      <w:r w:rsidRPr="00487150">
        <w:rPr>
          <w:color w:val="000000" w:themeColor="text1"/>
        </w:rPr>
        <w:t xml:space="preserve"> are evenly distributed throughout the lunar mantle (Gagnepain-Beyneix et al., 2006) or (2) HPE</w:t>
      </w:r>
      <w:r w:rsidR="008A0058">
        <w:rPr>
          <w:color w:val="000000" w:themeColor="text1"/>
        </w:rPr>
        <w:t>s</w:t>
      </w:r>
      <w:r w:rsidRPr="00487150">
        <w:rPr>
          <w:color w:val="000000" w:themeColor="text1"/>
        </w:rPr>
        <w:t xml:space="preserve"> are all concentrated in the ilmenite-bearing cumulates (IBC) or remaining urKREEP melt near the end of solidification (Laneuville et al., 2013, 2018; Zhang et al., 2013; Zhao et al., 2019; Zhang et al., 2022). </w:t>
      </w:r>
      <w:r>
        <w:rPr>
          <w:color w:val="000000" w:themeColor="text1"/>
        </w:rPr>
        <w:t>The latter assumption</w:t>
      </w:r>
      <w:r w:rsidRPr="00487150">
        <w:rPr>
          <w:color w:val="000000" w:themeColor="text1"/>
        </w:rPr>
        <w:t xml:space="preserve"> </w:t>
      </w:r>
      <w:r>
        <w:rPr>
          <w:color w:val="000000" w:themeColor="text1"/>
        </w:rPr>
        <w:t>enables workers</w:t>
      </w:r>
      <w:r w:rsidRPr="00487150">
        <w:rPr>
          <w:color w:val="000000" w:themeColor="text1"/>
        </w:rPr>
        <w:t xml:space="preserve"> to treat the IBC as a mobile heat-producing layer in models that attempt to account for cumulate overturn (Laneuville et al., 2013, 2018; Zhang et al., 2013; Zhao et al., 2019; Zhang et al., 2022). While both assumptions are unrealistic, </w:t>
      </w:r>
      <w:r>
        <w:rPr>
          <w:color w:val="000000" w:themeColor="text1"/>
        </w:rPr>
        <w:t>assuming the HPEs are concentrated in the IBCs</w:t>
      </w:r>
      <w:r w:rsidRPr="00487150">
        <w:rPr>
          <w:color w:val="000000" w:themeColor="text1"/>
        </w:rPr>
        <w:t xml:space="preserve"> is more consistent with the results of studies that model the distribution </w:t>
      </w:r>
      <w:r>
        <w:t xml:space="preserve">of </w:t>
      </w:r>
      <w:r>
        <w:rPr>
          <w:color w:val="000000" w:themeColor="text1"/>
        </w:rPr>
        <w:t>incompatible elements such as REEs</w:t>
      </w:r>
      <w:r w:rsidRPr="00487150">
        <w:rPr>
          <w:color w:val="000000" w:themeColor="text1"/>
        </w:rPr>
        <w:t xml:space="preserve"> (Snyder et al., 1992; Scholpp and Dygert, </w:t>
      </w:r>
      <w:r w:rsidRPr="00487150">
        <w:rPr>
          <w:i/>
          <w:iCs/>
          <w:color w:val="000000" w:themeColor="text1"/>
        </w:rPr>
        <w:t>in review</w:t>
      </w:r>
      <w:r w:rsidRPr="00487150">
        <w:rPr>
          <w:color w:val="000000" w:themeColor="text1"/>
        </w:rPr>
        <w:t xml:space="preserve">). </w:t>
      </w:r>
      <w:r>
        <w:rPr>
          <w:color w:val="000000" w:themeColor="text1"/>
        </w:rPr>
        <w:t>Because</w:t>
      </w:r>
      <w:r w:rsidRPr="00487150">
        <w:rPr>
          <w:color w:val="000000" w:themeColor="text1"/>
        </w:rPr>
        <w:t xml:space="preserve"> K, Th, and U are highly incompatible in </w:t>
      </w:r>
      <w:r>
        <w:rPr>
          <w:color w:val="000000" w:themeColor="text1"/>
        </w:rPr>
        <w:t xml:space="preserve">lunar </w:t>
      </w:r>
      <w:r>
        <w:t>constituent</w:t>
      </w:r>
      <w:r>
        <w:rPr>
          <w:color w:val="000000" w:themeColor="text1"/>
        </w:rPr>
        <w:t xml:space="preserve"> </w:t>
      </w:r>
      <w:r w:rsidRPr="00487150">
        <w:rPr>
          <w:color w:val="000000" w:themeColor="text1"/>
        </w:rPr>
        <w:t>minerals (except for K in plagioclase), they will likely have similar distributions to the REE</w:t>
      </w:r>
      <w:r>
        <w:rPr>
          <w:color w:val="000000" w:themeColor="text1"/>
        </w:rPr>
        <w:t>s</w:t>
      </w:r>
      <w:r w:rsidRPr="00487150">
        <w:rPr>
          <w:color w:val="000000" w:themeColor="text1"/>
        </w:rPr>
        <w:t xml:space="preserve">. </w:t>
      </w:r>
    </w:p>
    <w:p w14:paraId="238EF4DE" w14:textId="2FDD70D0" w:rsidR="004C65BD" w:rsidRPr="00487150" w:rsidRDefault="00CA6706" w:rsidP="00CA6706">
      <w:pPr>
        <w:spacing w:line="480" w:lineRule="auto"/>
        <w:ind w:firstLine="720"/>
        <w:rPr>
          <w:color w:val="000000" w:themeColor="text1"/>
        </w:rPr>
      </w:pPr>
      <w:r w:rsidRPr="00487150">
        <w:rPr>
          <w:bCs/>
          <w:color w:val="000000" w:themeColor="text1"/>
        </w:rPr>
        <w:t xml:space="preserve">Here, we model the HPE composition of LMO cumulates and </w:t>
      </w:r>
      <w:r>
        <w:rPr>
          <w:bCs/>
        </w:rPr>
        <w:t>cumulate</w:t>
      </w:r>
      <w:r w:rsidRPr="00487150">
        <w:rPr>
          <w:bCs/>
          <w:color w:val="000000" w:themeColor="text1"/>
        </w:rPr>
        <w:t xml:space="preserve"> derived partial melts using methods similar to those used by </w:t>
      </w:r>
      <w:r w:rsidRPr="00487150">
        <w:rPr>
          <w:color w:val="000000" w:themeColor="text1"/>
        </w:rPr>
        <w:t>Scholpp and Dygert (</w:t>
      </w:r>
      <w:r w:rsidRPr="00487150">
        <w:rPr>
          <w:i/>
          <w:iCs/>
          <w:color w:val="000000" w:themeColor="text1"/>
        </w:rPr>
        <w:t>in review</w:t>
      </w:r>
      <w:r w:rsidRPr="00487150">
        <w:rPr>
          <w:color w:val="000000" w:themeColor="text1"/>
        </w:rPr>
        <w:t>)</w:t>
      </w:r>
      <w:r w:rsidRPr="00487150">
        <w:rPr>
          <w:bCs/>
          <w:color w:val="000000" w:themeColor="text1"/>
        </w:rPr>
        <w:t xml:space="preserve">. </w:t>
      </w:r>
      <w:r>
        <w:t xml:space="preserve">We use </w:t>
      </w:r>
      <w:r w:rsidRPr="00D14921">
        <w:rPr>
          <w:color w:val="000000" w:themeColor="text1"/>
        </w:rPr>
        <w:t>experimentally determined LMO cumulate solidification sequences (Charlier et al., 2018) and up-to-date lunar trace element partition coefficients</w:t>
      </w:r>
      <w:r>
        <w:t xml:space="preserve"> to</w:t>
      </w:r>
      <w:r w:rsidRPr="00D14921">
        <w:rPr>
          <w:color w:val="000000" w:themeColor="text1"/>
        </w:rPr>
        <w:t xml:space="preserve"> model chemical </w:t>
      </w:r>
      <w:r w:rsidRPr="00D14921">
        <w:rPr>
          <w:color w:val="000000" w:themeColor="text1"/>
        </w:rPr>
        <w:lastRenderedPageBreak/>
        <w:t>fractionation during LMO solidification</w:t>
      </w:r>
      <w:r>
        <w:t xml:space="preserve"> </w:t>
      </w:r>
      <w:r w:rsidRPr="00D14921">
        <w:rPr>
          <w:color w:val="000000" w:themeColor="text1"/>
        </w:rPr>
        <w:t>and</w:t>
      </w:r>
      <w:r>
        <w:t xml:space="preserve"> post-solidification</w:t>
      </w:r>
      <w:r w:rsidRPr="00D14921">
        <w:rPr>
          <w:color w:val="000000" w:themeColor="text1"/>
        </w:rPr>
        <w:t xml:space="preserve"> partial melting. </w:t>
      </w:r>
      <w:r w:rsidRPr="00487150">
        <w:rPr>
          <w:bCs/>
          <w:color w:val="000000" w:themeColor="text1"/>
        </w:rPr>
        <w:t xml:space="preserve">We compare the modeled </w:t>
      </w:r>
      <w:r w:rsidRPr="00487150">
        <w:rPr>
          <w:color w:val="000000" w:themeColor="text1"/>
        </w:rPr>
        <w:t>LMO cumulate and cumulate melt compositions</w:t>
      </w:r>
      <w:r w:rsidRPr="00487150">
        <w:rPr>
          <w:bCs/>
          <w:color w:val="000000" w:themeColor="text1"/>
        </w:rPr>
        <w:t xml:space="preserve"> assuming </w:t>
      </w:r>
      <w:r w:rsidRPr="00487150">
        <w:rPr>
          <w:color w:val="000000" w:themeColor="text1"/>
        </w:rPr>
        <w:t xml:space="preserve">different bulk Moon HPE estimates to lunar samples to assess the </w:t>
      </w:r>
      <w:r>
        <w:rPr>
          <w:color w:val="000000" w:themeColor="text1"/>
        </w:rPr>
        <w:t>viability</w:t>
      </w:r>
      <w:r w:rsidRPr="00487150">
        <w:rPr>
          <w:color w:val="000000" w:themeColor="text1"/>
        </w:rPr>
        <w:t xml:space="preserve"> of previous estimated lunar HPE budgets. We find that the bulk LMO likely had a relatively low K/Th ratio, as </w:t>
      </w:r>
      <w:r>
        <w:rPr>
          <w:color w:val="000000" w:themeColor="text1"/>
        </w:rPr>
        <w:t>concluded</w:t>
      </w:r>
      <w:r w:rsidRPr="00487150">
        <w:rPr>
          <w:color w:val="000000" w:themeColor="text1"/>
        </w:rPr>
        <w:t xml:space="preserve"> by </w:t>
      </w:r>
      <w:r w:rsidRPr="00487150">
        <w:rPr>
          <w:rFonts w:eastAsiaTheme="minorEastAsia"/>
          <w:color w:val="000000" w:themeColor="text1"/>
        </w:rPr>
        <w:t>more recent studies</w:t>
      </w:r>
      <w:r w:rsidRPr="00487150">
        <w:rPr>
          <w:color w:val="000000" w:themeColor="text1"/>
        </w:rPr>
        <w:t xml:space="preserve">. We then explore the implications of this lower K/Th ratio on the lunar HPE budget and lunar thermal evolution </w:t>
      </w:r>
      <w:r>
        <w:t>using</w:t>
      </w:r>
      <w:r w:rsidRPr="00487150">
        <w:rPr>
          <w:color w:val="000000" w:themeColor="text1"/>
        </w:rPr>
        <w:t xml:space="preserve"> heat conduction models</w:t>
      </w:r>
      <w:r w:rsidR="00850F77" w:rsidRPr="00487150">
        <w:rPr>
          <w:color w:val="000000" w:themeColor="text1"/>
        </w:rPr>
        <w:t>.</w:t>
      </w:r>
    </w:p>
    <w:p w14:paraId="259CC437" w14:textId="4012599C" w:rsidR="008F66AD" w:rsidRPr="00487150" w:rsidRDefault="008F66AD" w:rsidP="002F7368">
      <w:pPr>
        <w:pStyle w:val="Heading2"/>
      </w:pPr>
      <w:bookmarkStart w:id="420" w:name="_Toc182331771"/>
      <w:bookmarkStart w:id="421" w:name="_Toc182995498"/>
      <w:bookmarkStart w:id="422" w:name="_Toc183536623"/>
      <w:bookmarkStart w:id="423" w:name="_Toc184727428"/>
      <w:bookmarkStart w:id="424" w:name="_Toc185325676"/>
      <w:r w:rsidRPr="00487150">
        <w:t>Geochemical Modeling</w:t>
      </w:r>
      <w:bookmarkEnd w:id="420"/>
      <w:bookmarkEnd w:id="421"/>
      <w:bookmarkEnd w:id="422"/>
      <w:bookmarkEnd w:id="423"/>
      <w:bookmarkEnd w:id="424"/>
    </w:p>
    <w:p w14:paraId="66A1398B" w14:textId="77777777" w:rsidR="00CA6706" w:rsidRPr="00196D0A" w:rsidRDefault="00CA6706" w:rsidP="006E67B1">
      <w:pPr>
        <w:pStyle w:val="Heading3"/>
      </w:pPr>
      <w:bookmarkStart w:id="425" w:name="_Toc183536624"/>
      <w:bookmarkStart w:id="426" w:name="_Toc184727429"/>
      <w:bookmarkStart w:id="427" w:name="_Toc185325677"/>
      <w:r>
        <w:t>Modeling Parameters for LMO Solidification</w:t>
      </w:r>
      <w:bookmarkEnd w:id="425"/>
      <w:bookmarkEnd w:id="426"/>
      <w:bookmarkEnd w:id="427"/>
    </w:p>
    <w:p w14:paraId="1A435DA7" w14:textId="392042B6" w:rsidR="000B7371" w:rsidRDefault="00CA6706" w:rsidP="00CA6706">
      <w:pPr>
        <w:spacing w:line="480" w:lineRule="auto"/>
        <w:ind w:firstLine="720"/>
        <w:rPr>
          <w:color w:val="000000" w:themeColor="text1"/>
        </w:rPr>
      </w:pPr>
      <w:r w:rsidRPr="00487150">
        <w:rPr>
          <w:color w:val="000000" w:themeColor="text1"/>
        </w:rPr>
        <w:t>Radiogenic element concentrations (</w:t>
      </w:r>
      <w:r w:rsidRPr="00487150">
        <w:rPr>
          <w:color w:val="000000" w:themeColor="text1"/>
          <w:vertAlign w:val="superscript"/>
        </w:rPr>
        <w:t>232</w:t>
      </w:r>
      <w:r w:rsidRPr="00487150">
        <w:rPr>
          <w:color w:val="000000" w:themeColor="text1"/>
        </w:rPr>
        <w:t xml:space="preserve">Th, </w:t>
      </w:r>
      <w:r w:rsidRPr="00487150">
        <w:rPr>
          <w:color w:val="000000" w:themeColor="text1"/>
          <w:vertAlign w:val="superscript"/>
        </w:rPr>
        <w:t>235</w:t>
      </w:r>
      <w:r w:rsidRPr="00487150">
        <w:rPr>
          <w:color w:val="000000" w:themeColor="text1"/>
        </w:rPr>
        <w:t xml:space="preserve">U, </w:t>
      </w:r>
      <w:r w:rsidRPr="00487150">
        <w:rPr>
          <w:color w:val="000000" w:themeColor="text1"/>
          <w:vertAlign w:val="superscript"/>
        </w:rPr>
        <w:t>238</w:t>
      </w:r>
      <w:r w:rsidRPr="00487150">
        <w:rPr>
          <w:color w:val="000000" w:themeColor="text1"/>
        </w:rPr>
        <w:t xml:space="preserve">U, and </w:t>
      </w:r>
      <w:r w:rsidRPr="00487150">
        <w:rPr>
          <w:color w:val="000000" w:themeColor="text1"/>
          <w:vertAlign w:val="superscript"/>
        </w:rPr>
        <w:t>40</w:t>
      </w:r>
      <w:r w:rsidRPr="00487150">
        <w:rPr>
          <w:color w:val="000000" w:themeColor="text1"/>
        </w:rPr>
        <w:t xml:space="preserve">K) in the LMO cumulates were determined assuming Rayleigh fractionation using </w:t>
      </w:r>
      <w:r w:rsidR="00A53C5B">
        <w:rPr>
          <w:color w:val="000000" w:themeColor="text1"/>
        </w:rPr>
        <w:t>the methods discussed in Appendix C</w:t>
      </w:r>
      <w:r w:rsidRPr="00487150">
        <w:rPr>
          <w:color w:val="000000" w:themeColor="text1"/>
        </w:rPr>
        <w:t xml:space="preserve">. </w:t>
      </w:r>
      <w:r w:rsidRPr="00D14921">
        <w:rPr>
          <w:color w:val="000000" w:themeColor="text1"/>
        </w:rPr>
        <w:t xml:space="preserve">The crystallization sequence assumed in this study is </w:t>
      </w:r>
      <w:r>
        <w:t>identical to the sequence used by Scholpp and Dygert (</w:t>
      </w:r>
      <w:r w:rsidRPr="007561C0">
        <w:rPr>
          <w:i/>
          <w:iCs/>
        </w:rPr>
        <w:t>in review</w:t>
      </w:r>
      <w:r>
        <w:t>).</w:t>
      </w:r>
      <w:r w:rsidRPr="00D14921">
        <w:rPr>
          <w:color w:val="000000" w:themeColor="text1"/>
        </w:rPr>
        <w:t xml:space="preserve"> </w:t>
      </w:r>
      <w:r>
        <w:t xml:space="preserve">This sequence is based on </w:t>
      </w:r>
      <w:r w:rsidRPr="00D14921">
        <w:rPr>
          <w:color w:val="000000" w:themeColor="text1"/>
        </w:rPr>
        <w:t>the experimental results of Charlier et al. (2018)</w:t>
      </w:r>
      <w:r>
        <w:t xml:space="preserve"> and assumes that LMO</w:t>
      </w:r>
      <w:r w:rsidRPr="00D14921">
        <w:rPr>
          <w:color w:val="000000" w:themeColor="text1"/>
        </w:rPr>
        <w:t xml:space="preserve"> solidification occurs in a six-stage progression of fractionating phases. Olivine is the only crystallization phase from </w:t>
      </w:r>
      <m:oMath>
        <m:r>
          <w:rPr>
            <w:rFonts w:ascii="Cambria Math" w:hAnsi="Cambria Math"/>
            <w:color w:val="000000" w:themeColor="text1"/>
          </w:rPr>
          <m:t>F</m:t>
        </m:r>
      </m:oMath>
      <w:r w:rsidRPr="00D14921">
        <w:rPr>
          <w:color w:val="000000" w:themeColor="text1"/>
        </w:rPr>
        <w:t xml:space="preserve"> = 1 to </w:t>
      </w:r>
      <m:oMath>
        <m:r>
          <w:rPr>
            <w:rFonts w:ascii="Cambria Math" w:hAnsi="Cambria Math"/>
            <w:color w:val="000000" w:themeColor="text1"/>
          </w:rPr>
          <m:t>F</m:t>
        </m:r>
      </m:oMath>
      <w:r w:rsidRPr="00D14921">
        <w:rPr>
          <w:color w:val="000000" w:themeColor="text1"/>
        </w:rPr>
        <w:t xml:space="preserve"> = 0.49, Ol and Opx crystallize from </w:t>
      </w:r>
      <m:oMath>
        <m:r>
          <w:rPr>
            <w:rFonts w:ascii="Cambria Math" w:hAnsi="Cambria Math"/>
            <w:color w:val="000000" w:themeColor="text1"/>
          </w:rPr>
          <m:t>F</m:t>
        </m:r>
      </m:oMath>
      <w:r w:rsidRPr="00D14921">
        <w:rPr>
          <w:color w:val="000000" w:themeColor="text1"/>
        </w:rPr>
        <w:t xml:space="preserve"> = 0.49 to </w:t>
      </w:r>
      <m:oMath>
        <m:r>
          <w:rPr>
            <w:rFonts w:ascii="Cambria Math" w:hAnsi="Cambria Math"/>
            <w:color w:val="000000" w:themeColor="text1"/>
          </w:rPr>
          <m:t>F</m:t>
        </m:r>
      </m:oMath>
      <w:r w:rsidRPr="00D14921">
        <w:rPr>
          <w:color w:val="000000" w:themeColor="text1"/>
        </w:rPr>
        <w:t xml:space="preserve"> = 0.22, Ol, Opx, pigeonite (Pig), and Plag crystallize from </w:t>
      </w:r>
      <m:oMath>
        <m:r>
          <w:rPr>
            <w:rFonts w:ascii="Cambria Math" w:hAnsi="Cambria Math"/>
            <w:color w:val="000000" w:themeColor="text1"/>
          </w:rPr>
          <m:t>F</m:t>
        </m:r>
      </m:oMath>
      <w:r w:rsidRPr="00D14921">
        <w:rPr>
          <w:color w:val="000000" w:themeColor="text1"/>
        </w:rPr>
        <w:t xml:space="preserve"> = 0.22 to </w:t>
      </w:r>
      <m:oMath>
        <m:r>
          <w:rPr>
            <w:rFonts w:ascii="Cambria Math" w:hAnsi="Cambria Math"/>
            <w:color w:val="000000" w:themeColor="text1"/>
          </w:rPr>
          <m:t>F</m:t>
        </m:r>
      </m:oMath>
      <w:r w:rsidRPr="00D14921">
        <w:rPr>
          <w:color w:val="000000" w:themeColor="text1"/>
        </w:rPr>
        <w:t xml:space="preserve"> = 0.19, and Cpx (i.e., augite), Pig, and Plag crystallize from </w:t>
      </w:r>
      <m:oMath>
        <m:r>
          <w:rPr>
            <w:rFonts w:ascii="Cambria Math" w:hAnsi="Cambria Math"/>
            <w:color w:val="000000" w:themeColor="text1"/>
          </w:rPr>
          <m:t>F</m:t>
        </m:r>
      </m:oMath>
      <w:r w:rsidRPr="00D14921">
        <w:rPr>
          <w:color w:val="000000" w:themeColor="text1"/>
        </w:rPr>
        <w:t xml:space="preserve"> = 0.19 to </w:t>
      </w:r>
      <m:oMath>
        <m:r>
          <w:rPr>
            <w:rFonts w:ascii="Cambria Math" w:hAnsi="Cambria Math"/>
            <w:color w:val="000000" w:themeColor="text1"/>
          </w:rPr>
          <m:t>F</m:t>
        </m:r>
      </m:oMath>
      <w:r w:rsidRPr="00D14921">
        <w:rPr>
          <w:color w:val="000000" w:themeColor="text1"/>
        </w:rPr>
        <w:t xml:space="preserve"> = 0.05. The last two stages of solidification are assumed to crystallize Cpx, Pig, Plag, and quartz (Qtz) from </w:t>
      </w:r>
      <m:oMath>
        <m:r>
          <w:rPr>
            <w:rFonts w:ascii="Cambria Math" w:hAnsi="Cambria Math"/>
            <w:color w:val="000000" w:themeColor="text1"/>
          </w:rPr>
          <m:t>F</m:t>
        </m:r>
      </m:oMath>
      <w:r w:rsidRPr="00D14921">
        <w:rPr>
          <w:color w:val="000000" w:themeColor="text1"/>
        </w:rPr>
        <w:t xml:space="preserve"> = 0.05 to </w:t>
      </w:r>
      <m:oMath>
        <m:r>
          <w:rPr>
            <w:rFonts w:ascii="Cambria Math" w:hAnsi="Cambria Math"/>
            <w:color w:val="000000" w:themeColor="text1"/>
          </w:rPr>
          <m:t>F</m:t>
        </m:r>
      </m:oMath>
      <w:r w:rsidRPr="00D14921">
        <w:rPr>
          <w:color w:val="000000" w:themeColor="text1"/>
        </w:rPr>
        <w:t xml:space="preserve"> = 0.02, and fayalitic Ol, Cpx, Plag, Qtz, and Ilm crystallize from </w:t>
      </w:r>
      <m:oMath>
        <m:r>
          <w:rPr>
            <w:rFonts w:ascii="Cambria Math" w:hAnsi="Cambria Math"/>
            <w:color w:val="000000" w:themeColor="text1"/>
          </w:rPr>
          <m:t>F</m:t>
        </m:r>
      </m:oMath>
      <w:r w:rsidRPr="00D14921">
        <w:rPr>
          <w:color w:val="000000" w:themeColor="text1"/>
        </w:rPr>
        <w:t xml:space="preserve"> = 0.02 to </w:t>
      </w:r>
      <m:oMath>
        <m:r>
          <w:rPr>
            <w:rFonts w:ascii="Cambria Math" w:hAnsi="Cambria Math"/>
            <w:color w:val="000000" w:themeColor="text1"/>
          </w:rPr>
          <m:t>F</m:t>
        </m:r>
      </m:oMath>
      <w:r w:rsidRPr="00D14921">
        <w:rPr>
          <w:color w:val="000000" w:themeColor="text1"/>
        </w:rPr>
        <w:t xml:space="preserve"> = 0.</w:t>
      </w:r>
      <w:r>
        <w:t xml:space="preserve"> </w:t>
      </w:r>
      <w:r w:rsidRPr="00487150">
        <w:rPr>
          <w:bCs/>
          <w:color w:val="000000" w:themeColor="text1"/>
        </w:rPr>
        <w:t xml:space="preserve">Models from this study also assume 100% quartz floatation and 95% plagioclase floatation during crustal formation based on the REE partitioning models discussed in </w:t>
      </w:r>
      <w:r>
        <w:rPr>
          <w:bCs/>
        </w:rPr>
        <w:t>Scholpp and Dygert (</w:t>
      </w:r>
      <w:r w:rsidRPr="007561C0">
        <w:rPr>
          <w:bCs/>
          <w:i/>
          <w:iCs/>
        </w:rPr>
        <w:t>in review</w:t>
      </w:r>
      <w:r>
        <w:rPr>
          <w:bCs/>
        </w:rPr>
        <w:t>)</w:t>
      </w:r>
      <w:r w:rsidRPr="00487150">
        <w:rPr>
          <w:bCs/>
          <w:color w:val="000000" w:themeColor="text1"/>
        </w:rPr>
        <w:t xml:space="preserve"> (</w:t>
      </w:r>
      <w:r w:rsidRPr="00487150">
        <w:rPr>
          <w:b/>
          <w:color w:val="000000" w:themeColor="text1"/>
        </w:rPr>
        <w:t>Table 3.2</w:t>
      </w:r>
      <w:r w:rsidRPr="00487150">
        <w:rPr>
          <w:bCs/>
          <w:color w:val="000000" w:themeColor="text1"/>
        </w:rPr>
        <w:t>).</w:t>
      </w:r>
      <w:r>
        <w:rPr>
          <w:bCs/>
          <w:color w:val="000000" w:themeColor="text1"/>
        </w:rPr>
        <w:t xml:space="preserve"> </w:t>
      </w:r>
    </w:p>
    <w:p w14:paraId="4FA22674" w14:textId="0F8C4192" w:rsidR="00090DF4" w:rsidRPr="00487150" w:rsidRDefault="00090DF4" w:rsidP="00703945">
      <w:pPr>
        <w:pStyle w:val="Tables"/>
      </w:pPr>
      <w:bookmarkStart w:id="428" w:name="_Toc185263599"/>
      <w:r w:rsidRPr="00487150">
        <w:rPr>
          <w:b/>
          <w:bCs/>
        </w:rPr>
        <w:lastRenderedPageBreak/>
        <w:t>Table 3.2.</w:t>
      </w:r>
      <w:r w:rsidRPr="00487150">
        <w:t xml:space="preserve"> </w:t>
      </w:r>
      <w:r w:rsidR="006A0054" w:rsidRPr="00487150">
        <w:t xml:space="preserve">Phase proportions in LMO cumulates based on </w:t>
      </w:r>
      <w:r w:rsidR="006A0054">
        <w:t>results</w:t>
      </w:r>
      <w:r w:rsidR="006A0054" w:rsidRPr="00487150">
        <w:t xml:space="preserve"> from Charlier et al. (2018), assuming 95% plagioclase and 100% quartz floatation efficiency.</w:t>
      </w:r>
      <w:bookmarkEnd w:id="428"/>
    </w:p>
    <w:tbl>
      <w:tblPr>
        <w:tblW w:w="8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1220"/>
        <w:gridCol w:w="1220"/>
        <w:gridCol w:w="1220"/>
        <w:gridCol w:w="1220"/>
        <w:gridCol w:w="1220"/>
        <w:gridCol w:w="1220"/>
      </w:tblGrid>
      <w:tr w:rsidR="00487150" w:rsidRPr="00487150" w14:paraId="666EB8DE" w14:textId="77777777" w:rsidTr="00090DF4">
        <w:trPr>
          <w:trHeight w:val="340"/>
        </w:trPr>
        <w:tc>
          <w:tcPr>
            <w:tcW w:w="1220" w:type="dxa"/>
            <w:shd w:val="clear" w:color="auto" w:fill="auto"/>
            <w:noWrap/>
            <w:vAlign w:val="center"/>
            <w:hideMark/>
          </w:tcPr>
          <w:p w14:paraId="2670DFCB" w14:textId="77777777" w:rsidR="00090DF4" w:rsidRPr="00487150" w:rsidRDefault="00090DF4">
            <w:pPr>
              <w:jc w:val="center"/>
              <w:rPr>
                <w:color w:val="000000" w:themeColor="text1"/>
              </w:rPr>
            </w:pPr>
            <w:r w:rsidRPr="00487150">
              <w:rPr>
                <w:color w:val="000000" w:themeColor="text1"/>
              </w:rPr>
              <w:t>Phases</w:t>
            </w:r>
          </w:p>
        </w:tc>
        <w:tc>
          <w:tcPr>
            <w:tcW w:w="1220" w:type="dxa"/>
            <w:shd w:val="clear" w:color="auto" w:fill="auto"/>
            <w:noWrap/>
            <w:vAlign w:val="center"/>
            <w:hideMark/>
          </w:tcPr>
          <w:p w14:paraId="534645A9" w14:textId="77777777" w:rsidR="00090DF4" w:rsidRPr="00487150" w:rsidRDefault="00090DF4">
            <w:pPr>
              <w:jc w:val="center"/>
              <w:rPr>
                <w:color w:val="000000" w:themeColor="text1"/>
              </w:rPr>
            </w:pPr>
            <w:r w:rsidRPr="00487150">
              <w:rPr>
                <w:color w:val="000000" w:themeColor="text1"/>
              </w:rPr>
              <w:t>Stage 1</w:t>
            </w:r>
          </w:p>
        </w:tc>
        <w:tc>
          <w:tcPr>
            <w:tcW w:w="1220" w:type="dxa"/>
            <w:shd w:val="clear" w:color="auto" w:fill="auto"/>
            <w:noWrap/>
            <w:vAlign w:val="center"/>
            <w:hideMark/>
          </w:tcPr>
          <w:p w14:paraId="49EB5935" w14:textId="77777777" w:rsidR="00090DF4" w:rsidRPr="00487150" w:rsidRDefault="00090DF4">
            <w:pPr>
              <w:jc w:val="center"/>
              <w:rPr>
                <w:color w:val="000000" w:themeColor="text1"/>
              </w:rPr>
            </w:pPr>
            <w:r w:rsidRPr="00487150">
              <w:rPr>
                <w:color w:val="000000" w:themeColor="text1"/>
              </w:rPr>
              <w:t>Stage 2</w:t>
            </w:r>
          </w:p>
        </w:tc>
        <w:tc>
          <w:tcPr>
            <w:tcW w:w="1220" w:type="dxa"/>
            <w:shd w:val="clear" w:color="auto" w:fill="auto"/>
            <w:noWrap/>
            <w:vAlign w:val="center"/>
            <w:hideMark/>
          </w:tcPr>
          <w:p w14:paraId="64CA26E9" w14:textId="77777777" w:rsidR="00090DF4" w:rsidRPr="00487150" w:rsidRDefault="00090DF4">
            <w:pPr>
              <w:jc w:val="center"/>
              <w:rPr>
                <w:color w:val="000000" w:themeColor="text1"/>
              </w:rPr>
            </w:pPr>
            <w:r w:rsidRPr="00487150">
              <w:rPr>
                <w:color w:val="000000" w:themeColor="text1"/>
              </w:rPr>
              <w:t>Stage 3</w:t>
            </w:r>
          </w:p>
        </w:tc>
        <w:tc>
          <w:tcPr>
            <w:tcW w:w="1220" w:type="dxa"/>
            <w:shd w:val="clear" w:color="auto" w:fill="auto"/>
            <w:noWrap/>
            <w:vAlign w:val="center"/>
            <w:hideMark/>
          </w:tcPr>
          <w:p w14:paraId="3A439E9F" w14:textId="77777777" w:rsidR="00090DF4" w:rsidRPr="00487150" w:rsidRDefault="00090DF4">
            <w:pPr>
              <w:jc w:val="center"/>
              <w:rPr>
                <w:color w:val="000000" w:themeColor="text1"/>
              </w:rPr>
            </w:pPr>
            <w:r w:rsidRPr="00487150">
              <w:rPr>
                <w:color w:val="000000" w:themeColor="text1"/>
              </w:rPr>
              <w:t>Stage 4</w:t>
            </w:r>
          </w:p>
        </w:tc>
        <w:tc>
          <w:tcPr>
            <w:tcW w:w="1220" w:type="dxa"/>
            <w:shd w:val="clear" w:color="auto" w:fill="auto"/>
            <w:noWrap/>
            <w:vAlign w:val="center"/>
            <w:hideMark/>
          </w:tcPr>
          <w:p w14:paraId="4F291BC4" w14:textId="77777777" w:rsidR="00090DF4" w:rsidRPr="00487150" w:rsidRDefault="00090DF4">
            <w:pPr>
              <w:jc w:val="center"/>
              <w:rPr>
                <w:color w:val="000000" w:themeColor="text1"/>
              </w:rPr>
            </w:pPr>
            <w:r w:rsidRPr="00487150">
              <w:rPr>
                <w:color w:val="000000" w:themeColor="text1"/>
              </w:rPr>
              <w:t>Stage 5</w:t>
            </w:r>
          </w:p>
        </w:tc>
        <w:tc>
          <w:tcPr>
            <w:tcW w:w="1220" w:type="dxa"/>
            <w:shd w:val="clear" w:color="auto" w:fill="auto"/>
            <w:noWrap/>
            <w:vAlign w:val="center"/>
            <w:hideMark/>
          </w:tcPr>
          <w:p w14:paraId="771B1E85" w14:textId="77777777" w:rsidR="00090DF4" w:rsidRPr="00487150" w:rsidRDefault="00090DF4">
            <w:pPr>
              <w:jc w:val="center"/>
              <w:rPr>
                <w:color w:val="000000" w:themeColor="text1"/>
              </w:rPr>
            </w:pPr>
            <w:r w:rsidRPr="00487150">
              <w:rPr>
                <w:color w:val="000000" w:themeColor="text1"/>
              </w:rPr>
              <w:t>Stage 6</w:t>
            </w:r>
          </w:p>
        </w:tc>
      </w:tr>
      <w:tr w:rsidR="00487150" w:rsidRPr="00487150" w14:paraId="52898242" w14:textId="77777777" w:rsidTr="00090DF4">
        <w:trPr>
          <w:trHeight w:val="320"/>
        </w:trPr>
        <w:tc>
          <w:tcPr>
            <w:tcW w:w="1220" w:type="dxa"/>
            <w:shd w:val="clear" w:color="auto" w:fill="auto"/>
            <w:noWrap/>
            <w:vAlign w:val="center"/>
            <w:hideMark/>
          </w:tcPr>
          <w:p w14:paraId="40B713DC" w14:textId="77777777" w:rsidR="00090DF4" w:rsidRPr="00487150" w:rsidRDefault="00090DF4">
            <w:pPr>
              <w:jc w:val="center"/>
              <w:rPr>
                <w:color w:val="000000" w:themeColor="text1"/>
              </w:rPr>
            </w:pPr>
            <w:r w:rsidRPr="00487150">
              <w:rPr>
                <w:color w:val="000000" w:themeColor="text1"/>
              </w:rPr>
              <w:t>Ol</w:t>
            </w:r>
          </w:p>
        </w:tc>
        <w:tc>
          <w:tcPr>
            <w:tcW w:w="1220" w:type="dxa"/>
            <w:shd w:val="clear" w:color="auto" w:fill="auto"/>
            <w:noWrap/>
            <w:vAlign w:val="center"/>
            <w:hideMark/>
          </w:tcPr>
          <w:p w14:paraId="4A81B863" w14:textId="77777777" w:rsidR="00090DF4" w:rsidRPr="00487150" w:rsidRDefault="00090DF4">
            <w:pPr>
              <w:jc w:val="center"/>
              <w:rPr>
                <w:color w:val="000000" w:themeColor="text1"/>
              </w:rPr>
            </w:pPr>
            <w:r w:rsidRPr="00487150">
              <w:rPr>
                <w:color w:val="000000" w:themeColor="text1"/>
              </w:rPr>
              <w:t>0.990</w:t>
            </w:r>
          </w:p>
        </w:tc>
        <w:tc>
          <w:tcPr>
            <w:tcW w:w="1220" w:type="dxa"/>
            <w:shd w:val="clear" w:color="auto" w:fill="auto"/>
            <w:noWrap/>
            <w:vAlign w:val="center"/>
            <w:hideMark/>
          </w:tcPr>
          <w:p w14:paraId="6D8B8328" w14:textId="77777777" w:rsidR="00090DF4" w:rsidRPr="00487150" w:rsidRDefault="00090DF4">
            <w:pPr>
              <w:jc w:val="center"/>
              <w:rPr>
                <w:color w:val="000000" w:themeColor="text1"/>
              </w:rPr>
            </w:pPr>
            <w:r w:rsidRPr="00487150">
              <w:rPr>
                <w:color w:val="000000" w:themeColor="text1"/>
              </w:rPr>
              <w:t>0.099</w:t>
            </w:r>
          </w:p>
        </w:tc>
        <w:tc>
          <w:tcPr>
            <w:tcW w:w="1220" w:type="dxa"/>
            <w:shd w:val="clear" w:color="auto" w:fill="auto"/>
            <w:noWrap/>
            <w:vAlign w:val="center"/>
            <w:hideMark/>
          </w:tcPr>
          <w:p w14:paraId="1C338387" w14:textId="77777777" w:rsidR="00090DF4" w:rsidRPr="00487150" w:rsidRDefault="00090DF4">
            <w:pPr>
              <w:jc w:val="center"/>
              <w:rPr>
                <w:color w:val="000000" w:themeColor="text1"/>
              </w:rPr>
            </w:pPr>
            <w:r w:rsidRPr="00487150">
              <w:rPr>
                <w:color w:val="000000" w:themeColor="text1"/>
              </w:rPr>
              <w:t>0.094</w:t>
            </w:r>
          </w:p>
        </w:tc>
        <w:tc>
          <w:tcPr>
            <w:tcW w:w="1220" w:type="dxa"/>
            <w:shd w:val="clear" w:color="auto" w:fill="auto"/>
            <w:noWrap/>
            <w:vAlign w:val="center"/>
            <w:hideMark/>
          </w:tcPr>
          <w:p w14:paraId="7F499E64"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464E660D"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bottom"/>
            <w:hideMark/>
          </w:tcPr>
          <w:p w14:paraId="48ADE726" w14:textId="77777777" w:rsidR="00090DF4" w:rsidRPr="00487150" w:rsidRDefault="00090DF4">
            <w:pPr>
              <w:jc w:val="center"/>
              <w:rPr>
                <w:color w:val="000000" w:themeColor="text1"/>
              </w:rPr>
            </w:pPr>
            <w:r w:rsidRPr="00487150">
              <w:rPr>
                <w:color w:val="000000" w:themeColor="text1"/>
              </w:rPr>
              <w:t>0.395</w:t>
            </w:r>
          </w:p>
        </w:tc>
      </w:tr>
      <w:tr w:rsidR="00487150" w:rsidRPr="00487150" w14:paraId="341DAD99" w14:textId="77777777" w:rsidTr="00090DF4">
        <w:trPr>
          <w:trHeight w:val="320"/>
        </w:trPr>
        <w:tc>
          <w:tcPr>
            <w:tcW w:w="1220" w:type="dxa"/>
            <w:shd w:val="clear" w:color="auto" w:fill="auto"/>
            <w:noWrap/>
            <w:vAlign w:val="center"/>
            <w:hideMark/>
          </w:tcPr>
          <w:p w14:paraId="0056F592" w14:textId="77777777" w:rsidR="00090DF4" w:rsidRPr="00487150" w:rsidRDefault="00090DF4">
            <w:pPr>
              <w:jc w:val="center"/>
              <w:rPr>
                <w:color w:val="000000" w:themeColor="text1"/>
              </w:rPr>
            </w:pPr>
            <w:r w:rsidRPr="00487150">
              <w:rPr>
                <w:color w:val="000000" w:themeColor="text1"/>
              </w:rPr>
              <w:t>Opx</w:t>
            </w:r>
          </w:p>
        </w:tc>
        <w:tc>
          <w:tcPr>
            <w:tcW w:w="1220" w:type="dxa"/>
            <w:shd w:val="clear" w:color="auto" w:fill="auto"/>
            <w:noWrap/>
            <w:vAlign w:val="center"/>
            <w:hideMark/>
          </w:tcPr>
          <w:p w14:paraId="2317A27B"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5CC10440" w14:textId="77777777" w:rsidR="00090DF4" w:rsidRPr="00487150" w:rsidRDefault="00090DF4">
            <w:pPr>
              <w:jc w:val="center"/>
              <w:rPr>
                <w:color w:val="000000" w:themeColor="text1"/>
              </w:rPr>
            </w:pPr>
            <w:r w:rsidRPr="00487150">
              <w:rPr>
                <w:color w:val="000000" w:themeColor="text1"/>
              </w:rPr>
              <w:t>0.891</w:t>
            </w:r>
          </w:p>
        </w:tc>
        <w:tc>
          <w:tcPr>
            <w:tcW w:w="1220" w:type="dxa"/>
            <w:shd w:val="clear" w:color="auto" w:fill="auto"/>
            <w:noWrap/>
            <w:vAlign w:val="center"/>
            <w:hideMark/>
          </w:tcPr>
          <w:p w14:paraId="73CD02FC" w14:textId="77777777" w:rsidR="00090DF4" w:rsidRPr="00487150" w:rsidRDefault="00090DF4">
            <w:pPr>
              <w:jc w:val="center"/>
              <w:rPr>
                <w:color w:val="000000" w:themeColor="text1"/>
              </w:rPr>
            </w:pPr>
            <w:r w:rsidRPr="00487150">
              <w:rPr>
                <w:color w:val="000000" w:themeColor="text1"/>
              </w:rPr>
              <w:t>0.377</w:t>
            </w:r>
          </w:p>
        </w:tc>
        <w:tc>
          <w:tcPr>
            <w:tcW w:w="1220" w:type="dxa"/>
            <w:shd w:val="clear" w:color="auto" w:fill="auto"/>
            <w:noWrap/>
            <w:vAlign w:val="center"/>
            <w:hideMark/>
          </w:tcPr>
          <w:p w14:paraId="1AF8616E"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45BE7162"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bottom"/>
            <w:hideMark/>
          </w:tcPr>
          <w:p w14:paraId="36108DD3" w14:textId="77777777" w:rsidR="00090DF4" w:rsidRPr="00487150" w:rsidRDefault="00090DF4">
            <w:pPr>
              <w:jc w:val="center"/>
              <w:rPr>
                <w:color w:val="000000" w:themeColor="text1"/>
              </w:rPr>
            </w:pPr>
            <w:r w:rsidRPr="00487150">
              <w:rPr>
                <w:color w:val="000000" w:themeColor="text1"/>
              </w:rPr>
              <w:t>0.000</w:t>
            </w:r>
          </w:p>
        </w:tc>
      </w:tr>
      <w:tr w:rsidR="00487150" w:rsidRPr="00487150" w14:paraId="0ECF4A17" w14:textId="77777777" w:rsidTr="00090DF4">
        <w:trPr>
          <w:trHeight w:val="320"/>
        </w:trPr>
        <w:tc>
          <w:tcPr>
            <w:tcW w:w="1220" w:type="dxa"/>
            <w:shd w:val="clear" w:color="auto" w:fill="auto"/>
            <w:noWrap/>
            <w:vAlign w:val="center"/>
            <w:hideMark/>
          </w:tcPr>
          <w:p w14:paraId="7199872B" w14:textId="77777777" w:rsidR="00090DF4" w:rsidRPr="00487150" w:rsidRDefault="00090DF4">
            <w:pPr>
              <w:jc w:val="center"/>
              <w:rPr>
                <w:color w:val="000000" w:themeColor="text1"/>
              </w:rPr>
            </w:pPr>
            <w:r w:rsidRPr="00487150">
              <w:rPr>
                <w:color w:val="000000" w:themeColor="text1"/>
              </w:rPr>
              <w:t>Cpx</w:t>
            </w:r>
          </w:p>
        </w:tc>
        <w:tc>
          <w:tcPr>
            <w:tcW w:w="1220" w:type="dxa"/>
            <w:shd w:val="clear" w:color="auto" w:fill="auto"/>
            <w:noWrap/>
            <w:vAlign w:val="center"/>
            <w:hideMark/>
          </w:tcPr>
          <w:p w14:paraId="29E36C7E"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14C5D898"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05130940"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4656A169" w14:textId="77777777" w:rsidR="00090DF4" w:rsidRPr="00487150" w:rsidRDefault="00090DF4">
            <w:pPr>
              <w:jc w:val="center"/>
              <w:rPr>
                <w:color w:val="000000" w:themeColor="text1"/>
              </w:rPr>
            </w:pPr>
            <w:r w:rsidRPr="00487150">
              <w:rPr>
                <w:color w:val="000000" w:themeColor="text1"/>
              </w:rPr>
              <w:t>0.364</w:t>
            </w:r>
          </w:p>
        </w:tc>
        <w:tc>
          <w:tcPr>
            <w:tcW w:w="1220" w:type="dxa"/>
            <w:shd w:val="clear" w:color="auto" w:fill="auto"/>
            <w:noWrap/>
            <w:vAlign w:val="center"/>
            <w:hideMark/>
          </w:tcPr>
          <w:p w14:paraId="047B05BA" w14:textId="77777777" w:rsidR="00090DF4" w:rsidRPr="00487150" w:rsidRDefault="00090DF4">
            <w:pPr>
              <w:jc w:val="center"/>
              <w:rPr>
                <w:color w:val="000000" w:themeColor="text1"/>
              </w:rPr>
            </w:pPr>
            <w:r w:rsidRPr="00487150">
              <w:rPr>
                <w:color w:val="000000" w:themeColor="text1"/>
              </w:rPr>
              <w:t>0.419</w:t>
            </w:r>
          </w:p>
        </w:tc>
        <w:tc>
          <w:tcPr>
            <w:tcW w:w="1220" w:type="dxa"/>
            <w:shd w:val="clear" w:color="auto" w:fill="auto"/>
            <w:noWrap/>
            <w:vAlign w:val="bottom"/>
            <w:hideMark/>
          </w:tcPr>
          <w:p w14:paraId="7E97561B" w14:textId="77777777" w:rsidR="00090DF4" w:rsidRPr="00487150" w:rsidRDefault="00090DF4">
            <w:pPr>
              <w:jc w:val="center"/>
              <w:rPr>
                <w:color w:val="000000" w:themeColor="text1"/>
              </w:rPr>
            </w:pPr>
            <w:r w:rsidRPr="00487150">
              <w:rPr>
                <w:color w:val="000000" w:themeColor="text1"/>
              </w:rPr>
              <w:t>0.316</w:t>
            </w:r>
          </w:p>
        </w:tc>
      </w:tr>
      <w:tr w:rsidR="00487150" w:rsidRPr="00487150" w14:paraId="5542BE1C" w14:textId="77777777" w:rsidTr="00090DF4">
        <w:trPr>
          <w:trHeight w:val="320"/>
        </w:trPr>
        <w:tc>
          <w:tcPr>
            <w:tcW w:w="1220" w:type="dxa"/>
            <w:shd w:val="clear" w:color="auto" w:fill="auto"/>
            <w:noWrap/>
            <w:vAlign w:val="center"/>
            <w:hideMark/>
          </w:tcPr>
          <w:p w14:paraId="415A06A2" w14:textId="77777777" w:rsidR="00090DF4" w:rsidRPr="00487150" w:rsidRDefault="00090DF4">
            <w:pPr>
              <w:jc w:val="center"/>
              <w:rPr>
                <w:color w:val="000000" w:themeColor="text1"/>
              </w:rPr>
            </w:pPr>
            <w:r w:rsidRPr="00487150">
              <w:rPr>
                <w:color w:val="000000" w:themeColor="text1"/>
              </w:rPr>
              <w:t>Pig</w:t>
            </w:r>
          </w:p>
        </w:tc>
        <w:tc>
          <w:tcPr>
            <w:tcW w:w="1220" w:type="dxa"/>
            <w:shd w:val="clear" w:color="auto" w:fill="auto"/>
            <w:noWrap/>
            <w:vAlign w:val="center"/>
            <w:hideMark/>
          </w:tcPr>
          <w:p w14:paraId="35BD4A1F"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39D155DD"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2ED7C784" w14:textId="77777777" w:rsidR="00090DF4" w:rsidRPr="00487150" w:rsidRDefault="00090DF4">
            <w:pPr>
              <w:jc w:val="center"/>
              <w:rPr>
                <w:color w:val="000000" w:themeColor="text1"/>
              </w:rPr>
            </w:pPr>
            <w:r w:rsidRPr="00487150">
              <w:rPr>
                <w:color w:val="000000" w:themeColor="text1"/>
              </w:rPr>
              <w:t>0.472</w:t>
            </w:r>
          </w:p>
        </w:tc>
        <w:tc>
          <w:tcPr>
            <w:tcW w:w="1220" w:type="dxa"/>
            <w:shd w:val="clear" w:color="auto" w:fill="auto"/>
            <w:noWrap/>
            <w:vAlign w:val="center"/>
            <w:hideMark/>
          </w:tcPr>
          <w:p w14:paraId="270DF0B1" w14:textId="77777777" w:rsidR="00090DF4" w:rsidRPr="00487150" w:rsidRDefault="00090DF4">
            <w:pPr>
              <w:jc w:val="center"/>
              <w:rPr>
                <w:color w:val="000000" w:themeColor="text1"/>
              </w:rPr>
            </w:pPr>
            <w:r w:rsidRPr="00487150">
              <w:rPr>
                <w:color w:val="000000" w:themeColor="text1"/>
              </w:rPr>
              <w:t>0.583</w:t>
            </w:r>
          </w:p>
        </w:tc>
        <w:tc>
          <w:tcPr>
            <w:tcW w:w="1220" w:type="dxa"/>
            <w:shd w:val="clear" w:color="auto" w:fill="auto"/>
            <w:noWrap/>
            <w:vAlign w:val="center"/>
            <w:hideMark/>
          </w:tcPr>
          <w:p w14:paraId="5CD772B1" w14:textId="77777777" w:rsidR="00090DF4" w:rsidRPr="00487150" w:rsidRDefault="00090DF4">
            <w:pPr>
              <w:jc w:val="center"/>
              <w:rPr>
                <w:color w:val="000000" w:themeColor="text1"/>
              </w:rPr>
            </w:pPr>
            <w:r w:rsidRPr="00487150">
              <w:rPr>
                <w:color w:val="000000" w:themeColor="text1"/>
              </w:rPr>
              <w:t>0.524</w:t>
            </w:r>
          </w:p>
        </w:tc>
        <w:tc>
          <w:tcPr>
            <w:tcW w:w="1220" w:type="dxa"/>
            <w:shd w:val="clear" w:color="auto" w:fill="auto"/>
            <w:noWrap/>
            <w:vAlign w:val="bottom"/>
            <w:hideMark/>
          </w:tcPr>
          <w:p w14:paraId="5057D993" w14:textId="77777777" w:rsidR="00090DF4" w:rsidRPr="00487150" w:rsidRDefault="00090DF4">
            <w:pPr>
              <w:jc w:val="center"/>
              <w:rPr>
                <w:color w:val="000000" w:themeColor="text1"/>
              </w:rPr>
            </w:pPr>
            <w:r w:rsidRPr="00487150">
              <w:rPr>
                <w:color w:val="000000" w:themeColor="text1"/>
              </w:rPr>
              <w:t>0.000</w:t>
            </w:r>
          </w:p>
        </w:tc>
      </w:tr>
      <w:tr w:rsidR="00487150" w:rsidRPr="00487150" w14:paraId="4D4BC7AB" w14:textId="77777777" w:rsidTr="00090DF4">
        <w:trPr>
          <w:trHeight w:val="320"/>
        </w:trPr>
        <w:tc>
          <w:tcPr>
            <w:tcW w:w="1220" w:type="dxa"/>
            <w:shd w:val="clear" w:color="auto" w:fill="auto"/>
            <w:noWrap/>
            <w:vAlign w:val="center"/>
            <w:hideMark/>
          </w:tcPr>
          <w:p w14:paraId="7C840C9D" w14:textId="77777777" w:rsidR="00090DF4" w:rsidRPr="00487150" w:rsidRDefault="00090DF4">
            <w:pPr>
              <w:jc w:val="center"/>
              <w:rPr>
                <w:color w:val="000000" w:themeColor="text1"/>
              </w:rPr>
            </w:pPr>
            <w:r w:rsidRPr="00487150">
              <w:rPr>
                <w:color w:val="000000" w:themeColor="text1"/>
              </w:rPr>
              <w:t>Plag</w:t>
            </w:r>
          </w:p>
        </w:tc>
        <w:tc>
          <w:tcPr>
            <w:tcW w:w="1220" w:type="dxa"/>
            <w:shd w:val="clear" w:color="auto" w:fill="auto"/>
            <w:noWrap/>
            <w:vAlign w:val="center"/>
            <w:hideMark/>
          </w:tcPr>
          <w:p w14:paraId="70E4D812"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16422041"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01DC1EE1" w14:textId="77777777" w:rsidR="00090DF4" w:rsidRPr="00487150" w:rsidRDefault="00090DF4">
            <w:pPr>
              <w:jc w:val="center"/>
              <w:rPr>
                <w:color w:val="000000" w:themeColor="text1"/>
              </w:rPr>
            </w:pPr>
            <w:r w:rsidRPr="00487150">
              <w:rPr>
                <w:color w:val="000000" w:themeColor="text1"/>
              </w:rPr>
              <w:t>0.047</w:t>
            </w:r>
          </w:p>
        </w:tc>
        <w:tc>
          <w:tcPr>
            <w:tcW w:w="1220" w:type="dxa"/>
            <w:shd w:val="clear" w:color="auto" w:fill="auto"/>
            <w:noWrap/>
            <w:vAlign w:val="center"/>
            <w:hideMark/>
          </w:tcPr>
          <w:p w14:paraId="7499593A" w14:textId="77777777" w:rsidR="00090DF4" w:rsidRPr="00487150" w:rsidRDefault="00090DF4">
            <w:pPr>
              <w:jc w:val="center"/>
              <w:rPr>
                <w:color w:val="000000" w:themeColor="text1"/>
              </w:rPr>
            </w:pPr>
            <w:r w:rsidRPr="00487150">
              <w:rPr>
                <w:color w:val="000000" w:themeColor="text1"/>
              </w:rPr>
              <w:t>0.043</w:t>
            </w:r>
          </w:p>
        </w:tc>
        <w:tc>
          <w:tcPr>
            <w:tcW w:w="1220" w:type="dxa"/>
            <w:shd w:val="clear" w:color="auto" w:fill="auto"/>
            <w:noWrap/>
            <w:vAlign w:val="center"/>
            <w:hideMark/>
          </w:tcPr>
          <w:p w14:paraId="3A010ED1" w14:textId="77777777" w:rsidR="00090DF4" w:rsidRPr="00487150" w:rsidRDefault="00090DF4">
            <w:pPr>
              <w:jc w:val="center"/>
              <w:rPr>
                <w:color w:val="000000" w:themeColor="text1"/>
              </w:rPr>
            </w:pPr>
            <w:r w:rsidRPr="00487150">
              <w:rPr>
                <w:color w:val="000000" w:themeColor="text1"/>
              </w:rPr>
              <w:t>0.047</w:t>
            </w:r>
          </w:p>
        </w:tc>
        <w:tc>
          <w:tcPr>
            <w:tcW w:w="1220" w:type="dxa"/>
            <w:shd w:val="clear" w:color="auto" w:fill="auto"/>
            <w:noWrap/>
            <w:vAlign w:val="bottom"/>
            <w:hideMark/>
          </w:tcPr>
          <w:p w14:paraId="55A2455C" w14:textId="77777777" w:rsidR="00090DF4" w:rsidRPr="00487150" w:rsidRDefault="00090DF4">
            <w:pPr>
              <w:jc w:val="center"/>
              <w:rPr>
                <w:color w:val="000000" w:themeColor="text1"/>
              </w:rPr>
            </w:pPr>
            <w:r w:rsidRPr="00487150">
              <w:rPr>
                <w:color w:val="000000" w:themeColor="text1"/>
              </w:rPr>
              <w:t>0.041</w:t>
            </w:r>
          </w:p>
        </w:tc>
      </w:tr>
      <w:tr w:rsidR="00487150" w:rsidRPr="00487150" w14:paraId="59072833" w14:textId="77777777" w:rsidTr="00090DF4">
        <w:trPr>
          <w:trHeight w:val="320"/>
        </w:trPr>
        <w:tc>
          <w:tcPr>
            <w:tcW w:w="1220" w:type="dxa"/>
            <w:shd w:val="clear" w:color="auto" w:fill="auto"/>
            <w:noWrap/>
            <w:vAlign w:val="center"/>
            <w:hideMark/>
          </w:tcPr>
          <w:p w14:paraId="6F37BE84" w14:textId="77777777" w:rsidR="00090DF4" w:rsidRPr="00487150" w:rsidRDefault="00090DF4">
            <w:pPr>
              <w:jc w:val="center"/>
              <w:rPr>
                <w:color w:val="000000" w:themeColor="text1"/>
              </w:rPr>
            </w:pPr>
            <w:r w:rsidRPr="00487150">
              <w:rPr>
                <w:color w:val="000000" w:themeColor="text1"/>
              </w:rPr>
              <w:t>Qtz</w:t>
            </w:r>
          </w:p>
        </w:tc>
        <w:tc>
          <w:tcPr>
            <w:tcW w:w="1220" w:type="dxa"/>
            <w:shd w:val="clear" w:color="auto" w:fill="auto"/>
            <w:noWrap/>
            <w:vAlign w:val="bottom"/>
            <w:hideMark/>
          </w:tcPr>
          <w:p w14:paraId="4894AE29"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bottom"/>
            <w:hideMark/>
          </w:tcPr>
          <w:p w14:paraId="0AEA3D6E"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bottom"/>
            <w:hideMark/>
          </w:tcPr>
          <w:p w14:paraId="574352F7"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bottom"/>
            <w:hideMark/>
          </w:tcPr>
          <w:p w14:paraId="4CD2BBCD"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bottom"/>
            <w:hideMark/>
          </w:tcPr>
          <w:p w14:paraId="4B7B7ACB"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bottom"/>
            <w:hideMark/>
          </w:tcPr>
          <w:p w14:paraId="5B2296FC" w14:textId="77777777" w:rsidR="00090DF4" w:rsidRPr="00487150" w:rsidRDefault="00090DF4">
            <w:pPr>
              <w:jc w:val="center"/>
              <w:rPr>
                <w:color w:val="000000" w:themeColor="text1"/>
              </w:rPr>
            </w:pPr>
            <w:r w:rsidRPr="00487150">
              <w:rPr>
                <w:color w:val="000000" w:themeColor="text1"/>
              </w:rPr>
              <w:t>0.237</w:t>
            </w:r>
          </w:p>
        </w:tc>
      </w:tr>
      <w:tr w:rsidR="00487150" w:rsidRPr="00487150" w14:paraId="3078D25E" w14:textId="77777777" w:rsidTr="00090DF4">
        <w:trPr>
          <w:trHeight w:val="320"/>
        </w:trPr>
        <w:tc>
          <w:tcPr>
            <w:tcW w:w="1220" w:type="dxa"/>
            <w:shd w:val="clear" w:color="auto" w:fill="auto"/>
            <w:noWrap/>
            <w:vAlign w:val="center"/>
            <w:hideMark/>
          </w:tcPr>
          <w:p w14:paraId="029E0087" w14:textId="77777777" w:rsidR="00090DF4" w:rsidRPr="00487150" w:rsidRDefault="00090DF4">
            <w:pPr>
              <w:jc w:val="center"/>
              <w:rPr>
                <w:color w:val="000000" w:themeColor="text1"/>
              </w:rPr>
            </w:pPr>
            <w:r w:rsidRPr="00487150">
              <w:rPr>
                <w:color w:val="000000" w:themeColor="text1"/>
              </w:rPr>
              <w:t>Ilm</w:t>
            </w:r>
          </w:p>
        </w:tc>
        <w:tc>
          <w:tcPr>
            <w:tcW w:w="1220" w:type="dxa"/>
            <w:shd w:val="clear" w:color="auto" w:fill="auto"/>
            <w:noWrap/>
            <w:vAlign w:val="center"/>
            <w:hideMark/>
          </w:tcPr>
          <w:p w14:paraId="0286DFE9"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0B48AF36"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7E76729D"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2117FEF8"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center"/>
            <w:hideMark/>
          </w:tcPr>
          <w:p w14:paraId="309D4331" w14:textId="77777777" w:rsidR="00090DF4" w:rsidRPr="00487150" w:rsidRDefault="00090DF4">
            <w:pPr>
              <w:jc w:val="center"/>
              <w:rPr>
                <w:color w:val="000000" w:themeColor="text1"/>
              </w:rPr>
            </w:pPr>
            <w:r w:rsidRPr="00487150">
              <w:rPr>
                <w:color w:val="000000" w:themeColor="text1"/>
              </w:rPr>
              <w:t>0.000</w:t>
            </w:r>
          </w:p>
        </w:tc>
        <w:tc>
          <w:tcPr>
            <w:tcW w:w="1220" w:type="dxa"/>
            <w:shd w:val="clear" w:color="auto" w:fill="auto"/>
            <w:noWrap/>
            <w:vAlign w:val="bottom"/>
            <w:hideMark/>
          </w:tcPr>
          <w:p w14:paraId="1C277323" w14:textId="77777777" w:rsidR="00090DF4" w:rsidRPr="00487150" w:rsidRDefault="00090DF4">
            <w:pPr>
              <w:jc w:val="center"/>
              <w:rPr>
                <w:color w:val="000000" w:themeColor="text1"/>
              </w:rPr>
            </w:pPr>
            <w:r w:rsidRPr="00487150">
              <w:rPr>
                <w:color w:val="000000" w:themeColor="text1"/>
              </w:rPr>
              <w:t>0.000</w:t>
            </w:r>
          </w:p>
        </w:tc>
      </w:tr>
      <w:tr w:rsidR="00487150" w:rsidRPr="00487150" w14:paraId="112F3050" w14:textId="77777777" w:rsidTr="00090DF4">
        <w:trPr>
          <w:trHeight w:val="340"/>
        </w:trPr>
        <w:tc>
          <w:tcPr>
            <w:tcW w:w="1220" w:type="dxa"/>
            <w:shd w:val="clear" w:color="auto" w:fill="auto"/>
            <w:noWrap/>
            <w:vAlign w:val="center"/>
            <w:hideMark/>
          </w:tcPr>
          <w:p w14:paraId="262B3305" w14:textId="77777777" w:rsidR="00090DF4" w:rsidRPr="00487150" w:rsidRDefault="00090DF4">
            <w:pPr>
              <w:jc w:val="center"/>
              <w:rPr>
                <w:color w:val="000000" w:themeColor="text1"/>
              </w:rPr>
            </w:pPr>
            <w:r w:rsidRPr="00487150">
              <w:rPr>
                <w:color w:val="000000" w:themeColor="text1"/>
              </w:rPr>
              <w:t>Melt</w:t>
            </w:r>
          </w:p>
        </w:tc>
        <w:tc>
          <w:tcPr>
            <w:tcW w:w="1220" w:type="dxa"/>
            <w:shd w:val="clear" w:color="auto" w:fill="auto"/>
            <w:noWrap/>
            <w:vAlign w:val="center"/>
            <w:hideMark/>
          </w:tcPr>
          <w:p w14:paraId="62511C9C" w14:textId="77777777" w:rsidR="00090DF4" w:rsidRPr="00487150" w:rsidRDefault="00090DF4">
            <w:pPr>
              <w:jc w:val="center"/>
              <w:rPr>
                <w:color w:val="000000" w:themeColor="text1"/>
              </w:rPr>
            </w:pPr>
            <w:r w:rsidRPr="00487150">
              <w:rPr>
                <w:color w:val="000000" w:themeColor="text1"/>
              </w:rPr>
              <w:t>0.010</w:t>
            </w:r>
          </w:p>
        </w:tc>
        <w:tc>
          <w:tcPr>
            <w:tcW w:w="1220" w:type="dxa"/>
            <w:shd w:val="clear" w:color="auto" w:fill="auto"/>
            <w:noWrap/>
            <w:vAlign w:val="center"/>
            <w:hideMark/>
          </w:tcPr>
          <w:p w14:paraId="5CC365AF" w14:textId="77777777" w:rsidR="00090DF4" w:rsidRPr="00487150" w:rsidRDefault="00090DF4">
            <w:pPr>
              <w:jc w:val="center"/>
              <w:rPr>
                <w:color w:val="000000" w:themeColor="text1"/>
              </w:rPr>
            </w:pPr>
            <w:r w:rsidRPr="00487150">
              <w:rPr>
                <w:color w:val="000000" w:themeColor="text1"/>
              </w:rPr>
              <w:t>0.010</w:t>
            </w:r>
          </w:p>
        </w:tc>
        <w:tc>
          <w:tcPr>
            <w:tcW w:w="1220" w:type="dxa"/>
            <w:shd w:val="clear" w:color="auto" w:fill="auto"/>
            <w:noWrap/>
            <w:vAlign w:val="center"/>
            <w:hideMark/>
          </w:tcPr>
          <w:p w14:paraId="4F20E2AF" w14:textId="77777777" w:rsidR="00090DF4" w:rsidRPr="00487150" w:rsidRDefault="00090DF4">
            <w:pPr>
              <w:jc w:val="center"/>
              <w:rPr>
                <w:color w:val="000000" w:themeColor="text1"/>
              </w:rPr>
            </w:pPr>
            <w:r w:rsidRPr="00487150">
              <w:rPr>
                <w:color w:val="000000" w:themeColor="text1"/>
              </w:rPr>
              <w:t>0.010</w:t>
            </w:r>
          </w:p>
        </w:tc>
        <w:tc>
          <w:tcPr>
            <w:tcW w:w="1220" w:type="dxa"/>
            <w:shd w:val="clear" w:color="auto" w:fill="auto"/>
            <w:noWrap/>
            <w:vAlign w:val="center"/>
            <w:hideMark/>
          </w:tcPr>
          <w:p w14:paraId="3BA533EF" w14:textId="77777777" w:rsidR="00090DF4" w:rsidRPr="00487150" w:rsidRDefault="00090DF4">
            <w:pPr>
              <w:jc w:val="center"/>
              <w:rPr>
                <w:color w:val="000000" w:themeColor="text1"/>
              </w:rPr>
            </w:pPr>
            <w:r w:rsidRPr="00487150">
              <w:rPr>
                <w:color w:val="000000" w:themeColor="text1"/>
              </w:rPr>
              <w:t>0.010</w:t>
            </w:r>
          </w:p>
        </w:tc>
        <w:tc>
          <w:tcPr>
            <w:tcW w:w="1220" w:type="dxa"/>
            <w:shd w:val="clear" w:color="auto" w:fill="auto"/>
            <w:noWrap/>
            <w:vAlign w:val="center"/>
            <w:hideMark/>
          </w:tcPr>
          <w:p w14:paraId="4BC621EE" w14:textId="77777777" w:rsidR="00090DF4" w:rsidRPr="00487150" w:rsidRDefault="00090DF4">
            <w:pPr>
              <w:jc w:val="center"/>
              <w:rPr>
                <w:color w:val="000000" w:themeColor="text1"/>
              </w:rPr>
            </w:pPr>
            <w:r w:rsidRPr="00487150">
              <w:rPr>
                <w:color w:val="000000" w:themeColor="text1"/>
              </w:rPr>
              <w:t>0.010</w:t>
            </w:r>
          </w:p>
        </w:tc>
        <w:tc>
          <w:tcPr>
            <w:tcW w:w="1220" w:type="dxa"/>
            <w:shd w:val="clear" w:color="auto" w:fill="auto"/>
            <w:noWrap/>
            <w:vAlign w:val="bottom"/>
            <w:hideMark/>
          </w:tcPr>
          <w:p w14:paraId="0B107397" w14:textId="77777777" w:rsidR="00090DF4" w:rsidRPr="00487150" w:rsidRDefault="00090DF4">
            <w:pPr>
              <w:jc w:val="center"/>
              <w:rPr>
                <w:color w:val="000000" w:themeColor="text1"/>
              </w:rPr>
            </w:pPr>
            <w:r w:rsidRPr="00487150">
              <w:rPr>
                <w:color w:val="000000" w:themeColor="text1"/>
              </w:rPr>
              <w:t>0.010</w:t>
            </w:r>
          </w:p>
        </w:tc>
      </w:tr>
    </w:tbl>
    <w:p w14:paraId="68316342" w14:textId="77777777" w:rsidR="00294B89" w:rsidRPr="00487150" w:rsidRDefault="00294B89" w:rsidP="00294B89">
      <w:pPr>
        <w:rPr>
          <w:color w:val="000000" w:themeColor="text1"/>
        </w:rPr>
      </w:pPr>
      <w:r w:rsidRPr="00487150">
        <w:rPr>
          <w:color w:val="000000" w:themeColor="text1"/>
        </w:rPr>
        <w:t>*Stage 1: F= 1-0.49, Stage 2: F= 0.49-0.22, Stage 3: F= 0.22-0.19, Stage 4: F= 0.19-0.05, Stage 5: F= 0.05-0.02, Stage 6: F= 0.02-0</w:t>
      </w:r>
    </w:p>
    <w:p w14:paraId="49B9C048" w14:textId="3F6CF8BC" w:rsidR="00566ECB" w:rsidRDefault="00294B89" w:rsidP="00294B89">
      <w:pPr>
        <w:rPr>
          <w:color w:val="000000" w:themeColor="text1"/>
        </w:rPr>
      </w:pPr>
      <w:r w:rsidRPr="00487150">
        <w:rPr>
          <w:color w:val="000000" w:themeColor="text1"/>
        </w:rPr>
        <w:t>Olivine (Ol), Orthopyroxene (Opx), Clinopyroxene (Cpx), Pigeonite (Pig), Plagioclase (Plag), Ilmenite (Ilm), Quartz (Qtz)</w:t>
      </w:r>
    </w:p>
    <w:p w14:paraId="528F1871" w14:textId="77777777" w:rsidR="00566ECB" w:rsidRDefault="00566ECB">
      <w:pPr>
        <w:rPr>
          <w:color w:val="000000" w:themeColor="text1"/>
        </w:rPr>
      </w:pPr>
      <w:r>
        <w:rPr>
          <w:color w:val="000000" w:themeColor="text1"/>
        </w:rPr>
        <w:br w:type="page"/>
      </w:r>
    </w:p>
    <w:p w14:paraId="03651FA3" w14:textId="77777777" w:rsidR="00566ECB" w:rsidRDefault="00566ECB" w:rsidP="00566ECB">
      <w:pPr>
        <w:pStyle w:val="Heading3"/>
      </w:pPr>
      <w:bookmarkStart w:id="429" w:name="_Toc183536625"/>
      <w:bookmarkStart w:id="430" w:name="_Toc184727430"/>
      <w:bookmarkStart w:id="431" w:name="_Toc185325678"/>
      <w:bookmarkStart w:id="432" w:name="_Toc182331773"/>
      <w:bookmarkStart w:id="433" w:name="_Toc182995500"/>
      <w:r w:rsidRPr="00196D0A">
        <w:lastRenderedPageBreak/>
        <w:t xml:space="preserve">Radiogenic </w:t>
      </w:r>
      <w:r>
        <w:t>E</w:t>
      </w:r>
      <w:r w:rsidRPr="00196D0A">
        <w:t xml:space="preserve">lement </w:t>
      </w:r>
      <w:r>
        <w:t>Partitioning</w:t>
      </w:r>
      <w:bookmarkEnd w:id="429"/>
      <w:bookmarkEnd w:id="430"/>
      <w:bookmarkEnd w:id="431"/>
      <w:r>
        <w:t xml:space="preserve"> </w:t>
      </w:r>
    </w:p>
    <w:p w14:paraId="597B73B9" w14:textId="77777777" w:rsidR="00566ECB" w:rsidRPr="00487150" w:rsidRDefault="00566ECB" w:rsidP="00566ECB">
      <w:pPr>
        <w:spacing w:line="480" w:lineRule="auto"/>
        <w:ind w:firstLine="720"/>
        <w:rPr>
          <w:color w:val="000000" w:themeColor="text1"/>
        </w:rPr>
      </w:pPr>
      <w:r w:rsidRPr="00487150">
        <w:rPr>
          <w:color w:val="000000" w:themeColor="text1"/>
        </w:rPr>
        <w:t>The U, Th, and K partition coefficients for each mineral phase during solidification were compiled from experimental studies of terrestrial and lunar synthetic analogs (Nash and Crecraft, 1985; Van Kan Parker et al., 2011; Leitzke et al., 2016; Snape et al., 2022; Haupt et al., 2024) or they were calculated using lattice strain-based partitioning models (Sun et al., 2017).</w:t>
      </w:r>
    </w:p>
    <w:p w14:paraId="7013734B" w14:textId="77777777" w:rsidR="00566ECB" w:rsidRPr="00937FB0" w:rsidRDefault="00566ECB" w:rsidP="00566ECB">
      <w:pPr>
        <w:spacing w:line="480" w:lineRule="auto"/>
        <w:ind w:firstLine="720"/>
      </w:pPr>
      <w:r>
        <w:rPr>
          <w:color w:val="000000" w:themeColor="text1"/>
        </w:rPr>
        <w:t xml:space="preserve">In </w:t>
      </w:r>
      <w:r>
        <w:t>general,</w:t>
      </w:r>
      <w:r>
        <w:rPr>
          <w:color w:val="000000" w:themeColor="text1"/>
        </w:rPr>
        <w:t xml:space="preserve"> published data are adequate for modeling HPE fractionation during LMO solidification</w:t>
      </w:r>
      <w:r>
        <w:t xml:space="preserve">; however, </w:t>
      </w:r>
      <w:r>
        <w:rPr>
          <w:color w:val="000000" w:themeColor="text1"/>
        </w:rPr>
        <w:t xml:space="preserve">the </w:t>
      </w:r>
      <w:r w:rsidRPr="00487150">
        <w:rPr>
          <w:color w:val="000000" w:themeColor="text1"/>
        </w:rPr>
        <w:t xml:space="preserve">abundance of K is often at or below the detection limit (i.e., the measured concentrations of K are within error of zero) in </w:t>
      </w:r>
      <w:r>
        <w:rPr>
          <w:color w:val="000000" w:themeColor="text1"/>
        </w:rPr>
        <w:t xml:space="preserve">measured </w:t>
      </w:r>
      <w:r w:rsidRPr="00487150">
        <w:rPr>
          <w:color w:val="000000" w:themeColor="text1"/>
        </w:rPr>
        <w:t>olivine</w:t>
      </w:r>
      <w:r>
        <w:rPr>
          <w:color w:val="000000" w:themeColor="text1"/>
        </w:rPr>
        <w:t>s</w:t>
      </w:r>
      <w:r w:rsidRPr="00487150">
        <w:rPr>
          <w:color w:val="000000" w:themeColor="text1"/>
        </w:rPr>
        <w:t xml:space="preserve"> </w:t>
      </w:r>
      <w:r>
        <w:rPr>
          <w:color w:val="000000" w:themeColor="text1"/>
        </w:rPr>
        <w:t>in published experimental</w:t>
      </w:r>
      <w:r w:rsidRPr="00487150">
        <w:rPr>
          <w:color w:val="000000" w:themeColor="text1"/>
        </w:rPr>
        <w:t xml:space="preserve"> mineral-melt partitioning studies. </w:t>
      </w:r>
      <w:r>
        <w:rPr>
          <w:color w:val="000000" w:themeColor="text1"/>
        </w:rPr>
        <w:t xml:space="preserve">Thus, </w:t>
      </w:r>
      <w:r w:rsidRPr="00487150">
        <w:rPr>
          <w:color w:val="000000" w:themeColor="text1"/>
        </w:rPr>
        <w:t xml:space="preserve">K partitioning between olivine and melt was </w:t>
      </w:r>
      <w:r>
        <w:rPr>
          <w:color w:val="000000" w:themeColor="text1"/>
        </w:rPr>
        <w:t>calculated</w:t>
      </w:r>
      <w:r w:rsidRPr="00487150">
        <w:rPr>
          <w:color w:val="000000" w:themeColor="text1"/>
        </w:rPr>
        <w:t xml:space="preserve"> using a lattice strain-based partitioning model fit</w:t>
      </w:r>
      <w:r>
        <w:rPr>
          <w:color w:val="000000" w:themeColor="text1"/>
        </w:rPr>
        <w:t xml:space="preserve"> to</w:t>
      </w:r>
      <w:r w:rsidRPr="00487150">
        <w:rPr>
          <w:color w:val="000000" w:themeColor="text1"/>
        </w:rPr>
        <w:t xml:space="preserve"> Li and Na partitioning data</w:t>
      </w:r>
      <w:r>
        <w:rPr>
          <w:color w:val="000000" w:themeColor="text1"/>
        </w:rPr>
        <w:t xml:space="preserve"> (</w:t>
      </w:r>
      <w:r>
        <w:t>see Appendix C</w:t>
      </w:r>
      <w:r>
        <w:rPr>
          <w:color w:val="000000" w:themeColor="text1"/>
        </w:rPr>
        <w:t>)</w:t>
      </w:r>
      <w:r w:rsidRPr="00487150">
        <w:rPr>
          <w:color w:val="000000" w:themeColor="text1"/>
        </w:rPr>
        <w:t xml:space="preserve">. Mineral-melt partition coefficient and compositional calculation parameter </w:t>
      </w:r>
      <w:r>
        <w:rPr>
          <w:color w:val="000000" w:themeColor="text1"/>
        </w:rPr>
        <w:t xml:space="preserve">assumptions </w:t>
      </w:r>
      <w:r w:rsidRPr="00487150">
        <w:rPr>
          <w:color w:val="000000" w:themeColor="text1"/>
        </w:rPr>
        <w:t xml:space="preserve">are reported in </w:t>
      </w:r>
      <w:r w:rsidRPr="00487150">
        <w:rPr>
          <w:b/>
          <w:bCs/>
          <w:color w:val="000000" w:themeColor="text1"/>
        </w:rPr>
        <w:t>Table 3.3</w:t>
      </w:r>
      <w:r w:rsidRPr="00487150">
        <w:rPr>
          <w:color w:val="000000" w:themeColor="text1"/>
        </w:rPr>
        <w:t xml:space="preserve"> and are plotted relative to the literature data in </w:t>
      </w:r>
      <w:r w:rsidRPr="00487150">
        <w:rPr>
          <w:b/>
          <w:bCs/>
          <w:color w:val="000000" w:themeColor="text1"/>
        </w:rPr>
        <w:t xml:space="preserve">Figures </w:t>
      </w:r>
      <w:r w:rsidRPr="00755E1F">
        <w:rPr>
          <w:b/>
          <w:bCs/>
          <w:color w:val="000000" w:themeColor="text1"/>
        </w:rPr>
        <w:t>C1 and C3</w:t>
      </w:r>
      <w:r>
        <w:rPr>
          <w:color w:val="000000" w:themeColor="text1"/>
        </w:rPr>
        <w:t>.</w:t>
      </w:r>
    </w:p>
    <w:p w14:paraId="353B0473" w14:textId="77777777" w:rsidR="00566ECB" w:rsidRPr="00487150" w:rsidRDefault="00566ECB" w:rsidP="00566ECB">
      <w:pPr>
        <w:pStyle w:val="Heading2"/>
      </w:pPr>
      <w:bookmarkStart w:id="434" w:name="_Toc183536626"/>
      <w:bookmarkStart w:id="435" w:name="_Toc184727431"/>
      <w:bookmarkStart w:id="436" w:name="_Toc185325679"/>
      <w:r w:rsidRPr="00487150">
        <w:t>Modeled HPE Distributions and Ratios</w:t>
      </w:r>
      <w:bookmarkEnd w:id="432"/>
      <w:bookmarkEnd w:id="433"/>
      <w:bookmarkEnd w:id="434"/>
      <w:bookmarkEnd w:id="435"/>
      <w:bookmarkEnd w:id="436"/>
    </w:p>
    <w:p w14:paraId="34268186" w14:textId="77777777" w:rsidR="00566ECB" w:rsidRPr="00487150" w:rsidRDefault="00566ECB" w:rsidP="00566ECB">
      <w:pPr>
        <w:pStyle w:val="Heading3"/>
      </w:pPr>
      <w:bookmarkStart w:id="437" w:name="_Toc182331774"/>
      <w:bookmarkStart w:id="438" w:name="_Toc182995501"/>
      <w:bookmarkStart w:id="439" w:name="_Toc183536627"/>
      <w:bookmarkStart w:id="440" w:name="_Toc184727432"/>
      <w:bookmarkStart w:id="441" w:name="_Toc185325680"/>
      <w:r w:rsidRPr="00487150">
        <w:t>Lunar HPE Distribution</w:t>
      </w:r>
      <w:bookmarkEnd w:id="437"/>
      <w:bookmarkEnd w:id="438"/>
      <w:bookmarkEnd w:id="439"/>
      <w:bookmarkEnd w:id="440"/>
      <w:bookmarkEnd w:id="441"/>
      <w:r w:rsidRPr="00487150">
        <w:t xml:space="preserve"> </w:t>
      </w:r>
    </w:p>
    <w:p w14:paraId="595D7F2A" w14:textId="78DD93BC" w:rsidR="001E0E82" w:rsidRPr="00487150" w:rsidRDefault="00566ECB" w:rsidP="00B656B8">
      <w:pPr>
        <w:spacing w:line="480" w:lineRule="auto"/>
        <w:ind w:firstLine="720"/>
        <w:rPr>
          <w:color w:val="000000" w:themeColor="text1"/>
        </w:rPr>
        <w:sectPr w:rsidR="001E0E82" w:rsidRPr="00487150" w:rsidSect="00CA6706">
          <w:pgSz w:w="12240" w:h="15840" w:code="1"/>
          <w:pgMar w:top="1440" w:right="1800" w:bottom="1872" w:left="1800" w:header="720" w:footer="1440" w:gutter="0"/>
          <w:cols w:space="720"/>
          <w:noEndnote/>
          <w:docGrid w:linePitch="360"/>
        </w:sectPr>
      </w:pPr>
      <w:r w:rsidRPr="00487150">
        <w:rPr>
          <w:color w:val="000000" w:themeColor="text1"/>
        </w:rPr>
        <w:t>Models demonstrate that</w:t>
      </w:r>
      <w:r>
        <w:rPr>
          <w:color w:val="000000" w:themeColor="text1"/>
        </w:rPr>
        <w:t xml:space="preserve"> after LM</w:t>
      </w:r>
      <w:r>
        <w:t>O</w:t>
      </w:r>
      <w:r>
        <w:rPr>
          <w:color w:val="000000" w:themeColor="text1"/>
        </w:rPr>
        <w:t xml:space="preserve"> solidification,</w:t>
      </w:r>
      <w:r w:rsidRPr="00487150">
        <w:rPr>
          <w:color w:val="000000" w:themeColor="text1"/>
        </w:rPr>
        <w:t xml:space="preserve"> &gt;90% of the lunar HPE budget </w:t>
      </w:r>
      <w:r>
        <w:rPr>
          <w:color w:val="000000" w:themeColor="text1"/>
        </w:rPr>
        <w:t>is</w:t>
      </w:r>
      <w:r w:rsidRPr="00487150">
        <w:rPr>
          <w:color w:val="000000" w:themeColor="text1"/>
        </w:rPr>
        <w:t xml:space="preserve"> initially</w:t>
      </w:r>
      <w:r>
        <w:rPr>
          <w:color w:val="000000" w:themeColor="text1"/>
        </w:rPr>
        <w:t xml:space="preserve"> </w:t>
      </w:r>
      <w:r w:rsidRPr="00487150">
        <w:rPr>
          <w:color w:val="000000" w:themeColor="text1"/>
        </w:rPr>
        <w:t>concentrated in the anorthosite crust</w:t>
      </w:r>
      <w:r>
        <w:t>,</w:t>
      </w:r>
      <w:r w:rsidRPr="00487150">
        <w:rPr>
          <w:color w:val="000000" w:themeColor="text1"/>
        </w:rPr>
        <w:t xml:space="preserve"> and </w:t>
      </w:r>
      <w:r>
        <w:t xml:space="preserve">the </w:t>
      </w:r>
      <w:r w:rsidRPr="00487150">
        <w:rPr>
          <w:color w:val="000000" w:themeColor="text1"/>
        </w:rPr>
        <w:t>upper mantle cumulates (</w:t>
      </w:r>
      <w:r>
        <w:rPr>
          <w:color w:val="000000" w:themeColor="text1"/>
        </w:rPr>
        <w:t>those</w:t>
      </w:r>
      <w:r w:rsidRPr="00487150">
        <w:rPr>
          <w:color w:val="000000" w:themeColor="text1"/>
        </w:rPr>
        <w:t xml:space="preserve"> that formed between 80% and 99.9% solidification) (</w:t>
      </w:r>
      <w:r w:rsidRPr="00487150">
        <w:rPr>
          <w:b/>
          <w:bCs/>
          <w:color w:val="000000" w:themeColor="text1"/>
        </w:rPr>
        <w:t>Figure 3.1a</w:t>
      </w:r>
      <w:r w:rsidRPr="00487150">
        <w:rPr>
          <w:color w:val="000000" w:themeColor="text1"/>
        </w:rPr>
        <w:t>). This means that much of the lunar radiogenic heat production potential is initially concentrated close to the crust-mantle boundary; however, the heat-producing elements are not distributed evenly across the crustal and upper mantle reservoirs.</w:t>
      </w:r>
    </w:p>
    <w:p w14:paraId="38B51C48" w14:textId="77777777" w:rsidR="001E0E82" w:rsidRPr="00487150" w:rsidRDefault="001E0E82" w:rsidP="001E0E82">
      <w:pPr>
        <w:pStyle w:val="Tables"/>
      </w:pPr>
      <w:bookmarkStart w:id="442" w:name="_Toc185263600"/>
      <w:r w:rsidRPr="00487150">
        <w:rPr>
          <w:b/>
          <w:bCs/>
        </w:rPr>
        <w:lastRenderedPageBreak/>
        <w:t>Table 3.3.</w:t>
      </w:r>
      <w:r w:rsidRPr="00487150">
        <w:t xml:space="preserve"> Mineral-melt partition coefficients for Th, U, and K used in magma ocean solidification models.</w:t>
      </w:r>
      <w:bookmarkEnd w:id="442"/>
    </w:p>
    <w:tbl>
      <w:tblPr>
        <w:tblW w:w="12400" w:type="dxa"/>
        <w:tblLook w:val="04A0" w:firstRow="1" w:lastRow="0" w:firstColumn="1" w:lastColumn="0" w:noHBand="0" w:noVBand="1"/>
      </w:tblPr>
      <w:tblGrid>
        <w:gridCol w:w="1336"/>
        <w:gridCol w:w="1300"/>
        <w:gridCol w:w="820"/>
        <w:gridCol w:w="1300"/>
        <w:gridCol w:w="820"/>
        <w:gridCol w:w="1300"/>
        <w:gridCol w:w="820"/>
        <w:gridCol w:w="1300"/>
        <w:gridCol w:w="820"/>
        <w:gridCol w:w="1300"/>
        <w:gridCol w:w="1300"/>
      </w:tblGrid>
      <w:tr w:rsidR="001E0E82" w14:paraId="7A39CD25" w14:textId="77777777" w:rsidTr="001E0E82">
        <w:trPr>
          <w:trHeight w:val="34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2575D" w14:textId="77777777" w:rsidR="001E0E82" w:rsidRDefault="001E0E82">
            <w:pPr>
              <w:jc w:val="center"/>
              <w:rPr>
                <w:color w:val="000000"/>
              </w:rPr>
            </w:pPr>
            <w:r>
              <w:rPr>
                <w:color w:val="000000"/>
              </w:rPr>
              <w:t>Element</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63BE734F" w14:textId="435D74B7" w:rsidR="001E0E82" w:rsidRDefault="001E0E82">
            <w:pPr>
              <w:jc w:val="center"/>
              <w:rPr>
                <w:color w:val="000000"/>
              </w:rPr>
            </w:pPr>
            <w:r>
              <w:rPr>
                <w:color w:val="000000"/>
              </w:rPr>
              <w:t>Ol (</w:t>
            </w:r>
            <w:r w:rsidR="00B617A4">
              <w:rPr>
                <w:color w:val="000000"/>
              </w:rPr>
              <w:t>D</w:t>
            </w:r>
            <w:r>
              <w:rPr>
                <w:color w:val="000000"/>
              </w:rPr>
              <w:t>)</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1C5A8687" w14:textId="77777777" w:rsidR="001E0E82" w:rsidRDefault="001E0E82">
            <w:pPr>
              <w:jc w:val="center"/>
              <w:rPr>
                <w:color w:val="000000"/>
              </w:rPr>
            </w:pPr>
            <w:r>
              <w:rPr>
                <w:color w:val="000000"/>
              </w:rPr>
              <w:t>ref.</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7E7A0F0" w14:textId="501614CA" w:rsidR="001E0E82" w:rsidRDefault="001E0E82">
            <w:pPr>
              <w:jc w:val="center"/>
              <w:rPr>
                <w:color w:val="000000"/>
              </w:rPr>
            </w:pPr>
            <w:r>
              <w:rPr>
                <w:color w:val="000000"/>
              </w:rPr>
              <w:t>Opx (</w:t>
            </w:r>
            <w:r w:rsidR="00B617A4">
              <w:rPr>
                <w:color w:val="000000"/>
              </w:rPr>
              <w:t>D</w:t>
            </w:r>
            <w:r>
              <w:rPr>
                <w:color w:val="000000"/>
              </w:rPr>
              <w:t>)</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6C16045B" w14:textId="77777777" w:rsidR="001E0E82" w:rsidRDefault="001E0E82">
            <w:pPr>
              <w:jc w:val="center"/>
              <w:rPr>
                <w:color w:val="000000"/>
              </w:rPr>
            </w:pPr>
            <w:r>
              <w:rPr>
                <w:color w:val="000000"/>
              </w:rPr>
              <w:t>ref.</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23B209DA" w14:textId="6E8205B9" w:rsidR="001E0E82" w:rsidRDefault="001E0E82">
            <w:pPr>
              <w:jc w:val="center"/>
              <w:rPr>
                <w:color w:val="000000"/>
              </w:rPr>
            </w:pPr>
            <w:r>
              <w:rPr>
                <w:color w:val="000000"/>
              </w:rPr>
              <w:t>Cpx (</w:t>
            </w:r>
            <w:r w:rsidR="00B617A4">
              <w:rPr>
                <w:color w:val="000000"/>
              </w:rPr>
              <w:t>D</w:t>
            </w:r>
            <w:r>
              <w:rPr>
                <w:color w:val="000000"/>
              </w:rPr>
              <w:t>)</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0030AE2A" w14:textId="77777777" w:rsidR="001E0E82" w:rsidRDefault="001E0E82">
            <w:pPr>
              <w:jc w:val="center"/>
              <w:rPr>
                <w:color w:val="000000"/>
              </w:rPr>
            </w:pPr>
            <w:r>
              <w:rPr>
                <w:color w:val="000000"/>
              </w:rPr>
              <w:t>ref.</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66963D0C" w14:textId="67EB0639" w:rsidR="001E0E82" w:rsidRDefault="001E0E82">
            <w:pPr>
              <w:jc w:val="center"/>
              <w:rPr>
                <w:color w:val="000000"/>
              </w:rPr>
            </w:pPr>
            <w:r>
              <w:rPr>
                <w:color w:val="000000"/>
              </w:rPr>
              <w:t>Pig (</w:t>
            </w:r>
            <w:r w:rsidR="00B617A4">
              <w:rPr>
                <w:color w:val="000000"/>
              </w:rPr>
              <w:t>D</w:t>
            </w:r>
            <w:r>
              <w:rPr>
                <w:color w:val="000000"/>
              </w:rPr>
              <w:t>)</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2CB0F39E" w14:textId="77777777" w:rsidR="001E0E82" w:rsidRDefault="001E0E82">
            <w:pPr>
              <w:jc w:val="center"/>
              <w:rPr>
                <w:color w:val="000000"/>
              </w:rPr>
            </w:pPr>
            <w:r>
              <w:rPr>
                <w:color w:val="000000"/>
              </w:rPr>
              <w:t>ref.</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1B7EB8BC" w14:textId="627FBD1D" w:rsidR="001E0E82" w:rsidRDefault="001E0E82">
            <w:pPr>
              <w:jc w:val="center"/>
              <w:rPr>
                <w:color w:val="000000"/>
              </w:rPr>
            </w:pPr>
            <w:r>
              <w:rPr>
                <w:color w:val="000000"/>
              </w:rPr>
              <w:t>Plag (</w:t>
            </w:r>
            <w:r w:rsidR="00B617A4">
              <w:rPr>
                <w:color w:val="000000"/>
              </w:rPr>
              <w:t>D</w:t>
            </w:r>
            <w:r>
              <w:rPr>
                <w:color w:val="000000"/>
              </w:rPr>
              <w:t>)</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6781D0F2" w14:textId="1DC66444" w:rsidR="001E0E82" w:rsidRDefault="001E0E82">
            <w:pPr>
              <w:jc w:val="center"/>
              <w:rPr>
                <w:color w:val="000000"/>
              </w:rPr>
            </w:pPr>
            <w:r>
              <w:rPr>
                <w:color w:val="000000"/>
              </w:rPr>
              <w:t>Plag (</w:t>
            </w:r>
            <w:r w:rsidR="00B617A4">
              <w:rPr>
                <w:color w:val="000000"/>
              </w:rPr>
              <w:t>D</w:t>
            </w:r>
            <w:r>
              <w:rPr>
                <w:color w:val="000000"/>
              </w:rPr>
              <w:t>)</w:t>
            </w:r>
          </w:p>
        </w:tc>
      </w:tr>
      <w:tr w:rsidR="001E0E82" w14:paraId="251652E3" w14:textId="77777777" w:rsidTr="001E0E8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1680009A" w14:textId="77777777" w:rsidR="001E0E82" w:rsidRDefault="001E0E82">
            <w:pPr>
              <w:jc w:val="center"/>
              <w:rPr>
                <w:color w:val="000000"/>
              </w:rPr>
            </w:pPr>
            <w:r>
              <w:rPr>
                <w:color w:val="000000"/>
              </w:rPr>
              <w:t>Th</w:t>
            </w:r>
          </w:p>
        </w:tc>
        <w:tc>
          <w:tcPr>
            <w:tcW w:w="1300" w:type="dxa"/>
            <w:tcBorders>
              <w:top w:val="nil"/>
              <w:left w:val="nil"/>
              <w:bottom w:val="single" w:sz="4" w:space="0" w:color="auto"/>
              <w:right w:val="single" w:sz="4" w:space="0" w:color="auto"/>
            </w:tcBorders>
            <w:shd w:val="clear" w:color="auto" w:fill="auto"/>
            <w:noWrap/>
            <w:vAlign w:val="center"/>
            <w:hideMark/>
          </w:tcPr>
          <w:p w14:paraId="47A3C6AC" w14:textId="77777777" w:rsidR="001E0E82" w:rsidRDefault="001E0E82">
            <w:pPr>
              <w:jc w:val="center"/>
              <w:rPr>
                <w:color w:val="000000"/>
              </w:rPr>
            </w:pPr>
            <w:r>
              <w:rPr>
                <w:color w:val="000000"/>
              </w:rPr>
              <w:t>6.13E-06</w:t>
            </w:r>
          </w:p>
        </w:tc>
        <w:tc>
          <w:tcPr>
            <w:tcW w:w="820" w:type="dxa"/>
            <w:tcBorders>
              <w:top w:val="nil"/>
              <w:left w:val="nil"/>
              <w:bottom w:val="single" w:sz="4" w:space="0" w:color="auto"/>
              <w:right w:val="single" w:sz="4" w:space="0" w:color="auto"/>
            </w:tcBorders>
            <w:shd w:val="clear" w:color="auto" w:fill="auto"/>
            <w:noWrap/>
            <w:vAlign w:val="center"/>
            <w:hideMark/>
          </w:tcPr>
          <w:p w14:paraId="71098D32" w14:textId="77777777" w:rsidR="001E0E82" w:rsidRDefault="001E0E82">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167AB9C4" w14:textId="77777777" w:rsidR="001E0E82" w:rsidRDefault="001E0E82">
            <w:pPr>
              <w:jc w:val="center"/>
              <w:rPr>
                <w:color w:val="000000"/>
              </w:rPr>
            </w:pPr>
            <w:r>
              <w:rPr>
                <w:color w:val="000000"/>
              </w:rPr>
              <w:t>3.78E-05</w:t>
            </w:r>
          </w:p>
        </w:tc>
        <w:tc>
          <w:tcPr>
            <w:tcW w:w="820" w:type="dxa"/>
            <w:tcBorders>
              <w:top w:val="nil"/>
              <w:left w:val="nil"/>
              <w:bottom w:val="single" w:sz="4" w:space="0" w:color="auto"/>
              <w:right w:val="single" w:sz="4" w:space="0" w:color="auto"/>
            </w:tcBorders>
            <w:shd w:val="clear" w:color="auto" w:fill="auto"/>
            <w:noWrap/>
            <w:vAlign w:val="center"/>
            <w:hideMark/>
          </w:tcPr>
          <w:p w14:paraId="7D355EC1" w14:textId="77777777" w:rsidR="001E0E82" w:rsidRDefault="001E0E82">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0381080E" w14:textId="77777777" w:rsidR="001E0E82" w:rsidRDefault="001E0E82">
            <w:pPr>
              <w:jc w:val="center"/>
              <w:rPr>
                <w:color w:val="000000"/>
              </w:rPr>
            </w:pPr>
            <w:r>
              <w:rPr>
                <w:color w:val="000000"/>
              </w:rPr>
              <w:t>1.47E-02</w:t>
            </w:r>
          </w:p>
        </w:tc>
        <w:tc>
          <w:tcPr>
            <w:tcW w:w="820" w:type="dxa"/>
            <w:tcBorders>
              <w:top w:val="nil"/>
              <w:left w:val="nil"/>
              <w:bottom w:val="single" w:sz="4" w:space="0" w:color="auto"/>
              <w:right w:val="single" w:sz="4" w:space="0" w:color="auto"/>
            </w:tcBorders>
            <w:shd w:val="clear" w:color="auto" w:fill="auto"/>
            <w:noWrap/>
            <w:vAlign w:val="center"/>
            <w:hideMark/>
          </w:tcPr>
          <w:p w14:paraId="081EB0F8" w14:textId="77777777" w:rsidR="001E0E82" w:rsidRDefault="001E0E82">
            <w:pPr>
              <w:jc w:val="center"/>
              <w:rPr>
                <w:color w:val="000000"/>
              </w:rPr>
            </w:pPr>
            <w:r>
              <w:rPr>
                <w:color w:val="000000"/>
              </w:rPr>
              <w:t>c</w:t>
            </w:r>
          </w:p>
        </w:tc>
        <w:tc>
          <w:tcPr>
            <w:tcW w:w="1300" w:type="dxa"/>
            <w:tcBorders>
              <w:top w:val="nil"/>
              <w:left w:val="nil"/>
              <w:bottom w:val="single" w:sz="4" w:space="0" w:color="auto"/>
              <w:right w:val="single" w:sz="4" w:space="0" w:color="auto"/>
            </w:tcBorders>
            <w:shd w:val="clear" w:color="auto" w:fill="auto"/>
            <w:noWrap/>
            <w:vAlign w:val="center"/>
            <w:hideMark/>
          </w:tcPr>
          <w:p w14:paraId="1C77D032" w14:textId="77777777" w:rsidR="001E0E82" w:rsidRDefault="001E0E82">
            <w:pPr>
              <w:jc w:val="center"/>
              <w:rPr>
                <w:color w:val="000000"/>
              </w:rPr>
            </w:pPr>
            <w:r>
              <w:rPr>
                <w:color w:val="000000"/>
              </w:rPr>
              <w:t>6.50E-03</w:t>
            </w:r>
          </w:p>
        </w:tc>
        <w:tc>
          <w:tcPr>
            <w:tcW w:w="820" w:type="dxa"/>
            <w:tcBorders>
              <w:top w:val="nil"/>
              <w:left w:val="nil"/>
              <w:bottom w:val="single" w:sz="4" w:space="0" w:color="auto"/>
              <w:right w:val="single" w:sz="4" w:space="0" w:color="auto"/>
            </w:tcBorders>
            <w:shd w:val="clear" w:color="auto" w:fill="auto"/>
            <w:noWrap/>
            <w:vAlign w:val="center"/>
            <w:hideMark/>
          </w:tcPr>
          <w:p w14:paraId="3B7AC72F" w14:textId="77777777" w:rsidR="001E0E82" w:rsidRDefault="001E0E82">
            <w:pPr>
              <w:jc w:val="center"/>
              <w:rPr>
                <w:color w:val="000000"/>
              </w:rPr>
            </w:pPr>
            <w:r>
              <w:rPr>
                <w:color w:val="000000"/>
              </w:rPr>
              <w:t>c</w:t>
            </w:r>
          </w:p>
        </w:tc>
        <w:tc>
          <w:tcPr>
            <w:tcW w:w="1300" w:type="dxa"/>
            <w:tcBorders>
              <w:top w:val="nil"/>
              <w:left w:val="nil"/>
              <w:bottom w:val="single" w:sz="4" w:space="0" w:color="auto"/>
              <w:right w:val="single" w:sz="4" w:space="0" w:color="auto"/>
            </w:tcBorders>
            <w:shd w:val="clear" w:color="auto" w:fill="auto"/>
            <w:noWrap/>
            <w:vAlign w:val="center"/>
            <w:hideMark/>
          </w:tcPr>
          <w:p w14:paraId="703838AD" w14:textId="77777777" w:rsidR="001E0E82" w:rsidRDefault="001E0E82">
            <w:pPr>
              <w:jc w:val="center"/>
              <w:rPr>
                <w:color w:val="000000"/>
              </w:rPr>
            </w:pPr>
            <w:r>
              <w:rPr>
                <w:color w:val="000000"/>
              </w:rPr>
              <w:t>9.10E-04</w:t>
            </w:r>
          </w:p>
        </w:tc>
        <w:tc>
          <w:tcPr>
            <w:tcW w:w="1300" w:type="dxa"/>
            <w:tcBorders>
              <w:top w:val="nil"/>
              <w:left w:val="nil"/>
              <w:bottom w:val="single" w:sz="4" w:space="0" w:color="auto"/>
              <w:right w:val="single" w:sz="4" w:space="0" w:color="auto"/>
            </w:tcBorders>
            <w:shd w:val="clear" w:color="auto" w:fill="auto"/>
            <w:noWrap/>
            <w:vAlign w:val="center"/>
            <w:hideMark/>
          </w:tcPr>
          <w:p w14:paraId="37E3468D" w14:textId="77777777" w:rsidR="001E0E82" w:rsidRDefault="001E0E82">
            <w:pPr>
              <w:jc w:val="center"/>
              <w:rPr>
                <w:color w:val="000000"/>
              </w:rPr>
            </w:pPr>
            <w:r>
              <w:rPr>
                <w:color w:val="000000"/>
              </w:rPr>
              <w:t>9.10E-04</w:t>
            </w:r>
          </w:p>
        </w:tc>
      </w:tr>
      <w:tr w:rsidR="001E0E82" w14:paraId="03C86FE4" w14:textId="77777777" w:rsidTr="001E0E8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647682C3" w14:textId="77777777" w:rsidR="001E0E82" w:rsidRDefault="001E0E82">
            <w:pPr>
              <w:jc w:val="center"/>
              <w:rPr>
                <w:color w:val="000000"/>
              </w:rPr>
            </w:pPr>
            <w:r>
              <w:rPr>
                <w:color w:val="000000"/>
              </w:rPr>
              <w:t>U</w:t>
            </w:r>
          </w:p>
        </w:tc>
        <w:tc>
          <w:tcPr>
            <w:tcW w:w="1300" w:type="dxa"/>
            <w:tcBorders>
              <w:top w:val="nil"/>
              <w:left w:val="nil"/>
              <w:bottom w:val="single" w:sz="4" w:space="0" w:color="auto"/>
              <w:right w:val="single" w:sz="4" w:space="0" w:color="auto"/>
            </w:tcBorders>
            <w:shd w:val="clear" w:color="auto" w:fill="auto"/>
            <w:noWrap/>
            <w:vAlign w:val="center"/>
            <w:hideMark/>
          </w:tcPr>
          <w:p w14:paraId="31836ACD" w14:textId="77777777" w:rsidR="001E0E82" w:rsidRDefault="001E0E82">
            <w:pPr>
              <w:jc w:val="center"/>
              <w:rPr>
                <w:color w:val="000000"/>
              </w:rPr>
            </w:pPr>
            <w:r>
              <w:rPr>
                <w:color w:val="000000"/>
              </w:rPr>
              <w:t>1.26E-05</w:t>
            </w:r>
          </w:p>
        </w:tc>
        <w:tc>
          <w:tcPr>
            <w:tcW w:w="820" w:type="dxa"/>
            <w:tcBorders>
              <w:top w:val="nil"/>
              <w:left w:val="nil"/>
              <w:bottom w:val="single" w:sz="4" w:space="0" w:color="auto"/>
              <w:right w:val="single" w:sz="4" w:space="0" w:color="auto"/>
            </w:tcBorders>
            <w:shd w:val="clear" w:color="auto" w:fill="auto"/>
            <w:noWrap/>
            <w:vAlign w:val="center"/>
            <w:hideMark/>
          </w:tcPr>
          <w:p w14:paraId="19A50CE5" w14:textId="77777777" w:rsidR="001E0E82" w:rsidRDefault="001E0E82">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6BEC7F89" w14:textId="77777777" w:rsidR="001E0E82" w:rsidRDefault="001E0E82">
            <w:pPr>
              <w:jc w:val="center"/>
              <w:rPr>
                <w:color w:val="000000"/>
              </w:rPr>
            </w:pPr>
            <w:r>
              <w:rPr>
                <w:color w:val="000000"/>
              </w:rPr>
              <w:t>7.12E-04</w:t>
            </w:r>
          </w:p>
        </w:tc>
        <w:tc>
          <w:tcPr>
            <w:tcW w:w="820" w:type="dxa"/>
            <w:tcBorders>
              <w:top w:val="nil"/>
              <w:left w:val="nil"/>
              <w:bottom w:val="single" w:sz="4" w:space="0" w:color="auto"/>
              <w:right w:val="single" w:sz="4" w:space="0" w:color="auto"/>
            </w:tcBorders>
            <w:shd w:val="clear" w:color="auto" w:fill="auto"/>
            <w:noWrap/>
            <w:vAlign w:val="center"/>
            <w:hideMark/>
          </w:tcPr>
          <w:p w14:paraId="6AE59C82" w14:textId="77777777" w:rsidR="001E0E82" w:rsidRDefault="001E0E82">
            <w:pPr>
              <w:jc w:val="center"/>
              <w:rPr>
                <w:color w:val="000000"/>
              </w:rPr>
            </w:pP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05B21D3E" w14:textId="77777777" w:rsidR="001E0E82" w:rsidRDefault="001E0E82">
            <w:pPr>
              <w:jc w:val="center"/>
              <w:rPr>
                <w:color w:val="000000"/>
              </w:rPr>
            </w:pPr>
            <w:r>
              <w:rPr>
                <w:color w:val="000000"/>
              </w:rPr>
              <w:t>1.14E-02</w:t>
            </w:r>
          </w:p>
        </w:tc>
        <w:tc>
          <w:tcPr>
            <w:tcW w:w="820" w:type="dxa"/>
            <w:tcBorders>
              <w:top w:val="nil"/>
              <w:left w:val="nil"/>
              <w:bottom w:val="single" w:sz="4" w:space="0" w:color="auto"/>
              <w:right w:val="single" w:sz="4" w:space="0" w:color="auto"/>
            </w:tcBorders>
            <w:shd w:val="clear" w:color="auto" w:fill="auto"/>
            <w:noWrap/>
            <w:vAlign w:val="center"/>
            <w:hideMark/>
          </w:tcPr>
          <w:p w14:paraId="1D188A4C" w14:textId="77777777" w:rsidR="001E0E82" w:rsidRDefault="001E0E82">
            <w:pPr>
              <w:jc w:val="center"/>
              <w:rPr>
                <w:color w:val="000000"/>
              </w:rPr>
            </w:pPr>
            <w:r>
              <w:rPr>
                <w:color w:val="000000"/>
              </w:rPr>
              <w:t>c</w:t>
            </w:r>
          </w:p>
        </w:tc>
        <w:tc>
          <w:tcPr>
            <w:tcW w:w="1300" w:type="dxa"/>
            <w:tcBorders>
              <w:top w:val="nil"/>
              <w:left w:val="nil"/>
              <w:bottom w:val="single" w:sz="4" w:space="0" w:color="auto"/>
              <w:right w:val="single" w:sz="4" w:space="0" w:color="auto"/>
            </w:tcBorders>
            <w:shd w:val="clear" w:color="auto" w:fill="auto"/>
            <w:noWrap/>
            <w:vAlign w:val="center"/>
            <w:hideMark/>
          </w:tcPr>
          <w:p w14:paraId="517E56FB" w14:textId="77777777" w:rsidR="001E0E82" w:rsidRDefault="001E0E82">
            <w:pPr>
              <w:jc w:val="center"/>
              <w:rPr>
                <w:color w:val="000000"/>
              </w:rPr>
            </w:pPr>
            <w:r>
              <w:rPr>
                <w:color w:val="000000"/>
              </w:rPr>
              <w:t>8.20E-03</w:t>
            </w:r>
          </w:p>
        </w:tc>
        <w:tc>
          <w:tcPr>
            <w:tcW w:w="820" w:type="dxa"/>
            <w:tcBorders>
              <w:top w:val="nil"/>
              <w:left w:val="nil"/>
              <w:bottom w:val="single" w:sz="4" w:space="0" w:color="auto"/>
              <w:right w:val="single" w:sz="4" w:space="0" w:color="auto"/>
            </w:tcBorders>
            <w:shd w:val="clear" w:color="auto" w:fill="auto"/>
            <w:noWrap/>
            <w:vAlign w:val="center"/>
            <w:hideMark/>
          </w:tcPr>
          <w:p w14:paraId="76DBBF0F" w14:textId="77777777" w:rsidR="001E0E82" w:rsidRDefault="001E0E82">
            <w:pPr>
              <w:jc w:val="center"/>
              <w:rPr>
                <w:color w:val="000000"/>
              </w:rPr>
            </w:pPr>
            <w:r>
              <w:rPr>
                <w:color w:val="000000"/>
              </w:rPr>
              <w:t>c</w:t>
            </w:r>
          </w:p>
        </w:tc>
        <w:tc>
          <w:tcPr>
            <w:tcW w:w="1300" w:type="dxa"/>
            <w:tcBorders>
              <w:top w:val="nil"/>
              <w:left w:val="nil"/>
              <w:bottom w:val="single" w:sz="4" w:space="0" w:color="auto"/>
              <w:right w:val="single" w:sz="4" w:space="0" w:color="auto"/>
            </w:tcBorders>
            <w:shd w:val="clear" w:color="auto" w:fill="auto"/>
            <w:noWrap/>
            <w:vAlign w:val="center"/>
            <w:hideMark/>
          </w:tcPr>
          <w:p w14:paraId="673DA785" w14:textId="77777777" w:rsidR="001E0E82" w:rsidRDefault="001E0E82">
            <w:pPr>
              <w:jc w:val="center"/>
              <w:rPr>
                <w:color w:val="000000"/>
              </w:rPr>
            </w:pPr>
            <w:r>
              <w:rPr>
                <w:color w:val="000000"/>
              </w:rPr>
              <w:t>5.60E-04</w:t>
            </w:r>
          </w:p>
        </w:tc>
        <w:tc>
          <w:tcPr>
            <w:tcW w:w="1300" w:type="dxa"/>
            <w:tcBorders>
              <w:top w:val="nil"/>
              <w:left w:val="nil"/>
              <w:bottom w:val="single" w:sz="4" w:space="0" w:color="auto"/>
              <w:right w:val="single" w:sz="4" w:space="0" w:color="auto"/>
            </w:tcBorders>
            <w:shd w:val="clear" w:color="auto" w:fill="auto"/>
            <w:noWrap/>
            <w:vAlign w:val="center"/>
            <w:hideMark/>
          </w:tcPr>
          <w:p w14:paraId="435089EF" w14:textId="77777777" w:rsidR="001E0E82" w:rsidRDefault="001E0E82">
            <w:pPr>
              <w:jc w:val="center"/>
              <w:rPr>
                <w:color w:val="000000"/>
              </w:rPr>
            </w:pPr>
            <w:r>
              <w:rPr>
                <w:color w:val="000000"/>
              </w:rPr>
              <w:t>5.60E-04</w:t>
            </w:r>
          </w:p>
        </w:tc>
      </w:tr>
      <w:tr w:rsidR="001E0E82" w14:paraId="1189FE0B" w14:textId="77777777" w:rsidTr="001E0E8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3B793E0B" w14:textId="77777777" w:rsidR="001E0E82" w:rsidRDefault="001E0E82">
            <w:pPr>
              <w:jc w:val="center"/>
              <w:rPr>
                <w:color w:val="000000"/>
              </w:rPr>
            </w:pPr>
            <w:r>
              <w:rPr>
                <w:color w:val="000000"/>
              </w:rPr>
              <w:t>K</w:t>
            </w:r>
          </w:p>
        </w:tc>
        <w:tc>
          <w:tcPr>
            <w:tcW w:w="1300" w:type="dxa"/>
            <w:tcBorders>
              <w:top w:val="nil"/>
              <w:left w:val="nil"/>
              <w:bottom w:val="single" w:sz="4" w:space="0" w:color="auto"/>
              <w:right w:val="single" w:sz="4" w:space="0" w:color="auto"/>
            </w:tcBorders>
            <w:shd w:val="clear" w:color="auto" w:fill="auto"/>
            <w:noWrap/>
            <w:vAlign w:val="center"/>
            <w:hideMark/>
          </w:tcPr>
          <w:p w14:paraId="354DF906" w14:textId="77777777" w:rsidR="001E0E82" w:rsidRDefault="001E0E82">
            <w:pPr>
              <w:jc w:val="center"/>
              <w:rPr>
                <w:color w:val="000000"/>
              </w:rPr>
            </w:pPr>
            <w:r>
              <w:rPr>
                <w:color w:val="000000"/>
              </w:rPr>
              <w:t>4.02E-09</w:t>
            </w:r>
          </w:p>
        </w:tc>
        <w:tc>
          <w:tcPr>
            <w:tcW w:w="820" w:type="dxa"/>
            <w:tcBorders>
              <w:top w:val="nil"/>
              <w:left w:val="nil"/>
              <w:bottom w:val="single" w:sz="4" w:space="0" w:color="auto"/>
              <w:right w:val="single" w:sz="4" w:space="0" w:color="auto"/>
            </w:tcBorders>
            <w:shd w:val="clear" w:color="auto" w:fill="auto"/>
            <w:noWrap/>
            <w:vAlign w:val="center"/>
            <w:hideMark/>
          </w:tcPr>
          <w:p w14:paraId="0B572A88" w14:textId="77777777" w:rsidR="001E0E82" w:rsidRDefault="001E0E82">
            <w:pPr>
              <w:jc w:val="center"/>
              <w:rPr>
                <w:color w:val="000000"/>
              </w:rPr>
            </w:pPr>
            <w:r>
              <w:rPr>
                <w:color w:val="000000"/>
              </w:rPr>
              <w:t>Est.</w:t>
            </w:r>
          </w:p>
        </w:tc>
        <w:tc>
          <w:tcPr>
            <w:tcW w:w="1300" w:type="dxa"/>
            <w:tcBorders>
              <w:top w:val="nil"/>
              <w:left w:val="nil"/>
              <w:bottom w:val="single" w:sz="4" w:space="0" w:color="auto"/>
              <w:right w:val="single" w:sz="4" w:space="0" w:color="auto"/>
            </w:tcBorders>
            <w:shd w:val="clear" w:color="auto" w:fill="auto"/>
            <w:noWrap/>
            <w:vAlign w:val="center"/>
            <w:hideMark/>
          </w:tcPr>
          <w:p w14:paraId="2A076498" w14:textId="77777777" w:rsidR="001E0E82" w:rsidRDefault="001E0E82">
            <w:pPr>
              <w:jc w:val="center"/>
              <w:rPr>
                <w:color w:val="000000"/>
              </w:rPr>
            </w:pPr>
            <w:r>
              <w:rPr>
                <w:color w:val="000000"/>
              </w:rPr>
              <w:t>2.20E-03</w:t>
            </w:r>
          </w:p>
        </w:tc>
        <w:tc>
          <w:tcPr>
            <w:tcW w:w="820" w:type="dxa"/>
            <w:tcBorders>
              <w:top w:val="nil"/>
              <w:left w:val="nil"/>
              <w:bottom w:val="single" w:sz="4" w:space="0" w:color="auto"/>
              <w:right w:val="single" w:sz="4" w:space="0" w:color="auto"/>
            </w:tcBorders>
            <w:shd w:val="clear" w:color="auto" w:fill="auto"/>
            <w:noWrap/>
            <w:vAlign w:val="center"/>
            <w:hideMark/>
          </w:tcPr>
          <w:p w14:paraId="78AAF61B" w14:textId="77777777" w:rsidR="001E0E82" w:rsidRDefault="001E0E82">
            <w:pPr>
              <w:jc w:val="center"/>
              <w:rPr>
                <w:color w:val="000000"/>
              </w:rPr>
            </w:pPr>
            <w:r>
              <w:rPr>
                <w:color w:val="000000"/>
              </w:rPr>
              <w:t>b</w:t>
            </w:r>
          </w:p>
        </w:tc>
        <w:tc>
          <w:tcPr>
            <w:tcW w:w="1300" w:type="dxa"/>
            <w:tcBorders>
              <w:top w:val="nil"/>
              <w:left w:val="nil"/>
              <w:bottom w:val="single" w:sz="4" w:space="0" w:color="auto"/>
              <w:right w:val="single" w:sz="4" w:space="0" w:color="auto"/>
            </w:tcBorders>
            <w:shd w:val="clear" w:color="auto" w:fill="auto"/>
            <w:noWrap/>
            <w:vAlign w:val="center"/>
            <w:hideMark/>
          </w:tcPr>
          <w:p w14:paraId="51B0504F" w14:textId="77777777" w:rsidR="001E0E82" w:rsidRDefault="001E0E82">
            <w:pPr>
              <w:jc w:val="center"/>
              <w:rPr>
                <w:color w:val="000000"/>
              </w:rPr>
            </w:pPr>
            <w:r>
              <w:rPr>
                <w:color w:val="000000"/>
              </w:rPr>
              <w:t>3.50E-03</w:t>
            </w:r>
          </w:p>
        </w:tc>
        <w:tc>
          <w:tcPr>
            <w:tcW w:w="820" w:type="dxa"/>
            <w:tcBorders>
              <w:top w:val="nil"/>
              <w:left w:val="nil"/>
              <w:bottom w:val="single" w:sz="4" w:space="0" w:color="auto"/>
              <w:right w:val="single" w:sz="4" w:space="0" w:color="auto"/>
            </w:tcBorders>
            <w:shd w:val="clear" w:color="auto" w:fill="auto"/>
            <w:noWrap/>
            <w:vAlign w:val="center"/>
            <w:hideMark/>
          </w:tcPr>
          <w:p w14:paraId="7405D31E" w14:textId="77777777" w:rsidR="001E0E82" w:rsidRDefault="001E0E82">
            <w:pPr>
              <w:jc w:val="center"/>
              <w:rPr>
                <w:color w:val="000000"/>
              </w:rPr>
            </w:pPr>
            <w:r>
              <w:rPr>
                <w:color w:val="000000"/>
              </w:rPr>
              <w:t>c</w:t>
            </w:r>
          </w:p>
        </w:tc>
        <w:tc>
          <w:tcPr>
            <w:tcW w:w="1300" w:type="dxa"/>
            <w:tcBorders>
              <w:top w:val="nil"/>
              <w:left w:val="nil"/>
              <w:bottom w:val="single" w:sz="4" w:space="0" w:color="auto"/>
              <w:right w:val="single" w:sz="4" w:space="0" w:color="auto"/>
            </w:tcBorders>
            <w:shd w:val="clear" w:color="auto" w:fill="auto"/>
            <w:noWrap/>
            <w:vAlign w:val="center"/>
            <w:hideMark/>
          </w:tcPr>
          <w:p w14:paraId="1E811FBC" w14:textId="77777777" w:rsidR="001E0E82" w:rsidRDefault="001E0E82">
            <w:pPr>
              <w:jc w:val="center"/>
              <w:rPr>
                <w:color w:val="000000"/>
              </w:rPr>
            </w:pPr>
            <w:r>
              <w:rPr>
                <w:color w:val="000000"/>
              </w:rPr>
              <w:t>1.92E-02</w:t>
            </w:r>
          </w:p>
        </w:tc>
        <w:tc>
          <w:tcPr>
            <w:tcW w:w="820" w:type="dxa"/>
            <w:tcBorders>
              <w:top w:val="nil"/>
              <w:left w:val="nil"/>
              <w:bottom w:val="single" w:sz="4" w:space="0" w:color="auto"/>
              <w:right w:val="single" w:sz="4" w:space="0" w:color="auto"/>
            </w:tcBorders>
            <w:shd w:val="clear" w:color="auto" w:fill="auto"/>
            <w:noWrap/>
            <w:vAlign w:val="center"/>
            <w:hideMark/>
          </w:tcPr>
          <w:p w14:paraId="5AAB3042" w14:textId="77777777" w:rsidR="001E0E82" w:rsidRDefault="001E0E82">
            <w:pPr>
              <w:jc w:val="center"/>
              <w:rPr>
                <w:color w:val="000000"/>
              </w:rPr>
            </w:pPr>
            <w:r>
              <w:rPr>
                <w:color w:val="000000"/>
              </w:rPr>
              <w:t>d</w:t>
            </w:r>
          </w:p>
        </w:tc>
        <w:tc>
          <w:tcPr>
            <w:tcW w:w="1300" w:type="dxa"/>
            <w:tcBorders>
              <w:top w:val="nil"/>
              <w:left w:val="nil"/>
              <w:bottom w:val="single" w:sz="4" w:space="0" w:color="auto"/>
              <w:right w:val="single" w:sz="4" w:space="0" w:color="auto"/>
            </w:tcBorders>
            <w:shd w:val="clear" w:color="auto" w:fill="auto"/>
            <w:noWrap/>
            <w:vAlign w:val="center"/>
            <w:hideMark/>
          </w:tcPr>
          <w:p w14:paraId="74674052" w14:textId="77777777" w:rsidR="001E0E82" w:rsidRDefault="001E0E82">
            <w:pPr>
              <w:jc w:val="center"/>
              <w:rPr>
                <w:color w:val="000000"/>
              </w:rPr>
            </w:pPr>
            <w:r>
              <w:rPr>
                <w:color w:val="000000"/>
              </w:rPr>
              <w:t>4.12E-01</w:t>
            </w:r>
          </w:p>
        </w:tc>
        <w:tc>
          <w:tcPr>
            <w:tcW w:w="1300" w:type="dxa"/>
            <w:tcBorders>
              <w:top w:val="nil"/>
              <w:left w:val="nil"/>
              <w:bottom w:val="single" w:sz="4" w:space="0" w:color="auto"/>
              <w:right w:val="single" w:sz="4" w:space="0" w:color="auto"/>
            </w:tcBorders>
            <w:shd w:val="clear" w:color="auto" w:fill="auto"/>
            <w:noWrap/>
            <w:vAlign w:val="center"/>
            <w:hideMark/>
          </w:tcPr>
          <w:p w14:paraId="381B7CA8" w14:textId="77777777" w:rsidR="001E0E82" w:rsidRDefault="001E0E82">
            <w:pPr>
              <w:jc w:val="center"/>
              <w:rPr>
                <w:color w:val="000000"/>
              </w:rPr>
            </w:pPr>
            <w:r>
              <w:rPr>
                <w:color w:val="000000"/>
              </w:rPr>
              <w:t>5.02E-01</w:t>
            </w:r>
          </w:p>
        </w:tc>
      </w:tr>
      <w:tr w:rsidR="001E0E82" w14:paraId="69F15B1D" w14:textId="77777777" w:rsidTr="001E0E82">
        <w:trPr>
          <w:trHeight w:val="34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75E3AAA2" w14:textId="77777777" w:rsidR="001E0E82" w:rsidRDefault="001E0E82">
            <w:pPr>
              <w:jc w:val="center"/>
              <w:rPr>
                <w:color w:val="000000"/>
              </w:rPr>
            </w:pPr>
            <w:r>
              <w:rPr>
                <w:color w:val="000000"/>
              </w:rPr>
              <w:t>Stage</w:t>
            </w:r>
          </w:p>
        </w:tc>
        <w:tc>
          <w:tcPr>
            <w:tcW w:w="1300" w:type="dxa"/>
            <w:tcBorders>
              <w:top w:val="nil"/>
              <w:left w:val="nil"/>
              <w:bottom w:val="single" w:sz="4" w:space="0" w:color="auto"/>
              <w:right w:val="single" w:sz="4" w:space="0" w:color="auto"/>
            </w:tcBorders>
            <w:shd w:val="clear" w:color="auto" w:fill="auto"/>
            <w:noWrap/>
            <w:vAlign w:val="center"/>
            <w:hideMark/>
          </w:tcPr>
          <w:p w14:paraId="3A16035C" w14:textId="77777777" w:rsidR="001E0E82" w:rsidRDefault="001E0E82">
            <w:pPr>
              <w:jc w:val="center"/>
              <w:rPr>
                <w:color w:val="000000"/>
              </w:rPr>
            </w:pPr>
            <w:r>
              <w:rPr>
                <w:color w:val="000000"/>
              </w:rPr>
              <w:t>1, 2, 3, 6</w:t>
            </w:r>
          </w:p>
        </w:tc>
        <w:tc>
          <w:tcPr>
            <w:tcW w:w="820" w:type="dxa"/>
            <w:tcBorders>
              <w:top w:val="nil"/>
              <w:left w:val="nil"/>
              <w:bottom w:val="single" w:sz="4" w:space="0" w:color="auto"/>
              <w:right w:val="single" w:sz="4" w:space="0" w:color="auto"/>
            </w:tcBorders>
            <w:shd w:val="clear" w:color="auto" w:fill="auto"/>
            <w:noWrap/>
            <w:vAlign w:val="center"/>
            <w:hideMark/>
          </w:tcPr>
          <w:p w14:paraId="798BB9A9"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005E6F0D" w14:textId="77777777" w:rsidR="001E0E82" w:rsidRDefault="001E0E82">
            <w:pPr>
              <w:jc w:val="center"/>
              <w:rPr>
                <w:color w:val="000000"/>
              </w:rPr>
            </w:pPr>
            <w:r>
              <w:rPr>
                <w:color w:val="000000"/>
              </w:rPr>
              <w:t>2, 3</w:t>
            </w:r>
          </w:p>
        </w:tc>
        <w:tc>
          <w:tcPr>
            <w:tcW w:w="820" w:type="dxa"/>
            <w:tcBorders>
              <w:top w:val="nil"/>
              <w:left w:val="nil"/>
              <w:bottom w:val="single" w:sz="4" w:space="0" w:color="auto"/>
              <w:right w:val="single" w:sz="4" w:space="0" w:color="auto"/>
            </w:tcBorders>
            <w:shd w:val="clear" w:color="auto" w:fill="auto"/>
            <w:noWrap/>
            <w:vAlign w:val="center"/>
            <w:hideMark/>
          </w:tcPr>
          <w:p w14:paraId="41D6F381"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E487507" w14:textId="77777777" w:rsidR="001E0E82" w:rsidRDefault="001E0E82">
            <w:pPr>
              <w:jc w:val="center"/>
              <w:rPr>
                <w:color w:val="000000"/>
              </w:rPr>
            </w:pPr>
            <w:r>
              <w:rPr>
                <w:color w:val="000000"/>
              </w:rPr>
              <w:t>4, 5, 6</w:t>
            </w:r>
          </w:p>
        </w:tc>
        <w:tc>
          <w:tcPr>
            <w:tcW w:w="820" w:type="dxa"/>
            <w:tcBorders>
              <w:top w:val="nil"/>
              <w:left w:val="nil"/>
              <w:bottom w:val="single" w:sz="4" w:space="0" w:color="auto"/>
              <w:right w:val="single" w:sz="4" w:space="0" w:color="auto"/>
            </w:tcBorders>
            <w:shd w:val="clear" w:color="auto" w:fill="auto"/>
            <w:noWrap/>
            <w:vAlign w:val="center"/>
            <w:hideMark/>
          </w:tcPr>
          <w:p w14:paraId="6CBE7B9C"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299096E" w14:textId="77777777" w:rsidR="001E0E82" w:rsidRDefault="001E0E82">
            <w:pPr>
              <w:jc w:val="center"/>
              <w:rPr>
                <w:color w:val="000000"/>
              </w:rPr>
            </w:pPr>
            <w:r>
              <w:rPr>
                <w:color w:val="000000"/>
              </w:rPr>
              <w:t>3, 4, 5, 6</w:t>
            </w:r>
          </w:p>
        </w:tc>
        <w:tc>
          <w:tcPr>
            <w:tcW w:w="820" w:type="dxa"/>
            <w:tcBorders>
              <w:top w:val="nil"/>
              <w:left w:val="nil"/>
              <w:bottom w:val="single" w:sz="4" w:space="0" w:color="auto"/>
              <w:right w:val="single" w:sz="4" w:space="0" w:color="auto"/>
            </w:tcBorders>
            <w:shd w:val="clear" w:color="auto" w:fill="auto"/>
            <w:noWrap/>
            <w:vAlign w:val="center"/>
            <w:hideMark/>
          </w:tcPr>
          <w:p w14:paraId="240BA13F"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D35B105" w14:textId="77777777" w:rsidR="001E0E82" w:rsidRDefault="001E0E82">
            <w:pPr>
              <w:jc w:val="center"/>
              <w:rPr>
                <w:color w:val="000000"/>
              </w:rPr>
            </w:pPr>
            <w:r>
              <w:rPr>
                <w:color w:val="000000"/>
              </w:rPr>
              <w:t>3</w:t>
            </w:r>
          </w:p>
        </w:tc>
        <w:tc>
          <w:tcPr>
            <w:tcW w:w="1300" w:type="dxa"/>
            <w:tcBorders>
              <w:top w:val="nil"/>
              <w:left w:val="nil"/>
              <w:bottom w:val="single" w:sz="4" w:space="0" w:color="auto"/>
              <w:right w:val="single" w:sz="4" w:space="0" w:color="auto"/>
            </w:tcBorders>
            <w:shd w:val="clear" w:color="auto" w:fill="auto"/>
            <w:noWrap/>
            <w:vAlign w:val="center"/>
            <w:hideMark/>
          </w:tcPr>
          <w:p w14:paraId="3FD5036E" w14:textId="77777777" w:rsidR="001E0E82" w:rsidRDefault="001E0E82">
            <w:pPr>
              <w:jc w:val="center"/>
              <w:rPr>
                <w:color w:val="000000"/>
              </w:rPr>
            </w:pPr>
            <w:r>
              <w:rPr>
                <w:color w:val="000000"/>
              </w:rPr>
              <w:t>4</w:t>
            </w:r>
          </w:p>
        </w:tc>
      </w:tr>
      <w:tr w:rsidR="001E0E82" w14:paraId="08BC14F3" w14:textId="77777777" w:rsidTr="001E0E8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6B4164AA" w14:textId="77777777" w:rsidR="001E0E82" w:rsidRDefault="001E0E82">
            <w:pPr>
              <w:jc w:val="center"/>
              <w:rPr>
                <w:color w:val="000000"/>
              </w:rPr>
            </w:pPr>
            <w:r>
              <w:rPr>
                <w:color w:val="000000"/>
              </w:rPr>
              <w:t>T (ºC)</w:t>
            </w:r>
          </w:p>
        </w:tc>
        <w:tc>
          <w:tcPr>
            <w:tcW w:w="1300" w:type="dxa"/>
            <w:tcBorders>
              <w:top w:val="nil"/>
              <w:left w:val="nil"/>
              <w:bottom w:val="single" w:sz="4" w:space="0" w:color="auto"/>
              <w:right w:val="single" w:sz="4" w:space="0" w:color="auto"/>
            </w:tcBorders>
            <w:shd w:val="clear" w:color="auto" w:fill="auto"/>
            <w:noWrap/>
            <w:vAlign w:val="center"/>
            <w:hideMark/>
          </w:tcPr>
          <w:p w14:paraId="46BFB4A2"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438193D4"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D10F1D9"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6E1AF6C2"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1B796405"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1AFECAE4"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3BBA53B6"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762A4082"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4DF9C1CC" w14:textId="77777777" w:rsidR="001E0E82" w:rsidRDefault="001E0E82">
            <w:pPr>
              <w:jc w:val="center"/>
              <w:rPr>
                <w:color w:val="000000"/>
              </w:rPr>
            </w:pPr>
            <w:r>
              <w:rPr>
                <w:color w:val="000000"/>
              </w:rPr>
              <w:t>1215</w:t>
            </w:r>
          </w:p>
        </w:tc>
        <w:tc>
          <w:tcPr>
            <w:tcW w:w="1300" w:type="dxa"/>
            <w:tcBorders>
              <w:top w:val="nil"/>
              <w:left w:val="nil"/>
              <w:bottom w:val="single" w:sz="4" w:space="0" w:color="auto"/>
              <w:right w:val="single" w:sz="4" w:space="0" w:color="auto"/>
            </w:tcBorders>
            <w:shd w:val="clear" w:color="auto" w:fill="auto"/>
            <w:noWrap/>
            <w:vAlign w:val="center"/>
            <w:hideMark/>
          </w:tcPr>
          <w:p w14:paraId="018C91A5" w14:textId="77777777" w:rsidR="001E0E82" w:rsidRDefault="001E0E82">
            <w:pPr>
              <w:jc w:val="center"/>
              <w:rPr>
                <w:color w:val="000000"/>
              </w:rPr>
            </w:pPr>
            <w:r>
              <w:rPr>
                <w:color w:val="000000"/>
              </w:rPr>
              <w:t>1130</w:t>
            </w:r>
          </w:p>
        </w:tc>
      </w:tr>
      <w:tr w:rsidR="001E0E82" w14:paraId="3650B20C" w14:textId="77777777" w:rsidTr="001E0E8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14:paraId="327C75FC" w14:textId="77777777" w:rsidR="001E0E82" w:rsidRDefault="001E0E82">
            <w:pPr>
              <w:jc w:val="center"/>
              <w:rPr>
                <w:color w:val="000000"/>
              </w:rPr>
            </w:pPr>
            <w:r>
              <w:rPr>
                <w:color w:val="000000"/>
              </w:rPr>
              <w:t>P (GPa)</w:t>
            </w:r>
          </w:p>
        </w:tc>
        <w:tc>
          <w:tcPr>
            <w:tcW w:w="1300" w:type="dxa"/>
            <w:tcBorders>
              <w:top w:val="nil"/>
              <w:left w:val="nil"/>
              <w:bottom w:val="single" w:sz="4" w:space="0" w:color="auto"/>
              <w:right w:val="single" w:sz="4" w:space="0" w:color="auto"/>
            </w:tcBorders>
            <w:shd w:val="clear" w:color="auto" w:fill="auto"/>
            <w:noWrap/>
            <w:vAlign w:val="center"/>
            <w:hideMark/>
          </w:tcPr>
          <w:p w14:paraId="6BC7235E"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51A4B509"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36C20172"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4BBE50D3"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F2F8365"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3CD0A43D"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B399D3D"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5C520846"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2143A79" w14:textId="77777777" w:rsidR="001E0E82" w:rsidRDefault="001E0E82">
            <w:pPr>
              <w:jc w:val="center"/>
              <w:rPr>
                <w:color w:val="000000"/>
              </w:rPr>
            </w:pPr>
            <w:r>
              <w:rPr>
                <w:color w:val="000000"/>
              </w:rPr>
              <w:t>0.5</w:t>
            </w:r>
          </w:p>
        </w:tc>
        <w:tc>
          <w:tcPr>
            <w:tcW w:w="1300" w:type="dxa"/>
            <w:tcBorders>
              <w:top w:val="nil"/>
              <w:left w:val="nil"/>
              <w:bottom w:val="single" w:sz="4" w:space="0" w:color="auto"/>
              <w:right w:val="single" w:sz="4" w:space="0" w:color="auto"/>
            </w:tcBorders>
            <w:shd w:val="clear" w:color="auto" w:fill="auto"/>
            <w:noWrap/>
            <w:vAlign w:val="center"/>
            <w:hideMark/>
          </w:tcPr>
          <w:p w14:paraId="6D141403" w14:textId="77777777" w:rsidR="001E0E82" w:rsidRDefault="001E0E82">
            <w:pPr>
              <w:jc w:val="center"/>
              <w:rPr>
                <w:color w:val="000000"/>
              </w:rPr>
            </w:pPr>
            <w:r>
              <w:rPr>
                <w:color w:val="000000"/>
              </w:rPr>
              <w:t>0.3</w:t>
            </w:r>
          </w:p>
        </w:tc>
      </w:tr>
      <w:tr w:rsidR="001E0E82" w14:paraId="6D2795C7" w14:textId="77777777" w:rsidTr="001E0E8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50CB530C" w14:textId="77777777" w:rsidR="001E0E82" w:rsidRDefault="001E0E82">
            <w:pPr>
              <w:jc w:val="center"/>
              <w:rPr>
                <w:color w:val="000000"/>
              </w:rPr>
            </w:pPr>
            <w:r>
              <w:rPr>
                <w:i/>
                <w:iCs/>
                <w:color w:val="000000"/>
              </w:rPr>
              <w:t>XC</w:t>
            </w: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233DC149"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132CE3C4"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3C2A8C4D"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4755455B"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D5296AA"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546AD318"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13129AB"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761858D0"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1F141FA5" w14:textId="77777777" w:rsidR="001E0E82" w:rsidRDefault="001E0E82">
            <w:pPr>
              <w:jc w:val="center"/>
              <w:rPr>
                <w:color w:val="000000"/>
              </w:rPr>
            </w:pPr>
            <w:r>
              <w:rPr>
                <w:color w:val="000000"/>
              </w:rPr>
              <w:t>0.9406</w:t>
            </w:r>
          </w:p>
        </w:tc>
        <w:tc>
          <w:tcPr>
            <w:tcW w:w="1300" w:type="dxa"/>
            <w:tcBorders>
              <w:top w:val="nil"/>
              <w:left w:val="nil"/>
              <w:bottom w:val="single" w:sz="4" w:space="0" w:color="auto"/>
              <w:right w:val="single" w:sz="4" w:space="0" w:color="auto"/>
            </w:tcBorders>
            <w:shd w:val="clear" w:color="auto" w:fill="auto"/>
            <w:noWrap/>
            <w:vAlign w:val="center"/>
            <w:hideMark/>
          </w:tcPr>
          <w:p w14:paraId="620ECEFC" w14:textId="77777777" w:rsidR="001E0E82" w:rsidRDefault="001E0E82">
            <w:pPr>
              <w:jc w:val="center"/>
              <w:rPr>
                <w:color w:val="000000"/>
              </w:rPr>
            </w:pPr>
            <w:r>
              <w:rPr>
                <w:color w:val="000000"/>
              </w:rPr>
              <w:t>0.8833</w:t>
            </w:r>
          </w:p>
        </w:tc>
      </w:tr>
      <w:tr w:rsidR="001E0E82" w14:paraId="64ED48BA" w14:textId="77777777" w:rsidTr="001E0E8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22A9D347" w14:textId="77777777" w:rsidR="001E0E82" w:rsidRDefault="001E0E82">
            <w:pPr>
              <w:jc w:val="center"/>
              <w:rPr>
                <w:color w:val="000000"/>
              </w:rPr>
            </w:pPr>
            <w:r>
              <w:rPr>
                <w:i/>
                <w:iCs/>
                <w:color w:val="000000"/>
              </w:rPr>
              <w:t>X</w:t>
            </w:r>
            <w:r>
              <w:rPr>
                <w:color w:val="000000"/>
              </w:rPr>
              <w:t>Na</w:t>
            </w:r>
          </w:p>
        </w:tc>
        <w:tc>
          <w:tcPr>
            <w:tcW w:w="1300" w:type="dxa"/>
            <w:tcBorders>
              <w:top w:val="nil"/>
              <w:left w:val="nil"/>
              <w:bottom w:val="single" w:sz="4" w:space="0" w:color="auto"/>
              <w:right w:val="single" w:sz="4" w:space="0" w:color="auto"/>
            </w:tcBorders>
            <w:shd w:val="clear" w:color="auto" w:fill="auto"/>
            <w:noWrap/>
            <w:vAlign w:val="center"/>
            <w:hideMark/>
          </w:tcPr>
          <w:p w14:paraId="681B187E"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72878179"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37EE7C8"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468EC1FE"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DB4FB0C"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530FEA07"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491F353"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0E307665"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43ABFDA" w14:textId="77777777" w:rsidR="001E0E82" w:rsidRDefault="001E0E82">
            <w:pPr>
              <w:jc w:val="center"/>
              <w:rPr>
                <w:color w:val="000000"/>
              </w:rPr>
            </w:pPr>
            <w:r>
              <w:rPr>
                <w:color w:val="000000"/>
              </w:rPr>
              <w:t>0.0594</w:t>
            </w:r>
          </w:p>
        </w:tc>
        <w:tc>
          <w:tcPr>
            <w:tcW w:w="1300" w:type="dxa"/>
            <w:tcBorders>
              <w:top w:val="nil"/>
              <w:left w:val="nil"/>
              <w:bottom w:val="single" w:sz="4" w:space="0" w:color="auto"/>
              <w:right w:val="single" w:sz="4" w:space="0" w:color="auto"/>
            </w:tcBorders>
            <w:shd w:val="clear" w:color="auto" w:fill="auto"/>
            <w:noWrap/>
            <w:vAlign w:val="center"/>
            <w:hideMark/>
          </w:tcPr>
          <w:p w14:paraId="0CDF131F" w14:textId="77777777" w:rsidR="001E0E82" w:rsidRDefault="001E0E82">
            <w:pPr>
              <w:jc w:val="center"/>
              <w:rPr>
                <w:color w:val="000000"/>
              </w:rPr>
            </w:pPr>
            <w:r>
              <w:rPr>
                <w:color w:val="000000"/>
              </w:rPr>
              <w:t>0.1138</w:t>
            </w:r>
          </w:p>
        </w:tc>
      </w:tr>
      <w:tr w:rsidR="001E0E82" w14:paraId="067D28DE" w14:textId="77777777" w:rsidTr="001E0E82">
        <w:trPr>
          <w:trHeight w:val="920"/>
        </w:trPr>
        <w:tc>
          <w:tcPr>
            <w:tcW w:w="1320" w:type="dxa"/>
            <w:tcBorders>
              <w:top w:val="nil"/>
              <w:left w:val="single" w:sz="4" w:space="0" w:color="auto"/>
              <w:bottom w:val="single" w:sz="4" w:space="0" w:color="auto"/>
              <w:right w:val="single" w:sz="4" w:space="0" w:color="auto"/>
            </w:tcBorders>
            <w:shd w:val="clear" w:color="auto" w:fill="auto"/>
            <w:vAlign w:val="center"/>
            <w:hideMark/>
          </w:tcPr>
          <w:p w14:paraId="7E0BF7CF" w14:textId="77777777" w:rsidR="001E0E82" w:rsidRDefault="001E0E82">
            <w:pPr>
              <w:jc w:val="center"/>
              <w:rPr>
                <w:color w:val="000000"/>
              </w:rPr>
            </w:pPr>
            <w:r>
              <w:rPr>
                <w:color w:val="000000"/>
              </w:rPr>
              <w:t>Sample/ Experiment</w:t>
            </w:r>
          </w:p>
        </w:tc>
        <w:tc>
          <w:tcPr>
            <w:tcW w:w="1300" w:type="dxa"/>
            <w:tcBorders>
              <w:top w:val="nil"/>
              <w:left w:val="nil"/>
              <w:bottom w:val="single" w:sz="4" w:space="0" w:color="auto"/>
              <w:right w:val="single" w:sz="4" w:space="0" w:color="auto"/>
            </w:tcBorders>
            <w:shd w:val="clear" w:color="auto" w:fill="auto"/>
            <w:noWrap/>
            <w:vAlign w:val="center"/>
            <w:hideMark/>
          </w:tcPr>
          <w:p w14:paraId="2C2EC426"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1927BAB3"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4323727"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357A89A4"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38FF3471"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318BA10D"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4AE4CEF" w14:textId="77777777" w:rsidR="001E0E82" w:rsidRDefault="001E0E82">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3DCA452A" w14:textId="77777777" w:rsidR="001E0E82" w:rsidRDefault="001E0E82">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vAlign w:val="center"/>
            <w:hideMark/>
          </w:tcPr>
          <w:p w14:paraId="13CC3C05" w14:textId="77777777" w:rsidR="001E0E82" w:rsidRDefault="001E0E82">
            <w:pPr>
              <w:jc w:val="center"/>
              <w:rPr>
                <w:color w:val="000000"/>
              </w:rPr>
            </w:pPr>
            <w:r>
              <w:rPr>
                <w:color w:val="000000"/>
              </w:rPr>
              <w:t>LPUM88 HAO2-5</w:t>
            </w:r>
          </w:p>
        </w:tc>
        <w:tc>
          <w:tcPr>
            <w:tcW w:w="1300" w:type="dxa"/>
            <w:tcBorders>
              <w:top w:val="nil"/>
              <w:left w:val="nil"/>
              <w:bottom w:val="single" w:sz="4" w:space="0" w:color="auto"/>
              <w:right w:val="single" w:sz="4" w:space="0" w:color="auto"/>
            </w:tcBorders>
            <w:shd w:val="clear" w:color="auto" w:fill="auto"/>
            <w:vAlign w:val="center"/>
            <w:hideMark/>
          </w:tcPr>
          <w:p w14:paraId="1D27448A" w14:textId="77777777" w:rsidR="001E0E82" w:rsidRDefault="001E0E82">
            <w:pPr>
              <w:jc w:val="center"/>
              <w:rPr>
                <w:color w:val="000000"/>
              </w:rPr>
            </w:pPr>
            <w:r>
              <w:rPr>
                <w:color w:val="000000"/>
              </w:rPr>
              <w:t>LPUM/02-5 HA02-3</w:t>
            </w:r>
          </w:p>
        </w:tc>
      </w:tr>
    </w:tbl>
    <w:p w14:paraId="67F8638F" w14:textId="6C8B475C" w:rsidR="001E0E82" w:rsidRDefault="001E0E82" w:rsidP="000076D0">
      <w:pPr>
        <w:pStyle w:val="Tables"/>
        <w:rPr>
          <w:b/>
          <w:bCs/>
        </w:rPr>
      </w:pPr>
    </w:p>
    <w:p w14:paraId="3F5C72DB" w14:textId="2E5E4701" w:rsidR="001E0E82" w:rsidRDefault="001E0E82">
      <w:pPr>
        <w:rPr>
          <w:b/>
          <w:bCs/>
          <w:color w:val="000000" w:themeColor="text1"/>
        </w:rPr>
      </w:pPr>
      <w:r>
        <w:rPr>
          <w:b/>
          <w:bCs/>
        </w:rPr>
        <w:br w:type="page"/>
      </w:r>
    </w:p>
    <w:p w14:paraId="71D6BC97" w14:textId="1670F11F" w:rsidR="001E0E82" w:rsidRDefault="001E0E82" w:rsidP="001E0E82">
      <w:r w:rsidRPr="001E0E82">
        <w:rPr>
          <w:b/>
          <w:bCs/>
        </w:rPr>
        <w:lastRenderedPageBreak/>
        <w:t>Table 3.3.</w:t>
      </w:r>
      <w:r>
        <w:t xml:space="preserve"> Continued</w:t>
      </w:r>
      <w:r w:rsidR="00C550F4">
        <w:t>.</w:t>
      </w:r>
    </w:p>
    <w:tbl>
      <w:tblPr>
        <w:tblW w:w="12446" w:type="dxa"/>
        <w:tblLook w:val="04A0" w:firstRow="1" w:lastRow="0" w:firstColumn="1" w:lastColumn="0" w:noHBand="0" w:noVBand="1"/>
      </w:tblPr>
      <w:tblGrid>
        <w:gridCol w:w="1336"/>
        <w:gridCol w:w="1300"/>
        <w:gridCol w:w="1330"/>
        <w:gridCol w:w="820"/>
        <w:gridCol w:w="1300"/>
        <w:gridCol w:w="820"/>
        <w:gridCol w:w="1300"/>
        <w:gridCol w:w="820"/>
        <w:gridCol w:w="1300"/>
        <w:gridCol w:w="820"/>
        <w:gridCol w:w="1300"/>
      </w:tblGrid>
      <w:tr w:rsidR="00C550F4" w14:paraId="3FAD846A" w14:textId="77777777" w:rsidTr="00782D41">
        <w:trPr>
          <w:trHeight w:val="340"/>
        </w:trPr>
        <w:tc>
          <w:tcPr>
            <w:tcW w:w="13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8A94A" w14:textId="77777777" w:rsidR="00C550F4" w:rsidRDefault="00C550F4">
            <w:pPr>
              <w:jc w:val="center"/>
              <w:rPr>
                <w:color w:val="000000"/>
              </w:rPr>
            </w:pPr>
            <w:r>
              <w:rPr>
                <w:color w:val="000000"/>
              </w:rPr>
              <w:t>Element</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475375B7" w14:textId="0518862A" w:rsidR="00C550F4" w:rsidRDefault="00C550F4">
            <w:pPr>
              <w:jc w:val="center"/>
              <w:rPr>
                <w:color w:val="000000"/>
              </w:rPr>
            </w:pPr>
            <w:r>
              <w:rPr>
                <w:color w:val="000000"/>
              </w:rPr>
              <w:t>Plag (</w:t>
            </w:r>
            <w:r w:rsidR="00B617A4">
              <w:rPr>
                <w:color w:val="000000"/>
              </w:rPr>
              <w:t>D</w:t>
            </w:r>
            <w:r>
              <w:rPr>
                <w:color w:val="000000"/>
              </w:rPr>
              <w:t>)</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67D7D4A8" w14:textId="76B69A3E" w:rsidR="00C550F4" w:rsidRDefault="00C550F4">
            <w:pPr>
              <w:jc w:val="center"/>
              <w:rPr>
                <w:color w:val="000000"/>
              </w:rPr>
            </w:pPr>
            <w:r>
              <w:rPr>
                <w:color w:val="000000"/>
              </w:rPr>
              <w:t>Plag (</w:t>
            </w:r>
            <w:r w:rsidR="00B617A4">
              <w:rPr>
                <w:color w:val="000000"/>
              </w:rPr>
              <w:t>D</w:t>
            </w:r>
            <w:r>
              <w:rPr>
                <w:color w:val="000000"/>
              </w:rPr>
              <w:t>)</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5E060F70" w14:textId="77777777" w:rsidR="00C550F4" w:rsidRDefault="00C550F4">
            <w:pPr>
              <w:jc w:val="center"/>
              <w:rPr>
                <w:color w:val="000000"/>
              </w:rPr>
            </w:pPr>
            <w:r>
              <w:rPr>
                <w:color w:val="000000"/>
              </w:rPr>
              <w:t>ref.</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298B36CC" w14:textId="36B74091" w:rsidR="00C550F4" w:rsidRDefault="00C550F4">
            <w:pPr>
              <w:jc w:val="center"/>
              <w:rPr>
                <w:color w:val="000000"/>
              </w:rPr>
            </w:pPr>
            <w:r>
              <w:rPr>
                <w:color w:val="000000"/>
              </w:rPr>
              <w:t>Ilm (</w:t>
            </w:r>
            <w:r w:rsidR="00B617A4">
              <w:rPr>
                <w:color w:val="000000"/>
              </w:rPr>
              <w:t>D</w:t>
            </w:r>
            <w:r>
              <w:rPr>
                <w:color w:val="000000"/>
              </w:rPr>
              <w:t>)</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5CC1F44B" w14:textId="77777777" w:rsidR="00C550F4" w:rsidRDefault="00C550F4">
            <w:pPr>
              <w:jc w:val="center"/>
              <w:rPr>
                <w:color w:val="000000"/>
              </w:rPr>
            </w:pPr>
            <w:r>
              <w:rPr>
                <w:color w:val="000000"/>
              </w:rPr>
              <w:t>ref.</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17C5C654" w14:textId="62AE2261" w:rsidR="00C550F4" w:rsidRDefault="00C550F4">
            <w:pPr>
              <w:jc w:val="center"/>
              <w:rPr>
                <w:color w:val="000000"/>
              </w:rPr>
            </w:pPr>
            <w:r>
              <w:rPr>
                <w:color w:val="000000"/>
              </w:rPr>
              <w:t>Qtz (</w:t>
            </w:r>
            <w:r w:rsidR="00B617A4">
              <w:rPr>
                <w:color w:val="000000"/>
              </w:rPr>
              <w:t>D</w:t>
            </w:r>
            <w:r>
              <w:rPr>
                <w:color w:val="000000"/>
              </w:rPr>
              <w:t>)</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19563945" w14:textId="77777777" w:rsidR="00C550F4" w:rsidRDefault="00C550F4">
            <w:pPr>
              <w:jc w:val="center"/>
              <w:rPr>
                <w:color w:val="000000"/>
              </w:rPr>
            </w:pPr>
            <w:r>
              <w:rPr>
                <w:color w:val="000000"/>
              </w:rPr>
              <w:t>ref.</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1BDFBAC0" w14:textId="43295DEB" w:rsidR="00C550F4" w:rsidRDefault="00C550F4">
            <w:pPr>
              <w:jc w:val="center"/>
              <w:rPr>
                <w:color w:val="000000"/>
              </w:rPr>
            </w:pPr>
            <w:r>
              <w:rPr>
                <w:color w:val="000000"/>
              </w:rPr>
              <w:t>Core (</w:t>
            </w:r>
            <w:r w:rsidR="00B617A4">
              <w:rPr>
                <w:color w:val="000000"/>
              </w:rPr>
              <w:t>D</w:t>
            </w:r>
            <w:r>
              <w:rPr>
                <w:color w:val="000000"/>
              </w:rPr>
              <w:t>)</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710C1171" w14:textId="77777777" w:rsidR="00C550F4" w:rsidRDefault="00C550F4">
            <w:pPr>
              <w:jc w:val="center"/>
              <w:rPr>
                <w:color w:val="000000"/>
              </w:rPr>
            </w:pPr>
            <w:r>
              <w:rPr>
                <w:color w:val="000000"/>
              </w:rPr>
              <w:t>ref.</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77061701" w14:textId="637117A7" w:rsidR="00C550F4" w:rsidRDefault="00C550F4">
            <w:pPr>
              <w:jc w:val="center"/>
              <w:rPr>
                <w:color w:val="000000"/>
              </w:rPr>
            </w:pPr>
            <w:r>
              <w:rPr>
                <w:color w:val="000000"/>
              </w:rPr>
              <w:t>Int-Mlt (</w:t>
            </w:r>
            <w:r w:rsidR="00B617A4">
              <w:rPr>
                <w:color w:val="000000"/>
              </w:rPr>
              <w:t>D</w:t>
            </w:r>
            <w:r>
              <w:rPr>
                <w:color w:val="000000"/>
              </w:rPr>
              <w:t>)</w:t>
            </w:r>
          </w:p>
        </w:tc>
      </w:tr>
      <w:tr w:rsidR="00C550F4" w14:paraId="482D6B3D" w14:textId="77777777" w:rsidTr="00782D41">
        <w:trPr>
          <w:trHeight w:val="320"/>
        </w:trPr>
        <w:tc>
          <w:tcPr>
            <w:tcW w:w="1336" w:type="dxa"/>
            <w:tcBorders>
              <w:top w:val="nil"/>
              <w:left w:val="single" w:sz="4" w:space="0" w:color="auto"/>
              <w:bottom w:val="single" w:sz="4" w:space="0" w:color="auto"/>
              <w:right w:val="single" w:sz="4" w:space="0" w:color="auto"/>
            </w:tcBorders>
            <w:shd w:val="clear" w:color="auto" w:fill="auto"/>
            <w:noWrap/>
            <w:vAlign w:val="center"/>
            <w:hideMark/>
          </w:tcPr>
          <w:p w14:paraId="7EBDA481" w14:textId="77777777" w:rsidR="00C550F4" w:rsidRDefault="00C550F4">
            <w:pPr>
              <w:jc w:val="center"/>
              <w:rPr>
                <w:color w:val="000000"/>
              </w:rPr>
            </w:pPr>
            <w:r>
              <w:rPr>
                <w:color w:val="000000"/>
              </w:rPr>
              <w:t>Th</w:t>
            </w:r>
          </w:p>
        </w:tc>
        <w:tc>
          <w:tcPr>
            <w:tcW w:w="1300" w:type="dxa"/>
            <w:tcBorders>
              <w:top w:val="nil"/>
              <w:left w:val="nil"/>
              <w:bottom w:val="single" w:sz="4" w:space="0" w:color="auto"/>
              <w:right w:val="single" w:sz="4" w:space="0" w:color="auto"/>
            </w:tcBorders>
            <w:shd w:val="clear" w:color="auto" w:fill="auto"/>
            <w:noWrap/>
            <w:vAlign w:val="center"/>
            <w:hideMark/>
          </w:tcPr>
          <w:p w14:paraId="4C5CEC70" w14:textId="77777777" w:rsidR="00C550F4" w:rsidRDefault="00C550F4">
            <w:pPr>
              <w:jc w:val="center"/>
              <w:rPr>
                <w:color w:val="000000"/>
              </w:rPr>
            </w:pPr>
            <w:r>
              <w:rPr>
                <w:color w:val="000000"/>
              </w:rPr>
              <w:t>9.10E-04</w:t>
            </w:r>
          </w:p>
        </w:tc>
        <w:tc>
          <w:tcPr>
            <w:tcW w:w="1330" w:type="dxa"/>
            <w:tcBorders>
              <w:top w:val="nil"/>
              <w:left w:val="nil"/>
              <w:bottom w:val="single" w:sz="4" w:space="0" w:color="auto"/>
              <w:right w:val="single" w:sz="4" w:space="0" w:color="auto"/>
            </w:tcBorders>
            <w:shd w:val="clear" w:color="auto" w:fill="auto"/>
            <w:noWrap/>
            <w:vAlign w:val="center"/>
            <w:hideMark/>
          </w:tcPr>
          <w:p w14:paraId="23E75D08" w14:textId="77777777" w:rsidR="00C550F4" w:rsidRDefault="00C550F4">
            <w:pPr>
              <w:jc w:val="center"/>
              <w:rPr>
                <w:color w:val="000000"/>
              </w:rPr>
            </w:pPr>
            <w:r>
              <w:rPr>
                <w:color w:val="000000"/>
              </w:rPr>
              <w:t>9.10E-04</w:t>
            </w:r>
          </w:p>
        </w:tc>
        <w:tc>
          <w:tcPr>
            <w:tcW w:w="820" w:type="dxa"/>
            <w:tcBorders>
              <w:top w:val="nil"/>
              <w:left w:val="nil"/>
              <w:bottom w:val="single" w:sz="4" w:space="0" w:color="auto"/>
              <w:right w:val="single" w:sz="4" w:space="0" w:color="auto"/>
            </w:tcBorders>
            <w:shd w:val="clear" w:color="auto" w:fill="auto"/>
            <w:noWrap/>
            <w:vAlign w:val="center"/>
            <w:hideMark/>
          </w:tcPr>
          <w:p w14:paraId="7DE8B54C" w14:textId="77777777" w:rsidR="00C550F4" w:rsidRDefault="00C550F4">
            <w:pPr>
              <w:jc w:val="center"/>
              <w:rPr>
                <w:color w:val="000000"/>
              </w:rPr>
            </w:pPr>
            <w:r>
              <w:rPr>
                <w:color w:val="000000"/>
              </w:rPr>
              <w:t>e</w:t>
            </w:r>
          </w:p>
        </w:tc>
        <w:tc>
          <w:tcPr>
            <w:tcW w:w="1300" w:type="dxa"/>
            <w:tcBorders>
              <w:top w:val="nil"/>
              <w:left w:val="nil"/>
              <w:bottom w:val="single" w:sz="4" w:space="0" w:color="auto"/>
              <w:right w:val="single" w:sz="4" w:space="0" w:color="auto"/>
            </w:tcBorders>
            <w:shd w:val="clear" w:color="auto" w:fill="auto"/>
            <w:noWrap/>
            <w:vAlign w:val="center"/>
            <w:hideMark/>
          </w:tcPr>
          <w:p w14:paraId="63802A0E" w14:textId="77777777" w:rsidR="00C550F4" w:rsidRDefault="00C550F4">
            <w:pPr>
              <w:jc w:val="center"/>
              <w:rPr>
                <w:color w:val="000000"/>
              </w:rPr>
            </w:pPr>
            <w:r>
              <w:rPr>
                <w:color w:val="000000"/>
              </w:rPr>
              <w:t>4.30E-04</w:t>
            </w:r>
          </w:p>
        </w:tc>
        <w:tc>
          <w:tcPr>
            <w:tcW w:w="820" w:type="dxa"/>
            <w:tcBorders>
              <w:top w:val="nil"/>
              <w:left w:val="nil"/>
              <w:bottom w:val="single" w:sz="4" w:space="0" w:color="auto"/>
              <w:right w:val="single" w:sz="4" w:space="0" w:color="auto"/>
            </w:tcBorders>
            <w:shd w:val="clear" w:color="auto" w:fill="auto"/>
            <w:noWrap/>
            <w:vAlign w:val="center"/>
            <w:hideMark/>
          </w:tcPr>
          <w:p w14:paraId="46DA4842" w14:textId="77777777" w:rsidR="00C550F4" w:rsidRDefault="00C550F4">
            <w:pPr>
              <w:jc w:val="center"/>
              <w:rPr>
                <w:color w:val="000000"/>
              </w:rPr>
            </w:pPr>
            <w:r>
              <w:rPr>
                <w:color w:val="000000"/>
              </w:rPr>
              <w:t>b</w:t>
            </w:r>
          </w:p>
        </w:tc>
        <w:tc>
          <w:tcPr>
            <w:tcW w:w="1300" w:type="dxa"/>
            <w:tcBorders>
              <w:top w:val="nil"/>
              <w:left w:val="nil"/>
              <w:bottom w:val="single" w:sz="4" w:space="0" w:color="auto"/>
              <w:right w:val="single" w:sz="4" w:space="0" w:color="auto"/>
            </w:tcBorders>
            <w:shd w:val="clear" w:color="auto" w:fill="auto"/>
            <w:noWrap/>
            <w:vAlign w:val="center"/>
            <w:hideMark/>
          </w:tcPr>
          <w:p w14:paraId="3F12D867" w14:textId="77777777" w:rsidR="00C550F4" w:rsidRDefault="00C550F4">
            <w:pPr>
              <w:jc w:val="center"/>
              <w:rPr>
                <w:color w:val="000000"/>
              </w:rPr>
            </w:pPr>
            <w:r>
              <w:rPr>
                <w:color w:val="000000"/>
              </w:rPr>
              <w:t>9.00E-03</w:t>
            </w:r>
          </w:p>
        </w:tc>
        <w:tc>
          <w:tcPr>
            <w:tcW w:w="820" w:type="dxa"/>
            <w:tcBorders>
              <w:top w:val="nil"/>
              <w:left w:val="nil"/>
              <w:bottom w:val="single" w:sz="4" w:space="0" w:color="auto"/>
              <w:right w:val="single" w:sz="4" w:space="0" w:color="auto"/>
            </w:tcBorders>
            <w:shd w:val="clear" w:color="auto" w:fill="auto"/>
            <w:noWrap/>
            <w:vAlign w:val="center"/>
            <w:hideMark/>
          </w:tcPr>
          <w:p w14:paraId="5104CBBF" w14:textId="77777777" w:rsidR="00C550F4" w:rsidRDefault="00C550F4">
            <w:pPr>
              <w:jc w:val="center"/>
              <w:rPr>
                <w:color w:val="000000"/>
              </w:rPr>
            </w:pPr>
            <w:r>
              <w:rPr>
                <w:color w:val="000000"/>
              </w:rPr>
              <w:t>f</w:t>
            </w:r>
          </w:p>
        </w:tc>
        <w:tc>
          <w:tcPr>
            <w:tcW w:w="1300" w:type="dxa"/>
            <w:tcBorders>
              <w:top w:val="nil"/>
              <w:left w:val="nil"/>
              <w:bottom w:val="single" w:sz="4" w:space="0" w:color="auto"/>
              <w:right w:val="single" w:sz="4" w:space="0" w:color="auto"/>
            </w:tcBorders>
            <w:shd w:val="clear" w:color="auto" w:fill="auto"/>
            <w:noWrap/>
            <w:vAlign w:val="center"/>
            <w:hideMark/>
          </w:tcPr>
          <w:p w14:paraId="4009408B" w14:textId="77777777" w:rsidR="00C550F4" w:rsidRDefault="00C550F4">
            <w:pPr>
              <w:jc w:val="center"/>
              <w:rPr>
                <w:color w:val="000000"/>
              </w:rPr>
            </w:pPr>
            <w:r>
              <w:rPr>
                <w:color w:val="000000"/>
              </w:rPr>
              <w:t>3.86E-05</w:t>
            </w:r>
          </w:p>
        </w:tc>
        <w:tc>
          <w:tcPr>
            <w:tcW w:w="820" w:type="dxa"/>
            <w:tcBorders>
              <w:top w:val="nil"/>
              <w:left w:val="nil"/>
              <w:bottom w:val="single" w:sz="4" w:space="0" w:color="auto"/>
              <w:right w:val="single" w:sz="4" w:space="0" w:color="auto"/>
            </w:tcBorders>
            <w:shd w:val="clear" w:color="auto" w:fill="auto"/>
            <w:noWrap/>
            <w:vAlign w:val="center"/>
            <w:hideMark/>
          </w:tcPr>
          <w:p w14:paraId="3DFDEC63" w14:textId="77777777" w:rsidR="00C550F4" w:rsidRDefault="00C550F4">
            <w:pPr>
              <w:jc w:val="center"/>
              <w:rPr>
                <w:color w:val="000000"/>
              </w:rPr>
            </w:pPr>
            <w:r>
              <w:rPr>
                <w:color w:val="000000"/>
              </w:rPr>
              <w:t>g</w:t>
            </w:r>
          </w:p>
        </w:tc>
        <w:tc>
          <w:tcPr>
            <w:tcW w:w="1300" w:type="dxa"/>
            <w:tcBorders>
              <w:top w:val="nil"/>
              <w:left w:val="nil"/>
              <w:bottom w:val="single" w:sz="4" w:space="0" w:color="auto"/>
              <w:right w:val="single" w:sz="4" w:space="0" w:color="auto"/>
            </w:tcBorders>
            <w:shd w:val="clear" w:color="auto" w:fill="auto"/>
            <w:noWrap/>
            <w:vAlign w:val="center"/>
            <w:hideMark/>
          </w:tcPr>
          <w:p w14:paraId="51626E47" w14:textId="77777777" w:rsidR="00C550F4" w:rsidRDefault="00C550F4">
            <w:pPr>
              <w:jc w:val="center"/>
              <w:rPr>
                <w:color w:val="000000"/>
              </w:rPr>
            </w:pPr>
            <w:r>
              <w:rPr>
                <w:color w:val="000000"/>
              </w:rPr>
              <w:t>1</w:t>
            </w:r>
          </w:p>
        </w:tc>
      </w:tr>
      <w:tr w:rsidR="00C550F4" w14:paraId="6FDF7F50" w14:textId="77777777" w:rsidTr="00782D41">
        <w:trPr>
          <w:trHeight w:val="320"/>
        </w:trPr>
        <w:tc>
          <w:tcPr>
            <w:tcW w:w="1336" w:type="dxa"/>
            <w:tcBorders>
              <w:top w:val="nil"/>
              <w:left w:val="single" w:sz="4" w:space="0" w:color="auto"/>
              <w:bottom w:val="single" w:sz="4" w:space="0" w:color="auto"/>
              <w:right w:val="single" w:sz="4" w:space="0" w:color="auto"/>
            </w:tcBorders>
            <w:shd w:val="clear" w:color="auto" w:fill="auto"/>
            <w:noWrap/>
            <w:vAlign w:val="center"/>
            <w:hideMark/>
          </w:tcPr>
          <w:p w14:paraId="1177EE03" w14:textId="77777777" w:rsidR="00C550F4" w:rsidRDefault="00C550F4">
            <w:pPr>
              <w:jc w:val="center"/>
              <w:rPr>
                <w:color w:val="000000"/>
              </w:rPr>
            </w:pPr>
            <w:r>
              <w:rPr>
                <w:color w:val="000000"/>
              </w:rPr>
              <w:t>U</w:t>
            </w:r>
          </w:p>
        </w:tc>
        <w:tc>
          <w:tcPr>
            <w:tcW w:w="1300" w:type="dxa"/>
            <w:tcBorders>
              <w:top w:val="nil"/>
              <w:left w:val="nil"/>
              <w:bottom w:val="single" w:sz="4" w:space="0" w:color="auto"/>
              <w:right w:val="single" w:sz="4" w:space="0" w:color="auto"/>
            </w:tcBorders>
            <w:shd w:val="clear" w:color="auto" w:fill="auto"/>
            <w:noWrap/>
            <w:vAlign w:val="center"/>
            <w:hideMark/>
          </w:tcPr>
          <w:p w14:paraId="40F29D51" w14:textId="77777777" w:rsidR="00C550F4" w:rsidRDefault="00C550F4">
            <w:pPr>
              <w:jc w:val="center"/>
              <w:rPr>
                <w:color w:val="000000"/>
              </w:rPr>
            </w:pPr>
            <w:r>
              <w:rPr>
                <w:color w:val="000000"/>
              </w:rPr>
              <w:t>5.60E-04</w:t>
            </w:r>
          </w:p>
        </w:tc>
        <w:tc>
          <w:tcPr>
            <w:tcW w:w="1330" w:type="dxa"/>
            <w:tcBorders>
              <w:top w:val="nil"/>
              <w:left w:val="nil"/>
              <w:bottom w:val="single" w:sz="4" w:space="0" w:color="auto"/>
              <w:right w:val="single" w:sz="4" w:space="0" w:color="auto"/>
            </w:tcBorders>
            <w:shd w:val="clear" w:color="auto" w:fill="auto"/>
            <w:noWrap/>
            <w:vAlign w:val="center"/>
            <w:hideMark/>
          </w:tcPr>
          <w:p w14:paraId="3689F70E" w14:textId="77777777" w:rsidR="00C550F4" w:rsidRDefault="00C550F4">
            <w:pPr>
              <w:jc w:val="center"/>
              <w:rPr>
                <w:color w:val="000000"/>
              </w:rPr>
            </w:pPr>
            <w:r>
              <w:rPr>
                <w:color w:val="000000"/>
              </w:rPr>
              <w:t>5.60E-04</w:t>
            </w:r>
          </w:p>
        </w:tc>
        <w:tc>
          <w:tcPr>
            <w:tcW w:w="820" w:type="dxa"/>
            <w:tcBorders>
              <w:top w:val="nil"/>
              <w:left w:val="nil"/>
              <w:bottom w:val="single" w:sz="4" w:space="0" w:color="auto"/>
              <w:right w:val="single" w:sz="4" w:space="0" w:color="auto"/>
            </w:tcBorders>
            <w:shd w:val="clear" w:color="auto" w:fill="auto"/>
            <w:noWrap/>
            <w:vAlign w:val="center"/>
            <w:hideMark/>
          </w:tcPr>
          <w:p w14:paraId="65D7AAA0" w14:textId="77777777" w:rsidR="00C550F4" w:rsidRDefault="00C550F4">
            <w:pPr>
              <w:jc w:val="center"/>
              <w:rPr>
                <w:color w:val="000000"/>
              </w:rPr>
            </w:pPr>
            <w:r>
              <w:rPr>
                <w:color w:val="000000"/>
              </w:rPr>
              <w:t>e</w:t>
            </w:r>
          </w:p>
        </w:tc>
        <w:tc>
          <w:tcPr>
            <w:tcW w:w="1300" w:type="dxa"/>
            <w:tcBorders>
              <w:top w:val="nil"/>
              <w:left w:val="nil"/>
              <w:bottom w:val="single" w:sz="4" w:space="0" w:color="auto"/>
              <w:right w:val="single" w:sz="4" w:space="0" w:color="auto"/>
            </w:tcBorders>
            <w:shd w:val="clear" w:color="auto" w:fill="auto"/>
            <w:noWrap/>
            <w:vAlign w:val="center"/>
            <w:hideMark/>
          </w:tcPr>
          <w:p w14:paraId="1DB9B476" w14:textId="77777777" w:rsidR="00C550F4" w:rsidRDefault="00C550F4">
            <w:pPr>
              <w:jc w:val="center"/>
              <w:rPr>
                <w:color w:val="000000"/>
              </w:rPr>
            </w:pPr>
            <w:r>
              <w:rPr>
                <w:color w:val="000000"/>
              </w:rPr>
              <w:t>1.90E-03</w:t>
            </w:r>
          </w:p>
        </w:tc>
        <w:tc>
          <w:tcPr>
            <w:tcW w:w="820" w:type="dxa"/>
            <w:tcBorders>
              <w:top w:val="nil"/>
              <w:left w:val="nil"/>
              <w:bottom w:val="single" w:sz="4" w:space="0" w:color="auto"/>
              <w:right w:val="single" w:sz="4" w:space="0" w:color="auto"/>
            </w:tcBorders>
            <w:shd w:val="clear" w:color="auto" w:fill="auto"/>
            <w:noWrap/>
            <w:vAlign w:val="center"/>
            <w:hideMark/>
          </w:tcPr>
          <w:p w14:paraId="784CE1C3" w14:textId="77777777" w:rsidR="00C550F4" w:rsidRDefault="00C550F4">
            <w:pPr>
              <w:jc w:val="center"/>
              <w:rPr>
                <w:color w:val="000000"/>
              </w:rPr>
            </w:pPr>
            <w:r>
              <w:rPr>
                <w:color w:val="000000"/>
              </w:rPr>
              <w:t>b</w:t>
            </w:r>
          </w:p>
        </w:tc>
        <w:tc>
          <w:tcPr>
            <w:tcW w:w="1300" w:type="dxa"/>
            <w:tcBorders>
              <w:top w:val="nil"/>
              <w:left w:val="nil"/>
              <w:bottom w:val="single" w:sz="4" w:space="0" w:color="auto"/>
              <w:right w:val="single" w:sz="4" w:space="0" w:color="auto"/>
            </w:tcBorders>
            <w:shd w:val="clear" w:color="auto" w:fill="auto"/>
            <w:noWrap/>
            <w:vAlign w:val="center"/>
            <w:hideMark/>
          </w:tcPr>
          <w:p w14:paraId="387E004F" w14:textId="77777777" w:rsidR="00C550F4" w:rsidRDefault="00C550F4">
            <w:pPr>
              <w:jc w:val="center"/>
              <w:rPr>
                <w:color w:val="000000"/>
              </w:rPr>
            </w:pPr>
            <w:r>
              <w:rPr>
                <w:color w:val="000000"/>
              </w:rPr>
              <w:t>2.80E-02</w:t>
            </w:r>
          </w:p>
        </w:tc>
        <w:tc>
          <w:tcPr>
            <w:tcW w:w="820" w:type="dxa"/>
            <w:tcBorders>
              <w:top w:val="nil"/>
              <w:left w:val="nil"/>
              <w:bottom w:val="single" w:sz="4" w:space="0" w:color="auto"/>
              <w:right w:val="single" w:sz="4" w:space="0" w:color="auto"/>
            </w:tcBorders>
            <w:shd w:val="clear" w:color="auto" w:fill="auto"/>
            <w:noWrap/>
            <w:vAlign w:val="center"/>
            <w:hideMark/>
          </w:tcPr>
          <w:p w14:paraId="54DEA3F3" w14:textId="77777777" w:rsidR="00C550F4" w:rsidRDefault="00C550F4">
            <w:pPr>
              <w:jc w:val="center"/>
              <w:rPr>
                <w:color w:val="000000"/>
              </w:rPr>
            </w:pPr>
            <w:r>
              <w:rPr>
                <w:color w:val="000000"/>
              </w:rPr>
              <w:t>f</w:t>
            </w:r>
          </w:p>
        </w:tc>
        <w:tc>
          <w:tcPr>
            <w:tcW w:w="1300" w:type="dxa"/>
            <w:tcBorders>
              <w:top w:val="nil"/>
              <w:left w:val="nil"/>
              <w:bottom w:val="single" w:sz="4" w:space="0" w:color="auto"/>
              <w:right w:val="single" w:sz="4" w:space="0" w:color="auto"/>
            </w:tcBorders>
            <w:shd w:val="clear" w:color="auto" w:fill="auto"/>
            <w:noWrap/>
            <w:vAlign w:val="center"/>
            <w:hideMark/>
          </w:tcPr>
          <w:p w14:paraId="7C448587" w14:textId="77777777" w:rsidR="00C550F4" w:rsidRDefault="00C550F4">
            <w:pPr>
              <w:jc w:val="center"/>
              <w:rPr>
                <w:color w:val="000000"/>
              </w:rPr>
            </w:pPr>
            <w:r>
              <w:rPr>
                <w:color w:val="000000"/>
              </w:rPr>
              <w:t>5.65E-05</w:t>
            </w:r>
          </w:p>
        </w:tc>
        <w:tc>
          <w:tcPr>
            <w:tcW w:w="820" w:type="dxa"/>
            <w:tcBorders>
              <w:top w:val="nil"/>
              <w:left w:val="nil"/>
              <w:bottom w:val="single" w:sz="4" w:space="0" w:color="auto"/>
              <w:right w:val="single" w:sz="4" w:space="0" w:color="auto"/>
            </w:tcBorders>
            <w:shd w:val="clear" w:color="auto" w:fill="auto"/>
            <w:noWrap/>
            <w:vAlign w:val="center"/>
            <w:hideMark/>
          </w:tcPr>
          <w:p w14:paraId="6BC38D97" w14:textId="77777777" w:rsidR="00C550F4" w:rsidRDefault="00C550F4">
            <w:pPr>
              <w:jc w:val="center"/>
              <w:rPr>
                <w:color w:val="000000"/>
              </w:rPr>
            </w:pPr>
            <w:r>
              <w:rPr>
                <w:color w:val="000000"/>
              </w:rPr>
              <w:t>g</w:t>
            </w:r>
          </w:p>
        </w:tc>
        <w:tc>
          <w:tcPr>
            <w:tcW w:w="1300" w:type="dxa"/>
            <w:tcBorders>
              <w:top w:val="nil"/>
              <w:left w:val="nil"/>
              <w:bottom w:val="single" w:sz="4" w:space="0" w:color="auto"/>
              <w:right w:val="single" w:sz="4" w:space="0" w:color="auto"/>
            </w:tcBorders>
            <w:shd w:val="clear" w:color="auto" w:fill="auto"/>
            <w:noWrap/>
            <w:vAlign w:val="center"/>
            <w:hideMark/>
          </w:tcPr>
          <w:p w14:paraId="481BDC4E" w14:textId="77777777" w:rsidR="00C550F4" w:rsidRDefault="00C550F4">
            <w:pPr>
              <w:jc w:val="center"/>
              <w:rPr>
                <w:color w:val="000000"/>
              </w:rPr>
            </w:pPr>
            <w:r>
              <w:rPr>
                <w:color w:val="000000"/>
              </w:rPr>
              <w:t>1</w:t>
            </w:r>
          </w:p>
        </w:tc>
      </w:tr>
      <w:tr w:rsidR="00C550F4" w14:paraId="6CD9C216" w14:textId="77777777" w:rsidTr="00782D41">
        <w:trPr>
          <w:trHeight w:val="320"/>
        </w:trPr>
        <w:tc>
          <w:tcPr>
            <w:tcW w:w="1336" w:type="dxa"/>
            <w:tcBorders>
              <w:top w:val="nil"/>
              <w:left w:val="single" w:sz="4" w:space="0" w:color="auto"/>
              <w:bottom w:val="single" w:sz="4" w:space="0" w:color="auto"/>
              <w:right w:val="single" w:sz="4" w:space="0" w:color="auto"/>
            </w:tcBorders>
            <w:shd w:val="clear" w:color="auto" w:fill="auto"/>
            <w:noWrap/>
            <w:vAlign w:val="center"/>
            <w:hideMark/>
          </w:tcPr>
          <w:p w14:paraId="6C241E3D" w14:textId="77777777" w:rsidR="00C550F4" w:rsidRDefault="00C550F4">
            <w:pPr>
              <w:jc w:val="center"/>
              <w:rPr>
                <w:color w:val="000000"/>
              </w:rPr>
            </w:pPr>
            <w:r>
              <w:rPr>
                <w:color w:val="000000"/>
              </w:rPr>
              <w:t>K</w:t>
            </w:r>
          </w:p>
        </w:tc>
        <w:tc>
          <w:tcPr>
            <w:tcW w:w="1300" w:type="dxa"/>
            <w:tcBorders>
              <w:top w:val="nil"/>
              <w:left w:val="nil"/>
              <w:bottom w:val="single" w:sz="4" w:space="0" w:color="auto"/>
              <w:right w:val="single" w:sz="4" w:space="0" w:color="auto"/>
            </w:tcBorders>
            <w:shd w:val="clear" w:color="auto" w:fill="auto"/>
            <w:noWrap/>
            <w:vAlign w:val="center"/>
            <w:hideMark/>
          </w:tcPr>
          <w:p w14:paraId="40A905DE" w14:textId="77777777" w:rsidR="00C550F4" w:rsidRDefault="00C550F4">
            <w:pPr>
              <w:jc w:val="center"/>
              <w:rPr>
                <w:color w:val="000000"/>
              </w:rPr>
            </w:pPr>
            <w:r>
              <w:rPr>
                <w:color w:val="000000"/>
              </w:rPr>
              <w:t>6.44E-01</w:t>
            </w:r>
          </w:p>
        </w:tc>
        <w:tc>
          <w:tcPr>
            <w:tcW w:w="1330" w:type="dxa"/>
            <w:tcBorders>
              <w:top w:val="nil"/>
              <w:left w:val="nil"/>
              <w:bottom w:val="single" w:sz="4" w:space="0" w:color="auto"/>
              <w:right w:val="single" w:sz="4" w:space="0" w:color="auto"/>
            </w:tcBorders>
            <w:shd w:val="clear" w:color="auto" w:fill="auto"/>
            <w:noWrap/>
            <w:vAlign w:val="center"/>
            <w:hideMark/>
          </w:tcPr>
          <w:p w14:paraId="2F52EB4B" w14:textId="77777777" w:rsidR="00C550F4" w:rsidRDefault="00C550F4">
            <w:pPr>
              <w:jc w:val="center"/>
              <w:rPr>
                <w:color w:val="000000"/>
              </w:rPr>
            </w:pPr>
            <w:r>
              <w:rPr>
                <w:color w:val="000000"/>
              </w:rPr>
              <w:t>6.10E-01</w:t>
            </w:r>
          </w:p>
        </w:tc>
        <w:tc>
          <w:tcPr>
            <w:tcW w:w="820" w:type="dxa"/>
            <w:tcBorders>
              <w:top w:val="nil"/>
              <w:left w:val="nil"/>
              <w:bottom w:val="single" w:sz="4" w:space="0" w:color="auto"/>
              <w:right w:val="single" w:sz="4" w:space="0" w:color="auto"/>
            </w:tcBorders>
            <w:shd w:val="clear" w:color="auto" w:fill="auto"/>
            <w:noWrap/>
            <w:vAlign w:val="center"/>
            <w:hideMark/>
          </w:tcPr>
          <w:p w14:paraId="1B196754" w14:textId="77777777" w:rsidR="00C550F4" w:rsidRDefault="00C550F4">
            <w:pPr>
              <w:jc w:val="center"/>
              <w:rPr>
                <w:color w:val="000000"/>
              </w:rPr>
            </w:pPr>
            <w:r>
              <w:rPr>
                <w:color w:val="000000"/>
              </w:rPr>
              <w:t>e, Cal.</w:t>
            </w:r>
          </w:p>
        </w:tc>
        <w:tc>
          <w:tcPr>
            <w:tcW w:w="1300" w:type="dxa"/>
            <w:tcBorders>
              <w:top w:val="nil"/>
              <w:left w:val="nil"/>
              <w:bottom w:val="single" w:sz="4" w:space="0" w:color="auto"/>
              <w:right w:val="single" w:sz="4" w:space="0" w:color="auto"/>
            </w:tcBorders>
            <w:shd w:val="clear" w:color="auto" w:fill="auto"/>
            <w:noWrap/>
            <w:vAlign w:val="center"/>
            <w:hideMark/>
          </w:tcPr>
          <w:p w14:paraId="389DB524" w14:textId="77777777" w:rsidR="00C550F4" w:rsidRDefault="00C550F4">
            <w:pPr>
              <w:jc w:val="center"/>
              <w:rPr>
                <w:color w:val="000000"/>
              </w:rPr>
            </w:pPr>
            <w:r>
              <w:rPr>
                <w:color w:val="000000"/>
              </w:rPr>
              <w:t>3.32E-02</w:t>
            </w:r>
          </w:p>
        </w:tc>
        <w:tc>
          <w:tcPr>
            <w:tcW w:w="820" w:type="dxa"/>
            <w:tcBorders>
              <w:top w:val="nil"/>
              <w:left w:val="nil"/>
              <w:bottom w:val="single" w:sz="4" w:space="0" w:color="auto"/>
              <w:right w:val="single" w:sz="4" w:space="0" w:color="auto"/>
            </w:tcBorders>
            <w:shd w:val="clear" w:color="auto" w:fill="auto"/>
            <w:noWrap/>
            <w:vAlign w:val="center"/>
            <w:hideMark/>
          </w:tcPr>
          <w:p w14:paraId="153B05B1" w14:textId="77777777" w:rsidR="00C550F4" w:rsidRDefault="00C550F4">
            <w:pPr>
              <w:jc w:val="center"/>
              <w:rPr>
                <w:color w:val="000000"/>
              </w:rPr>
            </w:pPr>
            <w:r>
              <w:rPr>
                <w:color w:val="000000"/>
              </w:rPr>
              <w:t>d</w:t>
            </w:r>
          </w:p>
        </w:tc>
        <w:tc>
          <w:tcPr>
            <w:tcW w:w="1300" w:type="dxa"/>
            <w:tcBorders>
              <w:top w:val="nil"/>
              <w:left w:val="nil"/>
              <w:bottom w:val="single" w:sz="4" w:space="0" w:color="auto"/>
              <w:right w:val="single" w:sz="4" w:space="0" w:color="auto"/>
            </w:tcBorders>
            <w:shd w:val="clear" w:color="auto" w:fill="auto"/>
            <w:noWrap/>
            <w:vAlign w:val="center"/>
            <w:hideMark/>
          </w:tcPr>
          <w:p w14:paraId="14560216" w14:textId="77777777" w:rsidR="00C550F4" w:rsidRDefault="00C550F4">
            <w:pPr>
              <w:jc w:val="center"/>
              <w:rPr>
                <w:color w:val="000000"/>
              </w:rPr>
            </w:pPr>
            <w:r>
              <w:rPr>
                <w:color w:val="000000"/>
              </w:rPr>
              <w:t>1.40E-02</w:t>
            </w:r>
          </w:p>
        </w:tc>
        <w:tc>
          <w:tcPr>
            <w:tcW w:w="820" w:type="dxa"/>
            <w:tcBorders>
              <w:top w:val="nil"/>
              <w:left w:val="nil"/>
              <w:bottom w:val="single" w:sz="4" w:space="0" w:color="auto"/>
              <w:right w:val="single" w:sz="4" w:space="0" w:color="auto"/>
            </w:tcBorders>
            <w:shd w:val="clear" w:color="auto" w:fill="auto"/>
            <w:noWrap/>
            <w:vAlign w:val="center"/>
            <w:hideMark/>
          </w:tcPr>
          <w:p w14:paraId="429AD4F7" w14:textId="77777777" w:rsidR="00C550F4" w:rsidRDefault="00C550F4">
            <w:pPr>
              <w:jc w:val="center"/>
              <w:rPr>
                <w:color w:val="000000"/>
              </w:rPr>
            </w:pPr>
            <w:r>
              <w:rPr>
                <w:color w:val="000000"/>
              </w:rPr>
              <w:t>f</w:t>
            </w:r>
          </w:p>
        </w:tc>
        <w:tc>
          <w:tcPr>
            <w:tcW w:w="1300" w:type="dxa"/>
            <w:tcBorders>
              <w:top w:val="nil"/>
              <w:left w:val="nil"/>
              <w:bottom w:val="single" w:sz="4" w:space="0" w:color="auto"/>
              <w:right w:val="single" w:sz="4" w:space="0" w:color="auto"/>
            </w:tcBorders>
            <w:shd w:val="clear" w:color="auto" w:fill="auto"/>
            <w:noWrap/>
            <w:vAlign w:val="center"/>
            <w:hideMark/>
          </w:tcPr>
          <w:p w14:paraId="48E8F2CE" w14:textId="77777777" w:rsidR="00C550F4" w:rsidRDefault="00C550F4">
            <w:pPr>
              <w:jc w:val="center"/>
              <w:rPr>
                <w:color w:val="000000"/>
              </w:rPr>
            </w:pPr>
            <w:r>
              <w:rPr>
                <w:color w:val="000000"/>
              </w:rPr>
              <w:t>5.62E-03</w:t>
            </w:r>
          </w:p>
        </w:tc>
        <w:tc>
          <w:tcPr>
            <w:tcW w:w="820" w:type="dxa"/>
            <w:tcBorders>
              <w:top w:val="nil"/>
              <w:left w:val="nil"/>
              <w:bottom w:val="single" w:sz="4" w:space="0" w:color="auto"/>
              <w:right w:val="single" w:sz="4" w:space="0" w:color="auto"/>
            </w:tcBorders>
            <w:shd w:val="clear" w:color="auto" w:fill="auto"/>
            <w:noWrap/>
            <w:vAlign w:val="center"/>
            <w:hideMark/>
          </w:tcPr>
          <w:p w14:paraId="2BB791F8" w14:textId="77777777" w:rsidR="00C550F4" w:rsidRDefault="00C550F4">
            <w:pPr>
              <w:jc w:val="center"/>
              <w:rPr>
                <w:color w:val="000000"/>
              </w:rPr>
            </w:pPr>
            <w:r>
              <w:rPr>
                <w:color w:val="000000"/>
              </w:rPr>
              <w:t>h</w:t>
            </w:r>
          </w:p>
        </w:tc>
        <w:tc>
          <w:tcPr>
            <w:tcW w:w="1300" w:type="dxa"/>
            <w:tcBorders>
              <w:top w:val="nil"/>
              <w:left w:val="nil"/>
              <w:bottom w:val="single" w:sz="4" w:space="0" w:color="auto"/>
              <w:right w:val="single" w:sz="4" w:space="0" w:color="auto"/>
            </w:tcBorders>
            <w:shd w:val="clear" w:color="auto" w:fill="auto"/>
            <w:noWrap/>
            <w:vAlign w:val="center"/>
            <w:hideMark/>
          </w:tcPr>
          <w:p w14:paraId="3C67955C" w14:textId="77777777" w:rsidR="00C550F4" w:rsidRDefault="00C550F4">
            <w:pPr>
              <w:jc w:val="center"/>
              <w:rPr>
                <w:color w:val="000000"/>
              </w:rPr>
            </w:pPr>
            <w:r>
              <w:rPr>
                <w:color w:val="000000"/>
              </w:rPr>
              <w:t>1</w:t>
            </w:r>
          </w:p>
        </w:tc>
      </w:tr>
      <w:tr w:rsidR="00C550F4" w14:paraId="19CCF9E7" w14:textId="77777777" w:rsidTr="00782D41">
        <w:trPr>
          <w:trHeight w:val="340"/>
        </w:trPr>
        <w:tc>
          <w:tcPr>
            <w:tcW w:w="1336" w:type="dxa"/>
            <w:tcBorders>
              <w:top w:val="nil"/>
              <w:left w:val="single" w:sz="4" w:space="0" w:color="auto"/>
              <w:bottom w:val="single" w:sz="4" w:space="0" w:color="auto"/>
              <w:right w:val="single" w:sz="4" w:space="0" w:color="auto"/>
            </w:tcBorders>
            <w:shd w:val="clear" w:color="auto" w:fill="auto"/>
            <w:noWrap/>
            <w:vAlign w:val="center"/>
            <w:hideMark/>
          </w:tcPr>
          <w:p w14:paraId="78F7B3C2" w14:textId="77777777" w:rsidR="00C550F4" w:rsidRDefault="00C550F4">
            <w:pPr>
              <w:jc w:val="center"/>
              <w:rPr>
                <w:color w:val="000000"/>
              </w:rPr>
            </w:pPr>
            <w:r>
              <w:rPr>
                <w:color w:val="000000"/>
              </w:rPr>
              <w:t>Stage</w:t>
            </w:r>
          </w:p>
        </w:tc>
        <w:tc>
          <w:tcPr>
            <w:tcW w:w="1300" w:type="dxa"/>
            <w:tcBorders>
              <w:top w:val="nil"/>
              <w:left w:val="nil"/>
              <w:bottom w:val="single" w:sz="4" w:space="0" w:color="auto"/>
              <w:right w:val="single" w:sz="4" w:space="0" w:color="auto"/>
            </w:tcBorders>
            <w:shd w:val="clear" w:color="auto" w:fill="auto"/>
            <w:noWrap/>
            <w:vAlign w:val="center"/>
            <w:hideMark/>
          </w:tcPr>
          <w:p w14:paraId="51B81DB9" w14:textId="77777777" w:rsidR="00C550F4" w:rsidRDefault="00C550F4">
            <w:pPr>
              <w:jc w:val="center"/>
              <w:rPr>
                <w:color w:val="000000"/>
              </w:rPr>
            </w:pPr>
            <w:r>
              <w:rPr>
                <w:color w:val="000000"/>
              </w:rPr>
              <w:t>5</w:t>
            </w:r>
          </w:p>
        </w:tc>
        <w:tc>
          <w:tcPr>
            <w:tcW w:w="1330" w:type="dxa"/>
            <w:tcBorders>
              <w:top w:val="nil"/>
              <w:left w:val="nil"/>
              <w:bottom w:val="single" w:sz="4" w:space="0" w:color="auto"/>
              <w:right w:val="single" w:sz="4" w:space="0" w:color="auto"/>
            </w:tcBorders>
            <w:shd w:val="clear" w:color="auto" w:fill="auto"/>
            <w:noWrap/>
            <w:vAlign w:val="center"/>
            <w:hideMark/>
          </w:tcPr>
          <w:p w14:paraId="1F5932FA" w14:textId="77777777" w:rsidR="00C550F4" w:rsidRDefault="00C550F4">
            <w:pPr>
              <w:jc w:val="center"/>
              <w:rPr>
                <w:color w:val="000000"/>
              </w:rPr>
            </w:pPr>
            <w:r>
              <w:rPr>
                <w:color w:val="000000"/>
              </w:rPr>
              <w:t>6</w:t>
            </w:r>
          </w:p>
        </w:tc>
        <w:tc>
          <w:tcPr>
            <w:tcW w:w="820" w:type="dxa"/>
            <w:tcBorders>
              <w:top w:val="nil"/>
              <w:left w:val="nil"/>
              <w:bottom w:val="single" w:sz="4" w:space="0" w:color="auto"/>
              <w:right w:val="single" w:sz="4" w:space="0" w:color="auto"/>
            </w:tcBorders>
            <w:shd w:val="clear" w:color="auto" w:fill="auto"/>
            <w:noWrap/>
            <w:vAlign w:val="center"/>
            <w:hideMark/>
          </w:tcPr>
          <w:p w14:paraId="3C056275"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359F00D7" w14:textId="77777777" w:rsidR="00C550F4" w:rsidRDefault="00C550F4">
            <w:pPr>
              <w:jc w:val="center"/>
              <w:rPr>
                <w:color w:val="000000"/>
              </w:rPr>
            </w:pPr>
            <w:r>
              <w:rPr>
                <w:color w:val="000000"/>
              </w:rPr>
              <w:t>6</w:t>
            </w:r>
          </w:p>
        </w:tc>
        <w:tc>
          <w:tcPr>
            <w:tcW w:w="820" w:type="dxa"/>
            <w:tcBorders>
              <w:top w:val="nil"/>
              <w:left w:val="nil"/>
              <w:bottom w:val="single" w:sz="4" w:space="0" w:color="auto"/>
              <w:right w:val="single" w:sz="4" w:space="0" w:color="auto"/>
            </w:tcBorders>
            <w:shd w:val="clear" w:color="auto" w:fill="auto"/>
            <w:noWrap/>
            <w:vAlign w:val="center"/>
            <w:hideMark/>
          </w:tcPr>
          <w:p w14:paraId="2FF005E2"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61E7769" w14:textId="77777777" w:rsidR="00C550F4" w:rsidRDefault="00C550F4">
            <w:pPr>
              <w:jc w:val="center"/>
              <w:rPr>
                <w:color w:val="000000"/>
              </w:rPr>
            </w:pPr>
            <w:r>
              <w:rPr>
                <w:color w:val="000000"/>
              </w:rPr>
              <w:t>5, 6</w:t>
            </w:r>
          </w:p>
        </w:tc>
        <w:tc>
          <w:tcPr>
            <w:tcW w:w="820" w:type="dxa"/>
            <w:tcBorders>
              <w:top w:val="nil"/>
              <w:left w:val="nil"/>
              <w:bottom w:val="single" w:sz="4" w:space="0" w:color="auto"/>
              <w:right w:val="single" w:sz="4" w:space="0" w:color="auto"/>
            </w:tcBorders>
            <w:shd w:val="clear" w:color="auto" w:fill="auto"/>
            <w:noWrap/>
            <w:vAlign w:val="center"/>
            <w:hideMark/>
          </w:tcPr>
          <w:p w14:paraId="79D7B57B"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35A34AE"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16A3E0F0"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7F915FB" w14:textId="77777777" w:rsidR="00C550F4" w:rsidRDefault="00C550F4">
            <w:pPr>
              <w:jc w:val="center"/>
              <w:rPr>
                <w:color w:val="000000"/>
              </w:rPr>
            </w:pPr>
            <w:r>
              <w:rPr>
                <w:color w:val="000000"/>
              </w:rPr>
              <w:t>All Stages</w:t>
            </w:r>
          </w:p>
        </w:tc>
      </w:tr>
      <w:tr w:rsidR="00C550F4" w14:paraId="57BF718F" w14:textId="77777777" w:rsidTr="00782D41">
        <w:trPr>
          <w:trHeight w:val="320"/>
        </w:trPr>
        <w:tc>
          <w:tcPr>
            <w:tcW w:w="1336" w:type="dxa"/>
            <w:tcBorders>
              <w:top w:val="nil"/>
              <w:left w:val="single" w:sz="4" w:space="0" w:color="auto"/>
              <w:bottom w:val="single" w:sz="4" w:space="0" w:color="auto"/>
              <w:right w:val="single" w:sz="4" w:space="0" w:color="auto"/>
            </w:tcBorders>
            <w:shd w:val="clear" w:color="auto" w:fill="auto"/>
            <w:noWrap/>
            <w:vAlign w:val="center"/>
            <w:hideMark/>
          </w:tcPr>
          <w:p w14:paraId="679BE3D7" w14:textId="77777777" w:rsidR="00C550F4" w:rsidRDefault="00C550F4">
            <w:pPr>
              <w:jc w:val="center"/>
              <w:rPr>
                <w:color w:val="000000"/>
              </w:rPr>
            </w:pPr>
            <w:r>
              <w:rPr>
                <w:color w:val="000000"/>
              </w:rPr>
              <w:t>T (ºC)</w:t>
            </w:r>
          </w:p>
        </w:tc>
        <w:tc>
          <w:tcPr>
            <w:tcW w:w="1300" w:type="dxa"/>
            <w:tcBorders>
              <w:top w:val="nil"/>
              <w:left w:val="nil"/>
              <w:bottom w:val="single" w:sz="4" w:space="0" w:color="auto"/>
              <w:right w:val="single" w:sz="4" w:space="0" w:color="auto"/>
            </w:tcBorders>
            <w:shd w:val="clear" w:color="auto" w:fill="auto"/>
            <w:noWrap/>
            <w:vAlign w:val="center"/>
            <w:hideMark/>
          </w:tcPr>
          <w:p w14:paraId="62808F89" w14:textId="77777777" w:rsidR="00C550F4" w:rsidRDefault="00C550F4">
            <w:pPr>
              <w:jc w:val="center"/>
              <w:rPr>
                <w:color w:val="000000"/>
              </w:rPr>
            </w:pPr>
            <w:r>
              <w:rPr>
                <w:color w:val="000000"/>
              </w:rPr>
              <w:t>1040</w:t>
            </w:r>
          </w:p>
        </w:tc>
        <w:tc>
          <w:tcPr>
            <w:tcW w:w="1330" w:type="dxa"/>
            <w:tcBorders>
              <w:top w:val="nil"/>
              <w:left w:val="nil"/>
              <w:bottom w:val="single" w:sz="4" w:space="0" w:color="auto"/>
              <w:right w:val="single" w:sz="4" w:space="0" w:color="auto"/>
            </w:tcBorders>
            <w:shd w:val="clear" w:color="auto" w:fill="auto"/>
            <w:noWrap/>
            <w:vAlign w:val="center"/>
            <w:hideMark/>
          </w:tcPr>
          <w:p w14:paraId="790F7234" w14:textId="77777777" w:rsidR="00C550F4" w:rsidRDefault="00C550F4">
            <w:pPr>
              <w:jc w:val="center"/>
              <w:rPr>
                <w:color w:val="000000"/>
              </w:rPr>
            </w:pPr>
            <w:r>
              <w:rPr>
                <w:color w:val="000000"/>
              </w:rPr>
              <w:t>1020</w:t>
            </w:r>
          </w:p>
        </w:tc>
        <w:tc>
          <w:tcPr>
            <w:tcW w:w="820" w:type="dxa"/>
            <w:tcBorders>
              <w:top w:val="nil"/>
              <w:left w:val="nil"/>
              <w:bottom w:val="single" w:sz="4" w:space="0" w:color="auto"/>
              <w:right w:val="single" w:sz="4" w:space="0" w:color="auto"/>
            </w:tcBorders>
            <w:shd w:val="clear" w:color="auto" w:fill="auto"/>
            <w:noWrap/>
            <w:vAlign w:val="center"/>
            <w:hideMark/>
          </w:tcPr>
          <w:p w14:paraId="609D2342"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075E8A40"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50EA629C"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4AD5DEB3"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09CD65AD"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7C25FDC"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66E455BC"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0B9ECD4" w14:textId="77777777" w:rsidR="00C550F4" w:rsidRDefault="00C550F4">
            <w:pPr>
              <w:jc w:val="center"/>
              <w:rPr>
                <w:color w:val="000000"/>
              </w:rPr>
            </w:pPr>
            <w:r>
              <w:rPr>
                <w:color w:val="000000"/>
              </w:rPr>
              <w:t>-</w:t>
            </w:r>
          </w:p>
        </w:tc>
      </w:tr>
      <w:tr w:rsidR="00C550F4" w14:paraId="7FE374B1" w14:textId="77777777" w:rsidTr="00782D41">
        <w:trPr>
          <w:trHeight w:val="320"/>
        </w:trPr>
        <w:tc>
          <w:tcPr>
            <w:tcW w:w="1336" w:type="dxa"/>
            <w:tcBorders>
              <w:top w:val="nil"/>
              <w:left w:val="single" w:sz="4" w:space="0" w:color="auto"/>
              <w:bottom w:val="single" w:sz="4" w:space="0" w:color="auto"/>
              <w:right w:val="single" w:sz="4" w:space="0" w:color="auto"/>
            </w:tcBorders>
            <w:shd w:val="clear" w:color="auto" w:fill="auto"/>
            <w:noWrap/>
            <w:vAlign w:val="center"/>
            <w:hideMark/>
          </w:tcPr>
          <w:p w14:paraId="66744E0B" w14:textId="77777777" w:rsidR="00C550F4" w:rsidRDefault="00C550F4">
            <w:pPr>
              <w:jc w:val="center"/>
              <w:rPr>
                <w:color w:val="000000"/>
              </w:rPr>
            </w:pPr>
            <w:r>
              <w:rPr>
                <w:color w:val="000000"/>
              </w:rPr>
              <w:t>P (GPa)</w:t>
            </w:r>
          </w:p>
        </w:tc>
        <w:tc>
          <w:tcPr>
            <w:tcW w:w="1300" w:type="dxa"/>
            <w:tcBorders>
              <w:top w:val="nil"/>
              <w:left w:val="nil"/>
              <w:bottom w:val="single" w:sz="4" w:space="0" w:color="auto"/>
              <w:right w:val="single" w:sz="4" w:space="0" w:color="auto"/>
            </w:tcBorders>
            <w:shd w:val="clear" w:color="auto" w:fill="auto"/>
            <w:noWrap/>
            <w:vAlign w:val="center"/>
            <w:hideMark/>
          </w:tcPr>
          <w:p w14:paraId="16E2E6B2" w14:textId="77777777" w:rsidR="00C550F4" w:rsidRDefault="00C550F4">
            <w:pPr>
              <w:jc w:val="center"/>
              <w:rPr>
                <w:color w:val="000000"/>
              </w:rPr>
            </w:pPr>
            <w:r>
              <w:rPr>
                <w:color w:val="000000"/>
              </w:rPr>
              <w:t>0.15</w:t>
            </w:r>
          </w:p>
        </w:tc>
        <w:tc>
          <w:tcPr>
            <w:tcW w:w="1330" w:type="dxa"/>
            <w:tcBorders>
              <w:top w:val="nil"/>
              <w:left w:val="nil"/>
              <w:bottom w:val="single" w:sz="4" w:space="0" w:color="auto"/>
              <w:right w:val="single" w:sz="4" w:space="0" w:color="auto"/>
            </w:tcBorders>
            <w:shd w:val="clear" w:color="auto" w:fill="auto"/>
            <w:noWrap/>
            <w:vAlign w:val="center"/>
            <w:hideMark/>
          </w:tcPr>
          <w:p w14:paraId="19B90752" w14:textId="77777777" w:rsidR="00C550F4" w:rsidRDefault="00C550F4">
            <w:pPr>
              <w:jc w:val="center"/>
              <w:rPr>
                <w:color w:val="000000"/>
              </w:rPr>
            </w:pPr>
            <w:r>
              <w:rPr>
                <w:color w:val="000000"/>
              </w:rPr>
              <w:t>0.08</w:t>
            </w:r>
          </w:p>
        </w:tc>
        <w:tc>
          <w:tcPr>
            <w:tcW w:w="820" w:type="dxa"/>
            <w:tcBorders>
              <w:top w:val="nil"/>
              <w:left w:val="nil"/>
              <w:bottom w:val="single" w:sz="4" w:space="0" w:color="auto"/>
              <w:right w:val="single" w:sz="4" w:space="0" w:color="auto"/>
            </w:tcBorders>
            <w:shd w:val="clear" w:color="auto" w:fill="auto"/>
            <w:noWrap/>
            <w:vAlign w:val="center"/>
            <w:hideMark/>
          </w:tcPr>
          <w:p w14:paraId="6A5A814B"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D1F1667"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1CAB466F"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1B9E211"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0322ACE7"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44FBDCF"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62318843"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21456FEC" w14:textId="77777777" w:rsidR="00C550F4" w:rsidRDefault="00C550F4">
            <w:pPr>
              <w:jc w:val="center"/>
              <w:rPr>
                <w:color w:val="000000"/>
              </w:rPr>
            </w:pPr>
            <w:r>
              <w:rPr>
                <w:color w:val="000000"/>
              </w:rPr>
              <w:t>-</w:t>
            </w:r>
          </w:p>
        </w:tc>
      </w:tr>
      <w:tr w:rsidR="00C550F4" w14:paraId="6A879873" w14:textId="77777777" w:rsidTr="00782D41">
        <w:trPr>
          <w:trHeight w:val="320"/>
        </w:trPr>
        <w:tc>
          <w:tcPr>
            <w:tcW w:w="1336" w:type="dxa"/>
            <w:tcBorders>
              <w:top w:val="nil"/>
              <w:left w:val="single" w:sz="4" w:space="0" w:color="auto"/>
              <w:bottom w:val="single" w:sz="4" w:space="0" w:color="auto"/>
              <w:right w:val="single" w:sz="4" w:space="0" w:color="auto"/>
            </w:tcBorders>
            <w:shd w:val="clear" w:color="auto" w:fill="auto"/>
            <w:noWrap/>
            <w:vAlign w:val="bottom"/>
            <w:hideMark/>
          </w:tcPr>
          <w:p w14:paraId="5400A0D6" w14:textId="77777777" w:rsidR="00C550F4" w:rsidRDefault="00C550F4">
            <w:pPr>
              <w:jc w:val="center"/>
              <w:rPr>
                <w:color w:val="000000"/>
              </w:rPr>
            </w:pPr>
            <w:r>
              <w:rPr>
                <w:i/>
                <w:iCs/>
                <w:color w:val="000000"/>
              </w:rPr>
              <w:t>XC</w:t>
            </w:r>
            <w:r>
              <w:rPr>
                <w:color w:val="000000"/>
              </w:rPr>
              <w:t>a</w:t>
            </w:r>
          </w:p>
        </w:tc>
        <w:tc>
          <w:tcPr>
            <w:tcW w:w="1300" w:type="dxa"/>
            <w:tcBorders>
              <w:top w:val="nil"/>
              <w:left w:val="nil"/>
              <w:bottom w:val="single" w:sz="4" w:space="0" w:color="auto"/>
              <w:right w:val="single" w:sz="4" w:space="0" w:color="auto"/>
            </w:tcBorders>
            <w:shd w:val="clear" w:color="auto" w:fill="auto"/>
            <w:noWrap/>
            <w:vAlign w:val="center"/>
            <w:hideMark/>
          </w:tcPr>
          <w:p w14:paraId="3727195E" w14:textId="77777777" w:rsidR="00C550F4" w:rsidRDefault="00C550F4">
            <w:pPr>
              <w:jc w:val="center"/>
              <w:rPr>
                <w:color w:val="000000"/>
              </w:rPr>
            </w:pPr>
            <w:r>
              <w:rPr>
                <w:color w:val="000000"/>
              </w:rPr>
              <w:t>0.8029</w:t>
            </w:r>
          </w:p>
        </w:tc>
        <w:tc>
          <w:tcPr>
            <w:tcW w:w="1330" w:type="dxa"/>
            <w:tcBorders>
              <w:top w:val="nil"/>
              <w:left w:val="nil"/>
              <w:bottom w:val="single" w:sz="4" w:space="0" w:color="auto"/>
              <w:right w:val="single" w:sz="4" w:space="0" w:color="auto"/>
            </w:tcBorders>
            <w:shd w:val="clear" w:color="auto" w:fill="auto"/>
            <w:noWrap/>
            <w:vAlign w:val="center"/>
            <w:hideMark/>
          </w:tcPr>
          <w:p w14:paraId="72050D01" w14:textId="77777777" w:rsidR="00C550F4" w:rsidRDefault="00C550F4">
            <w:pPr>
              <w:jc w:val="center"/>
              <w:rPr>
                <w:color w:val="000000"/>
              </w:rPr>
            </w:pPr>
            <w:r>
              <w:rPr>
                <w:color w:val="000000"/>
              </w:rPr>
              <w:t>0.7445</w:t>
            </w:r>
          </w:p>
        </w:tc>
        <w:tc>
          <w:tcPr>
            <w:tcW w:w="820" w:type="dxa"/>
            <w:tcBorders>
              <w:top w:val="nil"/>
              <w:left w:val="nil"/>
              <w:bottom w:val="single" w:sz="4" w:space="0" w:color="auto"/>
              <w:right w:val="single" w:sz="4" w:space="0" w:color="auto"/>
            </w:tcBorders>
            <w:shd w:val="clear" w:color="auto" w:fill="auto"/>
            <w:noWrap/>
            <w:vAlign w:val="center"/>
            <w:hideMark/>
          </w:tcPr>
          <w:p w14:paraId="46D0C1BE"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1A582E5"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559B621B"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450F9A9F"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02ABA66C"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0E1C3CDA"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6C5732D7"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68464310" w14:textId="77777777" w:rsidR="00C550F4" w:rsidRDefault="00C550F4">
            <w:pPr>
              <w:jc w:val="center"/>
              <w:rPr>
                <w:color w:val="000000"/>
              </w:rPr>
            </w:pPr>
            <w:r>
              <w:rPr>
                <w:color w:val="000000"/>
              </w:rPr>
              <w:t>-</w:t>
            </w:r>
          </w:p>
        </w:tc>
      </w:tr>
      <w:tr w:rsidR="00C550F4" w14:paraId="0C06AE5A" w14:textId="77777777" w:rsidTr="00782D41">
        <w:trPr>
          <w:trHeight w:val="320"/>
        </w:trPr>
        <w:tc>
          <w:tcPr>
            <w:tcW w:w="1336" w:type="dxa"/>
            <w:tcBorders>
              <w:top w:val="nil"/>
              <w:left w:val="single" w:sz="4" w:space="0" w:color="auto"/>
              <w:bottom w:val="single" w:sz="4" w:space="0" w:color="auto"/>
              <w:right w:val="single" w:sz="4" w:space="0" w:color="auto"/>
            </w:tcBorders>
            <w:shd w:val="clear" w:color="auto" w:fill="auto"/>
            <w:noWrap/>
            <w:vAlign w:val="bottom"/>
            <w:hideMark/>
          </w:tcPr>
          <w:p w14:paraId="6EF0533C" w14:textId="77777777" w:rsidR="00C550F4" w:rsidRDefault="00C550F4">
            <w:pPr>
              <w:jc w:val="center"/>
              <w:rPr>
                <w:color w:val="000000"/>
              </w:rPr>
            </w:pPr>
            <w:r>
              <w:rPr>
                <w:i/>
                <w:iCs/>
                <w:color w:val="000000"/>
              </w:rPr>
              <w:t>X</w:t>
            </w:r>
            <w:r>
              <w:rPr>
                <w:color w:val="000000"/>
              </w:rPr>
              <w:t>Na</w:t>
            </w:r>
          </w:p>
        </w:tc>
        <w:tc>
          <w:tcPr>
            <w:tcW w:w="1300" w:type="dxa"/>
            <w:tcBorders>
              <w:top w:val="nil"/>
              <w:left w:val="nil"/>
              <w:bottom w:val="single" w:sz="4" w:space="0" w:color="auto"/>
              <w:right w:val="single" w:sz="4" w:space="0" w:color="auto"/>
            </w:tcBorders>
            <w:shd w:val="clear" w:color="auto" w:fill="auto"/>
            <w:noWrap/>
            <w:vAlign w:val="center"/>
            <w:hideMark/>
          </w:tcPr>
          <w:p w14:paraId="14B60E60" w14:textId="77777777" w:rsidR="00C550F4" w:rsidRDefault="00C550F4">
            <w:pPr>
              <w:jc w:val="center"/>
              <w:rPr>
                <w:color w:val="000000"/>
              </w:rPr>
            </w:pPr>
            <w:r>
              <w:rPr>
                <w:color w:val="000000"/>
              </w:rPr>
              <w:t>0.1916</w:t>
            </w:r>
          </w:p>
        </w:tc>
        <w:tc>
          <w:tcPr>
            <w:tcW w:w="1330" w:type="dxa"/>
            <w:tcBorders>
              <w:top w:val="nil"/>
              <w:left w:val="nil"/>
              <w:bottom w:val="single" w:sz="4" w:space="0" w:color="auto"/>
              <w:right w:val="single" w:sz="4" w:space="0" w:color="auto"/>
            </w:tcBorders>
            <w:shd w:val="clear" w:color="auto" w:fill="auto"/>
            <w:noWrap/>
            <w:vAlign w:val="center"/>
            <w:hideMark/>
          </w:tcPr>
          <w:p w14:paraId="275229CE" w14:textId="77777777" w:rsidR="00C550F4" w:rsidRDefault="00C550F4">
            <w:pPr>
              <w:jc w:val="center"/>
              <w:rPr>
                <w:color w:val="000000"/>
              </w:rPr>
            </w:pPr>
            <w:r>
              <w:rPr>
                <w:color w:val="000000"/>
              </w:rPr>
              <w:t>0.2424</w:t>
            </w:r>
          </w:p>
        </w:tc>
        <w:tc>
          <w:tcPr>
            <w:tcW w:w="820" w:type="dxa"/>
            <w:tcBorders>
              <w:top w:val="nil"/>
              <w:left w:val="nil"/>
              <w:bottom w:val="single" w:sz="4" w:space="0" w:color="auto"/>
              <w:right w:val="single" w:sz="4" w:space="0" w:color="auto"/>
            </w:tcBorders>
            <w:shd w:val="clear" w:color="auto" w:fill="auto"/>
            <w:noWrap/>
            <w:vAlign w:val="center"/>
            <w:hideMark/>
          </w:tcPr>
          <w:p w14:paraId="161A8EC4"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13E3C142"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2379C277"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11261FA2"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7E983981"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30E2F7C9"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0E489F7B"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131AF3C6" w14:textId="77777777" w:rsidR="00C550F4" w:rsidRDefault="00C550F4">
            <w:pPr>
              <w:jc w:val="center"/>
              <w:rPr>
                <w:color w:val="000000"/>
              </w:rPr>
            </w:pPr>
            <w:r>
              <w:rPr>
                <w:color w:val="000000"/>
              </w:rPr>
              <w:t>-</w:t>
            </w:r>
          </w:p>
        </w:tc>
      </w:tr>
      <w:tr w:rsidR="00C550F4" w14:paraId="14CD1D9D" w14:textId="77777777" w:rsidTr="00782D41">
        <w:trPr>
          <w:trHeight w:val="920"/>
        </w:trPr>
        <w:tc>
          <w:tcPr>
            <w:tcW w:w="1336" w:type="dxa"/>
            <w:tcBorders>
              <w:top w:val="nil"/>
              <w:left w:val="single" w:sz="4" w:space="0" w:color="auto"/>
              <w:bottom w:val="single" w:sz="4" w:space="0" w:color="auto"/>
              <w:right w:val="single" w:sz="4" w:space="0" w:color="auto"/>
            </w:tcBorders>
            <w:shd w:val="clear" w:color="auto" w:fill="auto"/>
            <w:vAlign w:val="center"/>
            <w:hideMark/>
          </w:tcPr>
          <w:p w14:paraId="775B67BE" w14:textId="77777777" w:rsidR="00C550F4" w:rsidRDefault="00C550F4">
            <w:pPr>
              <w:jc w:val="center"/>
              <w:rPr>
                <w:color w:val="000000"/>
              </w:rPr>
            </w:pPr>
            <w:r>
              <w:rPr>
                <w:color w:val="000000"/>
              </w:rPr>
              <w:t>Sample/ Experiment</w:t>
            </w:r>
          </w:p>
        </w:tc>
        <w:tc>
          <w:tcPr>
            <w:tcW w:w="1300" w:type="dxa"/>
            <w:tcBorders>
              <w:top w:val="nil"/>
              <w:left w:val="nil"/>
              <w:bottom w:val="single" w:sz="4" w:space="0" w:color="auto"/>
              <w:right w:val="single" w:sz="4" w:space="0" w:color="auto"/>
            </w:tcBorders>
            <w:shd w:val="clear" w:color="auto" w:fill="auto"/>
            <w:vAlign w:val="center"/>
            <w:hideMark/>
          </w:tcPr>
          <w:p w14:paraId="08A7D4F2" w14:textId="77777777" w:rsidR="00C550F4" w:rsidRDefault="00C550F4">
            <w:pPr>
              <w:jc w:val="center"/>
              <w:rPr>
                <w:color w:val="000000"/>
              </w:rPr>
            </w:pPr>
            <w:r>
              <w:rPr>
                <w:color w:val="000000"/>
              </w:rPr>
              <w:t>LPUM/02-3 gl HAO4-1.5</w:t>
            </w:r>
          </w:p>
        </w:tc>
        <w:tc>
          <w:tcPr>
            <w:tcW w:w="1330" w:type="dxa"/>
            <w:tcBorders>
              <w:top w:val="nil"/>
              <w:left w:val="nil"/>
              <w:bottom w:val="single" w:sz="4" w:space="0" w:color="auto"/>
              <w:right w:val="single" w:sz="4" w:space="0" w:color="auto"/>
            </w:tcBorders>
            <w:shd w:val="clear" w:color="auto" w:fill="auto"/>
            <w:vAlign w:val="center"/>
            <w:hideMark/>
          </w:tcPr>
          <w:p w14:paraId="29A0F134" w14:textId="77777777" w:rsidR="00C550F4" w:rsidRDefault="00C550F4">
            <w:pPr>
              <w:jc w:val="center"/>
              <w:rPr>
                <w:color w:val="000000"/>
              </w:rPr>
            </w:pPr>
            <w:r>
              <w:rPr>
                <w:color w:val="000000"/>
              </w:rPr>
              <w:t>LPUM/0.4-1.5 gl HA02-0.8</w:t>
            </w:r>
          </w:p>
        </w:tc>
        <w:tc>
          <w:tcPr>
            <w:tcW w:w="820" w:type="dxa"/>
            <w:tcBorders>
              <w:top w:val="nil"/>
              <w:left w:val="nil"/>
              <w:bottom w:val="single" w:sz="4" w:space="0" w:color="auto"/>
              <w:right w:val="single" w:sz="4" w:space="0" w:color="auto"/>
            </w:tcBorders>
            <w:shd w:val="clear" w:color="auto" w:fill="auto"/>
            <w:noWrap/>
            <w:vAlign w:val="center"/>
            <w:hideMark/>
          </w:tcPr>
          <w:p w14:paraId="1E520E97" w14:textId="77777777" w:rsidR="00C550F4" w:rsidRDefault="00C550F4">
            <w:pPr>
              <w:jc w:val="center"/>
              <w:rPr>
                <w:color w:val="000000"/>
              </w:rPr>
            </w:pPr>
            <w:r>
              <w:rPr>
                <w:color w:val="000000"/>
              </w:rPr>
              <w:t>i</w:t>
            </w:r>
          </w:p>
        </w:tc>
        <w:tc>
          <w:tcPr>
            <w:tcW w:w="1300" w:type="dxa"/>
            <w:tcBorders>
              <w:top w:val="nil"/>
              <w:left w:val="nil"/>
              <w:bottom w:val="single" w:sz="4" w:space="0" w:color="auto"/>
              <w:right w:val="single" w:sz="4" w:space="0" w:color="auto"/>
            </w:tcBorders>
            <w:shd w:val="clear" w:color="auto" w:fill="auto"/>
            <w:noWrap/>
            <w:vAlign w:val="center"/>
            <w:hideMark/>
          </w:tcPr>
          <w:p w14:paraId="4D068142"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0D99A8FB"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5AF45D27"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6BA6954E"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70BAC001" w14:textId="77777777" w:rsidR="00C550F4" w:rsidRDefault="00C550F4">
            <w:pPr>
              <w:jc w:val="center"/>
              <w:rPr>
                <w:color w:val="000000"/>
              </w:rPr>
            </w:pPr>
            <w:r>
              <w:rPr>
                <w:color w:val="000000"/>
              </w:rPr>
              <w:t>-</w:t>
            </w:r>
          </w:p>
        </w:tc>
        <w:tc>
          <w:tcPr>
            <w:tcW w:w="820" w:type="dxa"/>
            <w:tcBorders>
              <w:top w:val="nil"/>
              <w:left w:val="nil"/>
              <w:bottom w:val="single" w:sz="4" w:space="0" w:color="auto"/>
              <w:right w:val="single" w:sz="4" w:space="0" w:color="auto"/>
            </w:tcBorders>
            <w:shd w:val="clear" w:color="auto" w:fill="auto"/>
            <w:noWrap/>
            <w:vAlign w:val="center"/>
            <w:hideMark/>
          </w:tcPr>
          <w:p w14:paraId="4764CB24" w14:textId="77777777" w:rsidR="00C550F4" w:rsidRDefault="00C550F4">
            <w:pPr>
              <w:jc w:val="center"/>
              <w:rPr>
                <w:color w:val="000000"/>
              </w:rPr>
            </w:pPr>
            <w:r>
              <w:rPr>
                <w:color w:val="000000"/>
              </w:rPr>
              <w:t>-</w:t>
            </w:r>
          </w:p>
        </w:tc>
        <w:tc>
          <w:tcPr>
            <w:tcW w:w="1300" w:type="dxa"/>
            <w:tcBorders>
              <w:top w:val="nil"/>
              <w:left w:val="nil"/>
              <w:bottom w:val="single" w:sz="4" w:space="0" w:color="auto"/>
              <w:right w:val="single" w:sz="4" w:space="0" w:color="auto"/>
            </w:tcBorders>
            <w:shd w:val="clear" w:color="auto" w:fill="auto"/>
            <w:noWrap/>
            <w:vAlign w:val="center"/>
            <w:hideMark/>
          </w:tcPr>
          <w:p w14:paraId="00D209C3" w14:textId="77777777" w:rsidR="00C550F4" w:rsidRDefault="00C550F4">
            <w:pPr>
              <w:jc w:val="center"/>
              <w:rPr>
                <w:color w:val="000000"/>
              </w:rPr>
            </w:pPr>
            <w:r>
              <w:rPr>
                <w:color w:val="000000"/>
              </w:rPr>
              <w:t>-</w:t>
            </w:r>
          </w:p>
        </w:tc>
      </w:tr>
    </w:tbl>
    <w:p w14:paraId="66753147" w14:textId="77777777" w:rsidR="00782D41" w:rsidRPr="00487150" w:rsidRDefault="00782D41" w:rsidP="00782D41">
      <w:pPr>
        <w:rPr>
          <w:color w:val="000000" w:themeColor="text1"/>
        </w:rPr>
      </w:pPr>
      <w:r w:rsidRPr="00487150">
        <w:rPr>
          <w:color w:val="000000" w:themeColor="text1"/>
        </w:rPr>
        <w:t xml:space="preserve">Calculated partition coefficients are indicated in the source column (Cal.). Partition coefficients that are not calculated, are </w:t>
      </w:r>
      <w:r>
        <w:rPr>
          <w:color w:val="000000" w:themeColor="text1"/>
        </w:rPr>
        <w:t>measurements</w:t>
      </w:r>
      <w:r w:rsidRPr="00487150">
        <w:rPr>
          <w:color w:val="000000" w:themeColor="text1"/>
        </w:rPr>
        <w:t xml:space="preserve"> from partitioning experiments or estimated as indicated by the (Est.) label in the ref. column.</w:t>
      </w:r>
      <w:r>
        <w:rPr>
          <w:color w:val="000000" w:themeColor="text1"/>
        </w:rPr>
        <w:t xml:space="preserve"> Estimated partition coefficients were determined using lattice strain partitioning models presented in Appendix C.</w:t>
      </w:r>
    </w:p>
    <w:p w14:paraId="38F05AD1" w14:textId="77777777" w:rsidR="00782D41" w:rsidRPr="00487150" w:rsidRDefault="00782D41" w:rsidP="00782D41">
      <w:pPr>
        <w:rPr>
          <w:color w:val="000000" w:themeColor="text1"/>
        </w:rPr>
      </w:pPr>
      <w:r w:rsidRPr="00487150">
        <w:rPr>
          <w:color w:val="000000" w:themeColor="text1"/>
        </w:rPr>
        <w:t>Calculation parameters were calculated for mineral compositions from lunar relevant experiments. Studies and experiments that compositions data was sourced from are indicated at the bottom of the table.</w:t>
      </w:r>
    </w:p>
    <w:p w14:paraId="77D8DE96" w14:textId="5BCA90D3" w:rsidR="00782D41" w:rsidRPr="00487150" w:rsidRDefault="00782D41" w:rsidP="00782D41">
      <w:pPr>
        <w:rPr>
          <w:color w:val="000000" w:themeColor="text1"/>
        </w:rPr>
      </w:pPr>
      <w:r w:rsidRPr="00487150">
        <w:rPr>
          <w:color w:val="000000" w:themeColor="text1"/>
        </w:rPr>
        <w:t>The LMO solidification stage in which each set of partition coefficients is used is indicated in the Stage row above the calculation parameters</w:t>
      </w:r>
      <w:r w:rsidR="00D17ACA">
        <w:rPr>
          <w:color w:val="000000" w:themeColor="text1"/>
        </w:rPr>
        <w:t>.</w:t>
      </w:r>
    </w:p>
    <w:p w14:paraId="55E01874" w14:textId="77777777" w:rsidR="00782D41" w:rsidRPr="00487150" w:rsidRDefault="00782D41" w:rsidP="00782D41">
      <w:pPr>
        <w:rPr>
          <w:color w:val="000000" w:themeColor="text1"/>
        </w:rPr>
      </w:pPr>
      <w:r w:rsidRPr="00487150">
        <w:rPr>
          <w:color w:val="000000" w:themeColor="text1"/>
        </w:rPr>
        <w:t>Olivine (Ol), Orthopyroxene (Opx), Clinopyroxene (Cpx), Pigeonite (Pig), Plagioclase (Plag), Ilmenite (Ilm), Quartz (Qtz), Interstitial Melt (Int-Mlt)</w:t>
      </w:r>
    </w:p>
    <w:p w14:paraId="723AC193" w14:textId="02D1397B" w:rsidR="00C550F4" w:rsidRPr="00782D41" w:rsidRDefault="00782D41">
      <w:pPr>
        <w:rPr>
          <w:color w:val="000000" w:themeColor="text1"/>
        </w:rPr>
      </w:pPr>
      <w:r w:rsidRPr="00D17ACA">
        <w:rPr>
          <w:color w:val="000000" w:themeColor="text1"/>
          <w:vertAlign w:val="superscript"/>
        </w:rPr>
        <w:t>a</w:t>
      </w:r>
      <w:r w:rsidRPr="00487150">
        <w:rPr>
          <w:color w:val="000000" w:themeColor="text1"/>
        </w:rPr>
        <w:t xml:space="preserve">Leitzke et al. (2016), </w:t>
      </w:r>
      <w:r w:rsidRPr="00D17ACA">
        <w:rPr>
          <w:color w:val="000000" w:themeColor="text1"/>
          <w:vertAlign w:val="superscript"/>
        </w:rPr>
        <w:t>b</w:t>
      </w:r>
      <w:r w:rsidRPr="00487150">
        <w:rPr>
          <w:color w:val="000000" w:themeColor="text1"/>
        </w:rPr>
        <w:t xml:space="preserve">Van Kan Parker et al. (2011), </w:t>
      </w:r>
      <w:r w:rsidRPr="00D17ACA">
        <w:rPr>
          <w:color w:val="000000" w:themeColor="text1"/>
          <w:vertAlign w:val="superscript"/>
        </w:rPr>
        <w:t>c</w:t>
      </w:r>
      <w:r w:rsidRPr="00487150">
        <w:rPr>
          <w:color w:val="000000" w:themeColor="text1"/>
        </w:rPr>
        <w:t xml:space="preserve">Haupt et al. (2024), </w:t>
      </w:r>
      <w:r w:rsidRPr="00D17ACA">
        <w:rPr>
          <w:color w:val="000000" w:themeColor="text1"/>
          <w:vertAlign w:val="superscript"/>
        </w:rPr>
        <w:t>d</w:t>
      </w:r>
      <w:r w:rsidRPr="00487150">
        <w:rPr>
          <w:color w:val="000000" w:themeColor="text1"/>
        </w:rPr>
        <w:t xml:space="preserve">Snape et al. (2022), </w:t>
      </w:r>
      <w:r w:rsidRPr="00D17ACA">
        <w:rPr>
          <w:color w:val="000000" w:themeColor="text1"/>
          <w:vertAlign w:val="superscript"/>
        </w:rPr>
        <w:t>e</w:t>
      </w:r>
      <w:r w:rsidRPr="00487150">
        <w:rPr>
          <w:color w:val="000000" w:themeColor="text1"/>
        </w:rPr>
        <w:t xml:space="preserve">Sun et al. (2017), </w:t>
      </w:r>
      <w:r w:rsidRPr="00D17ACA">
        <w:rPr>
          <w:color w:val="000000" w:themeColor="text1"/>
          <w:vertAlign w:val="superscript"/>
        </w:rPr>
        <w:t>f</w:t>
      </w:r>
      <w:r w:rsidRPr="00487150">
        <w:rPr>
          <w:color w:val="000000" w:themeColor="text1"/>
        </w:rPr>
        <w:t xml:space="preserve">Nash </w:t>
      </w:r>
      <w:r w:rsidR="00D17ACA">
        <w:rPr>
          <w:color w:val="000000" w:themeColor="text1"/>
        </w:rPr>
        <w:t>and</w:t>
      </w:r>
      <w:r w:rsidRPr="00487150">
        <w:rPr>
          <w:color w:val="000000" w:themeColor="text1"/>
        </w:rPr>
        <w:t xml:space="preserve"> Crecraft (1985), </w:t>
      </w:r>
      <w:r w:rsidRPr="00D17ACA">
        <w:rPr>
          <w:color w:val="000000" w:themeColor="text1"/>
          <w:vertAlign w:val="superscript"/>
        </w:rPr>
        <w:t>g</w:t>
      </w:r>
      <w:r w:rsidRPr="00487150">
        <w:rPr>
          <w:color w:val="000000" w:themeColor="text1"/>
        </w:rPr>
        <w:t xml:space="preserve">Faure et al. (2020), </w:t>
      </w:r>
      <w:r w:rsidRPr="00D17ACA">
        <w:rPr>
          <w:color w:val="000000" w:themeColor="text1"/>
          <w:vertAlign w:val="superscript"/>
        </w:rPr>
        <w:t>h</w:t>
      </w:r>
      <w:r w:rsidRPr="00487150">
        <w:rPr>
          <w:color w:val="000000" w:themeColor="text1"/>
        </w:rPr>
        <w:t xml:space="preserve">Steenstra et al. (2018), </w:t>
      </w:r>
      <w:r w:rsidRPr="00D17ACA">
        <w:rPr>
          <w:color w:val="000000" w:themeColor="text1"/>
          <w:vertAlign w:val="superscript"/>
        </w:rPr>
        <w:t>i</w:t>
      </w:r>
      <w:r w:rsidRPr="00487150">
        <w:rPr>
          <w:color w:val="000000" w:themeColor="text1"/>
        </w:rPr>
        <w:t>Charlier et al. (2018)</w:t>
      </w:r>
    </w:p>
    <w:p w14:paraId="4AED4880" w14:textId="77777777" w:rsidR="001E0E82" w:rsidRDefault="001E0E82" w:rsidP="000076D0">
      <w:pPr>
        <w:pStyle w:val="Tables"/>
        <w:rPr>
          <w:b/>
          <w:bCs/>
        </w:rPr>
      </w:pPr>
    </w:p>
    <w:p w14:paraId="7CEF93DE" w14:textId="77777777" w:rsidR="001E0E82" w:rsidRDefault="001E0E82" w:rsidP="000076D0">
      <w:pPr>
        <w:pStyle w:val="Tables"/>
        <w:rPr>
          <w:b/>
          <w:bCs/>
        </w:rPr>
        <w:sectPr w:rsidR="001E0E82" w:rsidSect="001E0E82">
          <w:pgSz w:w="15840" w:h="12240" w:orient="landscape" w:code="1"/>
          <w:pgMar w:top="1800" w:right="1872" w:bottom="1800" w:left="1440" w:header="720" w:footer="1440" w:gutter="0"/>
          <w:cols w:space="720"/>
          <w:noEndnote/>
          <w:docGrid w:linePitch="360"/>
        </w:sectPr>
      </w:pPr>
    </w:p>
    <w:p w14:paraId="03050707" w14:textId="77777777" w:rsidR="00DD6B30" w:rsidRDefault="00DD6B30" w:rsidP="00736995">
      <w:pPr>
        <w:spacing w:line="480" w:lineRule="auto"/>
        <w:ind w:firstLine="720"/>
        <w:rPr>
          <w:color w:val="000000" w:themeColor="text1"/>
        </w:rPr>
      </w:pPr>
      <w:bookmarkStart w:id="443" w:name="_Toc182331775"/>
      <w:bookmarkStart w:id="444" w:name="_Toc182995502"/>
      <w:r w:rsidRPr="00487150">
        <w:rPr>
          <w:color w:val="000000" w:themeColor="text1"/>
        </w:rPr>
        <w:lastRenderedPageBreak/>
        <w:t xml:space="preserve">The modeled distributions indicate that &gt;60% of the lunar K budget </w:t>
      </w:r>
      <w:r>
        <w:rPr>
          <w:color w:val="000000" w:themeColor="text1"/>
        </w:rPr>
        <w:t>was</w:t>
      </w:r>
      <w:r w:rsidRPr="00487150">
        <w:rPr>
          <w:color w:val="000000" w:themeColor="text1"/>
        </w:rPr>
        <w:t xml:space="preserve"> contained within the lunar crust, </w:t>
      </w:r>
      <w:r>
        <w:t>mainly</w:t>
      </w:r>
      <w:r w:rsidRPr="00487150">
        <w:rPr>
          <w:color w:val="000000" w:themeColor="text1"/>
        </w:rPr>
        <w:t xml:space="preserve"> in the lower crust. In contrast, the crust would contain &lt;11% of the </w:t>
      </w:r>
      <w:r>
        <w:rPr>
          <w:color w:val="000000" w:themeColor="text1"/>
        </w:rPr>
        <w:t>total</w:t>
      </w:r>
      <w:r w:rsidRPr="00487150">
        <w:rPr>
          <w:color w:val="000000" w:themeColor="text1"/>
        </w:rPr>
        <w:t xml:space="preserve"> Th and U budgets. Most of the lunar Th and U budget </w:t>
      </w:r>
      <w:r>
        <w:rPr>
          <w:color w:val="000000" w:themeColor="text1"/>
        </w:rPr>
        <w:t>is</w:t>
      </w:r>
      <w:r w:rsidRPr="00487150">
        <w:rPr>
          <w:color w:val="000000" w:themeColor="text1"/>
        </w:rPr>
        <w:t xml:space="preserve"> concentrated in the uppermost </w:t>
      </w:r>
      <w:r>
        <w:rPr>
          <w:color w:val="000000" w:themeColor="text1"/>
        </w:rPr>
        <w:t xml:space="preserve">mantle </w:t>
      </w:r>
      <w:r w:rsidRPr="00487150">
        <w:rPr>
          <w:color w:val="000000" w:themeColor="text1"/>
        </w:rPr>
        <w:t xml:space="preserve">cumulates (the last 5% of LMO mantle cumulates). The upper mantle cumulates also contain &gt;30% of the lunar K budget; however, this value would </w:t>
      </w:r>
      <w:r>
        <w:rPr>
          <w:color w:val="000000" w:themeColor="text1"/>
        </w:rPr>
        <w:t>vary</w:t>
      </w:r>
      <w:r w:rsidRPr="00487150">
        <w:rPr>
          <w:color w:val="000000" w:themeColor="text1"/>
        </w:rPr>
        <w:t xml:space="preserve"> depending on the assumed plagioclase floatation efficiency.</w:t>
      </w:r>
    </w:p>
    <w:p w14:paraId="6B55CDE4" w14:textId="4423E07E" w:rsidR="00CD3E13" w:rsidRPr="00736995" w:rsidRDefault="00DD6B30" w:rsidP="00736995">
      <w:pPr>
        <w:spacing w:line="480" w:lineRule="auto"/>
        <w:ind w:firstLine="720"/>
        <w:sectPr w:rsidR="00CD3E13" w:rsidRPr="00736995" w:rsidSect="002B1D54">
          <w:pgSz w:w="12240" w:h="15840" w:code="1"/>
          <w:pgMar w:top="1440" w:right="1800" w:bottom="1872" w:left="1800" w:header="720" w:footer="1440" w:gutter="0"/>
          <w:cols w:space="720"/>
          <w:noEndnote/>
          <w:docGrid w:linePitch="360"/>
        </w:sectPr>
      </w:pPr>
      <w:r w:rsidRPr="00487150">
        <w:rPr>
          <w:color w:val="000000" w:themeColor="text1"/>
        </w:rPr>
        <w:t xml:space="preserve">The modeled elemental heat production for each terrestrial and lunar HPE budget </w:t>
      </w:r>
      <w:r>
        <w:rPr>
          <w:color w:val="000000" w:themeColor="text1"/>
        </w:rPr>
        <w:t>considered</w:t>
      </w:r>
      <w:r w:rsidRPr="00487150">
        <w:rPr>
          <w:color w:val="000000" w:themeColor="text1"/>
        </w:rPr>
        <w:t xml:space="preserve"> (McDonough and Sun, 1995; Turcotte and Schubert, 2002; </w:t>
      </w:r>
      <w:r w:rsidRPr="00487150">
        <w:rPr>
          <w:rFonts w:eastAsiaTheme="minorEastAsia"/>
          <w:color w:val="000000" w:themeColor="text1"/>
        </w:rPr>
        <w:t>Taylor et al., 2006; Taylor and Wieczorek, 2014;</w:t>
      </w:r>
      <w:r w:rsidRPr="00487150">
        <w:rPr>
          <w:color w:val="000000" w:themeColor="text1"/>
        </w:rPr>
        <w:t xml:space="preserve"> </w:t>
      </w:r>
      <w:r w:rsidRPr="00487150">
        <w:rPr>
          <w:bCs/>
          <w:color w:val="000000" w:themeColor="text1"/>
        </w:rPr>
        <w:t xml:space="preserve">Seigler et al., 2022) </w:t>
      </w:r>
      <w:r w:rsidRPr="00487150">
        <w:rPr>
          <w:color w:val="000000" w:themeColor="text1"/>
        </w:rPr>
        <w:t>demonstrate</w:t>
      </w:r>
      <w:r>
        <w:rPr>
          <w:color w:val="000000" w:themeColor="text1"/>
        </w:rPr>
        <w:t>s</w:t>
      </w:r>
      <w:r w:rsidRPr="00487150">
        <w:rPr>
          <w:color w:val="000000" w:themeColor="text1"/>
        </w:rPr>
        <w:t xml:space="preserve"> that varying the overall abundance of Th and U has less of an effect than varying the overall abundance of K (</w:t>
      </w:r>
      <w:r w:rsidRPr="00487150">
        <w:rPr>
          <w:b/>
          <w:bCs/>
          <w:color w:val="000000" w:themeColor="text1"/>
        </w:rPr>
        <w:t xml:space="preserve">Figure </w:t>
      </w:r>
      <w:r>
        <w:rPr>
          <w:b/>
          <w:bCs/>
        </w:rPr>
        <w:t>3.1d</w:t>
      </w:r>
      <w:r w:rsidRPr="00487150">
        <w:rPr>
          <w:color w:val="000000" w:themeColor="text1"/>
        </w:rPr>
        <w:t>). For terrestrial HPE budgets with K/Th ratios &gt;</w:t>
      </w:r>
      <w:r>
        <w:t>2000</w:t>
      </w:r>
      <w:r w:rsidRPr="00487150">
        <w:rPr>
          <w:color w:val="000000" w:themeColor="text1"/>
        </w:rPr>
        <w:t>, K produces the most radiogenic heat until ~0.8 Ga (</w:t>
      </w:r>
      <w:r w:rsidRPr="00487150">
        <w:rPr>
          <w:b/>
          <w:bCs/>
          <w:color w:val="000000" w:themeColor="text1"/>
        </w:rPr>
        <w:t>Figure 3.1b</w:t>
      </w:r>
      <w:r w:rsidRPr="00487150">
        <w:rPr>
          <w:color w:val="000000" w:themeColor="text1"/>
        </w:rPr>
        <w:t>). For lunar HPE budgets with K/Th ratios &lt;900, the contribution from K to the total radiogenic heat production is far less significant than the combined heat production of Th and U (</w:t>
      </w:r>
      <w:r w:rsidRPr="00487150">
        <w:rPr>
          <w:b/>
          <w:bCs/>
          <w:color w:val="000000" w:themeColor="text1"/>
        </w:rPr>
        <w:t>Figure 3.1b</w:t>
      </w:r>
      <w:r w:rsidRPr="00487150">
        <w:rPr>
          <w:color w:val="000000" w:themeColor="text1"/>
        </w:rPr>
        <w:t xml:space="preserve">). Considering the distribution of heat-producing elements in the late-crystallizing crustal and mantle reservoirs, the crust would produce a significant amount of heat if the Moon had </w:t>
      </w:r>
      <w:r>
        <w:t>an</w:t>
      </w:r>
      <w:r w:rsidRPr="00487150">
        <w:rPr>
          <w:color w:val="000000" w:themeColor="text1"/>
        </w:rPr>
        <w:t xml:space="preserve"> HPE budget similar to estimated terrestrial budgets (</w:t>
      </w:r>
      <w:r w:rsidRPr="00487150">
        <w:rPr>
          <w:b/>
          <w:bCs/>
          <w:color w:val="000000" w:themeColor="text1"/>
        </w:rPr>
        <w:t>Figure 3.1b</w:t>
      </w:r>
      <w:r>
        <w:rPr>
          <w:b/>
          <w:bCs/>
        </w:rPr>
        <w:t>-d</w:t>
      </w:r>
      <w:r w:rsidRPr="00487150">
        <w:rPr>
          <w:color w:val="000000" w:themeColor="text1"/>
        </w:rPr>
        <w:t>). In contrast, the most recent lunar HPE budget estimates are so K-depleted that the lower crust would produce negligible heat relative to the overall diffusive heat flux leaving the Moon (</w:t>
      </w:r>
      <w:r w:rsidRPr="00487150">
        <w:rPr>
          <w:b/>
          <w:bCs/>
          <w:color w:val="000000" w:themeColor="text1"/>
        </w:rPr>
        <w:t>Figure</w:t>
      </w:r>
      <w:r>
        <w:rPr>
          <w:b/>
          <w:bCs/>
        </w:rPr>
        <w:t>s</w:t>
      </w:r>
      <w:r w:rsidRPr="00487150">
        <w:rPr>
          <w:b/>
          <w:bCs/>
          <w:color w:val="000000" w:themeColor="text1"/>
        </w:rPr>
        <w:t xml:space="preserve"> 3.1b</w:t>
      </w:r>
      <w:r>
        <w:rPr>
          <w:b/>
          <w:bCs/>
        </w:rPr>
        <w:t xml:space="preserve"> and 3.1d</w:t>
      </w:r>
      <w:r w:rsidRPr="00487150">
        <w:rPr>
          <w:color w:val="000000" w:themeColor="text1"/>
        </w:rPr>
        <w:t>). Th</w:t>
      </w:r>
      <w:r>
        <w:t>ese models</w:t>
      </w:r>
      <w:r w:rsidRPr="00487150">
        <w:rPr>
          <w:color w:val="000000" w:themeColor="text1"/>
        </w:rPr>
        <w:t xml:space="preserve"> highlight the importance of constraining the lunar HPE budget</w:t>
      </w:r>
      <w:r>
        <w:t xml:space="preserve">, specifically the degree of K depletion </w:t>
      </w:r>
      <w:r w:rsidR="008A0058">
        <w:t>i</w:t>
      </w:r>
      <w:r>
        <w:t>n the Moon.</w:t>
      </w:r>
      <w:bookmarkEnd w:id="443"/>
      <w:bookmarkEnd w:id="444"/>
    </w:p>
    <w:p w14:paraId="6EC815FF" w14:textId="3E24E3DF" w:rsidR="006F34A9" w:rsidRPr="00487150" w:rsidRDefault="001F1269" w:rsidP="00E3279F">
      <w:r>
        <w:rPr>
          <w:noProof/>
        </w:rPr>
        <w:lastRenderedPageBreak/>
        <w:drawing>
          <wp:inline distT="0" distB="0" distL="0" distR="0" wp14:anchorId="2846BDBA" wp14:editId="7529B35C">
            <wp:extent cx="5486400" cy="4440555"/>
            <wp:effectExtent l="0" t="0" r="0" b="4445"/>
            <wp:docPr id="615125398" name="Picture 57" descr="A collage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125398" name="Picture 57" descr="A collage of different colored lines&#10;&#10;Description automatically generated"/>
                    <pic:cNvPicPr/>
                  </pic:nvPicPr>
                  <pic:blipFill>
                    <a:blip r:embed="rId350" cstate="print">
                      <a:extLst>
                        <a:ext uri="{28A0092B-C50C-407E-A947-70E740481C1C}">
                          <a14:useLocalDpi xmlns:a14="http://schemas.microsoft.com/office/drawing/2010/main" val="0"/>
                        </a:ext>
                      </a:extLst>
                    </a:blip>
                    <a:stretch>
                      <a:fillRect/>
                    </a:stretch>
                  </pic:blipFill>
                  <pic:spPr>
                    <a:xfrm>
                      <a:off x="0" y="0"/>
                      <a:ext cx="5486400" cy="4440555"/>
                    </a:xfrm>
                    <a:prstGeom prst="rect">
                      <a:avLst/>
                    </a:prstGeom>
                  </pic:spPr>
                </pic:pic>
              </a:graphicData>
            </a:graphic>
          </wp:inline>
        </w:drawing>
      </w:r>
    </w:p>
    <w:p w14:paraId="0D00C0D7" w14:textId="292EE687" w:rsidR="00224AA1" w:rsidRDefault="00224AA1" w:rsidP="000E3E1D">
      <w:pPr>
        <w:pStyle w:val="FigureCaption"/>
      </w:pPr>
      <w:bookmarkStart w:id="445" w:name="_Toc182944873"/>
      <w:bookmarkStart w:id="446" w:name="_Toc183019420"/>
      <w:bookmarkStart w:id="447" w:name="_Toc185263430"/>
      <w:r w:rsidRPr="000E3E1D">
        <w:rPr>
          <w:b/>
          <w:bCs/>
        </w:rPr>
        <w:t>Figure 3.1.</w:t>
      </w:r>
      <w:r w:rsidRPr="00487150">
        <w:t xml:space="preserve"> </w:t>
      </w:r>
      <w:r w:rsidR="00B35B5D" w:rsidRPr="005C275A">
        <w:t xml:space="preserve">Distribution of Heat Producing Elements (HPE) and heat production potential following LMO solidification if the LMO </w:t>
      </w:r>
      <w:r w:rsidR="00B35B5D">
        <w:t>extends</w:t>
      </w:r>
      <w:r w:rsidR="00B35B5D" w:rsidRPr="005C275A">
        <w:t xml:space="preserve"> to the lunar </w:t>
      </w:r>
      <w:r w:rsidR="00B35B5D">
        <w:t>core-mantle</w:t>
      </w:r>
      <w:r w:rsidR="00B35B5D" w:rsidRPr="005C275A">
        <w:t xml:space="preserve"> boundary. (a) radiogenic heat production potential across the lunar mantle</w:t>
      </w:r>
      <w:r w:rsidR="00B35B5D">
        <w:t>,</w:t>
      </w:r>
      <w:r w:rsidR="00B35B5D" w:rsidRPr="005C275A">
        <w:t xml:space="preserve"> assuming the lunar core, mantle cumulates, and anorthosite crust following LMO solidification if the </w:t>
      </w:r>
      <w:r w:rsidR="00B35B5D">
        <w:t>Moon</w:t>
      </w:r>
      <w:r w:rsidR="00B35B5D" w:rsidRPr="005C275A">
        <w:t xml:space="preserve"> contained previous lunar or terrestrial HPE budgets. The assumed lunar stratigraphy for the models is shown in the sub</w:t>
      </w:r>
      <w:r w:rsidR="00B35B5D">
        <w:t>-</w:t>
      </w:r>
      <w:r w:rsidR="00B35B5D" w:rsidRPr="005C275A">
        <w:t xml:space="preserve">panel on the left side of (a). (b) </w:t>
      </w:r>
      <w:r w:rsidR="00B35B5D">
        <w:t>E</w:t>
      </w:r>
      <w:r w:rsidR="00B35B5D" w:rsidRPr="005C275A">
        <w:t xml:space="preserve">volution of each HPE’s proportional heat </w:t>
      </w:r>
      <w:r w:rsidR="00B35B5D">
        <w:t>throughout the bulk Moon as a function of time</w:t>
      </w:r>
      <w:r w:rsidR="00B35B5D" w:rsidRPr="005C275A">
        <w:t xml:space="preserve">. </w:t>
      </w:r>
      <w:r w:rsidR="00B35B5D" w:rsidRPr="003D327C">
        <w:t>(</w:t>
      </w:r>
      <w:r w:rsidR="00B35B5D">
        <w:t>c</w:t>
      </w:r>
      <w:r w:rsidR="00B35B5D" w:rsidRPr="003D327C">
        <w:t xml:space="preserve">) </w:t>
      </w:r>
      <w:r w:rsidR="00B35B5D">
        <w:t>E</w:t>
      </w:r>
      <w:r w:rsidR="00B35B5D" w:rsidRPr="003D327C">
        <w:t>volution of the total radiogenic heat production across the lunar crust and mantle. (</w:t>
      </w:r>
      <w:r w:rsidR="00B35B5D">
        <w:t>d</w:t>
      </w:r>
      <w:r w:rsidR="00B35B5D" w:rsidRPr="003D327C">
        <w:t xml:space="preserve">) </w:t>
      </w:r>
      <w:r w:rsidR="00B35B5D">
        <w:t>E</w:t>
      </w:r>
      <w:r w:rsidR="00B35B5D" w:rsidRPr="003D327C">
        <w:t>volution of each HPE</w:t>
      </w:r>
      <w:r w:rsidR="00B35B5D">
        <w:t>’</w:t>
      </w:r>
      <w:r w:rsidR="00B35B5D" w:rsidRPr="003D327C">
        <w:t>s radiogenic heat production across the lunar crust and mantle.</w:t>
      </w:r>
      <w:r w:rsidR="00B35B5D" w:rsidRPr="005C275A">
        <w:t xml:space="preserve"> Heat production calculations were conducted using the HPE budgets found in Table 3.1 and heat production and elemental decay parameters in Table 3.</w:t>
      </w:r>
      <w:r w:rsidR="00B25988">
        <w:t>4</w:t>
      </w:r>
      <w:r w:rsidR="00B35B5D" w:rsidRPr="005C275A">
        <w:t>.</w:t>
      </w:r>
      <w:r w:rsidR="00B35B5D">
        <w:t xml:space="preserve"> </w:t>
      </w:r>
      <w:r w:rsidR="00B35B5D" w:rsidRPr="005C275A">
        <w:t xml:space="preserve">M&amp;S 1995: McDonough and Sun (1995), T&amp;S 2002: Turcotte and Schubert (2002), T 2006: </w:t>
      </w:r>
      <w:r w:rsidR="00B35B5D" w:rsidRPr="005C275A">
        <w:rPr>
          <w:rFonts w:eastAsiaTheme="minorEastAsia"/>
        </w:rPr>
        <w:t>Taylor et al. (2006), T&amp;W 2014: Taylor and Wieczorek (2014), S 2022:</w:t>
      </w:r>
      <w:r w:rsidR="00B35B5D" w:rsidRPr="005C275A">
        <w:t xml:space="preserve"> Seigler et al. (2022). This figure demonstrates </w:t>
      </w:r>
      <w:r w:rsidR="00B35B5D">
        <w:t>that</w:t>
      </w:r>
      <w:r w:rsidR="00B35B5D" w:rsidRPr="005C275A">
        <w:t xml:space="preserve"> fractional crystallization of the LMO would significantly impact the distribution of HPE throughout the lunar crust and mantle. The figure also shows how significantly </w:t>
      </w:r>
      <w:r w:rsidR="00B35B5D">
        <w:t xml:space="preserve">the </w:t>
      </w:r>
      <w:r w:rsidR="00B35B5D" w:rsidRPr="005C275A">
        <w:t xml:space="preserve">depletion or enrichment of each HPE </w:t>
      </w:r>
      <w:r w:rsidR="00B35B5D">
        <w:t>affects</w:t>
      </w:r>
      <w:r w:rsidR="00B35B5D" w:rsidRPr="005C275A">
        <w:t xml:space="preserve"> lunar radiogenic heat production over geologic timescales</w:t>
      </w:r>
      <w:r w:rsidR="007114A6" w:rsidRPr="005C275A">
        <w:t>.</w:t>
      </w:r>
      <w:bookmarkEnd w:id="445"/>
      <w:bookmarkEnd w:id="446"/>
      <w:bookmarkEnd w:id="447"/>
    </w:p>
    <w:p w14:paraId="22E10883" w14:textId="77777777" w:rsidR="00736995" w:rsidRDefault="00736995" w:rsidP="000E3E1D">
      <w:pPr>
        <w:pStyle w:val="FigureCaption"/>
      </w:pPr>
    </w:p>
    <w:p w14:paraId="2E779C6D" w14:textId="77777777" w:rsidR="00736995" w:rsidRPr="00487150" w:rsidRDefault="00736995" w:rsidP="00736995">
      <w:pPr>
        <w:pStyle w:val="Heading3"/>
      </w:pPr>
      <w:bookmarkStart w:id="448" w:name="_Toc183536628"/>
      <w:bookmarkStart w:id="449" w:name="_Toc184727433"/>
      <w:bookmarkStart w:id="450" w:name="_Toc185325681"/>
      <w:r w:rsidRPr="00487150">
        <w:lastRenderedPageBreak/>
        <w:t>Constraining The Lunar K/Th Ratio</w:t>
      </w:r>
      <w:bookmarkEnd w:id="448"/>
      <w:bookmarkEnd w:id="449"/>
      <w:bookmarkEnd w:id="450"/>
    </w:p>
    <w:p w14:paraId="3DB8BEBD" w14:textId="77777777" w:rsidR="00736995" w:rsidRDefault="00736995" w:rsidP="003370FA">
      <w:pPr>
        <w:spacing w:line="480" w:lineRule="auto"/>
        <w:ind w:firstLine="720"/>
      </w:pPr>
      <w:r>
        <w:t>The models for energy production with respect to time (</w:t>
      </w:r>
      <w:r w:rsidRPr="00880DD5">
        <w:rPr>
          <w:b/>
          <w:bCs/>
        </w:rPr>
        <w:t>Figures 3.1b-d</w:t>
      </w:r>
      <w:r>
        <w:t xml:space="preserve">) demonstrate the large variation between the Earth's and Moon's K budgets would have a far more significant effect on the total heat production than the variation in the estimated U and Th budgets. This is primarily related to the degree of elemental variation between the Earth and Moon </w:t>
      </w:r>
      <w:r w:rsidRPr="00073EEB">
        <w:rPr>
          <w:b/>
          <w:bCs/>
          <w:color w:val="000000" w:themeColor="text1"/>
        </w:rPr>
        <w:t>Table 3.1</w:t>
      </w:r>
      <w:r>
        <w:t>. Given the significant variation in estimated K budgets and relatively minor variation in estimated U and Th budgets, we focus on constraining the ratio of K relative to U and Th, which should reveal the most information about the degree of lunar K depletion and the impact this depletion would have on lunar thermal evolution.</w:t>
      </w:r>
    </w:p>
    <w:p w14:paraId="634FC814" w14:textId="77777777" w:rsidR="00016274" w:rsidRDefault="00736995" w:rsidP="003370FA">
      <w:pPr>
        <w:spacing w:line="480" w:lineRule="auto"/>
        <w:ind w:firstLine="720"/>
      </w:pPr>
      <w:r w:rsidRPr="00487150">
        <w:rPr>
          <w:color w:val="000000" w:themeColor="text1"/>
        </w:rPr>
        <w:t>Considering the partitioning behavior of the HPE</w:t>
      </w:r>
      <w:r>
        <w:rPr>
          <w:color w:val="000000" w:themeColor="text1"/>
        </w:rPr>
        <w:t>s</w:t>
      </w:r>
      <w:r w:rsidRPr="00487150">
        <w:rPr>
          <w:color w:val="000000" w:themeColor="text1"/>
        </w:rPr>
        <w:t xml:space="preserve"> (</w:t>
      </w:r>
      <w:r w:rsidRPr="00487150">
        <w:rPr>
          <w:b/>
          <w:bCs/>
          <w:color w:val="000000" w:themeColor="text1"/>
        </w:rPr>
        <w:t>Table 3.1</w:t>
      </w:r>
      <w:r w:rsidRPr="00487150">
        <w:rPr>
          <w:color w:val="000000" w:themeColor="text1"/>
        </w:rPr>
        <w:t>), Th and U should mirror one another as the difference between their partition coefficients is typically less than an order of magnitude. This differs significantly for K as its partition</w:t>
      </w:r>
      <w:r>
        <w:rPr>
          <w:color w:val="000000" w:themeColor="text1"/>
        </w:rPr>
        <w:t xml:space="preserve"> coefficient</w:t>
      </w:r>
      <w:r w:rsidRPr="00487150">
        <w:rPr>
          <w:color w:val="000000" w:themeColor="text1"/>
        </w:rPr>
        <w:t xml:space="preserve"> </w:t>
      </w:r>
      <w:r>
        <w:rPr>
          <w:color w:val="000000" w:themeColor="text1"/>
        </w:rPr>
        <w:t>differs</w:t>
      </w:r>
      <w:r w:rsidRPr="00487150">
        <w:rPr>
          <w:color w:val="000000" w:themeColor="text1"/>
        </w:rPr>
        <w:t xml:space="preserve"> from the Th and U coefficients by as much as four orders of magnitude</w:t>
      </w:r>
      <w:r>
        <w:rPr>
          <w:color w:val="000000" w:themeColor="text1"/>
        </w:rPr>
        <w:t>, depending on the phase</w:t>
      </w:r>
      <w:r w:rsidRPr="00487150">
        <w:rPr>
          <w:color w:val="000000" w:themeColor="text1"/>
        </w:rPr>
        <w:t>. This means that LMO crystallization will primarily fractionate K from Th and U</w:t>
      </w:r>
      <w:r>
        <w:rPr>
          <w:color w:val="000000" w:themeColor="text1"/>
        </w:rPr>
        <w:t xml:space="preserve">. </w:t>
      </w:r>
      <w:r w:rsidRPr="00487150">
        <w:rPr>
          <w:color w:val="000000" w:themeColor="text1"/>
        </w:rPr>
        <w:t>Given the negligible difference in estimated U/Th ratios from previous studies (i.e., 0.2613</w:t>
      </w:r>
      <w:r w:rsidRPr="00487150">
        <w:rPr>
          <w:color w:val="000000" w:themeColor="text1"/>
        </w:rPr>
        <w:sym w:font="Symbol" w:char="F0B1"/>
      </w:r>
      <w:r w:rsidRPr="00487150">
        <w:rPr>
          <w:color w:val="000000" w:themeColor="text1"/>
        </w:rPr>
        <w:t>0.0094</w:t>
      </w:r>
      <w:r>
        <w:t>: M</w:t>
      </w:r>
      <w:r w:rsidRPr="00487150">
        <w:rPr>
          <w:color w:val="000000" w:themeColor="text1"/>
        </w:rPr>
        <w:t>cDonough and Sun</w:t>
      </w:r>
      <w:r>
        <w:t>,</w:t>
      </w:r>
      <w:r w:rsidRPr="00487150">
        <w:rPr>
          <w:color w:val="000000" w:themeColor="text1"/>
        </w:rPr>
        <w:t xml:space="preserve"> 1995</w:t>
      </w:r>
      <w:r>
        <w:t>;</w:t>
      </w:r>
      <w:r w:rsidRPr="00487150">
        <w:rPr>
          <w:color w:val="000000" w:themeColor="text1"/>
        </w:rPr>
        <w:t xml:space="preserve"> Turcotte and Schubert</w:t>
      </w:r>
      <w:r>
        <w:t>,</w:t>
      </w:r>
      <w:r w:rsidRPr="00487150">
        <w:rPr>
          <w:color w:val="000000" w:themeColor="text1"/>
        </w:rPr>
        <w:t xml:space="preserve"> 2002</w:t>
      </w:r>
      <w:r>
        <w:t xml:space="preserve">; </w:t>
      </w:r>
      <w:r w:rsidRPr="00487150">
        <w:rPr>
          <w:rFonts w:eastAsiaTheme="minorEastAsia"/>
          <w:color w:val="000000" w:themeColor="text1"/>
        </w:rPr>
        <w:t>Taylor</w:t>
      </w:r>
      <w:r>
        <w:rPr>
          <w:rFonts w:eastAsiaTheme="minorEastAsia"/>
        </w:rPr>
        <w:t xml:space="preserve"> et al., 2006;</w:t>
      </w:r>
      <w:r>
        <w:t xml:space="preserve"> </w:t>
      </w:r>
      <w:r w:rsidRPr="00487150">
        <w:rPr>
          <w:rFonts w:eastAsiaTheme="minorEastAsia"/>
          <w:color w:val="000000" w:themeColor="text1"/>
        </w:rPr>
        <w:t>Taylor and Wieczorek</w:t>
      </w:r>
      <w:r>
        <w:rPr>
          <w:rFonts w:eastAsiaTheme="minorEastAsia"/>
        </w:rPr>
        <w:t>,</w:t>
      </w:r>
      <w:r w:rsidRPr="00487150">
        <w:rPr>
          <w:rFonts w:eastAsiaTheme="minorEastAsia"/>
          <w:color w:val="000000" w:themeColor="text1"/>
        </w:rPr>
        <w:t xml:space="preserve"> 2014</w:t>
      </w:r>
      <w:r>
        <w:t>;</w:t>
      </w:r>
      <w:r w:rsidRPr="00487150">
        <w:rPr>
          <w:color w:val="000000" w:themeColor="text1"/>
        </w:rPr>
        <w:t xml:space="preserve"> </w:t>
      </w:r>
      <w:r w:rsidRPr="00487150">
        <w:rPr>
          <w:bCs/>
          <w:color w:val="000000" w:themeColor="text1"/>
        </w:rPr>
        <w:t>Seigler et al.</w:t>
      </w:r>
      <w:r>
        <w:rPr>
          <w:bCs/>
        </w:rPr>
        <w:t>,</w:t>
      </w:r>
      <w:r w:rsidRPr="00487150">
        <w:rPr>
          <w:bCs/>
          <w:color w:val="000000" w:themeColor="text1"/>
        </w:rPr>
        <w:t xml:space="preserve"> 2022</w:t>
      </w:r>
      <w:r>
        <w:t>)</w:t>
      </w:r>
      <w:r w:rsidRPr="00487150">
        <w:rPr>
          <w:color w:val="000000" w:themeColor="text1"/>
        </w:rPr>
        <w:t>, we focus on constraining the K/Th ratio of the LMO</w:t>
      </w:r>
      <w:r w:rsidR="00016274">
        <w:t>.</w:t>
      </w:r>
    </w:p>
    <w:p w14:paraId="6AE2A0EA" w14:textId="06BBA30D" w:rsidR="00D23C32" w:rsidRDefault="00D23C32" w:rsidP="003370FA">
      <w:pPr>
        <w:spacing w:line="480" w:lineRule="auto"/>
        <w:ind w:firstLine="720"/>
      </w:pPr>
      <w:r w:rsidRPr="00487150">
        <w:rPr>
          <w:color w:val="000000" w:themeColor="text1"/>
        </w:rPr>
        <w:t xml:space="preserve">Solidification models from this study unsurprisingly demonstrate that the estimated terrestrial K/Th ratios from McDonough and Sun (1995) and Turcotte and Schubert (2002) would generate mantle and crustal LMO cumulates that are far too high </w:t>
      </w:r>
      <w:r w:rsidRPr="00487150">
        <w:rPr>
          <w:color w:val="000000" w:themeColor="text1"/>
        </w:rPr>
        <w:lastRenderedPageBreak/>
        <w:t xml:space="preserve">(too K-rich) </w:t>
      </w:r>
      <w:r>
        <w:rPr>
          <w:color w:val="000000" w:themeColor="text1"/>
        </w:rPr>
        <w:t>when compared to the</w:t>
      </w:r>
      <w:r w:rsidRPr="00487150">
        <w:rPr>
          <w:bCs/>
          <w:color w:val="000000" w:themeColor="text1"/>
        </w:rPr>
        <w:t xml:space="preserve"> ratios in lunar crustal cumulates, mare basalts, picritic glasses</w:t>
      </w:r>
      <w:r>
        <w:rPr>
          <w:bCs/>
          <w:color w:val="000000" w:themeColor="text1"/>
        </w:rPr>
        <w:t xml:space="preserve"> (</w:t>
      </w:r>
      <w:r w:rsidRPr="00381517">
        <w:rPr>
          <w:b/>
          <w:bCs/>
          <w:color w:val="000000" w:themeColor="text1"/>
        </w:rPr>
        <w:t>Figure 3.2a</w:t>
      </w:r>
      <w:r>
        <w:rPr>
          <w:bCs/>
          <w:color w:val="000000" w:themeColor="text1"/>
        </w:rPr>
        <w:t>)</w:t>
      </w:r>
      <w:r w:rsidRPr="00487150">
        <w:rPr>
          <w:bCs/>
          <w:color w:val="000000" w:themeColor="text1"/>
        </w:rPr>
        <w:t xml:space="preserve">, </w:t>
      </w:r>
      <w:r w:rsidRPr="00487150">
        <w:rPr>
          <w:color w:val="000000" w:themeColor="text1"/>
        </w:rPr>
        <w:t xml:space="preserve">and South Pole Aitken (SPA) basin floor </w:t>
      </w:r>
      <w:r>
        <w:rPr>
          <w:color w:val="000000" w:themeColor="text1"/>
        </w:rPr>
        <w:t>deposits</w:t>
      </w:r>
      <w:r>
        <w:t xml:space="preserve">. </w:t>
      </w:r>
      <w:r w:rsidRPr="00487150">
        <w:rPr>
          <w:color w:val="000000" w:themeColor="text1"/>
        </w:rPr>
        <w:t xml:space="preserve">The lunar K/Th ratio </w:t>
      </w:r>
      <w:r>
        <w:rPr>
          <w:color w:val="000000" w:themeColor="text1"/>
        </w:rPr>
        <w:t>proposed by</w:t>
      </w:r>
      <w:r w:rsidRPr="00487150">
        <w:rPr>
          <w:color w:val="000000" w:themeColor="text1"/>
        </w:rPr>
        <w:t xml:space="preserve"> </w:t>
      </w:r>
      <w:r w:rsidRPr="00487150">
        <w:rPr>
          <w:rFonts w:eastAsiaTheme="minorEastAsia"/>
          <w:color w:val="000000" w:themeColor="text1"/>
        </w:rPr>
        <w:t xml:space="preserve">Taylor et al. (2006) </w:t>
      </w:r>
      <w:r w:rsidRPr="00487150">
        <w:rPr>
          <w:color w:val="000000" w:themeColor="text1"/>
        </w:rPr>
        <w:t xml:space="preserve">would generate mantle and crustal LMO cumulates </w:t>
      </w:r>
      <w:r>
        <w:t xml:space="preserve">that </w:t>
      </w:r>
      <w:r w:rsidRPr="00487150">
        <w:rPr>
          <w:color w:val="000000" w:themeColor="text1"/>
        </w:rPr>
        <w:t xml:space="preserve">fall within the range of </w:t>
      </w:r>
      <w:r>
        <w:rPr>
          <w:color w:val="000000" w:themeColor="text1"/>
        </w:rPr>
        <w:t xml:space="preserve">some </w:t>
      </w:r>
      <w:r w:rsidRPr="00487150">
        <w:rPr>
          <w:color w:val="000000" w:themeColor="text1"/>
        </w:rPr>
        <w:t>lunar melts and crustal samples</w:t>
      </w:r>
      <w:r>
        <w:t xml:space="preserve"> </w:t>
      </w:r>
      <w:r>
        <w:rPr>
          <w:color w:val="000000" w:themeColor="text1"/>
        </w:rPr>
        <w:t>but are</w:t>
      </w:r>
      <w:r w:rsidRPr="00487150">
        <w:rPr>
          <w:color w:val="000000" w:themeColor="text1"/>
        </w:rPr>
        <w:t xml:space="preserve"> too K-rich to </w:t>
      </w:r>
      <w:r>
        <w:rPr>
          <w:color w:val="000000" w:themeColor="text1"/>
        </w:rPr>
        <w:t>be consistent with</w:t>
      </w:r>
      <w:r w:rsidRPr="00487150">
        <w:rPr>
          <w:color w:val="000000" w:themeColor="text1"/>
        </w:rPr>
        <w:t xml:space="preserve"> most lunar samples. The ratios estimated by </w:t>
      </w:r>
      <w:r w:rsidRPr="00487150">
        <w:rPr>
          <w:rFonts w:eastAsiaTheme="minorEastAsia"/>
          <w:color w:val="000000" w:themeColor="text1"/>
        </w:rPr>
        <w:t>Taylor and Wieczorek (2014)</w:t>
      </w:r>
      <w:r w:rsidRPr="00487150">
        <w:rPr>
          <w:color w:val="000000" w:themeColor="text1"/>
        </w:rPr>
        <w:t xml:space="preserve"> and </w:t>
      </w:r>
      <w:r w:rsidRPr="00487150">
        <w:rPr>
          <w:bCs/>
          <w:color w:val="000000" w:themeColor="text1"/>
        </w:rPr>
        <w:t xml:space="preserve">Seigler et al. (2022) best fit the ratios </w:t>
      </w:r>
      <w:r>
        <w:rPr>
          <w:bCs/>
          <w:color w:val="000000" w:themeColor="text1"/>
        </w:rPr>
        <w:t>exhibited by</w:t>
      </w:r>
      <w:r w:rsidRPr="00487150">
        <w:rPr>
          <w:bCs/>
          <w:color w:val="000000" w:themeColor="text1"/>
        </w:rPr>
        <w:t xml:space="preserve"> lunar mafic melts and crustal cumulates. They fit the lunar sample compositions even better </w:t>
      </w:r>
      <w:r>
        <w:rPr>
          <w:bCs/>
        </w:rPr>
        <w:t xml:space="preserve">if </w:t>
      </w:r>
      <w:r w:rsidRPr="00487150">
        <w:rPr>
          <w:bCs/>
          <w:color w:val="000000" w:themeColor="text1"/>
        </w:rPr>
        <w:t xml:space="preserve">more efficient plagioclase floatation </w:t>
      </w:r>
      <w:r>
        <w:rPr>
          <w:bCs/>
          <w:color w:val="000000" w:themeColor="text1"/>
        </w:rPr>
        <w:t xml:space="preserve">is assumed </w:t>
      </w:r>
      <w:r w:rsidRPr="00487150">
        <w:rPr>
          <w:bCs/>
          <w:color w:val="000000" w:themeColor="text1"/>
        </w:rPr>
        <w:t>(</w:t>
      </w:r>
      <w:r w:rsidRPr="00487150">
        <w:rPr>
          <w:b/>
          <w:color w:val="000000" w:themeColor="text1"/>
        </w:rPr>
        <w:t>Figure 3.2a</w:t>
      </w:r>
      <w:r w:rsidRPr="00487150">
        <w:rPr>
          <w:bCs/>
          <w:color w:val="000000" w:themeColor="text1"/>
        </w:rPr>
        <w:t xml:space="preserve">). This </w:t>
      </w:r>
      <w:r>
        <w:rPr>
          <w:bCs/>
          <w:color w:val="000000" w:themeColor="text1"/>
        </w:rPr>
        <w:t xml:space="preserve">exercise suggests </w:t>
      </w:r>
      <w:r w:rsidRPr="00487150">
        <w:rPr>
          <w:bCs/>
          <w:color w:val="000000" w:themeColor="text1"/>
        </w:rPr>
        <w:t xml:space="preserve">a lunar </w:t>
      </w:r>
      <w:r w:rsidRPr="00487150">
        <w:rPr>
          <w:color w:val="000000" w:themeColor="text1"/>
        </w:rPr>
        <w:t xml:space="preserve">K/Th ratio of 450 to 550 </w:t>
      </w:r>
      <w:r>
        <w:rPr>
          <w:color w:val="000000" w:themeColor="text1"/>
        </w:rPr>
        <w:t>is consistent with</w:t>
      </w:r>
      <w:r w:rsidRPr="00487150">
        <w:rPr>
          <w:color w:val="000000" w:themeColor="text1"/>
        </w:rPr>
        <w:t xml:space="preserve"> the range of K/Th ratios observed in lunar melts and crustal samples if plagioclase floatation was highly efficient; however, post-LMO solidification </w:t>
      </w:r>
      <w:r>
        <w:t xml:space="preserve">melting and </w:t>
      </w:r>
      <w:r w:rsidRPr="00487150">
        <w:rPr>
          <w:color w:val="000000" w:themeColor="text1"/>
        </w:rPr>
        <w:t xml:space="preserve">emplacement processes </w:t>
      </w:r>
      <w:r>
        <w:t xml:space="preserve">(i.e., reactive re-equilibration during ascent and crustal assimilation) </w:t>
      </w:r>
      <w:r w:rsidRPr="00487150">
        <w:rPr>
          <w:color w:val="000000" w:themeColor="text1"/>
        </w:rPr>
        <w:t xml:space="preserve">must </w:t>
      </w:r>
      <w:r>
        <w:rPr>
          <w:color w:val="000000" w:themeColor="text1"/>
        </w:rPr>
        <w:t xml:space="preserve">also </w:t>
      </w:r>
      <w:r w:rsidRPr="00487150">
        <w:rPr>
          <w:color w:val="000000" w:themeColor="text1"/>
        </w:rPr>
        <w:t>be considered.</w:t>
      </w:r>
    </w:p>
    <w:p w14:paraId="404CBAF8" w14:textId="0FC799DB" w:rsidR="00174679" w:rsidRPr="00016274" w:rsidRDefault="00016274" w:rsidP="003370FA">
      <w:pPr>
        <w:spacing w:line="480" w:lineRule="auto"/>
        <w:ind w:firstLine="720"/>
        <w:rPr>
          <w:bCs/>
          <w:color w:val="000000" w:themeColor="text1"/>
        </w:rPr>
      </w:pPr>
      <w:r w:rsidRPr="00487150">
        <w:rPr>
          <w:bCs/>
          <w:color w:val="000000" w:themeColor="text1"/>
        </w:rPr>
        <w:t>Since the lunar mare basalts and picritic glasses</w:t>
      </w:r>
      <w:r w:rsidRPr="00487150">
        <w:rPr>
          <w:color w:val="000000" w:themeColor="text1"/>
        </w:rPr>
        <w:t xml:space="preserve"> are melts derived from the lunar mantle, </w:t>
      </w:r>
      <w:r>
        <w:t xml:space="preserve">the </w:t>
      </w:r>
      <w:r w:rsidRPr="00487150">
        <w:rPr>
          <w:color w:val="000000" w:themeColor="text1"/>
        </w:rPr>
        <w:t>effects of partial melting</w:t>
      </w:r>
      <w:r>
        <w:rPr>
          <w:color w:val="000000" w:themeColor="text1"/>
        </w:rPr>
        <w:t xml:space="preserve"> must be considered</w:t>
      </w:r>
      <w:r w:rsidRPr="00487150">
        <w:rPr>
          <w:color w:val="000000" w:themeColor="text1"/>
        </w:rPr>
        <w:t xml:space="preserve">. </w:t>
      </w:r>
      <w:r>
        <w:rPr>
          <w:color w:val="000000" w:themeColor="text1"/>
        </w:rPr>
        <w:t>Here</w:t>
      </w:r>
      <w:r>
        <w:t>,</w:t>
      </w:r>
      <w:r>
        <w:rPr>
          <w:color w:val="000000" w:themeColor="text1"/>
        </w:rPr>
        <w:t xml:space="preserve"> </w:t>
      </w:r>
      <w:r w:rsidRPr="00487150">
        <w:rPr>
          <w:color w:val="000000" w:themeColor="text1"/>
        </w:rPr>
        <w:t xml:space="preserve">we assume </w:t>
      </w:r>
      <w:r>
        <w:rPr>
          <w:color w:val="000000" w:themeColor="text1"/>
        </w:rPr>
        <w:t>a bulk Moon</w:t>
      </w:r>
      <w:r w:rsidRPr="00487150">
        <w:rPr>
          <w:color w:val="000000" w:themeColor="text1"/>
        </w:rPr>
        <w:t xml:space="preserve"> HPE budget of </w:t>
      </w:r>
      <w:r w:rsidRPr="00487150">
        <w:rPr>
          <w:rFonts w:eastAsiaTheme="minorEastAsia"/>
          <w:color w:val="000000" w:themeColor="text1"/>
        </w:rPr>
        <w:t xml:space="preserve">Taylor and Wieczorek (2014) and </w:t>
      </w:r>
      <w:r w:rsidRPr="00487150">
        <w:rPr>
          <w:color w:val="000000" w:themeColor="text1"/>
        </w:rPr>
        <w:t>treat the average composition of each LMO cumulate layer as a theoretical source composition (</w:t>
      </w:r>
      <w:r w:rsidRPr="00487150">
        <w:rPr>
          <w:b/>
          <w:color w:val="000000" w:themeColor="text1"/>
        </w:rPr>
        <w:t>Figure 3.2b</w:t>
      </w:r>
      <w:r w:rsidRPr="00487150">
        <w:rPr>
          <w:color w:val="000000" w:themeColor="text1"/>
        </w:rPr>
        <w:t xml:space="preserve">). We also assume that these </w:t>
      </w:r>
      <w:r>
        <w:rPr>
          <w:color w:val="000000" w:themeColor="text1"/>
        </w:rPr>
        <w:t>lunar mantle</w:t>
      </w:r>
      <w:r w:rsidRPr="00487150">
        <w:rPr>
          <w:color w:val="000000" w:themeColor="text1"/>
        </w:rPr>
        <w:t xml:space="preserve"> sources lack residual plagioclase they crystallized with because the relatively compatible behavior of K in plagioclase would significantly affect the melt trajectories, and previous studies on lunar mantle melting consistently conclude that the mafic lunar melts originate from depths below the plagioclase stability field (Wagner and Grove, 1997; Elkins-Tanton et al., 2003; Krawczynski and Grove, 2012; Barr and Grove, 2013; Brown and Grove, 2015).</w:t>
      </w:r>
      <w:r w:rsidR="00174679" w:rsidRPr="00487150">
        <w:rPr>
          <w:color w:val="000000" w:themeColor="text1"/>
        </w:rPr>
        <w:br w:type="page"/>
      </w:r>
    </w:p>
    <w:p w14:paraId="096ACCA2" w14:textId="77777777" w:rsidR="00002203" w:rsidRPr="00002203" w:rsidRDefault="00002203" w:rsidP="00002203">
      <w:pPr>
        <w:pStyle w:val="FigureCaption"/>
      </w:pPr>
      <w:bookmarkStart w:id="451" w:name="_Toc182944874"/>
      <w:bookmarkStart w:id="452" w:name="_Toc183019421"/>
      <w:bookmarkStart w:id="453" w:name="_Toc185263431"/>
      <w:r w:rsidRPr="00002203">
        <w:rPr>
          <w:b/>
          <w:bCs/>
        </w:rPr>
        <w:lastRenderedPageBreak/>
        <w:t>Figure 3.2.</w:t>
      </w:r>
      <w:r w:rsidRPr="00002203">
        <w:t xml:space="preserve"> Comparison of the Th and K abundances observed in lunar samples with geochemical models for LMO solidification and mantle cumulate partial melting. (a) modeled mantle and crustal cumulate Th and K abundances as LMO solidification progresses. All models in this figure assume a plagioclase floatation efficiency of 95% during LMO solidification. The red arrows in panel (a) show how more or less efficient plagioclase floatation would affect the mantle cumulate composition. (b) Models for partial melting of LMO cumulate sources assuming a bulk Moon HPE budget proposed by </w:t>
      </w:r>
      <w:r w:rsidRPr="00002203">
        <w:rPr>
          <w:rFonts w:eastAsiaTheme="minorEastAsia"/>
        </w:rPr>
        <w:t>Taylor and Wieczorek (2014)</w:t>
      </w:r>
      <w:r w:rsidRPr="00002203">
        <w:t xml:space="preserve">. Partial melting models assume modal fractional melting of a plagioclase-free unhybridized source, and melts represent aggregated modal partial melts. The red arrow in panel (b) shows the trajectory of melts affected by crustal assimilation. The black arrow in panel (b) shows the trajectory of partial melts as the extent of melting increases. Data for lunar picritic glasses was compiled from: Hughes et al., 1990; Shearer et al., 1991; Shearer and Papike, 1993; McIntosh et al., 2024. Data for lunar Mare and KREEP basalts was compiled from: Ryder and Schuraytz, 2001; Neal and Krammer, 2003; Zeigler et al., 2005; Hallis et al., 2014; Borg et al., 2019. Data for lunar Mg-Suite samples was compiled from: Taylor et al., 1972; Kent et al., 2017; Cao et al., 2021; Fu et al., 2021; He et al., 2024. Data for ferroan anorthosites (FAN) was compiled from: Norman et al., 2003, 2010; Nyquist et al., 2006, Borg et al., 2020; Sio et al., 2020. Estimated South Pole Aitken (SPA) basin floor compositional ranges were taken from Moriarty et al. (2021). Initial LMO HPE budgets modeled in this figure can be found in Table 3.1. M&amp;S 1995: McDonough and Sun (1995), T&amp;S 2002: Turcotte and Schubert (2002), T 2006: </w:t>
      </w:r>
      <w:r w:rsidRPr="00002203">
        <w:rPr>
          <w:rFonts w:eastAsiaTheme="minorEastAsia"/>
        </w:rPr>
        <w:t>Taylor et al. (2006), T&amp;W 2014: Taylor and Wieczorek (2014), S 2022:</w:t>
      </w:r>
      <w:r w:rsidRPr="00002203">
        <w:t xml:space="preserve"> Seigler et al. (2022). This figure demonstrates that the K/Th ratio of the Moon needs to be </w:t>
      </w:r>
      <m:oMath>
        <m:r>
          <m:rPr>
            <m:sty m:val="p"/>
          </m:rPr>
          <w:rPr>
            <w:rFonts w:ascii="Cambria Math" w:hAnsi="Cambria Math"/>
          </w:rPr>
          <m:t>≤</m:t>
        </m:r>
      </m:oMath>
      <w:r w:rsidRPr="00002203">
        <w:t>550 to fit the Th and K abundances in both crustal cumulates or mantle-derived melts. The figure also demonstrates that the K/Th ratio of the partial melts is similar to mantle sources.</w:t>
      </w:r>
      <w:bookmarkEnd w:id="451"/>
      <w:bookmarkEnd w:id="452"/>
      <w:bookmarkEnd w:id="453"/>
      <w:r w:rsidRPr="00002203">
        <w:t xml:space="preserve">  </w:t>
      </w:r>
    </w:p>
    <w:p w14:paraId="32FE872D" w14:textId="14FCF8E6" w:rsidR="00B86623" w:rsidRPr="00487150" w:rsidRDefault="005D345A" w:rsidP="005D345A">
      <w:pPr>
        <w:jc w:val="center"/>
        <w:rPr>
          <w:color w:val="000000" w:themeColor="text1"/>
        </w:rPr>
      </w:pPr>
      <w:r w:rsidRPr="00487150">
        <w:rPr>
          <w:noProof/>
          <w:color w:val="000000" w:themeColor="text1"/>
        </w:rPr>
        <w:lastRenderedPageBreak/>
        <w:drawing>
          <wp:inline distT="0" distB="0" distL="0" distR="0" wp14:anchorId="47E54D98" wp14:editId="0116B10A">
            <wp:extent cx="5206416" cy="7772400"/>
            <wp:effectExtent l="0" t="0" r="635" b="0"/>
            <wp:docPr id="161332627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26277" name="Picture 1613326277"/>
                    <pic:cNvPicPr/>
                  </pic:nvPicPr>
                  <pic:blipFill>
                    <a:blip r:embed="rId351" cstate="print">
                      <a:extLst>
                        <a:ext uri="{28A0092B-C50C-407E-A947-70E740481C1C}">
                          <a14:useLocalDpi xmlns:a14="http://schemas.microsoft.com/office/drawing/2010/main" val="0"/>
                        </a:ext>
                      </a:extLst>
                    </a:blip>
                    <a:stretch>
                      <a:fillRect/>
                    </a:stretch>
                  </pic:blipFill>
                  <pic:spPr>
                    <a:xfrm>
                      <a:off x="0" y="0"/>
                      <a:ext cx="5211197" cy="7779537"/>
                    </a:xfrm>
                    <a:prstGeom prst="rect">
                      <a:avLst/>
                    </a:prstGeom>
                  </pic:spPr>
                </pic:pic>
              </a:graphicData>
            </a:graphic>
          </wp:inline>
        </w:drawing>
      </w:r>
    </w:p>
    <w:p w14:paraId="138AD11D" w14:textId="2692C80F" w:rsidR="006F34A9" w:rsidRPr="00487150" w:rsidRDefault="006F34A9" w:rsidP="005C55CD">
      <w:pPr>
        <w:rPr>
          <w:color w:val="000000" w:themeColor="text1"/>
        </w:rPr>
        <w:sectPr w:rsidR="006F34A9" w:rsidRPr="00487150" w:rsidSect="004B09F9">
          <w:pgSz w:w="12240" w:h="15840" w:code="1"/>
          <w:pgMar w:top="1440" w:right="1800" w:bottom="1872" w:left="1800" w:header="720" w:footer="1440" w:gutter="0"/>
          <w:cols w:space="720"/>
          <w:noEndnote/>
          <w:docGrid w:linePitch="360"/>
        </w:sectPr>
      </w:pPr>
    </w:p>
    <w:p w14:paraId="1E159C50" w14:textId="0A1C3A8C" w:rsidR="00D23C32" w:rsidRPr="00487150" w:rsidRDefault="00D23C32" w:rsidP="00016274">
      <w:pPr>
        <w:spacing w:line="480" w:lineRule="auto"/>
        <w:rPr>
          <w:color w:val="000000" w:themeColor="text1"/>
        </w:rPr>
      </w:pPr>
      <w:bookmarkStart w:id="454" w:name="_Toc182331776"/>
      <w:bookmarkStart w:id="455" w:name="_Toc182995503"/>
      <w:r>
        <w:lastRenderedPageBreak/>
        <w:t>Accordingly</w:t>
      </w:r>
      <w:r w:rsidRPr="00487150">
        <w:rPr>
          <w:color w:val="000000" w:themeColor="text1"/>
        </w:rPr>
        <w:t xml:space="preserve">, we remove plagioclase from the assumed modal mineralogy of LMO cumulate layers 3-6 and proportionally adjust the other mineral abundances to determine the bulk partition coefficients of each cumulate source. We </w:t>
      </w:r>
      <w:r>
        <w:rPr>
          <w:color w:val="000000" w:themeColor="text1"/>
        </w:rPr>
        <w:t>apply modal fractional melting models to explore the chemical variations during melting (see</w:t>
      </w:r>
      <w:r w:rsidRPr="00487150">
        <w:rPr>
          <w:color w:val="000000" w:themeColor="text1"/>
        </w:rPr>
        <w:t xml:space="preserve"> Scholpp and Dygert (</w:t>
      </w:r>
      <w:r w:rsidRPr="00487150">
        <w:rPr>
          <w:i/>
          <w:iCs/>
          <w:color w:val="000000" w:themeColor="text1"/>
        </w:rPr>
        <w:t>in review</w:t>
      </w:r>
      <w:r w:rsidRPr="00B14589">
        <w:t>)</w:t>
      </w:r>
      <w:r>
        <w:rPr>
          <w:iCs/>
          <w:color w:val="000000" w:themeColor="text1"/>
        </w:rPr>
        <w:t xml:space="preserve"> for details</w:t>
      </w:r>
      <w:r w:rsidRPr="00487150">
        <w:rPr>
          <w:color w:val="000000" w:themeColor="text1"/>
        </w:rPr>
        <w:t xml:space="preserve">). </w:t>
      </w:r>
    </w:p>
    <w:p w14:paraId="24EDFF39" w14:textId="6082A8B2" w:rsidR="00D23C32" w:rsidRDefault="00D23C32" w:rsidP="00D23C32">
      <w:pPr>
        <w:spacing w:line="480" w:lineRule="auto"/>
        <w:ind w:firstLine="720"/>
      </w:pPr>
      <w:r w:rsidRPr="00487150">
        <w:rPr>
          <w:color w:val="000000" w:themeColor="text1"/>
        </w:rPr>
        <w:t xml:space="preserve">The melting models demonstrate that partial melting of the LMO cumulates </w:t>
      </w:r>
      <w:r>
        <w:t>does</w:t>
      </w:r>
      <w:r>
        <w:rPr>
          <w:color w:val="000000" w:themeColor="text1"/>
        </w:rPr>
        <w:t xml:space="preserve"> not</w:t>
      </w:r>
      <w:r w:rsidRPr="00487150">
        <w:rPr>
          <w:color w:val="000000" w:themeColor="text1"/>
        </w:rPr>
        <w:t xml:space="preserve"> significantly fractionate the K/Th ratio of the melt if the melt sources were plagioclase-free</w:t>
      </w:r>
      <w:r>
        <w:rPr>
          <w:color w:val="000000" w:themeColor="text1"/>
        </w:rPr>
        <w:t>.</w:t>
      </w:r>
      <w:r>
        <w:t xml:space="preserve"> Given the similarity between </w:t>
      </w:r>
      <w:r w:rsidRPr="00487150">
        <w:t>the</w:t>
      </w:r>
      <w:r w:rsidRPr="00487150">
        <w:rPr>
          <w:color w:val="000000" w:themeColor="text1"/>
        </w:rPr>
        <w:t xml:space="preserve"> K/Th ratio</w:t>
      </w:r>
      <w:r>
        <w:t>s</w:t>
      </w:r>
      <w:r w:rsidRPr="00487150">
        <w:rPr>
          <w:color w:val="000000" w:themeColor="text1"/>
        </w:rPr>
        <w:t xml:space="preserve"> of</w:t>
      </w:r>
      <w:r>
        <w:t xml:space="preserve"> LMO cumulates (</w:t>
      </w:r>
      <w:r w:rsidRPr="005B0984">
        <w:rPr>
          <w:b/>
          <w:bCs/>
        </w:rPr>
        <w:t>Figure 3.2a</w:t>
      </w:r>
      <w:r>
        <w:t xml:space="preserve">), reactive re-equilibration during accent through the lunar mantle would likely have negligible effects on a partial melts' </w:t>
      </w:r>
      <w:r w:rsidRPr="00487150">
        <w:rPr>
          <w:color w:val="000000" w:themeColor="text1"/>
        </w:rPr>
        <w:t>K/Th ratio</w:t>
      </w:r>
      <w:r>
        <w:t>.</w:t>
      </w:r>
      <w:r>
        <w:rPr>
          <w:color w:val="000000" w:themeColor="text1"/>
        </w:rPr>
        <w:t xml:space="preserve"> </w:t>
      </w:r>
      <w:r>
        <w:t>Thus, a lunar melt's</w:t>
      </w:r>
      <w:r w:rsidRPr="00487150">
        <w:rPr>
          <w:color w:val="000000" w:themeColor="text1"/>
        </w:rPr>
        <w:t xml:space="preserve"> K/Th ratio is likely representative of the mantle source from which it was derived. It should also be noted that crustal assimilation would drive the K/Th ratios of the mantle melts away from the observed lunar melt array, </w:t>
      </w:r>
      <w:r w:rsidRPr="00487150">
        <w:t>like</w:t>
      </w:r>
      <w:r w:rsidRPr="00487150">
        <w:rPr>
          <w:color w:val="000000" w:themeColor="text1"/>
        </w:rPr>
        <w:t xml:space="preserve"> the Mg-Suite sample array (</w:t>
      </w:r>
      <w:r w:rsidRPr="00487150">
        <w:rPr>
          <w:b/>
          <w:bCs/>
          <w:color w:val="000000" w:themeColor="text1"/>
        </w:rPr>
        <w:t>Figure 3.2</w:t>
      </w:r>
      <w:r>
        <w:rPr>
          <w:b/>
          <w:bCs/>
        </w:rPr>
        <w:t>a</w:t>
      </w:r>
      <w:r w:rsidRPr="00487150">
        <w:rPr>
          <w:color w:val="000000" w:themeColor="text1"/>
        </w:rPr>
        <w:t xml:space="preserve">). Considering the composition of </w:t>
      </w:r>
      <w:r w:rsidRPr="00487150">
        <w:rPr>
          <w:rFonts w:eastAsiaTheme="minorEastAsia"/>
          <w:color w:val="000000" w:themeColor="text1"/>
        </w:rPr>
        <w:t>lunar melts (i.e., basalt and picritic glasses),</w:t>
      </w:r>
      <w:r w:rsidRPr="00487150">
        <w:rPr>
          <w:color w:val="000000" w:themeColor="text1"/>
        </w:rPr>
        <w:t xml:space="preserve"> we conclude the initial LMO K/Th ratio was similar to the ~464 </w:t>
      </w:r>
      <w:r>
        <w:t>estimates</w:t>
      </w:r>
      <w:r w:rsidRPr="00487150">
        <w:rPr>
          <w:color w:val="000000" w:themeColor="text1"/>
        </w:rPr>
        <w:t xml:space="preserve"> of </w:t>
      </w:r>
      <w:r w:rsidRPr="00487150">
        <w:rPr>
          <w:rFonts w:eastAsiaTheme="minorEastAsia"/>
          <w:color w:val="000000" w:themeColor="text1"/>
        </w:rPr>
        <w:t xml:space="preserve">Taylor and Wieczorek (2014) as long as plagioclase floatation efficiencies were </w:t>
      </w:r>
      <m:oMath>
        <m:r>
          <w:rPr>
            <w:rFonts w:ascii="Cambria Math" w:eastAsiaTheme="minorEastAsia" w:hAnsi="Cambria Math"/>
            <w:color w:val="000000" w:themeColor="text1"/>
          </w:rPr>
          <m:t>≥</m:t>
        </m:r>
      </m:oMath>
      <w:r w:rsidRPr="00487150">
        <w:rPr>
          <w:rFonts w:eastAsiaTheme="minorEastAsia"/>
          <w:color w:val="000000" w:themeColor="text1"/>
        </w:rPr>
        <w:t xml:space="preserve">95%. If plagioclase floatation were less efficient, the </w:t>
      </w:r>
      <w:r w:rsidRPr="00487150">
        <w:rPr>
          <w:color w:val="000000" w:themeColor="text1"/>
        </w:rPr>
        <w:t>initial LMO K/Th ratio would need to be &lt;464 to account for the K added by the retained plagioclase. Thus, the Moon likely started with a low radiogenic heat potential relative to Earth (</w:t>
      </w:r>
      <w:r w:rsidRPr="00487150">
        <w:rPr>
          <w:b/>
          <w:bCs/>
          <w:color w:val="000000" w:themeColor="text1"/>
        </w:rPr>
        <w:t>Figure 3.1b</w:t>
      </w:r>
      <w:r w:rsidRPr="00487150">
        <w:rPr>
          <w:color w:val="000000" w:themeColor="text1"/>
        </w:rPr>
        <w:t>). Below, we explore the effect of this low K/Th ratio on the lunar thermal evolution and how cumulate overturn may extend or shorten the period over which lunar mantle melting could occur</w:t>
      </w:r>
      <w:r w:rsidR="00CE07C1">
        <w:rPr>
          <w:color w:val="000000" w:themeColor="text1"/>
        </w:rPr>
        <w:t>.</w:t>
      </w:r>
    </w:p>
    <w:p w14:paraId="1B8F2640" w14:textId="41F9BDAA" w:rsidR="009C7427" w:rsidRPr="00487150" w:rsidRDefault="009C7427" w:rsidP="002F7368">
      <w:pPr>
        <w:pStyle w:val="Heading2"/>
      </w:pPr>
      <w:bookmarkStart w:id="456" w:name="_Toc183536629"/>
      <w:bookmarkStart w:id="457" w:name="_Toc184727434"/>
      <w:bookmarkStart w:id="458" w:name="_Toc185325682"/>
      <w:r w:rsidRPr="00487150">
        <w:lastRenderedPageBreak/>
        <w:t>Thermal Evolution Models</w:t>
      </w:r>
      <w:bookmarkEnd w:id="454"/>
      <w:bookmarkEnd w:id="455"/>
      <w:bookmarkEnd w:id="456"/>
      <w:bookmarkEnd w:id="457"/>
      <w:bookmarkEnd w:id="458"/>
      <w:r w:rsidRPr="00487150">
        <w:t xml:space="preserve"> </w:t>
      </w:r>
    </w:p>
    <w:p w14:paraId="60143056" w14:textId="70F95456" w:rsidR="00B7492D" w:rsidRPr="00487150" w:rsidRDefault="00B7492D" w:rsidP="006E67B1">
      <w:pPr>
        <w:pStyle w:val="Heading3"/>
      </w:pPr>
      <w:bookmarkStart w:id="459" w:name="_Toc182331777"/>
      <w:bookmarkStart w:id="460" w:name="_Toc182995504"/>
      <w:bookmarkStart w:id="461" w:name="_Toc183536630"/>
      <w:bookmarkStart w:id="462" w:name="_Toc184727435"/>
      <w:bookmarkStart w:id="463" w:name="_Toc185325683"/>
      <w:r w:rsidRPr="00487150">
        <w:t>Thermal Diffusion</w:t>
      </w:r>
      <w:bookmarkEnd w:id="459"/>
      <w:r w:rsidR="004F5A3A" w:rsidRPr="00487150">
        <w:t xml:space="preserve"> and Heat </w:t>
      </w:r>
      <w:r w:rsidR="00D20F68" w:rsidRPr="00487150">
        <w:t>Production</w:t>
      </w:r>
      <w:r w:rsidR="004F5A3A" w:rsidRPr="00487150">
        <w:t xml:space="preserve"> Model</w:t>
      </w:r>
      <w:bookmarkEnd w:id="460"/>
      <w:bookmarkEnd w:id="461"/>
      <w:bookmarkEnd w:id="462"/>
      <w:bookmarkEnd w:id="463"/>
    </w:p>
    <w:p w14:paraId="05925EA6" w14:textId="635927D1" w:rsidR="00565C27" w:rsidRPr="00487150" w:rsidRDefault="00565C27" w:rsidP="00565C27">
      <w:pPr>
        <w:spacing w:line="480" w:lineRule="auto"/>
        <w:ind w:firstLine="720"/>
        <w:rPr>
          <w:color w:val="000000" w:themeColor="text1"/>
        </w:rPr>
      </w:pPr>
      <w:r w:rsidRPr="00487150">
        <w:rPr>
          <w:color w:val="000000" w:themeColor="text1"/>
        </w:rPr>
        <w:t xml:space="preserve">For the thermal evolution models in this study, the finite-difference approximations for Fickian diffusion within a radially symmetric sphere from Ford Versypt (2012) and Ford Versypt and Braatz (2014) were used. The diffusion equations were </w:t>
      </w:r>
      <w:r>
        <w:rPr>
          <w:color w:val="000000" w:themeColor="text1"/>
        </w:rPr>
        <w:t>modified</w:t>
      </w:r>
      <w:r w:rsidRPr="00487150">
        <w:rPr>
          <w:color w:val="000000" w:themeColor="text1"/>
        </w:rPr>
        <w:t xml:space="preserve"> to account for internal heat generation through radioactive decay </w:t>
      </w:r>
      <w:r>
        <w:rPr>
          <w:color w:val="000000" w:themeColor="text1"/>
        </w:rPr>
        <w:t>following</w:t>
      </w:r>
      <w:r w:rsidRPr="00487150">
        <w:rPr>
          <w:color w:val="000000" w:themeColor="text1"/>
        </w:rPr>
        <w:t xml:space="preserve"> Özisik (1993)</w:t>
      </w:r>
      <w:r>
        <w:rPr>
          <w:color w:val="000000" w:themeColor="text1"/>
        </w:rPr>
        <w:t>:</w:t>
      </w:r>
      <w:r w:rsidRPr="00487150">
        <w:rPr>
          <w:color w:val="000000" w:themeColor="text1"/>
        </w:rPr>
        <w:t xml:space="preserve"> </w:t>
      </w:r>
    </w:p>
    <w:p w14:paraId="5B45CB76" w14:textId="77777777" w:rsidR="00565C27" w:rsidRPr="00487150" w:rsidRDefault="00000000" w:rsidP="00565C27">
      <w:pPr>
        <w:spacing w:line="480" w:lineRule="auto"/>
        <w:jc w:val="right"/>
        <w:rPr>
          <w:color w:val="000000" w:themeColor="text1"/>
        </w:rPr>
      </w:pPr>
      <m:oMath>
        <m:f>
          <m:fPr>
            <m:ctrlPr>
              <w:rPr>
                <w:rFonts w:ascii="Cambria Math" w:hAnsi="Cambria Math"/>
                <w:color w:val="000000" w:themeColor="text1"/>
              </w:rPr>
            </m:ctrlPr>
          </m:fPr>
          <m:num>
            <m:r>
              <m:rPr>
                <m:sty m:val="p"/>
              </m:rPr>
              <w:rPr>
                <w:rFonts w:ascii="Cambria Math" w:hAnsi="Cambria Math"/>
                <w:color w:val="000000" w:themeColor="text1"/>
              </w:rPr>
              <m:t>1</m:t>
            </m:r>
          </m:num>
          <m:den>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f>
          <m:fPr>
            <m:ctrlPr>
              <w:rPr>
                <w:rFonts w:ascii="Cambria Math" w:hAnsi="Cambria Math"/>
                <w:color w:val="000000" w:themeColor="text1"/>
              </w:rPr>
            </m:ctrlPr>
          </m:fPr>
          <m:num>
            <m:r>
              <w:rPr>
                <w:rFonts w:ascii="Cambria Math" w:hAnsi="Cambria Math"/>
                <w:color w:val="000000" w:themeColor="text1"/>
              </w:rPr>
              <m:t>∂</m:t>
            </m:r>
          </m:num>
          <m:den>
            <m:r>
              <w:rPr>
                <w:rFonts w:ascii="Cambria Math" w:hAnsi="Cambria Math"/>
                <w:color w:val="000000" w:themeColor="text1"/>
              </w:rPr>
              <m:t>∂r</m:t>
            </m:r>
          </m:den>
        </m:f>
        <m:d>
          <m:dPr>
            <m:ctrlPr>
              <w:rPr>
                <w:rFonts w:ascii="Cambria Math" w:hAnsi="Cambria Math"/>
                <w:color w:val="000000" w:themeColor="text1"/>
              </w:rPr>
            </m:ctrlPr>
          </m:dPr>
          <m:e>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f>
              <m:fPr>
                <m:ctrlPr>
                  <w:rPr>
                    <w:rFonts w:ascii="Cambria Math" w:hAnsi="Cambria Math"/>
                    <w:color w:val="000000" w:themeColor="text1"/>
                  </w:rPr>
                </m:ctrlPr>
              </m:fPr>
              <m:num>
                <m:r>
                  <w:rPr>
                    <w:rFonts w:ascii="Cambria Math" w:hAnsi="Cambria Math"/>
                    <w:color w:val="000000" w:themeColor="text1"/>
                  </w:rPr>
                  <m:t>∂T</m:t>
                </m:r>
              </m:num>
              <m:den>
                <m:r>
                  <w:rPr>
                    <w:rFonts w:ascii="Cambria Math" w:hAnsi="Cambria Math"/>
                    <w:color w:val="000000" w:themeColor="text1"/>
                  </w:rPr>
                  <m:t>∂r</m:t>
                </m:r>
              </m:den>
            </m:f>
          </m:e>
        </m:d>
        <m:r>
          <m:rPr>
            <m:sty m:val="p"/>
          </m:rP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∂T</m:t>
            </m:r>
          </m:num>
          <m:den>
            <m:r>
              <w:rPr>
                <w:rFonts w:ascii="Cambria Math" w:hAnsi="Cambria Math"/>
                <w:color w:val="000000" w:themeColor="text1"/>
              </w:rPr>
              <m:t>∂t</m:t>
            </m:r>
          </m:den>
        </m:f>
        <m:r>
          <m:rPr>
            <m:sty m:val="p"/>
          </m:rPr>
          <w:rPr>
            <w:rFonts w:ascii="Cambria Math" w:hAnsi="Cambria Math"/>
            <w:color w:val="000000" w:themeColor="text1"/>
          </w:rPr>
          <m:t xml:space="preserve">, </m:t>
        </m:r>
        <m:r>
          <m:rPr>
            <m:nor/>
          </m:rPr>
          <w:rPr>
            <w:color w:val="000000" w:themeColor="text1"/>
          </w:rPr>
          <m:t xml:space="preserve"> if</m:t>
        </m:r>
        <m:r>
          <m:rPr>
            <m:sty m:val="p"/>
          </m:rPr>
          <w:rPr>
            <w:rFonts w:ascii="Cambria Math" w:hAnsi="Cambria Math"/>
            <w:color w:val="000000" w:themeColor="text1"/>
          </w:rPr>
          <m:t xml:space="preserve"> </m:t>
        </m:r>
        <m:r>
          <w:rPr>
            <w:rFonts w:ascii="Cambria Math" w:hAnsi="Cambria Math"/>
            <w:color w:val="000000" w:themeColor="text1"/>
          </w:rPr>
          <m:t>r</m:t>
        </m:r>
        <m:r>
          <m:rPr>
            <m:sty m:val="p"/>
          </m:rPr>
          <w:rPr>
            <w:rFonts w:ascii="Cambria Math" w:hAnsi="Cambria Math"/>
            <w:color w:val="000000" w:themeColor="text1"/>
          </w:rPr>
          <m:t>≠0</m:t>
        </m:r>
      </m:oMath>
      <w:r w:rsidR="00565C27" w:rsidRPr="00487150">
        <w:rPr>
          <w:color w:val="000000" w:themeColor="text1"/>
        </w:rPr>
        <w:t>,</w:t>
      </w:r>
      <w:r w:rsidR="00565C27" w:rsidRPr="00487150">
        <w:rPr>
          <w:color w:val="000000" w:themeColor="text1"/>
        </w:rPr>
        <w:tab/>
      </w:r>
      <w:r w:rsidR="00565C27" w:rsidRPr="00487150">
        <w:rPr>
          <w:color w:val="000000" w:themeColor="text1"/>
        </w:rPr>
        <w:tab/>
      </w:r>
      <w:r w:rsidR="00565C27" w:rsidRPr="00487150">
        <w:rPr>
          <w:color w:val="000000" w:themeColor="text1"/>
        </w:rPr>
        <w:tab/>
      </w:r>
      <w:r w:rsidR="00565C27" w:rsidRPr="00487150">
        <w:rPr>
          <w:color w:val="000000" w:themeColor="text1"/>
        </w:rPr>
        <w:tab/>
        <w:t>(3.1)</w:t>
      </w:r>
    </w:p>
    <w:p w14:paraId="1F9B60CF" w14:textId="77777777" w:rsidR="00565C27" w:rsidRPr="00487150" w:rsidRDefault="00000000" w:rsidP="00565C27">
      <w:pPr>
        <w:spacing w:line="480" w:lineRule="auto"/>
        <w:jc w:val="right"/>
        <w:rPr>
          <w:color w:val="000000" w:themeColor="text1"/>
        </w:rPr>
      </w:pPr>
      <m:oMath>
        <m:f>
          <m:fPr>
            <m:ctrlPr>
              <w:rPr>
                <w:rFonts w:ascii="Cambria Math" w:hAnsi="Cambria Math"/>
                <w:color w:val="000000" w:themeColor="text1"/>
              </w:rPr>
            </m:ctrlPr>
          </m:fPr>
          <m:num>
            <m:r>
              <m:rPr>
                <m:sty m:val="p"/>
              </m:rPr>
              <w:rPr>
                <w:rFonts w:ascii="Cambria Math" w:hAnsi="Cambria Math"/>
                <w:color w:val="000000" w:themeColor="text1"/>
              </w:rPr>
              <m:t>2</m:t>
            </m:r>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w:rPr>
                <w:rFonts w:ascii="Cambria Math" w:hAnsi="Cambria Math"/>
                <w:color w:val="000000" w:themeColor="text1"/>
              </w:rPr>
              <m:t>r</m:t>
            </m:r>
          </m:den>
        </m:f>
        <m:f>
          <m:fPr>
            <m:ctrlPr>
              <w:rPr>
                <w:rFonts w:ascii="Cambria Math" w:hAnsi="Cambria Math"/>
                <w:color w:val="000000" w:themeColor="text1"/>
              </w:rPr>
            </m:ctrlPr>
          </m:fPr>
          <m:num>
            <m:r>
              <w:rPr>
                <w:rFonts w:ascii="Cambria Math" w:hAnsi="Cambria Math"/>
                <w:color w:val="000000" w:themeColor="text1"/>
              </w:rPr>
              <m:t>∂T</m:t>
            </m:r>
          </m:num>
          <m:den>
            <m:r>
              <w:rPr>
                <w:rFonts w:ascii="Cambria Math" w:hAnsi="Cambria Math"/>
                <w:color w:val="000000" w:themeColor="text1"/>
              </w:rPr>
              <m:t>∂r</m:t>
            </m:r>
          </m:den>
        </m:f>
        <m:r>
          <m:rPr>
            <m:sty m:val="p"/>
          </m:rP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m:t>
            </m:r>
          </m:num>
          <m:den>
            <m:r>
              <w:rPr>
                <w:rFonts w:ascii="Cambria Math" w:hAnsi="Cambria Math"/>
                <w:color w:val="000000" w:themeColor="text1"/>
              </w:rPr>
              <m:t>∂r</m:t>
            </m:r>
          </m:den>
        </m:f>
        <m:d>
          <m:dPr>
            <m:ctrlPr>
              <w:rPr>
                <w:rFonts w:ascii="Cambria Math" w:hAnsi="Cambria Math"/>
                <w:color w:val="000000" w:themeColor="text1"/>
              </w:rPr>
            </m:ctrlPr>
          </m:dPr>
          <m:e>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f>
              <m:fPr>
                <m:ctrlPr>
                  <w:rPr>
                    <w:rFonts w:ascii="Cambria Math" w:hAnsi="Cambria Math"/>
                    <w:color w:val="000000" w:themeColor="text1"/>
                  </w:rPr>
                </m:ctrlPr>
              </m:fPr>
              <m:num>
                <m:r>
                  <w:rPr>
                    <w:rFonts w:ascii="Cambria Math" w:hAnsi="Cambria Math"/>
                    <w:color w:val="000000" w:themeColor="text1"/>
                  </w:rPr>
                  <m:t>∂T</m:t>
                </m:r>
              </m:num>
              <m:den>
                <m:r>
                  <w:rPr>
                    <w:rFonts w:ascii="Cambria Math" w:hAnsi="Cambria Math"/>
                    <w:color w:val="000000" w:themeColor="text1"/>
                  </w:rPr>
                  <m:t>∂r</m:t>
                </m:r>
              </m:den>
            </m:f>
          </m:e>
        </m:d>
        <m:r>
          <m:rPr>
            <m:sty m:val="p"/>
          </m:rP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∂T</m:t>
            </m:r>
          </m:num>
          <m:den>
            <m:r>
              <w:rPr>
                <w:rFonts w:ascii="Cambria Math" w:hAnsi="Cambria Math"/>
                <w:color w:val="000000" w:themeColor="text1"/>
              </w:rPr>
              <m:t>∂t</m:t>
            </m:r>
          </m:den>
        </m:f>
        <m:r>
          <m:rPr>
            <m:sty m:val="p"/>
          </m:rPr>
          <w:rPr>
            <w:rFonts w:ascii="Cambria Math" w:hAnsi="Cambria Math"/>
            <w:color w:val="000000" w:themeColor="text1"/>
          </w:rPr>
          <m:t xml:space="preserve">, </m:t>
        </m:r>
        <m:r>
          <m:rPr>
            <m:nor/>
          </m:rPr>
          <w:rPr>
            <w:color w:val="000000" w:themeColor="text1"/>
          </w:rPr>
          <m:t xml:space="preserve"> if</m:t>
        </m:r>
        <m:r>
          <m:rPr>
            <m:sty m:val="p"/>
          </m:rPr>
          <w:rPr>
            <w:rFonts w:ascii="Cambria Math" w:hAnsi="Cambria Math"/>
            <w:color w:val="000000" w:themeColor="text1"/>
          </w:rPr>
          <m:t xml:space="preserve"> </m:t>
        </m:r>
        <m:r>
          <w:rPr>
            <w:rFonts w:ascii="Cambria Math" w:hAnsi="Cambria Math"/>
            <w:color w:val="000000" w:themeColor="text1"/>
          </w:rPr>
          <m:t>r</m:t>
        </m:r>
        <m:r>
          <m:rPr>
            <m:sty m:val="p"/>
          </m:rPr>
          <w:rPr>
            <w:rFonts w:ascii="Cambria Math" w:hAnsi="Cambria Math"/>
            <w:color w:val="000000" w:themeColor="text1"/>
          </w:rPr>
          <m:t>≠0</m:t>
        </m:r>
      </m:oMath>
      <w:r w:rsidR="00565C27" w:rsidRPr="00487150">
        <w:rPr>
          <w:color w:val="000000" w:themeColor="text1"/>
        </w:rPr>
        <w:t>,</w:t>
      </w:r>
      <w:r w:rsidR="00565C27" w:rsidRPr="00487150">
        <w:rPr>
          <w:color w:val="000000" w:themeColor="text1"/>
        </w:rPr>
        <w:tab/>
      </w:r>
      <w:r w:rsidR="00565C27" w:rsidRPr="00487150">
        <w:rPr>
          <w:color w:val="000000" w:themeColor="text1"/>
        </w:rPr>
        <w:tab/>
      </w:r>
      <w:r w:rsidR="00565C27" w:rsidRPr="00487150">
        <w:rPr>
          <w:color w:val="000000" w:themeColor="text1"/>
        </w:rPr>
        <w:tab/>
      </w:r>
      <w:r w:rsidR="00565C27" w:rsidRPr="00487150">
        <w:rPr>
          <w:color w:val="000000" w:themeColor="text1"/>
        </w:rPr>
        <w:tab/>
        <w:t>(3.2)</w:t>
      </w:r>
    </w:p>
    <w:p w14:paraId="26DDB11A" w14:textId="77777777" w:rsidR="00565C27" w:rsidRPr="00487150" w:rsidRDefault="00000000" w:rsidP="00565C27">
      <w:pPr>
        <w:spacing w:line="480" w:lineRule="auto"/>
        <w:jc w:val="right"/>
        <w:rPr>
          <w:color w:val="000000" w:themeColor="text1"/>
        </w:rPr>
      </w:pPr>
      <m:oMath>
        <m:f>
          <m:fPr>
            <m:ctrlPr>
              <w:rPr>
                <w:rFonts w:ascii="Cambria Math" w:hAnsi="Cambria Math"/>
                <w:color w:val="000000" w:themeColor="text1"/>
              </w:rPr>
            </m:ctrlPr>
          </m:fPr>
          <m:num>
            <m:r>
              <m:rPr>
                <m:sty m:val="p"/>
              </m:rPr>
              <w:rPr>
                <w:rFonts w:ascii="Cambria Math" w:hAnsi="Cambria Math"/>
                <w:color w:val="000000" w:themeColor="text1"/>
              </w:rPr>
              <m:t>2</m:t>
            </m:r>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w:rPr>
                <w:rFonts w:ascii="Cambria Math" w:hAnsi="Cambria Math"/>
                <w:color w:val="000000" w:themeColor="text1"/>
              </w:rPr>
              <m:t>r</m:t>
            </m:r>
          </m:den>
        </m:f>
        <m:f>
          <m:fPr>
            <m:ctrlPr>
              <w:rPr>
                <w:rFonts w:ascii="Cambria Math" w:hAnsi="Cambria Math"/>
                <w:color w:val="000000" w:themeColor="text1"/>
              </w:rPr>
            </m:ctrlPr>
          </m:fPr>
          <m:num>
            <m:r>
              <w:rPr>
                <w:rFonts w:ascii="Cambria Math" w:hAnsi="Cambria Math"/>
                <w:color w:val="000000" w:themeColor="text1"/>
              </w:rPr>
              <m:t>∂T</m:t>
            </m:r>
          </m:num>
          <m:den>
            <m:r>
              <w:rPr>
                <w:rFonts w:ascii="Cambria Math" w:hAnsi="Cambria Math"/>
                <w:color w:val="000000" w:themeColor="text1"/>
              </w:rPr>
              <m:t>∂r</m:t>
            </m:r>
          </m:den>
        </m:f>
        <m:r>
          <m:rPr>
            <m:sty m:val="p"/>
          </m:rP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m:t>
            </m:r>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w:rPr>
                <w:rFonts w:ascii="Cambria Math" w:hAnsi="Cambria Math"/>
                <w:color w:val="000000" w:themeColor="text1"/>
              </w:rPr>
              <m:t>∂r</m:t>
            </m:r>
          </m:den>
        </m:f>
        <m:f>
          <m:fPr>
            <m:ctrlPr>
              <w:rPr>
                <w:rFonts w:ascii="Cambria Math" w:hAnsi="Cambria Math"/>
                <w:color w:val="000000" w:themeColor="text1"/>
              </w:rPr>
            </m:ctrlPr>
          </m:fPr>
          <m:num>
            <m:r>
              <w:rPr>
                <w:rFonts w:ascii="Cambria Math" w:hAnsi="Cambria Math"/>
                <w:color w:val="000000" w:themeColor="text1"/>
              </w:rPr>
              <m:t>∂T</m:t>
            </m:r>
          </m:num>
          <m:den>
            <m:r>
              <w:rPr>
                <w:rFonts w:ascii="Cambria Math" w:hAnsi="Cambria Math"/>
                <w:color w:val="000000" w:themeColor="text1"/>
              </w:rPr>
              <m:t>∂r</m:t>
            </m:r>
          </m:den>
        </m:f>
        <m:r>
          <m:rPr>
            <m:sty m:val="p"/>
          </m:rPr>
          <w:rPr>
            <w:rFonts w:ascii="Cambria Math" w:hAnsi="Cambria Math"/>
            <w:color w:val="000000" w:themeColor="text1"/>
          </w:rPr>
          <m:t>+</m:t>
        </m:r>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f>
          <m:fPr>
            <m:ctrlPr>
              <w:rPr>
                <w:rFonts w:ascii="Cambria Math" w:hAnsi="Cambria Math"/>
                <w:color w:val="000000" w:themeColor="text1"/>
              </w:rPr>
            </m:ctrlPr>
          </m:fPr>
          <m:num>
            <m:sSup>
              <m:sSupPr>
                <m:ctrlPr>
                  <w:rPr>
                    <w:rFonts w:ascii="Cambria Math" w:hAnsi="Cambria Math"/>
                    <w:color w:val="000000" w:themeColor="text1"/>
                  </w:rPr>
                </m:ctrlPr>
              </m:sSupPr>
              <m:e>
                <m:r>
                  <w:rPr>
                    <w:rFonts w:ascii="Cambria Math" w:hAnsi="Cambria Math"/>
                    <w:color w:val="000000" w:themeColor="text1"/>
                  </w:rPr>
                  <m:t>∂</m:t>
                </m:r>
              </m:e>
              <m:sup>
                <m:r>
                  <m:rPr>
                    <m:sty m:val="p"/>
                  </m:rPr>
                  <w:rPr>
                    <w:rFonts w:ascii="Cambria Math" w:hAnsi="Cambria Math"/>
                    <w:color w:val="000000" w:themeColor="text1"/>
                  </w:rPr>
                  <m:t>2</m:t>
                </m:r>
              </m:sup>
            </m:sSup>
            <m:r>
              <w:rPr>
                <w:rFonts w:ascii="Cambria Math" w:hAnsi="Cambria Math"/>
                <w:color w:val="000000" w:themeColor="text1"/>
              </w:rPr>
              <m:t>T</m:t>
            </m:r>
          </m:num>
          <m:den>
            <m: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r>
          <m:rPr>
            <m:sty m:val="p"/>
          </m:rP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∂T</m:t>
            </m:r>
          </m:num>
          <m:den>
            <m:r>
              <w:rPr>
                <w:rFonts w:ascii="Cambria Math" w:hAnsi="Cambria Math"/>
                <w:color w:val="000000" w:themeColor="text1"/>
              </w:rPr>
              <m:t>∂t</m:t>
            </m:r>
          </m:den>
        </m:f>
        <m:r>
          <m:rPr>
            <m:sty m:val="p"/>
          </m:rPr>
          <w:rPr>
            <w:rFonts w:ascii="Cambria Math" w:hAnsi="Cambria Math"/>
            <w:color w:val="000000" w:themeColor="text1"/>
          </w:rPr>
          <m:t xml:space="preserve">, </m:t>
        </m:r>
        <m:r>
          <m:rPr>
            <m:nor/>
          </m:rPr>
          <w:rPr>
            <w:color w:val="000000" w:themeColor="text1"/>
          </w:rPr>
          <m:t xml:space="preserve"> if</m:t>
        </m:r>
        <m:r>
          <m:rPr>
            <m:sty m:val="p"/>
          </m:rPr>
          <w:rPr>
            <w:rFonts w:ascii="Cambria Math" w:hAnsi="Cambria Math"/>
            <w:color w:val="000000" w:themeColor="text1"/>
          </w:rPr>
          <m:t xml:space="preserve"> </m:t>
        </m:r>
        <m:r>
          <w:rPr>
            <w:rFonts w:ascii="Cambria Math" w:hAnsi="Cambria Math"/>
            <w:color w:val="000000" w:themeColor="text1"/>
          </w:rPr>
          <m:t>r</m:t>
        </m:r>
        <m:r>
          <m:rPr>
            <m:sty m:val="p"/>
          </m:rPr>
          <w:rPr>
            <w:rFonts w:ascii="Cambria Math" w:hAnsi="Cambria Math"/>
            <w:color w:val="000000" w:themeColor="text1"/>
          </w:rPr>
          <m:t>≠0</m:t>
        </m:r>
      </m:oMath>
      <w:r w:rsidR="00565C27" w:rsidRPr="00487150">
        <w:rPr>
          <w:color w:val="000000" w:themeColor="text1"/>
        </w:rPr>
        <w:t xml:space="preserve">, </w:t>
      </w:r>
      <w:r w:rsidR="00565C27" w:rsidRPr="00487150">
        <w:rPr>
          <w:color w:val="000000" w:themeColor="text1"/>
        </w:rPr>
        <w:tab/>
      </w:r>
      <w:r w:rsidR="00565C27" w:rsidRPr="00487150">
        <w:rPr>
          <w:color w:val="000000" w:themeColor="text1"/>
        </w:rPr>
        <w:tab/>
      </w:r>
      <w:r w:rsidR="00565C27" w:rsidRPr="00487150">
        <w:rPr>
          <w:color w:val="000000" w:themeColor="text1"/>
        </w:rPr>
        <w:tab/>
        <w:t>(3.3)</w:t>
      </w:r>
    </w:p>
    <w:p w14:paraId="21E00C5D" w14:textId="77777777" w:rsidR="00565C27" w:rsidRPr="00487150" w:rsidRDefault="00565C27" w:rsidP="00565C27">
      <w:pPr>
        <w:spacing w:line="480" w:lineRule="auto"/>
        <w:rPr>
          <w:color w:val="000000" w:themeColor="text1"/>
        </w:rPr>
      </w:pPr>
      <w:r w:rsidRPr="00487150">
        <w:rPr>
          <w:color w:val="000000" w:themeColor="text1"/>
        </w:rPr>
        <w:t xml:space="preserve">where </w:t>
      </w:r>
      <m:oMath>
        <m:r>
          <w:rPr>
            <w:rFonts w:ascii="Cambria Math" w:hAnsi="Cambria Math"/>
            <w:color w:val="000000" w:themeColor="text1"/>
          </w:rPr>
          <m:t>T</m:t>
        </m:r>
      </m:oMath>
      <w:r w:rsidRPr="00487150">
        <w:rPr>
          <w:color w:val="000000" w:themeColor="text1"/>
        </w:rPr>
        <w:t xml:space="preserve"> is the temperature (K),</w:t>
      </w:r>
      <w:r>
        <w:t xml:space="preserve"> </w:t>
      </w:r>
      <m:oMath>
        <m:r>
          <w:rPr>
            <w:rFonts w:ascii="Cambria Math" w:hAnsi="Cambria Math"/>
            <w:color w:val="000000" w:themeColor="text1"/>
          </w:rPr>
          <m:t>t</m:t>
        </m:r>
      </m:oMath>
      <w:r>
        <w:rPr>
          <w:rFonts w:eastAsiaTheme="minorEastAsia"/>
        </w:rPr>
        <w:t xml:space="preserve"> is time in seconds</w:t>
      </w:r>
      <w:r>
        <w:t>, and</w:t>
      </w:r>
      <w:r w:rsidRPr="00487150">
        <w:rPr>
          <w:color w:val="000000" w:themeColor="text1"/>
        </w:rPr>
        <w:t xml:space="preserve"> </w:t>
      </w:r>
      <m:oMath>
        <m:sSub>
          <m:sSubPr>
            <m:ctrlPr>
              <w:rPr>
                <w:rFonts w:ascii="Cambria Math" w:hAnsi="Cambria Math"/>
                <w:i/>
                <w:iCs/>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oMath>
      <w:r w:rsidRPr="00487150">
        <w:rPr>
          <w:color w:val="000000" w:themeColor="text1"/>
        </w:rPr>
        <w:t xml:space="preserve"> is the scaled radius of the sphere at </w:t>
      </w:r>
      <w:r w:rsidRPr="00487150">
        <w:t>an</w:t>
      </w:r>
      <w:r w:rsidRPr="00487150">
        <w:rPr>
          <w:color w:val="000000" w:themeColor="text1"/>
        </w:rPr>
        <w:t xml:space="preserve"> interval </w:t>
      </w:r>
      <m:oMath>
        <m:r>
          <w:rPr>
            <w:rFonts w:ascii="Cambria Math" w:hAnsi="Cambria Math"/>
            <w:color w:val="000000" w:themeColor="text1"/>
          </w:rPr>
          <m:t>i</m:t>
        </m:r>
      </m:oMath>
      <w:r w:rsidRPr="00487150">
        <w:rPr>
          <w:color w:val="000000" w:themeColor="text1"/>
        </w:rPr>
        <w:t xml:space="preserve"> </w:t>
      </w:r>
      <w:r>
        <w:rPr>
          <w:color w:val="000000" w:themeColor="text1"/>
        </w:rPr>
        <w:t xml:space="preserve">within a spherical grid.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w:rPr>
            <w:rFonts w:ascii="Cambria Math" w:hAnsi="Cambria Math"/>
            <w:color w:val="000000" w:themeColor="text1"/>
          </w:rPr>
          <m:t>=i</m:t>
        </m:r>
        <m:r>
          <w:rPr>
            <w:rFonts w:ascii="Cambria Math" w:hAnsi="Cambria Math"/>
          </w:rPr>
          <m:t>∙</m:t>
        </m:r>
        <m:r>
          <w:rPr>
            <w:rFonts w:ascii="Cambria Math" w:hAnsi="Cambria Math"/>
            <w:color w:val="000000" w:themeColor="text1"/>
          </w:rPr>
          <m:t xml:space="preserve">∆r </m:t>
        </m:r>
      </m:oMath>
      <w:r w:rsidRPr="00487150">
        <w:rPr>
          <w:color w:val="000000" w:themeColor="text1"/>
        </w:rPr>
        <w:t xml:space="preserve">and </w:t>
      </w:r>
      <m:oMath>
        <m:r>
          <w:rPr>
            <w:rFonts w:ascii="Cambria Math" w:hAnsi="Cambria Math"/>
            <w:color w:val="000000" w:themeColor="text1"/>
          </w:rPr>
          <m:t>∆r=</m:t>
        </m:r>
        <m:r>
          <w:rPr>
            <w:rFonts w:ascii="Cambria Math" w:hAnsi="Cambria Math"/>
          </w:rPr>
          <m:t>1</m:t>
        </m:r>
      </m:oMath>
      <w:r>
        <w:rPr>
          <w:rFonts w:eastAsiaTheme="minorEastAsia"/>
        </w:rPr>
        <w:t>,</w:t>
      </w:r>
      <w:r w:rsidRPr="00487150">
        <w:rPr>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m:t>
            </m:r>
          </m:e>
          <m:sub>
            <m:r>
              <w:rPr>
                <w:rFonts w:ascii="Cambria Math" w:hAnsi="Cambria Math"/>
                <w:color w:val="000000" w:themeColor="text1"/>
              </w:rPr>
              <m:t>i</m:t>
            </m:r>
          </m:sub>
        </m:sSub>
      </m:oMath>
      <w:r w:rsidRPr="00487150">
        <w:rPr>
          <w:color w:val="000000" w:themeColor="text1"/>
        </w:rPr>
        <w:t xml:space="preserve"> is the dimensionless diffusivity at </w:t>
      </w:r>
      <w:r w:rsidRPr="00487150">
        <w:t>an</w:t>
      </w:r>
      <w:r w:rsidRPr="00487150">
        <w:rPr>
          <w:color w:val="000000" w:themeColor="text1"/>
        </w:rPr>
        <w:t xml:space="preserve"> interval </w:t>
      </w:r>
      <m:oMath>
        <m:r>
          <w:rPr>
            <w:rFonts w:ascii="Cambria Math" w:hAnsi="Cambria Math"/>
            <w:color w:val="000000" w:themeColor="text1"/>
          </w:rPr>
          <m:t>i</m:t>
        </m:r>
      </m:oMath>
      <w:r w:rsidRPr="00487150">
        <w:rPr>
          <w:color w:val="000000" w:themeColor="text1"/>
        </w:rPr>
        <w:t>. The dimensionless diffusivity is:</w:t>
      </w:r>
    </w:p>
    <w:p w14:paraId="2B46FE10" w14:textId="77777777" w:rsidR="00565C27" w:rsidRPr="00487150" w:rsidRDefault="00000000" w:rsidP="00565C27">
      <w:pPr>
        <w:spacing w:line="480" w:lineRule="auto"/>
        <w:jc w:val="right"/>
        <w:rPr>
          <w:color w:val="000000" w:themeColor="text1"/>
        </w:rPr>
      </w:pPr>
      <m:oMath>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r>
          <m:rPr>
            <m:sty m:val="p"/>
          </m:rPr>
          <w:rPr>
            <w:rFonts w:ascii="Cambria Math" w:hAnsi="Cambria Math"/>
            <w:color w:val="000000" w:themeColor="text1"/>
          </w:rPr>
          <m:t xml:space="preserve"> =</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κ</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num>
          <m:den>
            <m:r>
              <m:rPr>
                <m:sty m:val="p"/>
              </m:rPr>
              <w:rPr>
                <w:rFonts w:ascii="Cambria Math" w:hAnsi="Cambria Math"/>
                <w:color w:val="000000" w:themeColor="text1"/>
              </w:rPr>
              <m:t>∆</m:t>
            </m:r>
            <m:sSup>
              <m:sSupPr>
                <m:ctrlPr>
                  <w:rPr>
                    <w:rFonts w:ascii="Cambria Math" w:hAnsi="Cambria Math"/>
                    <w:color w:val="000000" w:themeColor="text1"/>
                  </w:rPr>
                </m:ctrlPr>
              </m:sSupPr>
              <m:e>
                <m:acc>
                  <m:accPr>
                    <m:ctrlPr>
                      <w:rPr>
                        <w:rFonts w:ascii="Cambria Math" w:hAnsi="Cambria Math"/>
                        <w:color w:val="000000" w:themeColor="text1"/>
                      </w:rPr>
                    </m:ctrlPr>
                  </m:accPr>
                  <m:e>
                    <m:r>
                      <w:rPr>
                        <w:rFonts w:ascii="Cambria Math" w:hAnsi="Cambria Math"/>
                        <w:color w:val="000000" w:themeColor="text1"/>
                      </w:rPr>
                      <m:t>r</m:t>
                    </m:r>
                  </m:e>
                </m:acc>
              </m:e>
              <m:sup>
                <m:r>
                  <m:rPr>
                    <m:sty m:val="p"/>
                  </m:rPr>
                  <w:rPr>
                    <w:rFonts w:ascii="Cambria Math" w:hAnsi="Cambria Math"/>
                    <w:color w:val="000000" w:themeColor="text1"/>
                  </w:rPr>
                  <m:t>2</m:t>
                </m:r>
              </m:sup>
            </m:sSup>
          </m:den>
        </m:f>
      </m:oMath>
      <w:r w:rsidR="00565C27" w:rsidRPr="00487150">
        <w:rPr>
          <w:color w:val="000000" w:themeColor="text1"/>
        </w:rPr>
        <w:tab/>
      </w:r>
      <w:r w:rsidR="00565C27" w:rsidRPr="00487150">
        <w:rPr>
          <w:color w:val="000000" w:themeColor="text1"/>
        </w:rPr>
        <w:tab/>
      </w:r>
      <w:r w:rsidR="00565C27" w:rsidRPr="00487150">
        <w:rPr>
          <w:color w:val="000000" w:themeColor="text1"/>
        </w:rPr>
        <w:tab/>
      </w:r>
      <w:r w:rsidR="00565C27" w:rsidRPr="00487150">
        <w:rPr>
          <w:color w:val="000000" w:themeColor="text1"/>
        </w:rPr>
        <w:tab/>
      </w:r>
      <w:r w:rsidR="00565C27" w:rsidRPr="00487150">
        <w:rPr>
          <w:color w:val="000000" w:themeColor="text1"/>
        </w:rPr>
        <w:tab/>
        <w:t>(3.4)</w:t>
      </w:r>
    </w:p>
    <w:p w14:paraId="5D8D8114" w14:textId="77777777" w:rsidR="00565C27" w:rsidRPr="00487150" w:rsidRDefault="00565C27" w:rsidP="00565C27">
      <w:pPr>
        <w:spacing w:line="480" w:lineRule="auto"/>
        <w:rPr>
          <w:color w:val="000000" w:themeColor="text1"/>
        </w:rPr>
      </w:pPr>
      <w:r w:rsidRPr="00487150">
        <w:rPr>
          <w:color w:val="000000" w:themeColor="text1"/>
        </w:rPr>
        <w:t xml:space="preserve">where </w:t>
      </w:r>
      <m:oMath>
        <m:sSub>
          <m:sSubPr>
            <m:ctrlPr>
              <w:rPr>
                <w:rFonts w:ascii="Cambria Math" w:hAnsi="Cambria Math"/>
                <w:color w:val="000000" w:themeColor="text1"/>
              </w:rPr>
            </m:ctrlPr>
          </m:sSubPr>
          <m:e>
            <m:r>
              <w:rPr>
                <w:rFonts w:ascii="Cambria Math" w:hAnsi="Cambria Math"/>
                <w:color w:val="000000" w:themeColor="text1"/>
              </w:rPr>
              <m:t>κ</m:t>
            </m:r>
          </m:e>
          <m:sub>
            <m:r>
              <w:rPr>
                <w:rFonts w:ascii="Cambria Math" w:hAnsi="Cambria Math"/>
                <w:color w:val="000000" w:themeColor="text1"/>
              </w:rPr>
              <m:t>i</m:t>
            </m:r>
          </m:sub>
        </m:sSub>
      </m:oMath>
      <w:r w:rsidRPr="00487150">
        <w:rPr>
          <w:color w:val="000000" w:themeColor="text1"/>
        </w:rPr>
        <w:t xml:space="preserve"> is the diffusivity of the material (m</w:t>
      </w:r>
      <w:r w:rsidRPr="00487150">
        <w:rPr>
          <w:color w:val="000000" w:themeColor="text1"/>
          <w:vertAlign w:val="superscript"/>
        </w:rPr>
        <w:t>2</w:t>
      </w:r>
      <w:r w:rsidRPr="00487150">
        <w:rPr>
          <w:color w:val="000000" w:themeColor="text1"/>
        </w:rPr>
        <w:t>/s) at a given interval</w:t>
      </w:r>
      <w:r w:rsidRPr="00487150">
        <w:rPr>
          <w:i/>
          <w:iCs/>
          <w:color w:val="000000" w:themeColor="text1"/>
        </w:rPr>
        <w:t xml:space="preserve"> </w:t>
      </w:r>
      <m:oMath>
        <m:r>
          <w:rPr>
            <w:rFonts w:ascii="Cambria Math" w:hAnsi="Cambria Math"/>
            <w:color w:val="000000" w:themeColor="text1"/>
          </w:rPr>
          <m:t>i</m:t>
        </m:r>
      </m:oMath>
      <w:r w:rsidRPr="00487150">
        <w:rPr>
          <w:color w:val="000000" w:themeColor="text1"/>
        </w:rPr>
        <w:t xml:space="preserve">, </w:t>
      </w:r>
      <m:oMath>
        <m:r>
          <m:rPr>
            <m:sty m:val="p"/>
          </m:rPr>
          <w:rPr>
            <w:rFonts w:ascii="Cambria Math" w:hAnsi="Cambria Math"/>
            <w:color w:val="000000" w:themeColor="text1"/>
          </w:rPr>
          <m:t>∆</m:t>
        </m:r>
        <m:sSub>
          <m:sSubPr>
            <m:ctrlPr>
              <w:rPr>
                <w:rFonts w:ascii="Cambria Math" w:hAnsi="Cambria Math"/>
                <w:color w:val="000000" w:themeColor="text1"/>
              </w:rPr>
            </m:ctrlPr>
          </m:sSubPr>
          <m:e>
            <m:acc>
              <m:accPr>
                <m:ctrlPr>
                  <w:rPr>
                    <w:rFonts w:ascii="Cambria Math" w:hAnsi="Cambria Math"/>
                    <w:color w:val="000000" w:themeColor="text1"/>
                  </w:rPr>
                </m:ctrlPr>
              </m:accPr>
              <m:e>
                <m:r>
                  <w:rPr>
                    <w:rFonts w:ascii="Cambria Math" w:hAnsi="Cambria Math"/>
                    <w:color w:val="000000" w:themeColor="text1"/>
                  </w:rPr>
                  <m:t>r</m:t>
                </m:r>
              </m:e>
            </m:acc>
          </m:e>
          <m:sub>
            <m:r>
              <w:rPr>
                <w:rFonts w:ascii="Cambria Math" w:hAnsi="Cambria Math"/>
                <w:color w:val="000000" w:themeColor="text1"/>
              </w:rPr>
              <m:t>i</m:t>
            </m:r>
          </m:sub>
        </m:sSub>
      </m:oMath>
      <w:r w:rsidRPr="00487150">
        <w:rPr>
          <w:color w:val="000000" w:themeColor="text1"/>
        </w:rPr>
        <w:t xml:space="preserve"> </w:t>
      </w:r>
      <w:r>
        <w:rPr>
          <w:color w:val="000000" w:themeColor="text1"/>
        </w:rPr>
        <w:t>reflects the dimensional grid spacing</w:t>
      </w:r>
      <w:r w:rsidRPr="00487150">
        <w:rPr>
          <w:color w:val="000000" w:themeColor="text1"/>
        </w:rPr>
        <w:t xml:space="preserve"> (i.e., </w:t>
      </w:r>
      <m:oMath>
        <m:r>
          <m:rPr>
            <m:sty m:val="p"/>
          </m:rPr>
          <w:rPr>
            <w:rFonts w:ascii="Cambria Math" w:hAnsi="Cambria Math"/>
            <w:color w:val="000000" w:themeColor="text1"/>
          </w:rPr>
          <m:t>∆</m:t>
        </m:r>
        <m:acc>
          <m:accPr>
            <m:ctrlPr>
              <w:rPr>
                <w:rFonts w:ascii="Cambria Math" w:hAnsi="Cambria Math"/>
                <w:color w:val="000000" w:themeColor="text1"/>
              </w:rPr>
            </m:ctrlPr>
          </m:accPr>
          <m:e>
            <m:r>
              <w:rPr>
                <w:rFonts w:ascii="Cambria Math" w:hAnsi="Cambria Math"/>
                <w:color w:val="000000" w:themeColor="text1"/>
              </w:rPr>
              <m:t>r</m:t>
            </m:r>
          </m:e>
        </m:acc>
        <m:r>
          <m:rPr>
            <m:sty m:val="p"/>
          </m:rPr>
          <w:rPr>
            <w:rFonts w:ascii="Cambria Math" w:hAnsi="Cambria Math"/>
            <w:color w:val="000000" w:themeColor="text1"/>
          </w:rPr>
          <m:t>=</m:t>
        </m:r>
        <m:d>
          <m:dPr>
            <m:ctrlPr>
              <w:rPr>
                <w:rFonts w:ascii="Cambria Math" w:hAnsi="Cambria Math"/>
                <w:color w:val="000000" w:themeColor="text1"/>
              </w:rPr>
            </m:ctrlPr>
          </m:dPr>
          <m:e>
            <m:sSub>
              <m:sSubPr>
                <m:ctrlPr>
                  <w:rPr>
                    <w:rFonts w:ascii="Cambria Math" w:hAnsi="Cambria Math"/>
                    <w:color w:val="000000" w:themeColor="text1"/>
                  </w:rPr>
                </m:ctrlPr>
              </m:sSubPr>
              <m:e>
                <m:acc>
                  <m:accPr>
                    <m:ctrlPr>
                      <w:rPr>
                        <w:rFonts w:ascii="Cambria Math" w:hAnsi="Cambria Math"/>
                        <w:color w:val="000000" w:themeColor="text1"/>
                      </w:rPr>
                    </m:ctrlPr>
                  </m:accPr>
                  <m:e>
                    <m:r>
                      <w:rPr>
                        <w:rFonts w:ascii="Cambria Math" w:hAnsi="Cambria Math"/>
                        <w:color w:val="000000" w:themeColor="text1"/>
                      </w:rPr>
                      <m:t>r</m:t>
                    </m:r>
                  </m:e>
                </m:acc>
              </m:e>
              <m:sub>
                <m:r>
                  <w:rPr>
                    <w:rFonts w:ascii="Cambria Math" w:hAnsi="Cambria Math"/>
                    <w:color w:val="000000" w:themeColor="text1"/>
                  </w:rPr>
                  <m:t>i</m:t>
                </m:r>
                <m:r>
                  <m:rPr>
                    <m:sty m:val="p"/>
                  </m:rPr>
                  <w:rPr>
                    <w:rFonts w:ascii="Cambria Math" w:hAnsi="Cambria Math"/>
                    <w:color w:val="000000" w:themeColor="text1"/>
                  </w:rPr>
                  <m:t>+1</m:t>
                </m:r>
              </m:sub>
            </m:sSub>
            <m:r>
              <m:rPr>
                <m:sty m:val="p"/>
              </m:rPr>
              <w:rPr>
                <w:rFonts w:ascii="Cambria Math" w:hAnsi="Cambria Math"/>
                <w:color w:val="000000" w:themeColor="text1"/>
              </w:rPr>
              <m:t>-</m:t>
            </m:r>
            <m:sSub>
              <m:sSubPr>
                <m:ctrlPr>
                  <w:rPr>
                    <w:rFonts w:ascii="Cambria Math" w:hAnsi="Cambria Math"/>
                    <w:color w:val="000000" w:themeColor="text1"/>
                  </w:rPr>
                </m:ctrlPr>
              </m:sSubPr>
              <m:e>
                <m:acc>
                  <m:accPr>
                    <m:ctrlPr>
                      <w:rPr>
                        <w:rFonts w:ascii="Cambria Math" w:hAnsi="Cambria Math"/>
                        <w:color w:val="000000" w:themeColor="text1"/>
                      </w:rPr>
                    </m:ctrlPr>
                  </m:accPr>
                  <m:e>
                    <m:r>
                      <w:rPr>
                        <w:rFonts w:ascii="Cambria Math" w:hAnsi="Cambria Math"/>
                        <w:color w:val="000000" w:themeColor="text1"/>
                      </w:rPr>
                      <m:t>r</m:t>
                    </m:r>
                  </m:e>
                </m:acc>
              </m:e>
              <m:sub>
                <m:r>
                  <w:rPr>
                    <w:rFonts w:ascii="Cambria Math" w:hAnsi="Cambria Math"/>
                    <w:color w:val="000000" w:themeColor="text1"/>
                  </w:rPr>
                  <m:t>i</m:t>
                </m:r>
              </m:sub>
            </m:sSub>
          </m:e>
        </m:d>
      </m:oMath>
      <w:r>
        <w:rPr>
          <w:rFonts w:eastAsiaTheme="minorEastAsia"/>
        </w:rPr>
        <w:t>)</w:t>
      </w:r>
      <w:r w:rsidRPr="00487150">
        <w:rPr>
          <w:color w:val="000000" w:themeColor="text1"/>
        </w:rPr>
        <w:t xml:space="preserve"> in (m), and </w:t>
      </w:r>
      <m:oMath>
        <m:r>
          <m:rPr>
            <m:sty m:val="p"/>
          </m:rPr>
          <w:rPr>
            <w:rFonts w:ascii="Cambria Math" w:hAnsi="Cambria Math"/>
            <w:color w:val="000000" w:themeColor="text1"/>
          </w:rPr>
          <m:t>∆</m:t>
        </m:r>
        <m:r>
          <w:rPr>
            <w:rFonts w:ascii="Cambria Math" w:hAnsi="Cambria Math"/>
            <w:color w:val="000000" w:themeColor="text1"/>
          </w:rPr>
          <m:t>t</m:t>
        </m:r>
      </m:oMath>
      <w:r w:rsidRPr="00487150">
        <w:rPr>
          <w:iCs/>
          <w:color w:val="000000" w:themeColor="text1"/>
        </w:rPr>
        <w:t xml:space="preserve"> </w:t>
      </w:r>
      <w:r w:rsidRPr="00487150">
        <w:rPr>
          <w:color w:val="000000" w:themeColor="text1"/>
        </w:rPr>
        <w:t xml:space="preserve">is the </w:t>
      </w:r>
      <w:r>
        <w:rPr>
          <w:color w:val="000000" w:themeColor="text1"/>
        </w:rPr>
        <w:t>timestep</w:t>
      </w:r>
      <w:r w:rsidRPr="00487150">
        <w:rPr>
          <w:color w:val="000000" w:themeColor="text1"/>
        </w:rPr>
        <w:t xml:space="preserve">. To use the numerical approximations from Ford Versypt and Braatz (2014), the central operator notation where the operator </w:t>
      </w:r>
      <m:oMath>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rPr>
              <m:t>i</m:t>
            </m:r>
            <m:r>
              <w:rPr>
                <w:rFonts w:ascii="Cambria Math" w:hAnsi="Cambria Math"/>
                <w:color w:val="000000" w:themeColor="text1"/>
              </w:rPr>
              <m:t>r</m:t>
            </m:r>
          </m:sub>
        </m:sSub>
      </m:oMath>
      <w:r w:rsidRPr="00487150">
        <w:rPr>
          <w:color w:val="000000" w:themeColor="text1"/>
        </w:rPr>
        <w:t xml:space="preserve"> centered in the r dimension at the position </w:t>
      </w:r>
      <m:oMath>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oMath>
      <w:r w:rsidRPr="00487150">
        <w:rPr>
          <w:color w:val="000000" w:themeColor="text1"/>
        </w:rPr>
        <w:t xml:space="preserve"> over an interval of </w:t>
      </w:r>
      <m:oMath>
        <m:r>
          <w:rPr>
            <w:rFonts w:ascii="Cambria Math" w:hAnsi="Cambria Math"/>
            <w:color w:val="000000" w:themeColor="text1"/>
          </w:rPr>
          <m:t>i</m:t>
        </m:r>
        <m:r>
          <m:rPr>
            <m:sty m:val="p"/>
          </m:rPr>
          <w:rPr>
            <w:rFonts w:ascii="Cambria Math" w:hAnsi="Cambria Math"/>
            <w:color w:val="000000" w:themeColor="text1"/>
          </w:rPr>
          <m:t>∆</m:t>
        </m:r>
        <m:r>
          <w:rPr>
            <w:rFonts w:ascii="Cambria Math" w:hAnsi="Cambria Math"/>
            <w:color w:val="000000" w:themeColor="text1"/>
          </w:rPr>
          <m:t>r</m:t>
        </m:r>
      </m:oMath>
      <w:r w:rsidRPr="00487150">
        <w:rPr>
          <w:color w:val="000000" w:themeColor="text1"/>
        </w:rPr>
        <w:t xml:space="preserve"> applied to </w:t>
      </w:r>
      <m:oMath>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oMath>
      <w:r w:rsidRPr="00487150">
        <w:rPr>
          <w:color w:val="000000" w:themeColor="text1"/>
        </w:rPr>
        <w:t xml:space="preserve"> must be used: </w:t>
      </w:r>
    </w:p>
    <w:p w14:paraId="189DD13B" w14:textId="77777777" w:rsidR="00565C27" w:rsidRPr="00487150" w:rsidRDefault="00000000" w:rsidP="00565C27">
      <w:pPr>
        <w:spacing w:line="480" w:lineRule="auto"/>
        <w:jc w:val="right"/>
        <w:rPr>
          <w:color w:val="000000" w:themeColor="text1"/>
        </w:rPr>
      </w:pPr>
      <m:oMath>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ir</m:t>
            </m:r>
          </m:sub>
        </m:sSub>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rPr>
                  <m:t>1</m:t>
                </m:r>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rPr>
                  <m:t>1</m:t>
                </m:r>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rPr>
                  <m:t>1</m:t>
                </m:r>
              </m:num>
              <m:den>
                <m:r>
                  <m:rPr>
                    <m:sty m:val="p"/>
                  </m:rPr>
                  <w:rPr>
                    <w:rFonts w:ascii="Cambria Math" w:hAnsi="Cambria Math"/>
                    <w:color w:val="000000" w:themeColor="text1"/>
                  </w:rPr>
                  <m:t>2</m:t>
                </m:r>
              </m:den>
            </m:f>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rPr>
                  <m:t>1</m:t>
                </m:r>
              </m:num>
              <m:den>
                <m:r>
                  <m:rPr>
                    <m:sty m:val="p"/>
                  </m:rPr>
                  <w:rPr>
                    <w:rFonts w:ascii="Cambria Math" w:hAnsi="Cambria Math"/>
                    <w:color w:val="000000" w:themeColor="text1"/>
                  </w:rPr>
                  <m:t>2</m:t>
                </m:r>
              </m:den>
            </m:f>
          </m:sub>
        </m:sSub>
        <m:d>
          <m:dPr>
            <m:ctrlPr>
              <w:rPr>
                <w:rFonts w:ascii="Cambria Math" w:hAnsi="Cambria Math"/>
                <w:color w:val="000000" w:themeColor="text1"/>
              </w:rPr>
            </m:ctrlPr>
          </m:dPr>
          <m:e>
            <m:r>
              <w:rPr>
                <w:rFonts w:ascii="Cambria Math" w:hAnsi="Cambria Math"/>
                <w:color w:val="000000" w:themeColor="text1"/>
              </w:rPr>
              <m:t>t</m:t>
            </m:r>
          </m:e>
        </m:d>
      </m:oMath>
      <w:r w:rsidR="00565C27" w:rsidRPr="00487150">
        <w:rPr>
          <w:color w:val="000000" w:themeColor="text1"/>
        </w:rPr>
        <w:tab/>
      </w:r>
      <w:r w:rsidR="00565C27" w:rsidRPr="00487150">
        <w:rPr>
          <w:color w:val="000000" w:themeColor="text1"/>
        </w:rPr>
        <w:tab/>
        <w:t>(3.5)</w:t>
      </w:r>
    </w:p>
    <w:p w14:paraId="79708CA9" w14:textId="77777777" w:rsidR="00565C27" w:rsidRPr="00487150" w:rsidRDefault="00565C27" w:rsidP="00565C27">
      <w:pPr>
        <w:spacing w:line="480" w:lineRule="auto"/>
        <w:rPr>
          <w:color w:val="000000" w:themeColor="text1"/>
        </w:rPr>
      </w:pPr>
      <w:r w:rsidRPr="00487150">
        <w:rPr>
          <w:color w:val="000000" w:themeColor="text1"/>
        </w:rPr>
        <w:lastRenderedPageBreak/>
        <w:t xml:space="preserve">where </w:t>
      </w:r>
      <m:oMath>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oMath>
      <w:r w:rsidRPr="00487150">
        <w:rPr>
          <w:color w:val="000000" w:themeColor="text1"/>
        </w:rPr>
        <w:t xml:space="preserve"> and </w:t>
      </w:r>
      <m:oMath>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oMath>
      <w:r w:rsidRPr="00487150">
        <w:rPr>
          <w:color w:val="000000" w:themeColor="text1"/>
        </w:rPr>
        <w:t xml:space="preserve"> is the </w:t>
      </w:r>
      <w:r>
        <w:t xml:space="preserve">cell center </w:t>
      </w:r>
      <w:r w:rsidRPr="00487150">
        <w:rPr>
          <w:color w:val="000000" w:themeColor="text1"/>
        </w:rPr>
        <w:t xml:space="preserve">temperature at a given </w:t>
      </w:r>
      <w:r>
        <w:t xml:space="preserve">grid point </w:t>
      </w:r>
      <w:r w:rsidRPr="00487150">
        <w:rPr>
          <w:color w:val="000000" w:themeColor="text1"/>
        </w:rPr>
        <w:t xml:space="preserve">interval </w:t>
      </w:r>
      <m:oMath>
        <m:r>
          <w:rPr>
            <w:rFonts w:ascii="Cambria Math" w:hAnsi="Cambria Math"/>
            <w:color w:val="000000" w:themeColor="text1"/>
          </w:rPr>
          <m:t>i</m:t>
        </m:r>
      </m:oMath>
      <w:r w:rsidRPr="00487150">
        <w:rPr>
          <w:color w:val="000000" w:themeColor="text1"/>
        </w:rPr>
        <w:t>.</w:t>
      </w:r>
      <w:r>
        <w:t xml:space="preserve"> </w:t>
      </w:r>
      <w:r w:rsidRPr="00487150">
        <w:rPr>
          <w:color w:val="000000" w:themeColor="text1"/>
        </w:rPr>
        <w:t xml:space="preserve">If </w:t>
      </w:r>
      <m:oMath>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oMath>
      <w:r w:rsidRPr="00487150">
        <w:rPr>
          <w:color w:val="000000" w:themeColor="text1"/>
        </w:rPr>
        <w:t xml:space="preserve"> was constant, a common finite difference discretization scheme for diffusion in a spherical geometry (Crank, 1975; Carslaw and Jaeger, 1986, Özisik, 1993; Morton and Mayer, 2005; Ford Versypt and Braatz, 2014) could be used:</w:t>
      </w:r>
    </w:p>
    <w:p w14:paraId="6DD1337E" w14:textId="77777777" w:rsidR="00565C27" w:rsidRDefault="00000000" w:rsidP="00565C27">
      <w:pPr>
        <w:spacing w:line="480" w:lineRule="auto"/>
        <w:jc w:val="right"/>
      </w:pPr>
      <m:oMath>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m:rPr>
                <m:sty m:val="p"/>
              </m:rPr>
              <w:rPr>
                <w:rFonts w:ascii="Cambria Math" w:hAnsi="Cambria Math"/>
                <w:color w:val="000000" w:themeColor="text1"/>
              </w:rPr>
              <m:t>2</m:t>
            </m:r>
            <m:r>
              <w:rPr>
                <w:rFonts w:ascii="Cambria Math" w:hAnsi="Cambria Math"/>
                <w:color w:val="000000" w:themeColor="text1"/>
              </w:rPr>
              <m:t>r</m:t>
            </m:r>
          </m:sub>
        </m:sSub>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r</m:t>
            </m:r>
          </m:sub>
        </m:sSub>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r</m:t>
                </m:r>
              </m:sub>
            </m:sSub>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m:rPr>
                <m:sty m:val="p"/>
              </m:rPr>
              <w:rPr>
                <w:rFonts w:ascii="Cambria Math" w:hAnsi="Cambria Math"/>
                <w:color w:val="000000" w:themeColor="text1"/>
              </w:rPr>
              <m:t>2</m:t>
            </m:r>
            <m:r>
              <w:rPr>
                <w:rFonts w:ascii="Cambria Math" w:hAnsi="Cambria Math"/>
                <w:color w:val="000000" w:themeColor="text1"/>
              </w:rPr>
              <m:t>r</m:t>
            </m:r>
          </m:sub>
        </m:sSub>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r</m:t>
            </m:r>
          </m:sub>
        </m:sSub>
        <m:d>
          <m:dPr>
            <m:ctrlPr>
              <w:rPr>
                <w:rFonts w:ascii="Cambria Math" w:hAnsi="Cambria Math"/>
                <w:color w:val="000000" w:themeColor="text1"/>
              </w:rPr>
            </m:ctrlPr>
          </m:dPr>
          <m:e>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e>
        </m:d>
      </m:oMath>
      <w:r w:rsidR="00565C27" w:rsidRPr="00487150">
        <w:rPr>
          <w:color w:val="000000" w:themeColor="text1"/>
        </w:rPr>
        <w:t>,</w:t>
      </w:r>
      <w:r w:rsidR="00565C27" w:rsidRPr="00487150">
        <w:rPr>
          <w:color w:val="000000" w:themeColor="text1"/>
        </w:rPr>
        <w:tab/>
      </w:r>
      <w:r w:rsidR="00565C27" w:rsidRPr="00487150">
        <w:rPr>
          <w:rFonts w:eastAsiaTheme="minorEastAsia"/>
          <w:color w:val="000000" w:themeColor="text1"/>
        </w:rPr>
        <w:tab/>
      </w:r>
      <w:r w:rsidR="00565C27" w:rsidRPr="00487150">
        <w:rPr>
          <w:rFonts w:eastAsiaTheme="minorEastAsia"/>
          <w:color w:val="000000" w:themeColor="text1"/>
        </w:rPr>
        <w:tab/>
      </w:r>
      <w:r w:rsidR="00565C27" w:rsidRPr="00487150">
        <w:rPr>
          <w:rFonts w:eastAsiaTheme="minorEastAsia"/>
          <w:color w:val="000000" w:themeColor="text1"/>
        </w:rPr>
        <w:tab/>
      </w:r>
      <w:r w:rsidR="00565C27" w:rsidRPr="00487150">
        <w:rPr>
          <w:color w:val="000000" w:themeColor="text1"/>
        </w:rPr>
        <w:t>(3.6)</w:t>
      </w:r>
    </w:p>
    <w:p w14:paraId="0DB14B9B" w14:textId="77777777" w:rsidR="00565C27" w:rsidRPr="00487150" w:rsidRDefault="00000000" w:rsidP="00565C27">
      <w:pPr>
        <w:spacing w:line="480" w:lineRule="auto"/>
        <w:jc w:val="right"/>
        <w:rPr>
          <w:color w:val="000000" w:themeColor="text1"/>
        </w:rPr>
      </w:pPr>
      <m:oMath>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m:rPr>
                <m:sty m:val="p"/>
              </m:rPr>
              <w:rPr>
                <w:rFonts w:ascii="Cambria Math" w:hAnsi="Cambria Math"/>
                <w:color w:val="000000" w:themeColor="text1"/>
              </w:rPr>
              <m:t>2</m:t>
            </m:r>
            <m:r>
              <w:rPr>
                <w:rFonts w:ascii="Cambria Math" w:hAnsi="Cambria Math"/>
                <w:color w:val="000000" w:themeColor="text1"/>
              </w:rPr>
              <m:t>r</m:t>
            </m:r>
          </m:sub>
        </m:sSub>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r</m:t>
            </m:r>
          </m:sub>
        </m:sSub>
        <m:d>
          <m:dPr>
            <m:ctrlPr>
              <w:rPr>
                <w:rFonts w:ascii="Cambria Math" w:hAnsi="Cambria Math"/>
                <w:color w:val="000000" w:themeColor="text1"/>
              </w:rPr>
            </m:ctrlPr>
          </m:dPr>
          <m:e>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rPr>
          <m:t>+</m:t>
        </m:r>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-2</m:t>
            </m:r>
            <m:r>
              <w:rPr>
                <w:rFonts w:ascii="Cambria Math" w:hAnsi="Cambria Math"/>
                <w:color w:val="000000" w:themeColor="text1"/>
              </w:rPr>
              <m:t>i</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e>
        </m:d>
      </m:oMath>
      <w:r w:rsidR="00565C27" w:rsidRPr="00487150">
        <w:rPr>
          <w:color w:val="000000" w:themeColor="text1"/>
        </w:rPr>
        <w:t>,</w:t>
      </w:r>
      <w:r w:rsidR="00565C27">
        <w:tab/>
      </w:r>
      <w:r w:rsidR="00565C27">
        <w:tab/>
      </w:r>
      <w:r w:rsidR="00565C27">
        <w:tab/>
      </w:r>
      <w:r w:rsidR="00565C27" w:rsidRPr="00487150">
        <w:rPr>
          <w:rFonts w:eastAsiaTheme="minorEastAsia"/>
          <w:color w:val="000000" w:themeColor="text1"/>
        </w:rPr>
        <w:tab/>
      </w:r>
      <w:r w:rsidR="00565C27" w:rsidRPr="00487150">
        <w:rPr>
          <w:color w:val="000000" w:themeColor="text1"/>
        </w:rPr>
        <w:t>(3.7)</w:t>
      </w:r>
    </w:p>
    <w:p w14:paraId="65AE4343" w14:textId="77777777" w:rsidR="00565C27" w:rsidRPr="00487150" w:rsidRDefault="00000000" w:rsidP="00565C27">
      <w:pPr>
        <w:spacing w:line="480" w:lineRule="auto"/>
        <w:jc w:val="right"/>
        <w:rPr>
          <w:color w:val="000000" w:themeColor="text1"/>
        </w:rPr>
      </w:pPr>
      <m:oMath>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r>
              <m:rPr>
                <m:sty m:val="p"/>
              </m:rPr>
              <w:rPr>
                <w:rFonts w:ascii="Cambria Math" w:hAnsi="Cambria Math"/>
              </w:rPr>
              <m:t>(t)</m:t>
            </m:r>
            <m:r>
              <m:rPr>
                <m:sty m:val="p"/>
              </m:rPr>
              <w:rPr>
                <w:rFonts w:ascii="Cambria Math" w:hAnsi="Cambria Math"/>
                <w:color w:val="000000" w:themeColor="text1"/>
              </w:rPr>
              <m:t>-2</m:t>
            </m:r>
            <m:r>
              <w:rPr>
                <w:rFonts w:ascii="Cambria Math" w:hAnsi="Cambria Math"/>
                <w:color w:val="000000" w:themeColor="text1"/>
              </w:rPr>
              <m:t>i</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d>
                  <m:dPr>
                    <m:ctrlPr>
                      <w:rPr>
                        <w:rFonts w:ascii="Cambria Math" w:hAnsi="Cambria Math"/>
                        <w:color w:val="000000" w:themeColor="text1"/>
                      </w:rPr>
                    </m:ctrlPr>
                  </m:dPr>
                  <m:e>
                    <m:r>
                      <w:rPr>
                        <w:rFonts w:ascii="Cambria Math" w:hAnsi="Cambria Math"/>
                        <w:color w:val="000000" w:themeColor="text1"/>
                      </w:rPr>
                      <m:t>i</m:t>
                    </m:r>
                    <m:r>
                      <m:rPr>
                        <m:sty m:val="p"/>
                      </m:rPr>
                      <w:rPr>
                        <w:rFonts w:ascii="Cambria Math" w:hAnsi="Cambria Math"/>
                        <w:color w:val="000000" w:themeColor="text1"/>
                      </w:rPr>
                      <m:t>+1</m:t>
                    </m:r>
                  </m:e>
                </m:d>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-2</m:t>
            </m:r>
            <m:r>
              <w:rPr>
                <w:rFonts w:ascii="Cambria Math" w:hAnsi="Cambria Math"/>
                <w:color w:val="000000" w:themeColor="text1"/>
              </w:rPr>
              <m:t>i</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d>
              <m:dPr>
                <m:ctrlPr>
                  <w:rPr>
                    <w:rFonts w:ascii="Cambria Math" w:hAnsi="Cambria Math"/>
                    <w:color w:val="000000" w:themeColor="text1"/>
                  </w:rPr>
                </m:ctrlPr>
              </m:dPr>
              <m:e>
                <m:r>
                  <w:rPr>
                    <w:rFonts w:ascii="Cambria Math" w:hAnsi="Cambria Math"/>
                    <w:color w:val="000000" w:themeColor="text1"/>
                  </w:rPr>
                  <m:t>i</m:t>
                </m:r>
                <m:r>
                  <m:rPr>
                    <m:sty m:val="p"/>
                  </m:rPr>
                  <w:rPr>
                    <w:rFonts w:ascii="Cambria Math" w:hAnsi="Cambria Math"/>
                    <w:color w:val="000000" w:themeColor="text1"/>
                  </w:rPr>
                  <m:t>-1</m:t>
                </m:r>
              </m:e>
            </m:d>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e>
        </m:d>
      </m:oMath>
      <w:r w:rsidR="00565C27" w:rsidRPr="00487150">
        <w:rPr>
          <w:rFonts w:eastAsiaTheme="minorEastAsia"/>
          <w:color w:val="000000" w:themeColor="text1"/>
        </w:rPr>
        <w:t>,</w:t>
      </w:r>
      <w:r w:rsidR="00565C27">
        <w:rPr>
          <w:rFonts w:eastAsiaTheme="minorEastAsia"/>
        </w:rPr>
        <w:tab/>
      </w:r>
      <w:r w:rsidR="00565C27">
        <w:rPr>
          <w:rFonts w:eastAsiaTheme="minorEastAsia"/>
        </w:rPr>
        <w:tab/>
      </w:r>
      <w:r w:rsidR="00565C27">
        <w:rPr>
          <w:rFonts w:eastAsiaTheme="minorEastAsia"/>
        </w:rPr>
        <w:tab/>
      </w:r>
      <w:r w:rsidR="00565C27">
        <w:rPr>
          <w:rFonts w:eastAsiaTheme="minorEastAsia"/>
        </w:rPr>
        <w:tab/>
      </w:r>
      <w:r w:rsidR="00565C27">
        <w:rPr>
          <w:rFonts w:eastAsiaTheme="minorEastAsia"/>
        </w:rPr>
        <w:tab/>
      </w:r>
      <w:r w:rsidR="00565C27" w:rsidRPr="00487150">
        <w:rPr>
          <w:color w:val="000000" w:themeColor="text1"/>
        </w:rPr>
        <w:t>(3.8)</w:t>
      </w:r>
    </w:p>
    <w:p w14:paraId="695745E4" w14:textId="77777777" w:rsidR="00565C27" w:rsidRPr="00487150" w:rsidRDefault="00565C27" w:rsidP="00565C27">
      <w:pPr>
        <w:spacing w:line="480" w:lineRule="auto"/>
        <w:rPr>
          <w:color w:val="000000" w:themeColor="text1"/>
        </w:rPr>
      </w:pPr>
      <w:r w:rsidRPr="00487150">
        <w:rPr>
          <w:color w:val="000000" w:themeColor="text1"/>
        </w:rPr>
        <w:t>Thus,</w:t>
      </w:r>
    </w:p>
    <w:p w14:paraId="542132E3" w14:textId="77777777" w:rsidR="00565C27" w:rsidRPr="00487150" w:rsidRDefault="00000000" w:rsidP="00565C27">
      <w:pPr>
        <w:spacing w:line="480" w:lineRule="auto"/>
        <w:jc w:val="right"/>
        <w:rPr>
          <w:color w:val="000000" w:themeColor="text1"/>
        </w:rPr>
      </w:pPr>
      <m:oMath>
        <m:f>
          <m:fPr>
            <m:ctrlPr>
              <w:rPr>
                <w:rFonts w:ascii="Cambria Math" w:hAnsi="Cambria Math"/>
                <w:i/>
                <w:color w:val="000000" w:themeColor="text1"/>
              </w:rPr>
            </m:ctrlPr>
          </m:fPr>
          <m:num>
            <m:r>
              <w:rPr>
                <w:rFonts w:ascii="Cambria Math" w:hAnsi="Cambria Math"/>
                <w:color w:val="000000" w:themeColor="text1"/>
              </w:rPr>
              <m:t>∂</m:t>
            </m:r>
            <m:sSub>
              <m:sSubPr>
                <m:ctrlPr>
                  <w:rPr>
                    <w:rFonts w:ascii="Cambria Math" w:eastAsiaTheme="minorHAnsi" w:hAnsi="Cambria Math"/>
                    <w:i/>
                    <w:color w:val="000000" w:themeColor="text1"/>
                  </w:rPr>
                </m:ctrlPr>
              </m:sSubPr>
              <m:e>
                <m:r>
                  <w:rPr>
                    <w:rFonts w:ascii="Cambria Math" w:hAnsi="Cambria Math"/>
                    <w:color w:val="000000" w:themeColor="text1"/>
                  </w:rPr>
                  <m:t>T</m:t>
                </m:r>
              </m:e>
              <m:sub>
                <m:r>
                  <w:rPr>
                    <w:rFonts w:ascii="Cambria Math" w:hAnsi="Cambria Math"/>
                  </w:rPr>
                  <m:t>i</m:t>
                </m:r>
              </m:sub>
            </m:sSub>
            <m:d>
              <m:dPr>
                <m:ctrlPr>
                  <w:rPr>
                    <w:rFonts w:ascii="Cambria Math" w:hAnsi="Cambria Math"/>
                    <w:color w:val="000000" w:themeColor="text1"/>
                  </w:rPr>
                </m:ctrlPr>
              </m:dPr>
              <m:e>
                <m:r>
                  <w:rPr>
                    <w:rFonts w:ascii="Cambria Math" w:hAnsi="Cambria Math"/>
                    <w:color w:val="000000" w:themeColor="text1"/>
                  </w:rPr>
                  <m:t>t</m:t>
                </m:r>
              </m:e>
            </m:d>
          </m:num>
          <m:den>
            <m:r>
              <w:rPr>
                <w:rFonts w:ascii="Cambria Math" w:hAnsi="Cambria Math"/>
                <w:color w:val="000000" w:themeColor="text1"/>
              </w:rPr>
              <m:t>∂t</m:t>
            </m:r>
          </m:den>
        </m:f>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num>
          <m:den>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d>
                  <m:dPr>
                    <m:ctrlPr>
                      <w:rPr>
                        <w:rFonts w:ascii="Cambria Math" w:hAnsi="Cambria Math"/>
                        <w:color w:val="000000" w:themeColor="text1"/>
                      </w:rPr>
                    </m:ctrlPr>
                  </m:dPr>
                  <m:e>
                    <m:r>
                      <w:rPr>
                        <w:rFonts w:ascii="Cambria Math" w:hAnsi="Cambria Math"/>
                        <w:color w:val="000000" w:themeColor="text1"/>
                      </w:rPr>
                      <m:t>i</m:t>
                    </m:r>
                    <m:r>
                      <m:rPr>
                        <m:sty m:val="p"/>
                      </m:rPr>
                      <w:rPr>
                        <w:rFonts w:ascii="Cambria Math" w:hAnsi="Cambria Math"/>
                        <w:color w:val="000000" w:themeColor="text1"/>
                      </w:rPr>
                      <m:t>+1</m:t>
                    </m:r>
                  </m:e>
                </m:d>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-2</m:t>
            </m:r>
            <m:r>
              <w:rPr>
                <w:rFonts w:ascii="Cambria Math" w:hAnsi="Cambria Math"/>
                <w:color w:val="000000" w:themeColor="text1"/>
              </w:rPr>
              <m:t>i</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d>
              <m:dPr>
                <m:ctrlPr>
                  <w:rPr>
                    <w:rFonts w:ascii="Cambria Math" w:hAnsi="Cambria Math"/>
                    <w:color w:val="000000" w:themeColor="text1"/>
                  </w:rPr>
                </m:ctrlPr>
              </m:dPr>
              <m:e>
                <m:r>
                  <w:rPr>
                    <w:rFonts w:ascii="Cambria Math" w:hAnsi="Cambria Math"/>
                    <w:color w:val="000000" w:themeColor="text1"/>
                  </w:rPr>
                  <m:t>i</m:t>
                </m:r>
                <m:r>
                  <m:rPr>
                    <m:sty m:val="p"/>
                  </m:rPr>
                  <w:rPr>
                    <w:rFonts w:ascii="Cambria Math" w:hAnsi="Cambria Math"/>
                    <w:color w:val="000000" w:themeColor="text1"/>
                  </w:rPr>
                  <m:t>-1</m:t>
                </m:r>
              </m:e>
            </m:d>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color w:val="000000" w:themeColor="text1"/>
          </w:rPr>
          <m:t xml:space="preserve">,  if </m:t>
        </m:r>
        <m:r>
          <w:rPr>
            <w:rFonts w:ascii="Cambria Math" w:hAnsi="Cambria Math"/>
            <w:color w:val="000000" w:themeColor="text1"/>
          </w:rPr>
          <m:t>i</m:t>
        </m:r>
        <m:r>
          <m:rPr>
            <m:sty m:val="p"/>
          </m:rPr>
          <w:rPr>
            <w:rFonts w:ascii="Cambria Math" w:hAnsi="Cambria Math"/>
            <w:color w:val="000000" w:themeColor="text1"/>
          </w:rPr>
          <m:t>=1,2,…</m:t>
        </m:r>
        <m:r>
          <w:rPr>
            <w:rFonts w:ascii="Cambria Math" w:hAnsi="Cambria Math"/>
            <w:color w:val="000000" w:themeColor="text1"/>
          </w:rPr>
          <m:t>N</m:t>
        </m:r>
        <m:r>
          <m:rPr>
            <m:sty m:val="p"/>
          </m:rPr>
          <w:rPr>
            <w:rFonts w:ascii="Cambria Math" w:hAnsi="Cambria Math"/>
            <w:color w:val="000000" w:themeColor="text1"/>
          </w:rPr>
          <m:t>-1</m:t>
        </m:r>
        <m:r>
          <w:rPr>
            <w:rFonts w:ascii="Cambria Math" w:eastAsiaTheme="minorEastAsia" w:hAnsi="Cambria Math"/>
          </w:rPr>
          <m:t xml:space="preserve"> </m:t>
        </m:r>
        <m:r>
          <m:rPr>
            <m:nor/>
          </m:rPr>
          <w:rPr>
            <w:rFonts w:ascii="Cambria Math" w:eastAsiaTheme="minorEastAsia" w:hAnsi="Cambria Math"/>
          </w:rPr>
          <m:t>and</m:t>
        </m:r>
        <m:r>
          <w:rPr>
            <w:rFonts w:ascii="Cambria Math" w:eastAsiaTheme="minorEastAsia" w:hAnsi="Cambria Math"/>
          </w:rPr>
          <m:t xml:space="preserve"> t&gt;0</m:t>
        </m:r>
      </m:oMath>
      <w:r w:rsidR="00565C27" w:rsidRPr="00487150">
        <w:rPr>
          <w:color w:val="000000" w:themeColor="text1"/>
        </w:rPr>
        <w:t xml:space="preserve">  (3.9)</w:t>
      </w:r>
    </w:p>
    <w:p w14:paraId="18AA205C" w14:textId="77777777" w:rsidR="00565C27" w:rsidRPr="00487150" w:rsidRDefault="00565C27" w:rsidP="00565C27">
      <w:pPr>
        <w:spacing w:line="480" w:lineRule="auto"/>
        <w:rPr>
          <w:color w:val="000000" w:themeColor="text1"/>
        </w:rPr>
      </w:pPr>
      <w:r w:rsidRPr="00487150">
        <w:rPr>
          <w:color w:val="000000" w:themeColor="text1"/>
        </w:rPr>
        <w:t xml:space="preserve">However, this study assumes that the </w:t>
      </w:r>
      <m:oMath>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oMath>
      <w:r w:rsidRPr="00487150">
        <w:rPr>
          <w:color w:val="000000" w:themeColor="text1"/>
        </w:rPr>
        <w:t xml:space="preserve"> is not constant, it must be assumed that the </w:t>
      </w:r>
      <w:r>
        <w:rPr>
          <w:color w:val="000000" w:themeColor="text1"/>
        </w:rPr>
        <w:t>cell center</w:t>
      </w:r>
      <w:r w:rsidRPr="00487150">
        <w:rPr>
          <w:color w:val="000000" w:themeColor="text1"/>
        </w:rPr>
        <w:t xml:space="preserve"> diffusivity changes for </w:t>
      </w:r>
      <w:r>
        <w:rPr>
          <w:color w:val="000000" w:themeColor="text1"/>
        </w:rPr>
        <w:t>grid point</w:t>
      </w:r>
      <w:r w:rsidRPr="00487150">
        <w:rPr>
          <w:color w:val="000000" w:themeColor="text1"/>
        </w:rPr>
        <w:t xml:space="preserve"> </w:t>
      </w:r>
      <m:oMath>
        <m:r>
          <w:rPr>
            <w:rFonts w:ascii="Cambria Math" w:hAnsi="Cambria Math"/>
            <w:color w:val="000000" w:themeColor="text1"/>
          </w:rPr>
          <m:t>i</m:t>
        </m:r>
      </m:oMath>
      <w:r w:rsidRPr="00487150">
        <w:rPr>
          <w:color w:val="000000" w:themeColor="text1"/>
        </w:rPr>
        <w:t>:</w:t>
      </w:r>
    </w:p>
    <w:p w14:paraId="51A8207E" w14:textId="77777777" w:rsidR="00565C27" w:rsidRPr="00487150" w:rsidRDefault="00000000" w:rsidP="00565C27">
      <w:pPr>
        <w:spacing w:line="480" w:lineRule="auto"/>
        <w:jc w:val="right"/>
        <w:rPr>
          <w:color w:val="000000" w:themeColor="text1"/>
        </w:rPr>
      </w:pPr>
      <m:oMath>
        <m:f>
          <m:fPr>
            <m:ctrlPr>
              <w:rPr>
                <w:rFonts w:ascii="Cambria Math" w:hAnsi="Cambria Math"/>
                <w:color w:val="000000" w:themeColor="text1"/>
              </w:rPr>
            </m:ctrlPr>
          </m:fPr>
          <m:num>
            <m:r>
              <m:rPr>
                <m:sty m:val="p"/>
              </m:rPr>
              <w:rPr>
                <w:rFonts w:ascii="Cambria Math" w:hAnsi="Cambria Math"/>
                <w:color w:val="000000" w:themeColor="text1"/>
              </w:rPr>
              <m: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num>
          <m:den>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m:rPr>
                <m:sty m:val="p"/>
              </m:rPr>
              <w:rPr>
                <w:rFonts w:ascii="Cambria Math" w:hAnsi="Cambria Math"/>
                <w:color w:val="000000" w:themeColor="text1"/>
              </w:rPr>
              <m:t>2</m:t>
            </m:r>
            <m:r>
              <w:rPr>
                <w:rFonts w:ascii="Cambria Math" w:hAnsi="Cambria Math"/>
                <w:color w:val="000000" w:themeColor="text1"/>
              </w:rPr>
              <m:t>r</m:t>
            </m:r>
          </m:sub>
        </m:sSub>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m:t>
            </m:r>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r</m:t>
            </m:r>
          </m:sub>
        </m:sSub>
        <m:d>
          <m:dPr>
            <m:ctrlPr>
              <w:rPr>
                <w:rFonts w:ascii="Cambria Math" w:hAnsi="Cambria Math"/>
                <w:color w:val="000000" w:themeColor="text1"/>
              </w:rPr>
            </m:ctrlPr>
          </m:dPr>
          <m:e>
            <m:sSub>
              <m:sSubPr>
                <m:ctrlPr>
                  <w:rPr>
                    <w:rFonts w:ascii="Cambria Math" w:hAnsi="Cambria Math"/>
                    <w:color w:val="000000" w:themeColor="text1"/>
                  </w:rPr>
                </m:ctrlPr>
              </m:sSubPr>
              <m:e>
                <m:r>
                  <m:rPr>
                    <m:sty m:val="p"/>
                  </m:rPr>
                  <w:rPr>
                    <w:rFonts w:ascii="Cambria Math" w:hAnsi="Cambria Math"/>
                    <w:color w:val="000000" w:themeColor="text1"/>
                  </w:rPr>
                  <m: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r>
                  <w:rPr>
                    <w:rFonts w:ascii="Cambria Math" w:hAnsi="Cambria Math"/>
                    <w:color w:val="000000" w:themeColor="text1"/>
                  </w:rPr>
                  <m:t>δ</m:t>
                </m:r>
              </m:e>
              <m:sub>
                <m:r>
                  <w:rPr>
                    <w:rFonts w:ascii="Cambria Math" w:hAnsi="Cambria Math"/>
                    <w:color w:val="000000" w:themeColor="text1"/>
                  </w:rPr>
                  <m:t>r</m:t>
                </m:r>
              </m:sub>
            </m:sSub>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num>
          <m:den>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m:rPr>
                <m:sty m:val="p"/>
              </m:rPr>
              <w:rPr>
                <w:rFonts w:ascii="Cambria Math" w:hAnsi="Cambria Math"/>
                <w:color w:val="000000" w:themeColor="text1"/>
              </w:rPr>
              <m:t>2</m:t>
            </m:r>
            <m:r>
              <w:rPr>
                <w:rFonts w:ascii="Cambria Math" w:hAnsi="Cambria Math"/>
                <w:color w:val="000000" w:themeColor="text1"/>
              </w:rPr>
              <m:t>r</m:t>
            </m:r>
          </m:sub>
        </m:sSub>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m:t>
            </m:r>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r</m:t>
            </m:r>
          </m:sub>
        </m:sSub>
        <m:d>
          <m:dPr>
            <m:ctrlPr>
              <w:rPr>
                <w:rFonts w:ascii="Cambria Math" w:hAnsi="Cambria Math"/>
                <w:color w:val="000000" w:themeColor="text1"/>
              </w:rPr>
            </m:ctrlPr>
          </m:dPr>
          <m:e>
            <m:r>
              <m:rPr>
                <m:sty m:val="p"/>
              </m:rPr>
              <w:rPr>
                <w:rFonts w:ascii="Cambria Math" w:hAnsi="Cambria Math"/>
                <w:color w:val="000000" w:themeColor="text1"/>
              </w:rPr>
              <m: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e>
        </m:d>
      </m:oMath>
      <w:r w:rsidR="00565C27" w:rsidRPr="00487150">
        <w:rPr>
          <w:color w:val="000000" w:themeColor="text1"/>
        </w:rPr>
        <w:t>,</w:t>
      </w:r>
      <w:r w:rsidR="00565C27" w:rsidRPr="00487150">
        <w:rPr>
          <w:rFonts w:eastAsiaTheme="minorEastAsia"/>
          <w:color w:val="000000" w:themeColor="text1"/>
        </w:rPr>
        <w:tab/>
      </w:r>
      <w:r w:rsidR="00565C27">
        <w:rPr>
          <w:rFonts w:eastAsiaTheme="minorEastAsia"/>
        </w:rPr>
        <w:tab/>
      </w:r>
      <w:r w:rsidR="00565C27">
        <w:rPr>
          <w:rFonts w:eastAsiaTheme="minorEastAsia"/>
        </w:rPr>
        <w:tab/>
      </w:r>
      <w:r w:rsidR="00565C27" w:rsidRPr="00487150">
        <w:rPr>
          <w:rFonts w:eastAsiaTheme="minorEastAsia"/>
          <w:color w:val="000000" w:themeColor="text1"/>
        </w:rPr>
        <w:tab/>
      </w:r>
      <w:r w:rsidR="00565C27" w:rsidRPr="00487150">
        <w:rPr>
          <w:color w:val="000000" w:themeColor="text1"/>
        </w:rPr>
        <w:t>(3.10)</w:t>
      </w:r>
    </w:p>
    <w:p w14:paraId="39F36F05" w14:textId="77777777" w:rsidR="00565C27" w:rsidRPr="00487150" w:rsidRDefault="00000000" w:rsidP="00565C27">
      <w:pPr>
        <w:spacing w:line="480" w:lineRule="auto"/>
        <w:jc w:val="right"/>
        <w:rPr>
          <w:color w:val="000000" w:themeColor="text1"/>
        </w:rPr>
      </w:pPr>
      <m:oMath>
        <m:f>
          <m:fPr>
            <m:ctrlPr>
              <w:rPr>
                <w:rFonts w:ascii="Cambria Math" w:hAnsi="Cambria Math"/>
                <w:color w:val="000000" w:themeColor="text1"/>
              </w:rPr>
            </m:ctrlPr>
          </m:fPr>
          <m:num>
            <m:r>
              <m:rPr>
                <m:sty m:val="p"/>
              </m:rPr>
              <w:rPr>
                <w:rFonts w:ascii="Cambria Math" w:hAnsi="Cambria Math"/>
                <w:color w:val="000000" w:themeColor="text1"/>
              </w:rPr>
              <m: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num>
          <m:den>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m:rPr>
                <m:sty m:val="p"/>
              </m:rPr>
              <w:rPr>
                <w:rFonts w:ascii="Cambria Math" w:hAnsi="Cambria Math"/>
                <w:color w:val="000000" w:themeColor="text1"/>
              </w:rPr>
              <m:t>2</m:t>
            </m:r>
            <m:r>
              <w:rPr>
                <w:rFonts w:ascii="Cambria Math" w:hAnsi="Cambria Math"/>
                <w:color w:val="000000" w:themeColor="text1"/>
              </w:rPr>
              <m:t>r</m:t>
            </m:r>
          </m:sub>
        </m:sSub>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m:t>
            </m:r>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r</m:t>
            </m:r>
          </m:sub>
        </m:sSub>
        <m:d>
          <m:dPr>
            <m:ctrlPr>
              <w:rPr>
                <w:rFonts w:ascii="Cambria Math" w:hAnsi="Cambria Math"/>
                <w:color w:val="000000" w:themeColor="text1"/>
              </w:rPr>
            </m:ctrlPr>
          </m:dPr>
          <m:e>
            <m:r>
              <m:rPr>
                <m:sty m:val="p"/>
              </m:rPr>
              <w:rPr>
                <w:rFonts w:ascii="Cambria Math" w:hAnsi="Cambria Math"/>
                <w:color w:val="000000" w:themeColor="text1"/>
              </w:rPr>
              <m: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sub>
            </m:sSub>
          </m:num>
          <m:den>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m:t>
                    </m:r>
                  </m:num>
                  <m:den>
                    <m:r>
                      <m:rPr>
                        <m:sty m:val="p"/>
                      </m:rPr>
                      <w:rPr>
                        <w:rFonts w:ascii="Cambria Math" w:hAnsi="Cambria Math"/>
                        <w:color w:val="000000" w:themeColor="text1"/>
                      </w:rPr>
                      <m:t>2</m:t>
                    </m:r>
                  </m:den>
                </m:f>
              </m:sub>
            </m:sSub>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m:t>
                    </m:r>
                  </m:num>
                  <m:den>
                    <m:r>
                      <m:rPr>
                        <m:sty m:val="p"/>
                      </m:rPr>
                      <w:rPr>
                        <w:rFonts w:ascii="Cambria Math" w:hAnsi="Cambria Math"/>
                        <w:color w:val="000000" w:themeColor="text1"/>
                      </w:rPr>
                      <m:t>2</m:t>
                    </m:r>
                  </m:den>
                </m:f>
              </m:sub>
            </m:sSub>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e>
        </m:d>
      </m:oMath>
      <w:r w:rsidR="00565C27" w:rsidRPr="00487150">
        <w:rPr>
          <w:color w:val="000000" w:themeColor="text1"/>
        </w:rPr>
        <w:t>,</w:t>
      </w:r>
      <w:r w:rsidR="00565C27" w:rsidRPr="00487150">
        <w:rPr>
          <w:color w:val="000000" w:themeColor="text1"/>
        </w:rPr>
        <w:tab/>
      </w:r>
      <w:r w:rsidR="00565C27" w:rsidRPr="00487150">
        <w:rPr>
          <w:color w:val="000000" w:themeColor="text1"/>
        </w:rPr>
        <w:tab/>
      </w:r>
      <w:r w:rsidR="00565C27" w:rsidRPr="00487150">
        <w:rPr>
          <w:color w:val="000000" w:themeColor="text1"/>
        </w:rPr>
        <w:tab/>
        <w:t>(3.11)</w:t>
      </w:r>
    </w:p>
    <w:p w14:paraId="4AF6E636" w14:textId="77777777" w:rsidR="00565C27" w:rsidRPr="00487150" w:rsidRDefault="00565C27" w:rsidP="00565C27">
      <w:pPr>
        <w:spacing w:line="480" w:lineRule="auto"/>
        <w:rPr>
          <w:color w:val="000000" w:themeColor="text1"/>
        </w:rPr>
      </w:pPr>
      <w:r w:rsidRPr="00487150">
        <w:rPr>
          <w:color w:val="000000" w:themeColor="text1"/>
        </w:rPr>
        <w:lastRenderedPageBreak/>
        <w:t xml:space="preserve">where </w:t>
      </w:r>
      <m:oMath>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sub>
        </m:sSub>
      </m:oMath>
      <w:r w:rsidRPr="00487150">
        <w:rPr>
          <w:color w:val="000000" w:themeColor="text1"/>
        </w:rPr>
        <w:t xml:space="preserve">, </w:t>
      </w:r>
      <m:oMath>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m:t>
                </m:r>
              </m:num>
              <m:den>
                <m:r>
                  <m:rPr>
                    <m:sty m:val="p"/>
                  </m:rPr>
                  <w:rPr>
                    <w:rFonts w:ascii="Cambria Math" w:hAnsi="Cambria Math"/>
                    <w:color w:val="000000" w:themeColor="text1"/>
                  </w:rPr>
                  <m:t>2</m:t>
                </m:r>
              </m:den>
            </m:f>
          </m:sub>
        </m:sSub>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sub>
            </m:sSub>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r>
                  <m:rPr>
                    <m:sty m:val="p"/>
                  </m:rPr>
                  <w:rPr>
                    <w:rFonts w:ascii="Cambria Math" w:hAnsi="Cambria Math"/>
                    <w:color w:val="000000" w:themeColor="text1"/>
                  </w:rPr>
                  <m:t>+1</m:t>
                </m:r>
              </m:sub>
            </m:sSub>
          </m:num>
          <m:den>
            <m:r>
              <m:rPr>
                <m:sty m:val="p"/>
              </m:rPr>
              <w:rPr>
                <w:rFonts w:ascii="Cambria Math" w:hAnsi="Cambria Math"/>
                <w:color w:val="000000" w:themeColor="text1"/>
              </w:rPr>
              <m:t>2</m:t>
            </m:r>
          </m:den>
        </m:f>
      </m:oMath>
      <w:r w:rsidRPr="00487150">
        <w:rPr>
          <w:color w:val="000000" w:themeColor="text1"/>
        </w:rPr>
        <w:t xml:space="preserve">, and </w:t>
      </w:r>
      <m:oMath>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m:t>
                </m:r>
              </m:num>
              <m:den>
                <m:r>
                  <m:rPr>
                    <m:sty m:val="p"/>
                  </m:rPr>
                  <w:rPr>
                    <w:rFonts w:ascii="Cambria Math" w:hAnsi="Cambria Math"/>
                    <w:color w:val="000000" w:themeColor="text1"/>
                  </w:rPr>
                  <m:t>2</m:t>
                </m:r>
              </m:den>
            </m:f>
          </m:sub>
        </m:sSub>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sub>
            </m:sSub>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r>
                  <m:rPr>
                    <m:sty m:val="p"/>
                  </m:rPr>
                  <w:rPr>
                    <w:rFonts w:ascii="Cambria Math" w:hAnsi="Cambria Math"/>
                    <w:color w:val="000000" w:themeColor="text1"/>
                  </w:rPr>
                  <m:t>-1</m:t>
                </m:r>
              </m:sub>
            </m:sSub>
          </m:num>
          <m:den>
            <m:r>
              <m:rPr>
                <m:sty m:val="p"/>
              </m:rPr>
              <w:rPr>
                <w:rFonts w:ascii="Cambria Math" w:hAnsi="Cambria Math"/>
                <w:color w:val="000000" w:themeColor="text1"/>
              </w:rPr>
              <m:t>2</m:t>
            </m:r>
          </m:den>
        </m:f>
      </m:oMath>
      <w:r w:rsidRPr="00487150">
        <w:rPr>
          <w:color w:val="000000" w:themeColor="text1"/>
        </w:rPr>
        <w:t>. This means that the temperature derivative:</w:t>
      </w:r>
    </w:p>
    <w:p w14:paraId="7CEA85D2" w14:textId="77777777" w:rsidR="00565C27" w:rsidRPr="00487150" w:rsidRDefault="00000000" w:rsidP="00565C27">
      <w:pPr>
        <w:spacing w:line="480" w:lineRule="auto"/>
        <w:jc w:val="right"/>
        <w:rPr>
          <w:color w:val="000000" w:themeColor="text1"/>
        </w:rPr>
      </w:pPr>
      <m:oMath>
        <m:f>
          <m:fPr>
            <m:ctrlPr>
              <w:rPr>
                <w:rFonts w:ascii="Cambria Math" w:hAnsi="Cambria Math"/>
                <w:i/>
                <w:color w:val="000000" w:themeColor="text1"/>
              </w:rPr>
            </m:ctrlPr>
          </m:fPr>
          <m:num>
            <m:r>
              <w:rPr>
                <w:rFonts w:ascii="Cambria Math" w:hAnsi="Cambria Math"/>
                <w:color w:val="000000" w:themeColor="text1"/>
              </w:rPr>
              <m:t>∂</m:t>
            </m:r>
            <m:sSub>
              <m:sSubPr>
                <m:ctrlPr>
                  <w:rPr>
                    <w:rFonts w:ascii="Cambria Math" w:eastAsiaTheme="minorHAnsi" w:hAnsi="Cambria Math"/>
                    <w:i/>
                    <w:color w:val="000000" w:themeColor="text1"/>
                  </w:rPr>
                </m:ctrlPr>
              </m:sSubPr>
              <m:e>
                <m:r>
                  <w:rPr>
                    <w:rFonts w:ascii="Cambria Math" w:hAnsi="Cambria Math"/>
                    <w:color w:val="000000" w:themeColor="text1"/>
                  </w:rPr>
                  <m:t>T</m:t>
                </m:r>
              </m:e>
              <m:sub>
                <m:r>
                  <w:rPr>
                    <w:rFonts w:ascii="Cambria Math" w:hAnsi="Cambria Math"/>
                  </w:rPr>
                  <m:t>i</m:t>
                </m:r>
              </m:sub>
            </m:sSub>
            <m:d>
              <m:dPr>
                <m:ctrlPr>
                  <w:rPr>
                    <w:rFonts w:ascii="Cambria Math" w:hAnsi="Cambria Math"/>
                    <w:color w:val="000000" w:themeColor="text1"/>
                  </w:rPr>
                </m:ctrlPr>
              </m:dPr>
              <m:e>
                <m:r>
                  <w:rPr>
                    <w:rFonts w:ascii="Cambria Math" w:hAnsi="Cambria Math"/>
                    <w:color w:val="000000" w:themeColor="text1"/>
                  </w:rPr>
                  <m:t>t</m:t>
                </m:r>
              </m:e>
            </m:d>
          </m:num>
          <m:den>
            <m:r>
              <w:rPr>
                <w:rFonts w:ascii="Cambria Math" w:hAnsi="Cambria Math"/>
                <w:color w:val="000000" w:themeColor="text1"/>
              </w:rPr>
              <m:t>∂t</m:t>
            </m:r>
          </m:den>
        </m:f>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sub>
            </m:sSub>
          </m:num>
          <m:den>
            <m:r>
              <m:rPr>
                <m:sty m:val="p"/>
              </m:rPr>
              <w:rPr>
                <w:rFonts w:ascii="Cambria Math" w:hAnsi="Cambria Math"/>
                <w:color w:val="000000" w:themeColor="text1"/>
              </w:rPr>
              <m:t>2</m:t>
            </m:r>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d>
                  <m:dPr>
                    <m:ctrlPr>
                      <w:rPr>
                        <w:rFonts w:ascii="Cambria Math" w:hAnsi="Cambria Math"/>
                        <w:color w:val="000000" w:themeColor="text1"/>
                      </w:rPr>
                    </m:ctrlPr>
                  </m:dPr>
                  <m:e>
                    <m:r>
                      <w:rPr>
                        <w:rFonts w:ascii="Cambria Math" w:hAnsi="Cambria Math"/>
                        <w:color w:val="000000" w:themeColor="text1"/>
                      </w:rPr>
                      <m:t>i</m:t>
                    </m:r>
                    <m:r>
                      <m:rPr>
                        <m:sty m:val="p"/>
                      </m:rPr>
                      <w:rPr>
                        <w:rFonts w:ascii="Cambria Math" w:hAnsi="Cambria Math"/>
                        <w:color w:val="000000" w:themeColor="text1"/>
                      </w:rPr>
                      <m:t>+2</m:t>
                    </m:r>
                  </m:e>
                </m:d>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-2</m:t>
            </m:r>
            <m:r>
              <w:rPr>
                <w:rFonts w:ascii="Cambria Math" w:hAnsi="Cambria Math"/>
                <w:color w:val="000000" w:themeColor="text1"/>
              </w:rPr>
              <m:t>i</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d>
              <m:dPr>
                <m:ctrlPr>
                  <w:rPr>
                    <w:rFonts w:ascii="Cambria Math" w:hAnsi="Cambria Math"/>
                    <w:color w:val="000000" w:themeColor="text1"/>
                  </w:rPr>
                </m:ctrlPr>
              </m:dPr>
              <m:e>
                <m:r>
                  <w:rPr>
                    <w:rFonts w:ascii="Cambria Math" w:hAnsi="Cambria Math"/>
                    <w:color w:val="000000" w:themeColor="text1"/>
                  </w:rPr>
                  <m:t>i</m:t>
                </m:r>
                <m:r>
                  <m:rPr>
                    <m:sty m:val="p"/>
                  </m:rPr>
                  <w:rPr>
                    <w:rFonts w:ascii="Cambria Math" w:hAnsi="Cambria Math"/>
                    <w:color w:val="000000" w:themeColor="text1"/>
                  </w:rPr>
                  <m:t>-2</m:t>
                </m:r>
              </m:e>
            </m:d>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r>
                  <m:rPr>
                    <m:sty m:val="p"/>
                  </m:rPr>
                  <w:rPr>
                    <w:rFonts w:ascii="Cambria Math" w:hAnsi="Cambria Math"/>
                    <w:color w:val="000000" w:themeColor="text1"/>
                  </w:rPr>
                  <m:t>+1</m:t>
                </m:r>
              </m:sub>
            </m:sSub>
          </m:num>
          <m:den>
            <m:r>
              <m:rPr>
                <m:sty m:val="p"/>
              </m:rPr>
              <w:rPr>
                <w:rFonts w:ascii="Cambria Math" w:hAnsi="Cambria Math"/>
                <w:color w:val="000000" w:themeColor="text1"/>
              </w:rPr>
              <m:t>2∆</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r>
                  <m:rPr>
                    <m:sty m:val="p"/>
                  </m:rPr>
                  <w:rPr>
                    <w:rFonts w:ascii="Cambria Math" w:hAnsi="Cambria Math"/>
                    <w:color w:val="000000" w:themeColor="text1"/>
                  </w:rPr>
                  <m:t>-1</m:t>
                </m:r>
              </m:sub>
            </m:sSub>
          </m:num>
          <m:den>
            <m:r>
              <m:rPr>
                <m:sty m:val="p"/>
              </m:rPr>
              <w:rPr>
                <w:rFonts w:ascii="Cambria Math" w:hAnsi="Cambria Math"/>
                <w:color w:val="000000" w:themeColor="text1"/>
              </w:rPr>
              <m:t>2∆</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color w:val="000000" w:themeColor="text1"/>
          </w:rPr>
          <m:t xml:space="preserve"> ,    if </m:t>
        </m:r>
        <m:r>
          <w:rPr>
            <w:rFonts w:ascii="Cambria Math" w:hAnsi="Cambria Math"/>
            <w:color w:val="000000" w:themeColor="text1"/>
          </w:rPr>
          <m:t>i</m:t>
        </m:r>
        <m:r>
          <m:rPr>
            <m:sty m:val="p"/>
          </m:rPr>
          <w:rPr>
            <w:rFonts w:ascii="Cambria Math" w:hAnsi="Cambria Math"/>
            <w:color w:val="000000" w:themeColor="text1"/>
          </w:rPr>
          <m:t>=1,2,…</m:t>
        </m:r>
        <m:r>
          <w:rPr>
            <w:rFonts w:ascii="Cambria Math" w:hAnsi="Cambria Math"/>
            <w:color w:val="000000" w:themeColor="text1"/>
          </w:rPr>
          <m:t>N</m:t>
        </m:r>
        <m:r>
          <m:rPr>
            <m:sty m:val="p"/>
          </m:rPr>
          <w:rPr>
            <w:rFonts w:ascii="Cambria Math" w:hAnsi="Cambria Math"/>
            <w:color w:val="000000" w:themeColor="text1"/>
          </w:rPr>
          <m:t>-1</m:t>
        </m:r>
        <m:r>
          <w:rPr>
            <w:rFonts w:ascii="Cambria Math" w:eastAsiaTheme="minorEastAsia" w:hAnsi="Cambria Math"/>
          </w:rPr>
          <m:t xml:space="preserve"> </m:t>
        </m:r>
        <m:r>
          <m:rPr>
            <m:nor/>
          </m:rPr>
          <w:rPr>
            <w:rFonts w:ascii="Cambria Math" w:eastAsiaTheme="minorEastAsia" w:hAnsi="Cambria Math"/>
          </w:rPr>
          <m:t>and</m:t>
        </m:r>
        <m:r>
          <w:rPr>
            <w:rFonts w:ascii="Cambria Math" w:eastAsiaTheme="minorEastAsia" w:hAnsi="Cambria Math"/>
          </w:rPr>
          <m:t xml:space="preserve"> t&gt;0</m:t>
        </m:r>
      </m:oMath>
      <w:r w:rsidR="00565C27" w:rsidRPr="00487150">
        <w:rPr>
          <w:color w:val="000000" w:themeColor="text1"/>
        </w:rPr>
        <w:t xml:space="preserve"> </w:t>
      </w:r>
      <w:r w:rsidR="00565C27" w:rsidRPr="00487150">
        <w:rPr>
          <w:rFonts w:eastAsiaTheme="minorEastAsia"/>
          <w:color w:val="000000" w:themeColor="text1"/>
        </w:rPr>
        <w:tab/>
      </w:r>
      <w:r w:rsidR="00565C27" w:rsidRPr="00487150">
        <w:rPr>
          <w:rFonts w:eastAsiaTheme="minorEastAsia"/>
          <w:color w:val="000000" w:themeColor="text1"/>
        </w:rPr>
        <w:tab/>
      </w:r>
      <w:r w:rsidR="00565C27" w:rsidRPr="00487150">
        <w:rPr>
          <w:color w:val="000000" w:themeColor="text1"/>
        </w:rPr>
        <w:t>(3.12)</w:t>
      </w:r>
    </w:p>
    <w:p w14:paraId="4C1CD22F" w14:textId="77777777" w:rsidR="00565C27" w:rsidRPr="00487150" w:rsidRDefault="00565C27" w:rsidP="00565C27">
      <w:pPr>
        <w:spacing w:line="480" w:lineRule="auto"/>
        <w:ind w:firstLine="720"/>
        <w:rPr>
          <w:color w:val="000000" w:themeColor="text1"/>
        </w:rPr>
      </w:pPr>
      <w:r w:rsidRPr="00487150">
        <w:rPr>
          <w:color w:val="000000" w:themeColor="text1"/>
        </w:rPr>
        <w:t>The temperature change at the center of the sphere (</w:t>
      </w:r>
      <w:r>
        <w:rPr>
          <w:color w:val="000000" w:themeColor="text1"/>
        </w:rPr>
        <w:t>where</w:t>
      </w:r>
      <w:r w:rsidRPr="00487150">
        <w:rPr>
          <w:color w:val="000000" w:themeColor="text1"/>
        </w:rPr>
        <w:t xml:space="preserve"> </w:t>
      </w:r>
      <m:oMath>
        <m:r>
          <w:rPr>
            <w:rFonts w:ascii="Cambria Math" w:hAnsi="Cambria Math"/>
            <w:color w:val="000000" w:themeColor="text1"/>
          </w:rPr>
          <m:t>r</m:t>
        </m:r>
        <m:r>
          <m:rPr>
            <m:sty m:val="p"/>
          </m:rPr>
          <w:rPr>
            <w:rFonts w:ascii="Cambria Math" w:hAnsi="Cambria Math"/>
            <w:color w:val="000000" w:themeColor="text1"/>
          </w:rPr>
          <m:t xml:space="preserve">=0 </m:t>
        </m:r>
        <m:r>
          <m:rPr>
            <m:nor/>
          </m:rPr>
          <w:rPr>
            <w:color w:val="000000" w:themeColor="text1"/>
          </w:rPr>
          <m:t>and</m:t>
        </m:r>
        <m:r>
          <m:rPr>
            <m:sty m:val="p"/>
          </m:rPr>
          <w:rPr>
            <w:rFonts w:ascii="Cambria Math" w:hAnsi="Cambria Math"/>
            <w:color w:val="000000" w:themeColor="text1"/>
          </w:rPr>
          <m:t xml:space="preserve"> </m:t>
        </m:r>
        <m:r>
          <w:rPr>
            <w:rFonts w:ascii="Cambria Math" w:hAnsi="Cambria Math"/>
            <w:color w:val="000000" w:themeColor="text1"/>
          </w:rPr>
          <m:t>i</m:t>
        </m:r>
        <m:r>
          <m:rPr>
            <m:sty m:val="p"/>
          </m:rPr>
          <w:rPr>
            <w:rFonts w:ascii="Cambria Math" w:hAnsi="Cambria Math"/>
            <w:color w:val="000000" w:themeColor="text1"/>
          </w:rPr>
          <m:t>=0</m:t>
        </m:r>
      </m:oMath>
      <w:r w:rsidRPr="00487150">
        <w:rPr>
          <w:color w:val="000000" w:themeColor="text1"/>
        </w:rPr>
        <w:t xml:space="preserve">) can be determined </w:t>
      </w:r>
      <w:r>
        <w:t xml:space="preserve">by applying the </w:t>
      </w:r>
      <w:r w:rsidRPr="00487150">
        <w:rPr>
          <w:color w:val="000000" w:themeColor="text1"/>
        </w:rPr>
        <w:t xml:space="preserve">boundary condition </w:t>
      </w:r>
      <m:oMath>
        <m:f>
          <m:fPr>
            <m:ctrlPr>
              <w:rPr>
                <w:rFonts w:ascii="Cambria Math" w:hAnsi="Cambria Math"/>
                <w:color w:val="000000" w:themeColor="text1"/>
              </w:rPr>
            </m:ctrlPr>
          </m:fPr>
          <m:num>
            <m:r>
              <w:rPr>
                <w:rFonts w:ascii="Cambria Math" w:hAnsi="Cambria Math"/>
                <w:color w:val="000000" w:themeColor="text1"/>
              </w:rPr>
              <m:t>∂T</m:t>
            </m:r>
            <m:d>
              <m:dPr>
                <m:ctrlPr>
                  <w:rPr>
                    <w:rFonts w:ascii="Cambria Math" w:hAnsi="Cambria Math"/>
                    <w:color w:val="000000" w:themeColor="text1"/>
                  </w:rPr>
                </m:ctrlPr>
              </m:dPr>
              <m:e>
                <m:r>
                  <m:rPr>
                    <m:sty m:val="p"/>
                  </m:rPr>
                  <w:rPr>
                    <w:rFonts w:ascii="Cambria Math" w:hAnsi="Cambria Math"/>
                    <w:color w:val="000000" w:themeColor="text1"/>
                  </w:rPr>
                  <m:t>0,</m:t>
                </m:r>
                <m:r>
                  <w:rPr>
                    <w:rFonts w:ascii="Cambria Math" w:hAnsi="Cambria Math"/>
                    <w:color w:val="000000" w:themeColor="text1"/>
                  </w:rPr>
                  <m:t>t</m:t>
                </m:r>
              </m:e>
            </m:d>
          </m:num>
          <m:den>
            <m:r>
              <w:rPr>
                <w:rFonts w:ascii="Cambria Math" w:hAnsi="Cambria Math"/>
                <w:color w:val="000000" w:themeColor="text1"/>
              </w:rPr>
              <m:t>∂r</m:t>
            </m:r>
          </m:den>
        </m:f>
        <m:r>
          <m:rPr>
            <m:sty m:val="p"/>
          </m:rPr>
          <w:rPr>
            <w:rFonts w:ascii="Cambria Math" w:hAnsi="Cambria Math"/>
            <w:color w:val="000000" w:themeColor="text1"/>
          </w:rPr>
          <m:t>=0</m:t>
        </m:r>
      </m:oMath>
      <w:r w:rsidRPr="00487150">
        <w:rPr>
          <w:color w:val="000000" w:themeColor="text1"/>
        </w:rPr>
        <w:t>:</w:t>
      </w:r>
    </w:p>
    <w:p w14:paraId="08B82986" w14:textId="77777777" w:rsidR="00565C27" w:rsidRDefault="00000000" w:rsidP="00565C27">
      <w:pPr>
        <w:spacing w:line="480" w:lineRule="auto"/>
        <w:jc w:val="right"/>
      </w:pPr>
      <m:oMath>
        <m:f>
          <m:fPr>
            <m:ctrlPr>
              <w:rPr>
                <w:rFonts w:ascii="Cambria Math" w:hAnsi="Cambria Math"/>
                <w:color w:val="000000" w:themeColor="text1"/>
              </w:rPr>
            </m:ctrlPr>
          </m:fPr>
          <m:num>
            <m:r>
              <w:rPr>
                <w:rFonts w:ascii="Cambria Math" w:hAnsi="Cambria Math"/>
                <w:color w:val="000000" w:themeColor="text1"/>
              </w:rPr>
              <m:t>∂T</m:t>
            </m:r>
            <m:d>
              <m:dPr>
                <m:ctrlPr>
                  <w:rPr>
                    <w:rFonts w:ascii="Cambria Math" w:hAnsi="Cambria Math"/>
                    <w:color w:val="000000" w:themeColor="text1"/>
                  </w:rPr>
                </m:ctrlPr>
              </m:dPr>
              <m:e>
                <m:r>
                  <m:rPr>
                    <m:sty m:val="p"/>
                  </m:rPr>
                  <w:rPr>
                    <w:rFonts w:ascii="Cambria Math" w:hAnsi="Cambria Math"/>
                    <w:color w:val="000000" w:themeColor="text1"/>
                  </w:rPr>
                  <m:t>0,</m:t>
                </m:r>
                <m:r>
                  <w:rPr>
                    <w:rFonts w:ascii="Cambria Math" w:hAnsi="Cambria Math"/>
                    <w:color w:val="000000" w:themeColor="text1"/>
                  </w:rPr>
                  <m:t>t</m:t>
                </m:r>
              </m:e>
            </m:d>
          </m:num>
          <m:den>
            <m:r>
              <w:rPr>
                <w:rFonts w:ascii="Cambria Math" w:hAnsi="Cambria Math"/>
                <w:color w:val="000000" w:themeColor="text1"/>
              </w:rPr>
              <m:t>∂t</m:t>
            </m:r>
          </m:den>
        </m:f>
        <m:r>
          <m:rPr>
            <m:sty m:val="p"/>
          </m:rPr>
          <w:rPr>
            <w:rFonts w:ascii="Cambria Math" w:hAnsi="Cambria Math"/>
            <w:color w:val="000000" w:themeColor="text1"/>
          </w:rPr>
          <m:t>=</m:t>
        </m:r>
        <m:func>
          <m:funcPr>
            <m:ctrlPr>
              <w:rPr>
                <w:rFonts w:ascii="Cambria Math" w:hAnsi="Cambria Math"/>
                <w:color w:val="000000" w:themeColor="text1"/>
              </w:rPr>
            </m:ctrlPr>
          </m:funcPr>
          <m:fName>
            <m:limLow>
              <m:limLowPr>
                <m:ctrlPr>
                  <w:rPr>
                    <w:rFonts w:ascii="Cambria Math" w:hAnsi="Cambria Math"/>
                    <w:color w:val="000000" w:themeColor="text1"/>
                  </w:rPr>
                </m:ctrlPr>
              </m:limLowPr>
              <m:e>
                <m:r>
                  <m:rPr>
                    <m:sty m:val="p"/>
                  </m:rPr>
                  <w:rPr>
                    <w:rFonts w:ascii="Cambria Math" w:hAnsi="Cambria Math"/>
                    <w:color w:val="000000" w:themeColor="text1"/>
                  </w:rPr>
                  <m:t>lim</m:t>
                </m:r>
              </m:e>
              <m:lim>
                <m:r>
                  <w:rPr>
                    <w:rFonts w:ascii="Cambria Math" w:hAnsi="Cambria Math"/>
                    <w:color w:val="000000" w:themeColor="text1"/>
                  </w:rPr>
                  <m:t>r</m:t>
                </m:r>
                <m:r>
                  <m:rPr>
                    <m:sty m:val="p"/>
                  </m:rPr>
                  <w:rPr>
                    <w:rFonts w:ascii="Cambria Math" w:hAnsi="Cambria Math"/>
                    <w:color w:val="000000" w:themeColor="text1"/>
                  </w:rPr>
                  <m:t>→0</m:t>
                </m:r>
              </m:lim>
            </m:limLow>
          </m:fName>
          <m:e>
            <m:d>
              <m:dPr>
                <m:ctrlPr>
                  <w:rPr>
                    <w:rFonts w:ascii="Cambria Math" w:hAnsi="Cambria Math"/>
                    <w:color w:val="000000" w:themeColor="text1"/>
                  </w:rPr>
                </m:ctrlPr>
              </m:dPr>
              <m:e>
                <m:f>
                  <m:fPr>
                    <m:ctrlPr>
                      <w:rPr>
                        <w:rFonts w:ascii="Cambria Math" w:hAnsi="Cambria Math"/>
                        <w:color w:val="000000" w:themeColor="text1"/>
                      </w:rPr>
                    </m:ctrlPr>
                  </m:fPr>
                  <m:num>
                    <m:r>
                      <m:rPr>
                        <m:sty m:val="p"/>
                      </m:rPr>
                      <w:rPr>
                        <w:rFonts w:ascii="Cambria Math" w:hAnsi="Cambria Math"/>
                      </w:rPr>
                      <m:t>2</m:t>
                    </m:r>
                    <m:sSub>
                      <m:sSubPr>
                        <m:ctrlPr>
                          <w:rPr>
                            <w:rFonts w:ascii="Cambria Math" w:eastAsiaTheme="minorHAnsi" w:hAnsi="Cambria Math"/>
                            <w:color w:val="000000" w:themeColor="text1"/>
                          </w:rPr>
                        </m:ctrlPr>
                      </m:sSubPr>
                      <m:e>
                        <m:r>
                          <m:rPr>
                            <m:sty m:val="p"/>
                          </m:rPr>
                          <w:rPr>
                            <w:rFonts w:ascii="Cambria Math" w:hAnsi="Cambria Math"/>
                            <w:color w:val="000000" w:themeColor="text1"/>
                          </w:rPr>
                          <m:t>∝</m:t>
                        </m:r>
                      </m:e>
                      <m:sub>
                        <m:r>
                          <w:rPr>
                            <w:rFonts w:ascii="Cambria Math" w:hAnsi="Cambria Math"/>
                          </w:rPr>
                          <m:t>i</m:t>
                        </m:r>
                      </m:sub>
                    </m:sSub>
                  </m:num>
                  <m:den>
                    <m:r>
                      <w:rPr>
                        <w:rFonts w:ascii="Cambria Math" w:hAnsi="Cambria Math"/>
                        <w:color w:val="000000" w:themeColor="text1"/>
                      </w:rPr>
                      <m:t>r</m:t>
                    </m:r>
                  </m:den>
                </m:f>
                <m:f>
                  <m:fPr>
                    <m:ctrlPr>
                      <w:rPr>
                        <w:rFonts w:ascii="Cambria Math" w:hAnsi="Cambria Math"/>
                        <w:color w:val="000000" w:themeColor="text1"/>
                      </w:rPr>
                    </m:ctrlPr>
                  </m:fPr>
                  <m:num>
                    <m:r>
                      <w:rPr>
                        <w:rFonts w:ascii="Cambria Math" w:hAnsi="Cambria Math"/>
                        <w:color w:val="000000" w:themeColor="text1"/>
                      </w:rPr>
                      <m:t>∂</m:t>
                    </m:r>
                    <m:r>
                      <w:rPr>
                        <w:rFonts w:ascii="Cambria Math" w:hAnsi="Cambria Math"/>
                      </w:rPr>
                      <m:t>T</m:t>
                    </m:r>
                  </m:num>
                  <m:den>
                    <m:r>
                      <w:rPr>
                        <w:rFonts w:ascii="Cambria Math" w:hAnsi="Cambria Math"/>
                        <w:color w:val="000000" w:themeColor="text1"/>
                      </w:rPr>
                      <m:t>∂r</m:t>
                    </m:r>
                  </m:den>
                </m:f>
                <m:r>
                  <w:rPr>
                    <w:rFonts w:ascii="Cambria Math" w:hAnsi="Cambria Math"/>
                  </w:rPr>
                  <m:t>+</m:t>
                </m:r>
                <m:f>
                  <m:fPr>
                    <m:ctrlPr>
                      <w:rPr>
                        <w:rFonts w:ascii="Cambria Math" w:hAnsi="Cambria Math"/>
                        <w:color w:val="000000" w:themeColor="text1"/>
                      </w:rPr>
                    </m:ctrlPr>
                  </m:fPr>
                  <m:num>
                    <m:r>
                      <w:rPr>
                        <w:rFonts w:ascii="Cambria Math" w:hAnsi="Cambria Math"/>
                        <w:color w:val="000000" w:themeColor="text1"/>
                      </w:rPr>
                      <m:t>∂</m:t>
                    </m:r>
                  </m:num>
                  <m:den>
                    <m:r>
                      <w:rPr>
                        <w:rFonts w:ascii="Cambria Math" w:hAnsi="Cambria Math"/>
                        <w:color w:val="000000" w:themeColor="text1"/>
                      </w:rPr>
                      <m:t>∂r</m:t>
                    </m:r>
                  </m:den>
                </m:f>
                <m:d>
                  <m:dPr>
                    <m:ctrlPr>
                      <w:rPr>
                        <w:rFonts w:ascii="Cambria Math" w:hAnsi="Cambria Math"/>
                        <w:color w:val="000000" w:themeColor="text1"/>
                      </w:rPr>
                    </m:ctrlPr>
                  </m:dPr>
                  <m:e>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f>
                      <m:fPr>
                        <m:ctrlPr>
                          <w:rPr>
                            <w:rFonts w:ascii="Cambria Math" w:hAnsi="Cambria Math"/>
                            <w:color w:val="000000" w:themeColor="text1"/>
                          </w:rPr>
                        </m:ctrlPr>
                      </m:fPr>
                      <m:num>
                        <m:r>
                          <w:rPr>
                            <w:rFonts w:ascii="Cambria Math" w:hAnsi="Cambria Math"/>
                            <w:color w:val="000000" w:themeColor="text1"/>
                          </w:rPr>
                          <m:t>∂T</m:t>
                        </m:r>
                      </m:num>
                      <m:den>
                        <m:r>
                          <w:rPr>
                            <w:rFonts w:ascii="Cambria Math" w:hAnsi="Cambria Math"/>
                            <w:color w:val="000000" w:themeColor="text1"/>
                          </w:rPr>
                          <m:t>∂r</m:t>
                        </m:r>
                      </m:den>
                    </m:f>
                  </m:e>
                </m:d>
              </m:e>
            </m:d>
          </m:e>
        </m:func>
      </m:oMath>
      <w:r w:rsidR="00565C27">
        <w:rPr>
          <w:rFonts w:eastAsiaTheme="minorEastAsia"/>
        </w:rPr>
        <w:t>,</w:t>
      </w:r>
      <w:r w:rsidR="00565C27" w:rsidRPr="00487150">
        <w:rPr>
          <w:rFonts w:eastAsiaTheme="minorEastAsia"/>
          <w:color w:val="000000" w:themeColor="text1"/>
        </w:rPr>
        <w:tab/>
      </w:r>
      <w:r w:rsidR="00565C27" w:rsidRPr="00487150">
        <w:rPr>
          <w:rFonts w:eastAsiaTheme="minorEastAsia"/>
          <w:color w:val="000000" w:themeColor="text1"/>
        </w:rPr>
        <w:tab/>
      </w:r>
      <w:r w:rsidR="00565C27">
        <w:rPr>
          <w:rFonts w:eastAsiaTheme="minorEastAsia"/>
        </w:rPr>
        <w:tab/>
      </w:r>
      <w:r w:rsidR="00565C27">
        <w:rPr>
          <w:rFonts w:eastAsiaTheme="minorEastAsia"/>
        </w:rPr>
        <w:tab/>
      </w:r>
      <w:r w:rsidR="00565C27" w:rsidRPr="00487150">
        <w:rPr>
          <w:color w:val="000000" w:themeColor="text1"/>
        </w:rPr>
        <w:t>(3.1</w:t>
      </w:r>
      <w:r w:rsidR="00565C27">
        <w:t>3</w:t>
      </w:r>
      <w:r w:rsidR="00565C27" w:rsidRPr="00487150">
        <w:rPr>
          <w:color w:val="000000" w:themeColor="text1"/>
        </w:rPr>
        <w:t>)</w:t>
      </w:r>
    </w:p>
    <w:p w14:paraId="1C1DA1FE" w14:textId="77777777" w:rsidR="00565C27" w:rsidRDefault="00000000" w:rsidP="00565C27">
      <w:pPr>
        <w:spacing w:line="480" w:lineRule="auto"/>
        <w:ind w:firstLine="720"/>
        <w:jc w:val="right"/>
      </w:pPr>
      <m:oMath>
        <m:f>
          <m:fPr>
            <m:ctrlPr>
              <w:rPr>
                <w:rFonts w:ascii="Cambria Math" w:hAnsi="Cambria Math"/>
                <w:color w:val="000000" w:themeColor="text1"/>
              </w:rPr>
            </m:ctrlPr>
          </m:fPr>
          <m:num>
            <m:r>
              <w:rPr>
                <w:rFonts w:ascii="Cambria Math" w:hAnsi="Cambria Math"/>
                <w:color w:val="000000" w:themeColor="text1"/>
              </w:rPr>
              <m:t>∂T</m:t>
            </m:r>
            <m:d>
              <m:dPr>
                <m:ctrlPr>
                  <w:rPr>
                    <w:rFonts w:ascii="Cambria Math" w:hAnsi="Cambria Math"/>
                    <w:color w:val="000000" w:themeColor="text1"/>
                  </w:rPr>
                </m:ctrlPr>
              </m:dPr>
              <m:e>
                <m:r>
                  <m:rPr>
                    <m:sty m:val="p"/>
                  </m:rPr>
                  <w:rPr>
                    <w:rFonts w:ascii="Cambria Math" w:hAnsi="Cambria Math"/>
                    <w:color w:val="000000" w:themeColor="text1"/>
                  </w:rPr>
                  <m:t>0,</m:t>
                </m:r>
                <m:r>
                  <w:rPr>
                    <w:rFonts w:ascii="Cambria Math" w:hAnsi="Cambria Math"/>
                    <w:color w:val="000000" w:themeColor="text1"/>
                  </w:rPr>
                  <m:t>t</m:t>
                </m:r>
              </m:e>
            </m:d>
          </m:num>
          <m:den>
            <m:r>
              <w:rPr>
                <w:rFonts w:ascii="Cambria Math" w:hAnsi="Cambria Math"/>
                <w:color w:val="000000" w:themeColor="text1"/>
              </w:rPr>
              <m:t>∂t</m:t>
            </m:r>
          </m:den>
        </m:f>
        <m:r>
          <m:rPr>
            <m:sty m:val="p"/>
          </m:rPr>
          <w:rPr>
            <w:rFonts w:ascii="Cambria Math" w:hAnsi="Cambria Math"/>
            <w:color w:val="000000" w:themeColor="text1"/>
          </w:rPr>
          <m:t>=</m:t>
        </m:r>
        <m:func>
          <m:funcPr>
            <m:ctrlPr>
              <w:rPr>
                <w:rFonts w:ascii="Cambria Math" w:hAnsi="Cambria Math"/>
                <w:color w:val="000000" w:themeColor="text1"/>
              </w:rPr>
            </m:ctrlPr>
          </m:funcPr>
          <m:fName>
            <m:limLow>
              <m:limLowPr>
                <m:ctrlPr>
                  <w:rPr>
                    <w:rFonts w:ascii="Cambria Math" w:hAnsi="Cambria Math"/>
                    <w:color w:val="000000" w:themeColor="text1"/>
                  </w:rPr>
                </m:ctrlPr>
              </m:limLowPr>
              <m:e>
                <m:r>
                  <m:rPr>
                    <m:sty m:val="p"/>
                  </m:rPr>
                  <w:rPr>
                    <w:rFonts w:ascii="Cambria Math" w:hAnsi="Cambria Math"/>
                    <w:color w:val="000000" w:themeColor="text1"/>
                  </w:rPr>
                  <m:t>lim</m:t>
                </m:r>
              </m:e>
              <m:lim>
                <m:r>
                  <w:rPr>
                    <w:rFonts w:ascii="Cambria Math" w:hAnsi="Cambria Math"/>
                    <w:color w:val="000000" w:themeColor="text1"/>
                  </w:rPr>
                  <m:t>r</m:t>
                </m:r>
                <m:r>
                  <m:rPr>
                    <m:sty m:val="p"/>
                  </m:rPr>
                  <w:rPr>
                    <w:rFonts w:ascii="Cambria Math" w:hAnsi="Cambria Math"/>
                    <w:color w:val="000000" w:themeColor="text1"/>
                  </w:rPr>
                  <m:t>→0</m:t>
                </m:r>
              </m:lim>
            </m:limLow>
          </m:fName>
          <m:e>
            <m:d>
              <m:dPr>
                <m:ctrlPr>
                  <w:rPr>
                    <w:rFonts w:ascii="Cambria Math" w:hAnsi="Cambria Math"/>
                    <w:color w:val="000000" w:themeColor="text1"/>
                  </w:rPr>
                </m:ctrlPr>
              </m:dPr>
              <m:e>
                <m:f>
                  <m:fPr>
                    <m:ctrlPr>
                      <w:rPr>
                        <w:rFonts w:ascii="Cambria Math" w:hAnsi="Cambria Math"/>
                        <w:color w:val="000000" w:themeColor="text1"/>
                      </w:rPr>
                    </m:ctrlPr>
                  </m:fPr>
                  <m:num>
                    <m:r>
                      <m:rPr>
                        <m:sty m:val="p"/>
                      </m:rPr>
                      <w:rPr>
                        <w:rFonts w:ascii="Cambria Math" w:hAnsi="Cambria Math"/>
                      </w:rPr>
                      <m:t>2</m:t>
                    </m:r>
                    <m:sSub>
                      <m:sSubPr>
                        <m:ctrlPr>
                          <w:rPr>
                            <w:rFonts w:ascii="Cambria Math" w:eastAsiaTheme="minorHAnsi" w:hAnsi="Cambria Math"/>
                            <w:color w:val="000000" w:themeColor="text1"/>
                          </w:rPr>
                        </m:ctrlPr>
                      </m:sSubPr>
                      <m:e>
                        <m:r>
                          <m:rPr>
                            <m:sty m:val="p"/>
                          </m:rPr>
                          <w:rPr>
                            <w:rFonts w:ascii="Cambria Math" w:hAnsi="Cambria Math"/>
                            <w:color w:val="000000" w:themeColor="text1"/>
                          </w:rPr>
                          <m:t>∝</m:t>
                        </m:r>
                      </m:e>
                      <m:sub>
                        <m:r>
                          <w:rPr>
                            <w:rFonts w:ascii="Cambria Math" w:hAnsi="Cambria Math"/>
                          </w:rPr>
                          <m:t>i</m:t>
                        </m:r>
                      </m:sub>
                    </m:sSub>
                    <m:f>
                      <m:fPr>
                        <m:ctrlPr>
                          <w:rPr>
                            <w:rFonts w:ascii="Cambria Math" w:hAnsi="Cambria Math"/>
                            <w:color w:val="000000" w:themeColor="text1"/>
                          </w:rPr>
                        </m:ctrlPr>
                      </m:fPr>
                      <m:num>
                        <m:r>
                          <w:rPr>
                            <w:rFonts w:ascii="Cambria Math" w:hAnsi="Cambria Math"/>
                            <w:color w:val="000000" w:themeColor="text1"/>
                          </w:rPr>
                          <m:t>∂</m:t>
                        </m:r>
                        <m:r>
                          <w:rPr>
                            <w:rFonts w:ascii="Cambria Math" w:hAnsi="Cambria Math"/>
                          </w:rPr>
                          <m:t>T</m:t>
                        </m:r>
                      </m:num>
                      <m:den>
                        <m:r>
                          <w:rPr>
                            <w:rFonts w:ascii="Cambria Math" w:hAnsi="Cambria Math"/>
                            <w:color w:val="000000" w:themeColor="text1"/>
                          </w:rPr>
                          <m:t>∂r</m:t>
                        </m:r>
                      </m:den>
                    </m:f>
                  </m:num>
                  <m:den>
                    <m:r>
                      <w:rPr>
                        <w:rFonts w:ascii="Cambria Math" w:hAnsi="Cambria Math"/>
                        <w:color w:val="000000" w:themeColor="text1"/>
                      </w:rPr>
                      <m:t>r</m:t>
                    </m:r>
                  </m:den>
                </m:f>
              </m:e>
            </m:d>
            <m:r>
              <w:rPr>
                <w:rFonts w:ascii="Cambria Math" w:hAnsi="Cambria Math"/>
              </w:rPr>
              <m:t>+</m:t>
            </m:r>
            <m:f>
              <m:fPr>
                <m:ctrlPr>
                  <w:rPr>
                    <w:rFonts w:ascii="Cambria Math" w:hAnsi="Cambria Math"/>
                    <w:color w:val="000000" w:themeColor="text1"/>
                  </w:rPr>
                </m:ctrlPr>
              </m:fPr>
              <m:num>
                <m:r>
                  <w:rPr>
                    <w:rFonts w:ascii="Cambria Math" w:hAnsi="Cambria Math"/>
                    <w:color w:val="000000" w:themeColor="text1"/>
                  </w:rPr>
                  <m:t>∂</m:t>
                </m:r>
              </m:num>
              <m:den>
                <m:r>
                  <w:rPr>
                    <w:rFonts w:ascii="Cambria Math" w:hAnsi="Cambria Math"/>
                    <w:color w:val="000000" w:themeColor="text1"/>
                  </w:rPr>
                  <m:t>∂r</m:t>
                </m:r>
              </m:den>
            </m:f>
            <m:d>
              <m:dPr>
                <m:ctrlPr>
                  <w:rPr>
                    <w:rFonts w:ascii="Cambria Math" w:hAnsi="Cambria Math"/>
                    <w:color w:val="000000" w:themeColor="text1"/>
                  </w:rPr>
                </m:ctrlPr>
              </m:dPr>
              <m:e>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f>
                  <m:fPr>
                    <m:ctrlPr>
                      <w:rPr>
                        <w:rFonts w:ascii="Cambria Math" w:hAnsi="Cambria Math"/>
                        <w:color w:val="000000" w:themeColor="text1"/>
                      </w:rPr>
                    </m:ctrlPr>
                  </m:fPr>
                  <m:num>
                    <m:r>
                      <w:rPr>
                        <w:rFonts w:ascii="Cambria Math" w:hAnsi="Cambria Math"/>
                        <w:color w:val="000000" w:themeColor="text1"/>
                      </w:rPr>
                      <m:t>∂T</m:t>
                    </m:r>
                  </m:num>
                  <m:den>
                    <m:r>
                      <w:rPr>
                        <w:rFonts w:ascii="Cambria Math" w:hAnsi="Cambria Math"/>
                        <w:color w:val="000000" w:themeColor="text1"/>
                      </w:rPr>
                      <m:t>∂r</m:t>
                    </m:r>
                  </m:den>
                </m:f>
              </m:e>
            </m:d>
          </m:e>
        </m:func>
      </m:oMath>
      <w:r w:rsidR="00565C27">
        <w:rPr>
          <w:rFonts w:eastAsiaTheme="minorEastAsia"/>
        </w:rPr>
        <w:t>,</w:t>
      </w:r>
      <w:r w:rsidR="00565C27" w:rsidRPr="00487150">
        <w:rPr>
          <w:rFonts w:eastAsiaTheme="minorEastAsia"/>
          <w:color w:val="000000" w:themeColor="text1"/>
        </w:rPr>
        <w:tab/>
      </w:r>
      <w:r w:rsidR="00565C27" w:rsidRPr="00487150">
        <w:rPr>
          <w:rFonts w:eastAsiaTheme="minorEastAsia"/>
          <w:color w:val="000000" w:themeColor="text1"/>
        </w:rPr>
        <w:tab/>
      </w:r>
      <w:r w:rsidR="00565C27">
        <w:rPr>
          <w:rFonts w:eastAsiaTheme="minorEastAsia"/>
        </w:rPr>
        <w:tab/>
      </w:r>
      <w:r w:rsidR="00565C27">
        <w:rPr>
          <w:rFonts w:eastAsiaTheme="minorEastAsia"/>
        </w:rPr>
        <w:tab/>
      </w:r>
      <w:r w:rsidR="00565C27" w:rsidRPr="00487150">
        <w:rPr>
          <w:color w:val="000000" w:themeColor="text1"/>
        </w:rPr>
        <w:t>(3.1</w:t>
      </w:r>
      <w:r w:rsidR="00565C27">
        <w:t>4</w:t>
      </w:r>
      <w:r w:rsidR="00565C27" w:rsidRPr="00487150">
        <w:rPr>
          <w:color w:val="000000" w:themeColor="text1"/>
        </w:rPr>
        <w:t>)</w:t>
      </w:r>
    </w:p>
    <w:p w14:paraId="37DC5C79" w14:textId="5A4A153A" w:rsidR="00565C27" w:rsidRDefault="00565C27" w:rsidP="00565C27">
      <w:pPr>
        <w:spacing w:line="480" w:lineRule="auto"/>
      </w:pPr>
      <w:r>
        <w:t>T</w:t>
      </w:r>
      <w:r w:rsidRPr="00487150">
        <w:rPr>
          <w:color w:val="000000" w:themeColor="text1"/>
        </w:rPr>
        <w:t>he first term</w:t>
      </w:r>
      <w:r>
        <w:t xml:space="preserve"> of Eq</w:t>
      </w:r>
      <w:r w:rsidR="00651A73">
        <w:t>.</w:t>
      </w:r>
      <w:r>
        <w:t xml:space="preserve"> 3.14 gives an in</w:t>
      </w:r>
      <w:r w:rsidR="00505CD6">
        <w:t>determinate</w:t>
      </w:r>
      <w:r>
        <w:t xml:space="preserve"> </w:t>
      </w:r>
      <w:r w:rsidRPr="00487150">
        <w:rPr>
          <w:color w:val="000000" w:themeColor="text1"/>
        </w:rPr>
        <w:t xml:space="preserve">form of </w:t>
      </w:r>
      <m:oMath>
        <m:f>
          <m:fPr>
            <m:ctrlPr>
              <w:rPr>
                <w:rFonts w:ascii="Cambria Math" w:hAnsi="Cambria Math"/>
                <w:color w:val="000000" w:themeColor="text1"/>
              </w:rPr>
            </m:ctrlPr>
          </m:fPr>
          <m:num>
            <m:r>
              <m:rPr>
                <m:sty m:val="p"/>
              </m:rPr>
              <w:rPr>
                <w:rFonts w:ascii="Cambria Math" w:hAnsi="Cambria Math"/>
                <w:color w:val="000000" w:themeColor="text1"/>
              </w:rPr>
              <m:t>0</m:t>
            </m:r>
          </m:num>
          <m:den>
            <m:r>
              <m:rPr>
                <m:sty m:val="p"/>
              </m:rPr>
              <w:rPr>
                <w:rFonts w:ascii="Cambria Math" w:hAnsi="Cambria Math"/>
                <w:color w:val="000000" w:themeColor="text1"/>
              </w:rPr>
              <m:t>0</m:t>
            </m:r>
          </m:den>
        </m:f>
      </m:oMath>
      <w:r w:rsidRPr="00487150">
        <w:rPr>
          <w:color w:val="000000" w:themeColor="text1"/>
        </w:rPr>
        <w:t xml:space="preserve"> </w:t>
      </w:r>
      <w:r>
        <w:t>that can be solved using</w:t>
      </w:r>
      <w:r w:rsidRPr="00487150">
        <w:rPr>
          <w:color w:val="000000" w:themeColor="text1"/>
        </w:rPr>
        <w:t xml:space="preserve"> l’H</w:t>
      </w:r>
      <w:r>
        <w:rPr>
          <w:color w:val="000000" w:themeColor="text1"/>
        </w:rPr>
        <w:t>ô</w:t>
      </w:r>
      <w:r w:rsidRPr="00487150">
        <w:rPr>
          <w:color w:val="000000" w:themeColor="text1"/>
        </w:rPr>
        <w:t>pital</w:t>
      </w:r>
      <w:r>
        <w:rPr>
          <w:color w:val="000000" w:themeColor="text1"/>
        </w:rPr>
        <w:t>’s</w:t>
      </w:r>
      <w:r w:rsidRPr="00487150">
        <w:rPr>
          <w:color w:val="000000" w:themeColor="text1"/>
        </w:rPr>
        <w:t xml:space="preserve"> rule</w:t>
      </w:r>
      <w:r>
        <w:t>:</w:t>
      </w:r>
      <w:r w:rsidRPr="00487150">
        <w:rPr>
          <w:color w:val="000000" w:themeColor="text1"/>
        </w:rPr>
        <w:t xml:space="preserve"> </w:t>
      </w:r>
    </w:p>
    <w:p w14:paraId="1BD46793" w14:textId="77777777" w:rsidR="00565C27" w:rsidRDefault="00000000" w:rsidP="00565C27">
      <w:pPr>
        <w:spacing w:line="480" w:lineRule="auto"/>
        <w:ind w:firstLine="720"/>
        <w:jc w:val="right"/>
      </w:pPr>
      <m:oMath>
        <m:func>
          <m:funcPr>
            <m:ctrlPr>
              <w:rPr>
                <w:rFonts w:ascii="Cambria Math" w:hAnsi="Cambria Math"/>
                <w:color w:val="000000" w:themeColor="text1"/>
              </w:rPr>
            </m:ctrlPr>
          </m:funcPr>
          <m:fName>
            <m:limLow>
              <m:limLowPr>
                <m:ctrlPr>
                  <w:rPr>
                    <w:rFonts w:ascii="Cambria Math" w:hAnsi="Cambria Math"/>
                    <w:color w:val="000000" w:themeColor="text1"/>
                  </w:rPr>
                </m:ctrlPr>
              </m:limLowPr>
              <m:e>
                <m:r>
                  <m:rPr>
                    <m:sty m:val="p"/>
                  </m:rPr>
                  <w:rPr>
                    <w:rFonts w:ascii="Cambria Math" w:hAnsi="Cambria Math"/>
                    <w:color w:val="000000" w:themeColor="text1"/>
                  </w:rPr>
                  <m:t>lim</m:t>
                </m:r>
              </m:e>
              <m:lim>
                <m:r>
                  <w:rPr>
                    <w:rFonts w:ascii="Cambria Math" w:hAnsi="Cambria Math"/>
                    <w:color w:val="000000" w:themeColor="text1"/>
                  </w:rPr>
                  <m:t>r</m:t>
                </m:r>
                <m:r>
                  <m:rPr>
                    <m:sty m:val="p"/>
                  </m:rPr>
                  <w:rPr>
                    <w:rFonts w:ascii="Cambria Math" w:hAnsi="Cambria Math"/>
                    <w:color w:val="000000" w:themeColor="text1"/>
                  </w:rPr>
                  <m:t>→0</m:t>
                </m:r>
              </m:lim>
            </m:limLow>
          </m:fName>
          <m:e>
            <m:d>
              <m:dPr>
                <m:ctrlPr>
                  <w:rPr>
                    <w:rFonts w:ascii="Cambria Math" w:hAnsi="Cambria Math"/>
                    <w:color w:val="000000" w:themeColor="text1"/>
                  </w:rPr>
                </m:ctrlPr>
              </m:dPr>
              <m:e>
                <m:f>
                  <m:fPr>
                    <m:ctrlPr>
                      <w:rPr>
                        <w:rFonts w:ascii="Cambria Math" w:hAnsi="Cambria Math"/>
                        <w:color w:val="000000" w:themeColor="text1"/>
                      </w:rPr>
                    </m:ctrlPr>
                  </m:fPr>
                  <m:num>
                    <m:r>
                      <m:rPr>
                        <m:sty m:val="p"/>
                      </m:rPr>
                      <w:rPr>
                        <w:rFonts w:ascii="Cambria Math" w:hAnsi="Cambria Math"/>
                      </w:rPr>
                      <m:t>2</m:t>
                    </m:r>
                    <m:sSub>
                      <m:sSubPr>
                        <m:ctrlPr>
                          <w:rPr>
                            <w:rFonts w:ascii="Cambria Math" w:eastAsiaTheme="minorHAnsi" w:hAnsi="Cambria Math"/>
                            <w:color w:val="000000" w:themeColor="text1"/>
                          </w:rPr>
                        </m:ctrlPr>
                      </m:sSubPr>
                      <m:e>
                        <m:r>
                          <m:rPr>
                            <m:sty m:val="p"/>
                          </m:rPr>
                          <w:rPr>
                            <w:rFonts w:ascii="Cambria Math" w:hAnsi="Cambria Math"/>
                            <w:color w:val="000000" w:themeColor="text1"/>
                          </w:rPr>
                          <m:t>∝</m:t>
                        </m:r>
                      </m:e>
                      <m:sub>
                        <m:r>
                          <w:rPr>
                            <w:rFonts w:ascii="Cambria Math" w:hAnsi="Cambria Math"/>
                          </w:rPr>
                          <m:t>i</m:t>
                        </m:r>
                      </m:sub>
                    </m:sSub>
                    <m:f>
                      <m:fPr>
                        <m:ctrlPr>
                          <w:rPr>
                            <w:rFonts w:ascii="Cambria Math" w:hAnsi="Cambria Math"/>
                            <w:color w:val="000000" w:themeColor="text1"/>
                          </w:rPr>
                        </m:ctrlPr>
                      </m:fPr>
                      <m:num>
                        <m:r>
                          <w:rPr>
                            <w:rFonts w:ascii="Cambria Math" w:hAnsi="Cambria Math"/>
                            <w:color w:val="000000" w:themeColor="text1"/>
                          </w:rPr>
                          <m:t>∂</m:t>
                        </m:r>
                        <m:r>
                          <w:rPr>
                            <w:rFonts w:ascii="Cambria Math" w:hAnsi="Cambria Math"/>
                          </w:rPr>
                          <m:t>T</m:t>
                        </m:r>
                      </m:num>
                      <m:den>
                        <m:r>
                          <w:rPr>
                            <w:rFonts w:ascii="Cambria Math" w:hAnsi="Cambria Math"/>
                            <w:color w:val="000000" w:themeColor="text1"/>
                          </w:rPr>
                          <m:t>∂r</m:t>
                        </m:r>
                      </m:den>
                    </m:f>
                  </m:num>
                  <m:den>
                    <m:r>
                      <w:rPr>
                        <w:rFonts w:ascii="Cambria Math" w:hAnsi="Cambria Math"/>
                        <w:color w:val="000000" w:themeColor="text1"/>
                      </w:rPr>
                      <m:t>r</m:t>
                    </m:r>
                  </m:den>
                </m:f>
              </m:e>
            </m:d>
          </m:e>
        </m:func>
        <m:r>
          <m:rPr>
            <m:sty m:val="p"/>
          </m:rPr>
          <w:rPr>
            <w:rFonts w:ascii="Cambria Math" w:hAnsi="Cambria Math"/>
            <w:color w:val="000000" w:themeColor="text1"/>
          </w:rPr>
          <m:t>=</m:t>
        </m:r>
        <m:func>
          <m:funcPr>
            <m:ctrlPr>
              <w:rPr>
                <w:rFonts w:ascii="Cambria Math" w:hAnsi="Cambria Math"/>
                <w:color w:val="000000" w:themeColor="text1"/>
              </w:rPr>
            </m:ctrlPr>
          </m:funcPr>
          <m:fName>
            <m:limLow>
              <m:limLowPr>
                <m:ctrlPr>
                  <w:rPr>
                    <w:rFonts w:ascii="Cambria Math" w:hAnsi="Cambria Math"/>
                    <w:color w:val="000000" w:themeColor="text1"/>
                  </w:rPr>
                </m:ctrlPr>
              </m:limLowPr>
              <m:e>
                <m:r>
                  <m:rPr>
                    <m:sty m:val="p"/>
                  </m:rPr>
                  <w:rPr>
                    <w:rFonts w:ascii="Cambria Math" w:hAnsi="Cambria Math"/>
                    <w:color w:val="000000" w:themeColor="text1"/>
                  </w:rPr>
                  <m:t>lim</m:t>
                </m:r>
              </m:e>
              <m:lim>
                <m:r>
                  <w:rPr>
                    <w:rFonts w:ascii="Cambria Math" w:hAnsi="Cambria Math"/>
                    <w:color w:val="000000" w:themeColor="text1"/>
                  </w:rPr>
                  <m:t>r</m:t>
                </m:r>
                <m:r>
                  <m:rPr>
                    <m:sty m:val="p"/>
                  </m:rPr>
                  <w:rPr>
                    <w:rFonts w:ascii="Cambria Math" w:hAnsi="Cambria Math"/>
                    <w:color w:val="000000" w:themeColor="text1"/>
                  </w:rPr>
                  <m:t>→0</m:t>
                </m:r>
              </m:lim>
            </m:limLow>
          </m:fName>
          <m:e>
            <m:d>
              <m:dPr>
                <m:ctrlPr>
                  <w:rPr>
                    <w:rFonts w:ascii="Cambria Math" w:hAnsi="Cambria Math"/>
                    <w:color w:val="000000" w:themeColor="text1"/>
                  </w:rPr>
                </m:ctrlPr>
              </m:dPr>
              <m:e>
                <m:f>
                  <m:fPr>
                    <m:ctrlPr>
                      <w:rPr>
                        <w:rFonts w:ascii="Cambria Math" w:hAnsi="Cambria Math"/>
                        <w:color w:val="000000" w:themeColor="text1"/>
                      </w:rPr>
                    </m:ctrlPr>
                  </m:fPr>
                  <m:num>
                    <m:f>
                      <m:fPr>
                        <m:ctrlPr>
                          <w:rPr>
                            <w:rFonts w:ascii="Cambria Math" w:eastAsiaTheme="minorHAnsi" w:hAnsi="Cambria Math"/>
                            <w:color w:val="000000" w:themeColor="text1"/>
                          </w:rPr>
                        </m:ctrlPr>
                      </m:fPr>
                      <m:num>
                        <m:r>
                          <w:rPr>
                            <w:rFonts w:ascii="Cambria Math" w:hAnsi="Cambria Math"/>
                          </w:rPr>
                          <m:t>∂</m:t>
                        </m:r>
                      </m:num>
                      <m:den>
                        <m:r>
                          <w:rPr>
                            <w:rFonts w:ascii="Cambria Math" w:hAnsi="Cambria Math"/>
                          </w:rPr>
                          <m:t>∂r</m:t>
                        </m:r>
                      </m:den>
                    </m:f>
                    <m:r>
                      <w:rPr>
                        <w:rFonts w:ascii="Cambria Math" w:hAnsi="Cambria Math"/>
                      </w:rPr>
                      <m:t>(2</m:t>
                    </m:r>
                    <m:sSub>
                      <m:sSubPr>
                        <m:ctrlPr>
                          <w:rPr>
                            <w:rFonts w:ascii="Cambria Math" w:eastAsiaTheme="minorHAnsi" w:hAnsi="Cambria Math"/>
                            <w:color w:val="000000" w:themeColor="text1"/>
                          </w:rPr>
                        </m:ctrlPr>
                      </m:sSubPr>
                      <m:e>
                        <m:r>
                          <m:rPr>
                            <m:sty m:val="p"/>
                          </m:rPr>
                          <w:rPr>
                            <w:rFonts w:ascii="Cambria Math" w:hAnsi="Cambria Math"/>
                            <w:color w:val="000000" w:themeColor="text1"/>
                          </w:rPr>
                          <m:t>∝</m:t>
                        </m:r>
                      </m:e>
                      <m:sub>
                        <m:r>
                          <w:rPr>
                            <w:rFonts w:ascii="Cambria Math" w:hAnsi="Cambria Math"/>
                          </w:rPr>
                          <m:t>i</m:t>
                        </m:r>
                      </m:sub>
                    </m:sSub>
                    <m:f>
                      <m:fPr>
                        <m:ctrlPr>
                          <w:rPr>
                            <w:rFonts w:ascii="Cambria Math" w:hAnsi="Cambria Math"/>
                            <w:color w:val="000000" w:themeColor="text1"/>
                          </w:rPr>
                        </m:ctrlPr>
                      </m:fPr>
                      <m:num>
                        <m:r>
                          <w:rPr>
                            <w:rFonts w:ascii="Cambria Math" w:hAnsi="Cambria Math"/>
                            <w:color w:val="000000" w:themeColor="text1"/>
                          </w:rPr>
                          <m:t>∂</m:t>
                        </m:r>
                        <m:r>
                          <w:rPr>
                            <w:rFonts w:ascii="Cambria Math" w:hAnsi="Cambria Math"/>
                          </w:rPr>
                          <m:t>T</m:t>
                        </m:r>
                      </m:num>
                      <m:den>
                        <m:r>
                          <w:rPr>
                            <w:rFonts w:ascii="Cambria Math" w:hAnsi="Cambria Math"/>
                            <w:color w:val="000000" w:themeColor="text1"/>
                          </w:rPr>
                          <m:t>∂r</m:t>
                        </m:r>
                      </m:den>
                    </m:f>
                    <m:r>
                      <w:rPr>
                        <w:rFonts w:ascii="Cambria Math" w:hAnsi="Cambria Math"/>
                      </w:rPr>
                      <m:t>)</m:t>
                    </m:r>
                  </m:num>
                  <m:den>
                    <m:f>
                      <m:fPr>
                        <m:ctrlPr>
                          <w:rPr>
                            <w:rFonts w:ascii="Cambria Math" w:eastAsiaTheme="minorHAnsi" w:hAnsi="Cambria Math"/>
                            <w:i/>
                            <w:color w:val="000000" w:themeColor="text1"/>
                          </w:rPr>
                        </m:ctrlPr>
                      </m:fPr>
                      <m:num>
                        <m:r>
                          <w:rPr>
                            <w:rFonts w:ascii="Cambria Math" w:hAnsi="Cambria Math"/>
                          </w:rPr>
                          <m:t>∂</m:t>
                        </m:r>
                      </m:num>
                      <m:den>
                        <m:r>
                          <w:rPr>
                            <w:rFonts w:ascii="Cambria Math" w:hAnsi="Cambria Math"/>
                          </w:rPr>
                          <m:t>∂r</m:t>
                        </m:r>
                      </m:den>
                    </m:f>
                    <m:r>
                      <w:rPr>
                        <w:rFonts w:ascii="Cambria Math" w:hAnsi="Cambria Math"/>
                        <w:color w:val="000000" w:themeColor="text1"/>
                      </w:rPr>
                      <m:t>r</m:t>
                    </m:r>
                  </m:den>
                </m:f>
              </m:e>
            </m:d>
          </m:e>
        </m:func>
      </m:oMath>
      <w:r w:rsidR="00565C27" w:rsidRPr="00487150">
        <w:rPr>
          <w:rFonts w:eastAsiaTheme="minorEastAsia"/>
          <w:color w:val="000000" w:themeColor="text1"/>
        </w:rPr>
        <w:tab/>
      </w:r>
      <w:r w:rsidR="00565C27">
        <w:rPr>
          <w:rFonts w:eastAsiaTheme="minorEastAsia"/>
        </w:rPr>
        <w:t>,</w:t>
      </w:r>
      <w:r w:rsidR="00565C27" w:rsidRPr="00487150">
        <w:rPr>
          <w:rFonts w:eastAsiaTheme="minorEastAsia"/>
          <w:color w:val="000000" w:themeColor="text1"/>
        </w:rPr>
        <w:tab/>
      </w:r>
      <w:r w:rsidR="00565C27">
        <w:rPr>
          <w:rFonts w:eastAsiaTheme="minorEastAsia"/>
        </w:rPr>
        <w:tab/>
      </w:r>
      <w:r w:rsidR="00565C27">
        <w:rPr>
          <w:rFonts w:eastAsiaTheme="minorEastAsia"/>
        </w:rPr>
        <w:tab/>
      </w:r>
      <w:r w:rsidR="00565C27">
        <w:rPr>
          <w:rFonts w:eastAsiaTheme="minorEastAsia"/>
        </w:rPr>
        <w:tab/>
      </w:r>
      <w:r w:rsidR="00565C27" w:rsidRPr="00487150">
        <w:rPr>
          <w:color w:val="000000" w:themeColor="text1"/>
        </w:rPr>
        <w:t>(3.1</w:t>
      </w:r>
      <w:r w:rsidR="00565C27">
        <w:t>5</w:t>
      </w:r>
      <w:r w:rsidR="00565C27" w:rsidRPr="00487150">
        <w:rPr>
          <w:color w:val="000000" w:themeColor="text1"/>
        </w:rPr>
        <w:t>)</w:t>
      </w:r>
    </w:p>
    <w:p w14:paraId="3E962F2B" w14:textId="77777777" w:rsidR="00565C27" w:rsidRDefault="00000000" w:rsidP="00565C27">
      <w:pPr>
        <w:spacing w:line="480" w:lineRule="auto"/>
        <w:ind w:firstLine="720"/>
        <w:jc w:val="right"/>
      </w:pPr>
      <m:oMath>
        <m:func>
          <m:funcPr>
            <m:ctrlPr>
              <w:rPr>
                <w:rFonts w:ascii="Cambria Math" w:hAnsi="Cambria Math"/>
                <w:color w:val="000000" w:themeColor="text1"/>
              </w:rPr>
            </m:ctrlPr>
          </m:funcPr>
          <m:fName>
            <m:limLow>
              <m:limLowPr>
                <m:ctrlPr>
                  <w:rPr>
                    <w:rFonts w:ascii="Cambria Math" w:hAnsi="Cambria Math"/>
                    <w:color w:val="000000" w:themeColor="text1"/>
                  </w:rPr>
                </m:ctrlPr>
              </m:limLowPr>
              <m:e>
                <m:r>
                  <m:rPr>
                    <m:sty m:val="p"/>
                  </m:rPr>
                  <w:rPr>
                    <w:rFonts w:ascii="Cambria Math" w:hAnsi="Cambria Math"/>
                    <w:color w:val="000000" w:themeColor="text1"/>
                  </w:rPr>
                  <m:t>lim</m:t>
                </m:r>
              </m:e>
              <m:lim>
                <m:r>
                  <w:rPr>
                    <w:rFonts w:ascii="Cambria Math" w:hAnsi="Cambria Math"/>
                    <w:color w:val="000000" w:themeColor="text1"/>
                  </w:rPr>
                  <m:t>r</m:t>
                </m:r>
                <m:r>
                  <m:rPr>
                    <m:sty m:val="p"/>
                  </m:rPr>
                  <w:rPr>
                    <w:rFonts w:ascii="Cambria Math" w:hAnsi="Cambria Math"/>
                    <w:color w:val="000000" w:themeColor="text1"/>
                  </w:rPr>
                  <m:t>→0</m:t>
                </m:r>
              </m:lim>
            </m:limLow>
          </m:fName>
          <m:e>
            <m:d>
              <m:dPr>
                <m:ctrlPr>
                  <w:rPr>
                    <w:rFonts w:ascii="Cambria Math" w:hAnsi="Cambria Math"/>
                    <w:color w:val="000000" w:themeColor="text1"/>
                  </w:rPr>
                </m:ctrlPr>
              </m:dPr>
              <m:e>
                <m:f>
                  <m:fPr>
                    <m:ctrlPr>
                      <w:rPr>
                        <w:rFonts w:ascii="Cambria Math" w:hAnsi="Cambria Math"/>
                        <w:color w:val="000000" w:themeColor="text1"/>
                      </w:rPr>
                    </m:ctrlPr>
                  </m:fPr>
                  <m:num>
                    <m:r>
                      <m:rPr>
                        <m:sty m:val="p"/>
                      </m:rPr>
                      <w:rPr>
                        <w:rFonts w:ascii="Cambria Math" w:hAnsi="Cambria Math"/>
                      </w:rPr>
                      <m:t>2</m:t>
                    </m:r>
                    <m:sSub>
                      <m:sSubPr>
                        <m:ctrlPr>
                          <w:rPr>
                            <w:rFonts w:ascii="Cambria Math" w:eastAsiaTheme="minorHAnsi" w:hAnsi="Cambria Math"/>
                            <w:color w:val="000000" w:themeColor="text1"/>
                          </w:rPr>
                        </m:ctrlPr>
                      </m:sSubPr>
                      <m:e>
                        <m:r>
                          <m:rPr>
                            <m:sty m:val="p"/>
                          </m:rPr>
                          <w:rPr>
                            <w:rFonts w:ascii="Cambria Math" w:hAnsi="Cambria Math"/>
                            <w:color w:val="000000" w:themeColor="text1"/>
                          </w:rPr>
                          <m:t>∝</m:t>
                        </m:r>
                      </m:e>
                      <m:sub>
                        <m:r>
                          <w:rPr>
                            <w:rFonts w:ascii="Cambria Math" w:hAnsi="Cambria Math"/>
                          </w:rPr>
                          <m:t>i</m:t>
                        </m:r>
                      </m:sub>
                    </m:sSub>
                    <m:f>
                      <m:fPr>
                        <m:ctrlPr>
                          <w:rPr>
                            <w:rFonts w:ascii="Cambria Math" w:hAnsi="Cambria Math"/>
                            <w:color w:val="000000" w:themeColor="text1"/>
                          </w:rPr>
                        </m:ctrlPr>
                      </m:fPr>
                      <m:num>
                        <m:r>
                          <w:rPr>
                            <w:rFonts w:ascii="Cambria Math" w:hAnsi="Cambria Math"/>
                            <w:color w:val="000000" w:themeColor="text1"/>
                          </w:rPr>
                          <m:t>∂</m:t>
                        </m:r>
                        <m:r>
                          <w:rPr>
                            <w:rFonts w:ascii="Cambria Math" w:hAnsi="Cambria Math"/>
                          </w:rPr>
                          <m:t>T</m:t>
                        </m:r>
                      </m:num>
                      <m:den>
                        <m:r>
                          <w:rPr>
                            <w:rFonts w:ascii="Cambria Math" w:hAnsi="Cambria Math"/>
                            <w:color w:val="000000" w:themeColor="text1"/>
                          </w:rPr>
                          <m:t>∂r</m:t>
                        </m:r>
                      </m:den>
                    </m:f>
                  </m:num>
                  <m:den>
                    <m:r>
                      <w:rPr>
                        <w:rFonts w:ascii="Cambria Math" w:hAnsi="Cambria Math"/>
                        <w:color w:val="000000" w:themeColor="text1"/>
                      </w:rPr>
                      <m:t>r</m:t>
                    </m:r>
                  </m:den>
                </m:f>
              </m:e>
            </m:d>
          </m:e>
        </m:func>
        <m:r>
          <m:rPr>
            <m:sty m:val="p"/>
          </m:rPr>
          <w:rPr>
            <w:rFonts w:ascii="Cambria Math" w:hAnsi="Cambria Math"/>
            <w:color w:val="000000" w:themeColor="text1"/>
          </w:rPr>
          <m:t>=</m:t>
        </m:r>
        <m:r>
          <m:rPr>
            <m:sty m:val="p"/>
          </m:rPr>
          <w:rPr>
            <w:rFonts w:ascii="Cambria Math" w:hAnsi="Cambria Math"/>
          </w:rPr>
          <m:t>2</m:t>
        </m:r>
        <m:f>
          <m:fPr>
            <m:ctrlPr>
              <w:rPr>
                <w:rFonts w:ascii="Cambria Math" w:eastAsiaTheme="minorHAnsi" w:hAnsi="Cambria Math"/>
                <w:color w:val="000000" w:themeColor="text1"/>
              </w:rPr>
            </m:ctrlPr>
          </m:fPr>
          <m:num>
            <m:r>
              <w:rPr>
                <w:rFonts w:ascii="Cambria Math" w:hAnsi="Cambria Math"/>
              </w:rPr>
              <m:t>∂</m:t>
            </m:r>
          </m:num>
          <m:den>
            <m:r>
              <w:rPr>
                <w:rFonts w:ascii="Cambria Math" w:hAnsi="Cambria Math"/>
              </w:rPr>
              <m:t>∂r</m:t>
            </m:r>
          </m:den>
        </m:f>
        <m:r>
          <m:rPr>
            <m:sty m:val="p"/>
          </m:rPr>
          <w:rPr>
            <w:rFonts w:ascii="Cambria Math" w:hAnsi="Cambria Math"/>
          </w:rPr>
          <m:t>(</m:t>
        </m:r>
        <m:sSub>
          <m:sSubPr>
            <m:ctrlPr>
              <w:rPr>
                <w:rFonts w:ascii="Cambria Math" w:eastAsiaTheme="minorHAnsi" w:hAnsi="Cambria Math"/>
                <w:color w:val="000000" w:themeColor="text1"/>
              </w:rPr>
            </m:ctrlPr>
          </m:sSubPr>
          <m:e>
            <m:r>
              <m:rPr>
                <m:sty m:val="p"/>
              </m:rPr>
              <w:rPr>
                <w:rFonts w:ascii="Cambria Math" w:hAnsi="Cambria Math"/>
                <w:color w:val="000000" w:themeColor="text1"/>
              </w:rPr>
              <m:t>∝</m:t>
            </m:r>
          </m:e>
          <m:sub>
            <m:r>
              <w:rPr>
                <w:rFonts w:ascii="Cambria Math" w:hAnsi="Cambria Math"/>
              </w:rPr>
              <m:t>i</m:t>
            </m:r>
          </m:sub>
        </m:sSub>
        <m:f>
          <m:fPr>
            <m:ctrlPr>
              <w:rPr>
                <w:rFonts w:ascii="Cambria Math" w:hAnsi="Cambria Math"/>
                <w:color w:val="000000" w:themeColor="text1"/>
              </w:rPr>
            </m:ctrlPr>
          </m:fPr>
          <m:num>
            <m:r>
              <w:rPr>
                <w:rFonts w:ascii="Cambria Math" w:hAnsi="Cambria Math"/>
                <w:color w:val="000000" w:themeColor="text1"/>
              </w:rPr>
              <m:t>∂</m:t>
            </m:r>
            <m:r>
              <w:rPr>
                <w:rFonts w:ascii="Cambria Math" w:hAnsi="Cambria Math"/>
              </w:rPr>
              <m:t>T</m:t>
            </m:r>
          </m:num>
          <m:den>
            <m:r>
              <w:rPr>
                <w:rFonts w:ascii="Cambria Math" w:hAnsi="Cambria Math"/>
                <w:color w:val="000000" w:themeColor="text1"/>
              </w:rPr>
              <m:t>∂r</m:t>
            </m:r>
          </m:den>
        </m:f>
        <m:r>
          <w:rPr>
            <w:rFonts w:ascii="Cambria Math" w:hAnsi="Cambria Math"/>
          </w:rPr>
          <m:t>)</m:t>
        </m:r>
      </m:oMath>
      <w:r w:rsidR="00565C27">
        <w:rPr>
          <w:rFonts w:eastAsiaTheme="minorEastAsia"/>
        </w:rPr>
        <w:t>,</w:t>
      </w:r>
      <w:r w:rsidR="00565C27" w:rsidRPr="00487150">
        <w:rPr>
          <w:rFonts w:eastAsiaTheme="minorEastAsia"/>
          <w:color w:val="000000" w:themeColor="text1"/>
        </w:rPr>
        <w:tab/>
      </w:r>
      <w:r w:rsidR="00565C27" w:rsidRPr="00487150">
        <w:rPr>
          <w:rFonts w:eastAsiaTheme="minorEastAsia"/>
          <w:color w:val="000000" w:themeColor="text1"/>
        </w:rPr>
        <w:tab/>
      </w:r>
      <w:r w:rsidR="00565C27">
        <w:rPr>
          <w:rFonts w:eastAsiaTheme="minorEastAsia"/>
        </w:rPr>
        <w:tab/>
      </w:r>
      <w:r w:rsidR="00565C27">
        <w:rPr>
          <w:rFonts w:eastAsiaTheme="minorEastAsia"/>
        </w:rPr>
        <w:tab/>
      </w:r>
      <w:r w:rsidR="00565C27">
        <w:rPr>
          <w:rFonts w:eastAsiaTheme="minorEastAsia"/>
        </w:rPr>
        <w:tab/>
      </w:r>
      <w:r w:rsidR="00565C27" w:rsidRPr="00487150">
        <w:rPr>
          <w:color w:val="000000" w:themeColor="text1"/>
        </w:rPr>
        <w:t>(3.1</w:t>
      </w:r>
      <w:r w:rsidR="00565C27">
        <w:t>6</w:t>
      </w:r>
      <w:r w:rsidR="00565C27" w:rsidRPr="00487150">
        <w:rPr>
          <w:color w:val="000000" w:themeColor="text1"/>
        </w:rPr>
        <w:t>)</w:t>
      </w:r>
    </w:p>
    <w:p w14:paraId="229C6A60" w14:textId="3C4BD0CD" w:rsidR="00565C27" w:rsidRDefault="00565C27" w:rsidP="00565C27">
      <w:pPr>
        <w:spacing w:line="480" w:lineRule="auto"/>
      </w:pPr>
      <w:r>
        <w:t>This result substituted into Eq</w:t>
      </w:r>
      <w:r w:rsidR="00651A73">
        <w:t>.</w:t>
      </w:r>
      <w:r>
        <w:t xml:space="preserve"> 3.14 yields:</w:t>
      </w:r>
    </w:p>
    <w:p w14:paraId="65A9B1F9" w14:textId="77777777" w:rsidR="00565C27" w:rsidRDefault="00000000" w:rsidP="00565C27">
      <w:pPr>
        <w:spacing w:line="480" w:lineRule="auto"/>
        <w:jc w:val="right"/>
      </w:pPr>
      <m:oMath>
        <m:func>
          <m:funcPr>
            <m:ctrlPr>
              <w:rPr>
                <w:rFonts w:ascii="Cambria Math" w:hAnsi="Cambria Math"/>
                <w:color w:val="000000" w:themeColor="text1"/>
              </w:rPr>
            </m:ctrlPr>
          </m:funcPr>
          <m:fName>
            <m:limLow>
              <m:limLowPr>
                <m:ctrlPr>
                  <w:rPr>
                    <w:rFonts w:ascii="Cambria Math" w:hAnsi="Cambria Math"/>
                    <w:color w:val="000000" w:themeColor="text1"/>
                  </w:rPr>
                </m:ctrlPr>
              </m:limLowPr>
              <m:e>
                <m:r>
                  <m:rPr>
                    <m:sty m:val="p"/>
                  </m:rPr>
                  <w:rPr>
                    <w:rFonts w:ascii="Cambria Math" w:hAnsi="Cambria Math"/>
                    <w:color w:val="000000" w:themeColor="text1"/>
                  </w:rPr>
                  <m:t>lim</m:t>
                </m:r>
              </m:e>
              <m:lim>
                <m:r>
                  <w:rPr>
                    <w:rFonts w:ascii="Cambria Math" w:hAnsi="Cambria Math"/>
                    <w:color w:val="000000" w:themeColor="text1"/>
                  </w:rPr>
                  <m:t>r</m:t>
                </m:r>
                <m:r>
                  <m:rPr>
                    <m:sty m:val="p"/>
                  </m:rPr>
                  <w:rPr>
                    <w:rFonts w:ascii="Cambria Math" w:hAnsi="Cambria Math"/>
                    <w:color w:val="000000" w:themeColor="text1"/>
                  </w:rPr>
                  <m:t>→0</m:t>
                </m:r>
              </m:lim>
            </m:limLow>
          </m:fName>
          <m:e>
            <m:d>
              <m:dPr>
                <m:ctrlPr>
                  <w:rPr>
                    <w:rFonts w:ascii="Cambria Math" w:hAnsi="Cambria Math"/>
                    <w:color w:val="000000" w:themeColor="text1"/>
                  </w:rPr>
                </m:ctrlPr>
              </m:dPr>
              <m:e>
                <m:f>
                  <m:fPr>
                    <m:ctrlPr>
                      <w:rPr>
                        <w:rFonts w:ascii="Cambria Math" w:hAnsi="Cambria Math"/>
                        <w:color w:val="000000" w:themeColor="text1"/>
                      </w:rPr>
                    </m:ctrlPr>
                  </m:fPr>
                  <m:num>
                    <m:r>
                      <m:rPr>
                        <m:sty m:val="p"/>
                      </m:rPr>
                      <w:rPr>
                        <w:rFonts w:ascii="Cambria Math" w:hAnsi="Cambria Math"/>
                      </w:rPr>
                      <m:t>2</m:t>
                    </m:r>
                    <m:sSub>
                      <m:sSubPr>
                        <m:ctrlPr>
                          <w:rPr>
                            <w:rFonts w:ascii="Cambria Math" w:eastAsiaTheme="minorHAnsi" w:hAnsi="Cambria Math"/>
                            <w:color w:val="000000" w:themeColor="text1"/>
                          </w:rPr>
                        </m:ctrlPr>
                      </m:sSubPr>
                      <m:e>
                        <m:r>
                          <m:rPr>
                            <m:sty m:val="p"/>
                          </m:rPr>
                          <w:rPr>
                            <w:rFonts w:ascii="Cambria Math" w:hAnsi="Cambria Math"/>
                            <w:color w:val="000000" w:themeColor="text1"/>
                          </w:rPr>
                          <m:t>∝</m:t>
                        </m:r>
                      </m:e>
                      <m:sub>
                        <m:r>
                          <w:rPr>
                            <w:rFonts w:ascii="Cambria Math" w:hAnsi="Cambria Math"/>
                          </w:rPr>
                          <m:t>i</m:t>
                        </m:r>
                      </m:sub>
                    </m:sSub>
                  </m:num>
                  <m:den>
                    <m:r>
                      <w:rPr>
                        <w:rFonts w:ascii="Cambria Math" w:hAnsi="Cambria Math"/>
                        <w:color w:val="000000" w:themeColor="text1"/>
                      </w:rPr>
                      <m:t>r</m:t>
                    </m:r>
                  </m:den>
                </m:f>
                <m:f>
                  <m:fPr>
                    <m:ctrlPr>
                      <w:rPr>
                        <w:rFonts w:ascii="Cambria Math" w:hAnsi="Cambria Math"/>
                        <w:color w:val="000000" w:themeColor="text1"/>
                      </w:rPr>
                    </m:ctrlPr>
                  </m:fPr>
                  <m:num>
                    <m:r>
                      <w:rPr>
                        <w:rFonts w:ascii="Cambria Math" w:hAnsi="Cambria Math"/>
                        <w:color w:val="000000" w:themeColor="text1"/>
                      </w:rPr>
                      <m:t>∂</m:t>
                    </m:r>
                    <m:r>
                      <w:rPr>
                        <w:rFonts w:ascii="Cambria Math" w:hAnsi="Cambria Math"/>
                      </w:rPr>
                      <m:t>T</m:t>
                    </m:r>
                  </m:num>
                  <m:den>
                    <m:r>
                      <w:rPr>
                        <w:rFonts w:ascii="Cambria Math" w:hAnsi="Cambria Math"/>
                        <w:color w:val="000000" w:themeColor="text1"/>
                      </w:rPr>
                      <m:t>∂r</m:t>
                    </m:r>
                  </m:den>
                </m:f>
                <m:r>
                  <w:rPr>
                    <w:rFonts w:ascii="Cambria Math" w:hAnsi="Cambria Math"/>
                  </w:rPr>
                  <m:t>+</m:t>
                </m:r>
                <m:f>
                  <m:fPr>
                    <m:ctrlPr>
                      <w:rPr>
                        <w:rFonts w:ascii="Cambria Math" w:hAnsi="Cambria Math"/>
                        <w:color w:val="000000" w:themeColor="text1"/>
                      </w:rPr>
                    </m:ctrlPr>
                  </m:fPr>
                  <m:num>
                    <m:r>
                      <w:rPr>
                        <w:rFonts w:ascii="Cambria Math" w:hAnsi="Cambria Math"/>
                        <w:color w:val="000000" w:themeColor="text1"/>
                      </w:rPr>
                      <m:t>∂</m:t>
                    </m:r>
                  </m:num>
                  <m:den>
                    <m:r>
                      <w:rPr>
                        <w:rFonts w:ascii="Cambria Math" w:hAnsi="Cambria Math"/>
                        <w:color w:val="000000" w:themeColor="text1"/>
                      </w:rPr>
                      <m:t>∂r</m:t>
                    </m:r>
                  </m:den>
                </m:f>
                <m:d>
                  <m:dPr>
                    <m:ctrlPr>
                      <w:rPr>
                        <w:rFonts w:ascii="Cambria Math" w:hAnsi="Cambria Math"/>
                        <w:color w:val="000000" w:themeColor="text1"/>
                      </w:rPr>
                    </m:ctrlPr>
                  </m:dPr>
                  <m:e>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f>
                      <m:fPr>
                        <m:ctrlPr>
                          <w:rPr>
                            <w:rFonts w:ascii="Cambria Math" w:hAnsi="Cambria Math"/>
                            <w:color w:val="000000" w:themeColor="text1"/>
                          </w:rPr>
                        </m:ctrlPr>
                      </m:fPr>
                      <m:num>
                        <m:r>
                          <w:rPr>
                            <w:rFonts w:ascii="Cambria Math" w:hAnsi="Cambria Math"/>
                            <w:color w:val="000000" w:themeColor="text1"/>
                          </w:rPr>
                          <m:t>∂T</m:t>
                        </m:r>
                      </m:num>
                      <m:den>
                        <m:r>
                          <w:rPr>
                            <w:rFonts w:ascii="Cambria Math" w:hAnsi="Cambria Math"/>
                            <w:color w:val="000000" w:themeColor="text1"/>
                          </w:rPr>
                          <m:t>∂r</m:t>
                        </m:r>
                      </m:den>
                    </m:f>
                  </m:e>
                </m:d>
              </m:e>
            </m:d>
          </m:e>
        </m:func>
        <m:r>
          <m:rPr>
            <m:sty m:val="p"/>
          </m:rPr>
          <w:rPr>
            <w:rFonts w:ascii="Cambria Math" w:hAnsi="Cambria Math"/>
            <w:color w:val="000000" w:themeColor="text1"/>
          </w:rPr>
          <m:t>=</m:t>
        </m:r>
        <m:r>
          <m:rPr>
            <m:sty m:val="p"/>
          </m:rPr>
          <w:rPr>
            <w:rFonts w:ascii="Cambria Math" w:hAnsi="Cambria Math"/>
          </w:rPr>
          <m:t>3</m:t>
        </m:r>
        <m:f>
          <m:fPr>
            <m:ctrlPr>
              <w:rPr>
                <w:rFonts w:ascii="Cambria Math" w:eastAsiaTheme="minorHAnsi" w:hAnsi="Cambria Math"/>
                <w:color w:val="000000" w:themeColor="text1"/>
              </w:rPr>
            </m:ctrlPr>
          </m:fPr>
          <m:num>
            <m:r>
              <w:rPr>
                <w:rFonts w:ascii="Cambria Math" w:hAnsi="Cambria Math"/>
              </w:rPr>
              <m:t>∂</m:t>
            </m:r>
          </m:num>
          <m:den>
            <m:r>
              <w:rPr>
                <w:rFonts w:ascii="Cambria Math" w:hAnsi="Cambria Math"/>
              </w:rPr>
              <m:t>∂r</m:t>
            </m:r>
          </m:den>
        </m:f>
        <m:r>
          <m:rPr>
            <m:sty m:val="p"/>
          </m:rPr>
          <w:rPr>
            <w:rFonts w:ascii="Cambria Math" w:hAnsi="Cambria Math"/>
          </w:rPr>
          <m:t>(</m:t>
        </m:r>
        <m:sSub>
          <m:sSubPr>
            <m:ctrlPr>
              <w:rPr>
                <w:rFonts w:ascii="Cambria Math" w:eastAsiaTheme="minorHAnsi" w:hAnsi="Cambria Math"/>
                <w:color w:val="000000" w:themeColor="text1"/>
              </w:rPr>
            </m:ctrlPr>
          </m:sSubPr>
          <m:e>
            <m:r>
              <m:rPr>
                <m:sty m:val="p"/>
              </m:rPr>
              <w:rPr>
                <w:rFonts w:ascii="Cambria Math" w:hAnsi="Cambria Math"/>
                <w:color w:val="000000" w:themeColor="text1"/>
              </w:rPr>
              <m:t>∝</m:t>
            </m:r>
          </m:e>
          <m:sub>
            <m:r>
              <w:rPr>
                <w:rFonts w:ascii="Cambria Math" w:hAnsi="Cambria Math"/>
              </w:rPr>
              <m:t>i</m:t>
            </m:r>
          </m:sub>
        </m:sSub>
        <m:f>
          <m:fPr>
            <m:ctrlPr>
              <w:rPr>
                <w:rFonts w:ascii="Cambria Math" w:hAnsi="Cambria Math"/>
                <w:color w:val="000000" w:themeColor="text1"/>
              </w:rPr>
            </m:ctrlPr>
          </m:fPr>
          <m:num>
            <m:r>
              <w:rPr>
                <w:rFonts w:ascii="Cambria Math" w:hAnsi="Cambria Math"/>
                <w:color w:val="000000" w:themeColor="text1"/>
              </w:rPr>
              <m:t>∂</m:t>
            </m:r>
            <m:r>
              <w:rPr>
                <w:rFonts w:ascii="Cambria Math" w:hAnsi="Cambria Math"/>
              </w:rPr>
              <m:t>T</m:t>
            </m:r>
          </m:num>
          <m:den>
            <m:r>
              <w:rPr>
                <w:rFonts w:ascii="Cambria Math" w:hAnsi="Cambria Math"/>
                <w:color w:val="000000" w:themeColor="text1"/>
              </w:rPr>
              <m:t>∂r</m:t>
            </m:r>
          </m:den>
        </m:f>
        <m:r>
          <w:rPr>
            <w:rFonts w:ascii="Cambria Math" w:hAnsi="Cambria Math"/>
          </w:rPr>
          <m:t>)</m:t>
        </m:r>
      </m:oMath>
      <w:r w:rsidR="00565C27">
        <w:rPr>
          <w:rFonts w:eastAsiaTheme="minorEastAsia"/>
        </w:rPr>
        <w:t>,</w:t>
      </w:r>
      <w:r w:rsidR="00565C27" w:rsidRPr="00487150">
        <w:rPr>
          <w:rFonts w:eastAsiaTheme="minorEastAsia"/>
          <w:color w:val="000000" w:themeColor="text1"/>
        </w:rPr>
        <w:tab/>
      </w:r>
      <w:r w:rsidR="00565C27" w:rsidRPr="00487150">
        <w:rPr>
          <w:rFonts w:eastAsiaTheme="minorEastAsia"/>
          <w:color w:val="000000" w:themeColor="text1"/>
        </w:rPr>
        <w:tab/>
      </w:r>
      <w:r w:rsidR="00565C27">
        <w:rPr>
          <w:rFonts w:eastAsiaTheme="minorEastAsia"/>
        </w:rPr>
        <w:tab/>
      </w:r>
      <w:r w:rsidR="00565C27" w:rsidRPr="00487150">
        <w:rPr>
          <w:color w:val="000000" w:themeColor="text1"/>
        </w:rPr>
        <w:t>(3.1</w:t>
      </w:r>
      <w:r w:rsidR="00565C27">
        <w:t>7</w:t>
      </w:r>
      <w:r w:rsidR="00565C27" w:rsidRPr="00487150">
        <w:rPr>
          <w:color w:val="000000" w:themeColor="text1"/>
        </w:rPr>
        <w:t>)</w:t>
      </w:r>
    </w:p>
    <w:p w14:paraId="3A1D9A23" w14:textId="77777777" w:rsidR="00565C27" w:rsidRDefault="00000000" w:rsidP="00565C27">
      <w:pPr>
        <w:spacing w:line="480" w:lineRule="auto"/>
        <w:ind w:firstLine="720"/>
        <w:jc w:val="right"/>
      </w:pPr>
      <m:oMath>
        <m:func>
          <m:funcPr>
            <m:ctrlPr>
              <w:rPr>
                <w:rFonts w:ascii="Cambria Math" w:hAnsi="Cambria Math"/>
                <w:color w:val="000000" w:themeColor="text1"/>
              </w:rPr>
            </m:ctrlPr>
          </m:funcPr>
          <m:fName>
            <m:limLow>
              <m:limLowPr>
                <m:ctrlPr>
                  <w:rPr>
                    <w:rFonts w:ascii="Cambria Math" w:hAnsi="Cambria Math"/>
                    <w:color w:val="000000" w:themeColor="text1"/>
                  </w:rPr>
                </m:ctrlPr>
              </m:limLowPr>
              <m:e>
                <m:r>
                  <m:rPr>
                    <m:sty m:val="p"/>
                  </m:rPr>
                  <w:rPr>
                    <w:rFonts w:ascii="Cambria Math" w:hAnsi="Cambria Math"/>
                    <w:color w:val="000000" w:themeColor="text1"/>
                  </w:rPr>
                  <m:t>lim</m:t>
                </m:r>
              </m:e>
              <m:lim>
                <m:r>
                  <w:rPr>
                    <w:rFonts w:ascii="Cambria Math" w:hAnsi="Cambria Math"/>
                    <w:color w:val="000000" w:themeColor="text1"/>
                  </w:rPr>
                  <m:t>r</m:t>
                </m:r>
                <m:r>
                  <m:rPr>
                    <m:sty m:val="p"/>
                  </m:rPr>
                  <w:rPr>
                    <w:rFonts w:ascii="Cambria Math" w:hAnsi="Cambria Math"/>
                    <w:color w:val="000000" w:themeColor="text1"/>
                  </w:rPr>
                  <m:t>→0</m:t>
                </m:r>
              </m:lim>
            </m:limLow>
          </m:fName>
          <m:e>
            <m:d>
              <m:dPr>
                <m:ctrlPr>
                  <w:rPr>
                    <w:rFonts w:ascii="Cambria Math" w:hAnsi="Cambria Math"/>
                    <w:color w:val="000000" w:themeColor="text1"/>
                  </w:rPr>
                </m:ctrlPr>
              </m:dPr>
              <m:e>
                <m:f>
                  <m:fPr>
                    <m:ctrlPr>
                      <w:rPr>
                        <w:rFonts w:ascii="Cambria Math" w:hAnsi="Cambria Math"/>
                        <w:color w:val="000000" w:themeColor="text1"/>
                      </w:rPr>
                    </m:ctrlPr>
                  </m:fPr>
                  <m:num>
                    <m:r>
                      <m:rPr>
                        <m:sty m:val="p"/>
                      </m:rPr>
                      <w:rPr>
                        <w:rFonts w:ascii="Cambria Math" w:hAnsi="Cambria Math"/>
                      </w:rPr>
                      <m:t>2</m:t>
                    </m:r>
                    <m:sSub>
                      <m:sSubPr>
                        <m:ctrlPr>
                          <w:rPr>
                            <w:rFonts w:ascii="Cambria Math" w:eastAsiaTheme="minorHAnsi" w:hAnsi="Cambria Math"/>
                            <w:color w:val="000000" w:themeColor="text1"/>
                          </w:rPr>
                        </m:ctrlPr>
                      </m:sSubPr>
                      <m:e>
                        <m:r>
                          <m:rPr>
                            <m:sty m:val="p"/>
                          </m:rPr>
                          <w:rPr>
                            <w:rFonts w:ascii="Cambria Math" w:hAnsi="Cambria Math"/>
                            <w:color w:val="000000" w:themeColor="text1"/>
                          </w:rPr>
                          <m:t>∝</m:t>
                        </m:r>
                      </m:e>
                      <m:sub>
                        <m:r>
                          <w:rPr>
                            <w:rFonts w:ascii="Cambria Math" w:hAnsi="Cambria Math"/>
                          </w:rPr>
                          <m:t>i</m:t>
                        </m:r>
                      </m:sub>
                    </m:sSub>
                  </m:num>
                  <m:den>
                    <m:r>
                      <w:rPr>
                        <w:rFonts w:ascii="Cambria Math" w:hAnsi="Cambria Math"/>
                        <w:color w:val="000000" w:themeColor="text1"/>
                      </w:rPr>
                      <m:t>r</m:t>
                    </m:r>
                  </m:den>
                </m:f>
                <m:f>
                  <m:fPr>
                    <m:ctrlPr>
                      <w:rPr>
                        <w:rFonts w:ascii="Cambria Math" w:hAnsi="Cambria Math"/>
                        <w:color w:val="000000" w:themeColor="text1"/>
                      </w:rPr>
                    </m:ctrlPr>
                  </m:fPr>
                  <m:num>
                    <m:r>
                      <w:rPr>
                        <w:rFonts w:ascii="Cambria Math" w:hAnsi="Cambria Math"/>
                        <w:color w:val="000000" w:themeColor="text1"/>
                      </w:rPr>
                      <m:t>∂</m:t>
                    </m:r>
                    <m:r>
                      <w:rPr>
                        <w:rFonts w:ascii="Cambria Math" w:hAnsi="Cambria Math"/>
                      </w:rPr>
                      <m:t>T</m:t>
                    </m:r>
                  </m:num>
                  <m:den>
                    <m:r>
                      <w:rPr>
                        <w:rFonts w:ascii="Cambria Math" w:hAnsi="Cambria Math"/>
                        <w:color w:val="000000" w:themeColor="text1"/>
                      </w:rPr>
                      <m:t>∂r</m:t>
                    </m:r>
                  </m:den>
                </m:f>
                <m:r>
                  <w:rPr>
                    <w:rFonts w:ascii="Cambria Math" w:hAnsi="Cambria Math"/>
                  </w:rPr>
                  <m:t>+</m:t>
                </m:r>
                <m:f>
                  <m:fPr>
                    <m:ctrlPr>
                      <w:rPr>
                        <w:rFonts w:ascii="Cambria Math" w:hAnsi="Cambria Math"/>
                        <w:color w:val="000000" w:themeColor="text1"/>
                      </w:rPr>
                    </m:ctrlPr>
                  </m:fPr>
                  <m:num>
                    <m:r>
                      <w:rPr>
                        <w:rFonts w:ascii="Cambria Math" w:hAnsi="Cambria Math"/>
                        <w:color w:val="000000" w:themeColor="text1"/>
                      </w:rPr>
                      <m:t>∂</m:t>
                    </m:r>
                  </m:num>
                  <m:den>
                    <m:r>
                      <w:rPr>
                        <w:rFonts w:ascii="Cambria Math" w:hAnsi="Cambria Math"/>
                        <w:color w:val="000000" w:themeColor="text1"/>
                      </w:rPr>
                      <m:t>∂r</m:t>
                    </m:r>
                  </m:den>
                </m:f>
                <m:d>
                  <m:dPr>
                    <m:ctrlPr>
                      <w:rPr>
                        <w:rFonts w:ascii="Cambria Math" w:hAnsi="Cambria Math"/>
                        <w:color w:val="000000" w:themeColor="text1"/>
                      </w:rPr>
                    </m:ctrlPr>
                  </m:dPr>
                  <m:e>
                    <m:sSub>
                      <m:sSubPr>
                        <m:ctrlPr>
                          <w:rPr>
                            <w:rFonts w:ascii="Cambria Math" w:hAnsi="Cambria Math"/>
                            <w:color w:val="000000" w:themeColor="text1"/>
                          </w:rPr>
                        </m:ctrlPr>
                      </m:sSubPr>
                      <m:e>
                        <m:r>
                          <m:rPr>
                            <m:sty m:val="p"/>
                          </m:rPr>
                          <w:rPr>
                            <w:rFonts w:ascii="Cambria Math" w:hAnsi="Cambria Math"/>
                            <w:color w:val="000000" w:themeColor="text1"/>
                          </w:rPr>
                          <m:t>∝</m:t>
                        </m:r>
                      </m:e>
                      <m:sub>
                        <m:r>
                          <w:rPr>
                            <w:rFonts w:ascii="Cambria Math" w:hAnsi="Cambria Math"/>
                            <w:color w:val="000000" w:themeColor="text1"/>
                          </w:rPr>
                          <m:t>i</m:t>
                        </m:r>
                      </m:sub>
                    </m:sSub>
                    <m:f>
                      <m:fPr>
                        <m:ctrlPr>
                          <w:rPr>
                            <w:rFonts w:ascii="Cambria Math" w:hAnsi="Cambria Math"/>
                            <w:color w:val="000000" w:themeColor="text1"/>
                          </w:rPr>
                        </m:ctrlPr>
                      </m:fPr>
                      <m:num>
                        <m:r>
                          <w:rPr>
                            <w:rFonts w:ascii="Cambria Math" w:hAnsi="Cambria Math"/>
                            <w:color w:val="000000" w:themeColor="text1"/>
                          </w:rPr>
                          <m:t>∂T</m:t>
                        </m:r>
                      </m:num>
                      <m:den>
                        <m:r>
                          <w:rPr>
                            <w:rFonts w:ascii="Cambria Math" w:hAnsi="Cambria Math"/>
                            <w:color w:val="000000" w:themeColor="text1"/>
                          </w:rPr>
                          <m:t>∂r</m:t>
                        </m:r>
                      </m:den>
                    </m:f>
                  </m:e>
                </m:d>
              </m:e>
            </m:d>
          </m:e>
        </m:func>
        <m:r>
          <m:rPr>
            <m:sty m:val="p"/>
          </m:rPr>
          <w:rPr>
            <w:rFonts w:ascii="Cambria Math" w:hAnsi="Cambria Math"/>
            <w:color w:val="000000" w:themeColor="text1"/>
          </w:rPr>
          <m:t>=</m:t>
        </m:r>
        <m:r>
          <m:rPr>
            <m:sty m:val="p"/>
          </m:rPr>
          <w:rPr>
            <w:rFonts w:ascii="Cambria Math" w:hAnsi="Cambria Math"/>
          </w:rPr>
          <m:t>3</m:t>
        </m:r>
        <m:sSub>
          <m:sSubPr>
            <m:ctrlPr>
              <w:rPr>
                <w:rFonts w:ascii="Cambria Math" w:eastAsiaTheme="minorHAnsi" w:hAnsi="Cambria Math"/>
                <w:color w:val="000000" w:themeColor="text1"/>
              </w:rPr>
            </m:ctrlPr>
          </m:sSubPr>
          <m:e>
            <m:r>
              <w:rPr>
                <w:rFonts w:ascii="Cambria Math" w:hAnsi="Cambria Math"/>
              </w:rPr>
              <m:t>∝</m:t>
            </m:r>
          </m:e>
          <m:sub>
            <m:r>
              <w:rPr>
                <w:rFonts w:ascii="Cambria Math" w:hAnsi="Cambria Math"/>
              </w:rPr>
              <m:t>i</m:t>
            </m:r>
          </m:sub>
        </m:sSub>
        <m:f>
          <m:fPr>
            <m:ctrlPr>
              <w:rPr>
                <w:rFonts w:ascii="Cambria Math" w:eastAsiaTheme="minorHAnsi" w:hAnsi="Cambria Math"/>
                <w:color w:val="000000" w:themeColor="text1"/>
              </w:rPr>
            </m:ctrlPr>
          </m:fPr>
          <m:num>
            <m:sSup>
              <m:sSupPr>
                <m:ctrlPr>
                  <w:rPr>
                    <w:rFonts w:ascii="Cambria Math" w:eastAsiaTheme="minorHAnsi" w:hAnsi="Cambria Math"/>
                    <w:i/>
                    <w:color w:val="000000" w:themeColor="text1"/>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eastAsiaTheme="minorHAnsi" w:hAnsi="Cambria Math"/>
                    <w:i/>
                    <w:color w:val="000000" w:themeColor="text1"/>
                  </w:rPr>
                </m:ctrlPr>
              </m:sSupPr>
              <m:e>
                <m:r>
                  <w:rPr>
                    <w:rFonts w:ascii="Cambria Math" w:hAnsi="Cambria Math"/>
                  </w:rPr>
                  <m:t>r</m:t>
                </m:r>
              </m:e>
              <m:sup>
                <m:r>
                  <w:rPr>
                    <w:rFonts w:ascii="Cambria Math" w:hAnsi="Cambria Math"/>
                  </w:rPr>
                  <m:t>2</m:t>
                </m:r>
              </m:sup>
            </m:sSup>
          </m:den>
        </m:f>
      </m:oMath>
      <w:r w:rsidR="00565C27" w:rsidRPr="00487150">
        <w:rPr>
          <w:rFonts w:eastAsiaTheme="minorEastAsia"/>
          <w:color w:val="000000" w:themeColor="text1"/>
        </w:rPr>
        <w:tab/>
      </w:r>
      <w:r w:rsidR="00565C27">
        <w:rPr>
          <w:rFonts w:eastAsiaTheme="minorEastAsia"/>
        </w:rPr>
        <w:t>,</w:t>
      </w:r>
      <w:r w:rsidR="00565C27" w:rsidRPr="00487150">
        <w:rPr>
          <w:rFonts w:eastAsiaTheme="minorEastAsia"/>
          <w:color w:val="000000" w:themeColor="text1"/>
        </w:rPr>
        <w:tab/>
      </w:r>
      <w:r w:rsidR="00565C27">
        <w:rPr>
          <w:rFonts w:eastAsiaTheme="minorEastAsia"/>
        </w:rPr>
        <w:tab/>
      </w:r>
      <w:r w:rsidR="00565C27">
        <w:rPr>
          <w:rFonts w:eastAsiaTheme="minorEastAsia"/>
        </w:rPr>
        <w:tab/>
      </w:r>
      <w:r w:rsidR="00565C27" w:rsidRPr="00487150">
        <w:rPr>
          <w:color w:val="000000" w:themeColor="text1"/>
        </w:rPr>
        <w:t>(3.1</w:t>
      </w:r>
      <w:r w:rsidR="00565C27">
        <w:t>8</w:t>
      </w:r>
      <w:r w:rsidR="00565C27" w:rsidRPr="00487150">
        <w:rPr>
          <w:color w:val="000000" w:themeColor="text1"/>
        </w:rPr>
        <w:t>)</w:t>
      </w:r>
    </w:p>
    <w:p w14:paraId="1CAF1426" w14:textId="77777777" w:rsidR="00565C27" w:rsidRPr="00487150" w:rsidRDefault="00565C27" w:rsidP="00565C27">
      <w:pPr>
        <w:spacing w:line="480" w:lineRule="auto"/>
        <w:rPr>
          <w:color w:val="000000" w:themeColor="text1"/>
        </w:rPr>
      </w:pPr>
      <w:r>
        <w:t>The central difference approximation to the spatial derivatives is:</w:t>
      </w:r>
    </w:p>
    <w:p w14:paraId="03A4AAB5" w14:textId="77777777" w:rsidR="00565C27" w:rsidRPr="00487150" w:rsidRDefault="00000000" w:rsidP="00565C27">
      <w:pPr>
        <w:spacing w:line="480" w:lineRule="auto"/>
        <w:jc w:val="right"/>
        <w:rPr>
          <w:color w:val="000000" w:themeColor="text1"/>
        </w:rPr>
      </w:pPr>
      <m:oMath>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3∝</m:t>
                </m:r>
              </m:e>
              <m:sub>
                <m:r>
                  <w:rPr>
                    <w:rFonts w:ascii="Cambria Math" w:hAnsi="Cambria Math"/>
                    <w:color w:val="000000" w:themeColor="text1"/>
                  </w:rPr>
                  <m:t>i</m:t>
                </m:r>
              </m:sub>
            </m:sSub>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r</m:t>
            </m:r>
          </m:sub>
        </m:sSub>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r</m:t>
                </m:r>
              </m:sub>
            </m:sSub>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3∝</m:t>
                </m:r>
              </m:e>
              <m:sub>
                <m:r>
                  <w:rPr>
                    <w:rFonts w:ascii="Cambria Math" w:hAnsi="Cambria Math"/>
                    <w:color w:val="000000" w:themeColor="text1"/>
                  </w:rPr>
                  <m:t>i</m:t>
                </m:r>
              </m:sub>
            </m:sSub>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r</m:t>
            </m:r>
          </m:sub>
        </m:sSub>
        <m:d>
          <m:dPr>
            <m:ctrlPr>
              <w:rPr>
                <w:rFonts w:ascii="Cambria Math" w:hAnsi="Cambria Math"/>
                <w:color w:val="000000" w:themeColor="text1"/>
              </w:rPr>
            </m:ctrlPr>
          </m:dPr>
          <m:e>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r>
                      <m:rPr>
                        <m:sty m:val="p"/>
                      </m:rPr>
                      <w:rPr>
                        <w:rFonts w:ascii="Cambria Math" w:hAnsi="Cambria Math"/>
                        <w:color w:val="000000" w:themeColor="text1"/>
                      </w:rPr>
                      <m:t>-1</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e>
        </m:d>
      </m:oMath>
      <w:r w:rsidR="00565C27" w:rsidRPr="00487150">
        <w:rPr>
          <w:rFonts w:eastAsiaTheme="minorEastAsia"/>
          <w:color w:val="000000" w:themeColor="text1"/>
        </w:rPr>
        <w:t>,</w:t>
      </w:r>
      <w:r w:rsidR="00565C27" w:rsidRPr="00487150">
        <w:rPr>
          <w:rFonts w:eastAsiaTheme="minorEastAsia"/>
          <w:color w:val="000000" w:themeColor="text1"/>
        </w:rPr>
        <w:tab/>
      </w:r>
      <w:r w:rsidR="00565C27">
        <w:rPr>
          <w:rFonts w:eastAsiaTheme="minorEastAsia"/>
        </w:rPr>
        <w:tab/>
      </w:r>
      <w:r w:rsidR="00565C27" w:rsidRPr="00487150">
        <w:rPr>
          <w:color w:val="000000" w:themeColor="text1"/>
        </w:rPr>
        <w:t>(3.1</w:t>
      </w:r>
      <w:r w:rsidR="00565C27">
        <w:t>9</w:t>
      </w:r>
      <w:r w:rsidR="00565C27" w:rsidRPr="00487150">
        <w:rPr>
          <w:color w:val="000000" w:themeColor="text1"/>
        </w:rPr>
        <w:t>)</w:t>
      </w:r>
    </w:p>
    <w:p w14:paraId="5F359E5F" w14:textId="77777777" w:rsidR="00565C27" w:rsidRPr="00487150" w:rsidRDefault="00000000" w:rsidP="00565C27">
      <w:pPr>
        <w:spacing w:line="480" w:lineRule="auto"/>
        <w:jc w:val="right"/>
        <w:rPr>
          <w:b/>
          <w:bCs/>
          <w:color w:val="000000" w:themeColor="text1"/>
        </w:rPr>
      </w:pPr>
      <m:oMath>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3∝</m:t>
                </m:r>
              </m:e>
              <m:sub>
                <m:r>
                  <w:rPr>
                    <w:rFonts w:ascii="Cambria Math" w:hAnsi="Cambria Math"/>
                    <w:color w:val="000000" w:themeColor="text1"/>
                  </w:rPr>
                  <m:t>i</m:t>
                </m:r>
              </m:sub>
            </m:sSub>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sSub>
          <m:sSubPr>
            <m:ctrlPr>
              <w:rPr>
                <w:rFonts w:ascii="Cambria Math" w:hAnsi="Cambria Math"/>
                <w:color w:val="000000" w:themeColor="text1"/>
              </w:rPr>
            </m:ctrlPr>
          </m:sSubPr>
          <m:e>
            <m:r>
              <w:rPr>
                <w:rFonts w:ascii="Cambria Math" w:hAnsi="Cambria Math"/>
                <w:color w:val="000000" w:themeColor="text1"/>
              </w:rPr>
              <m:t>δ</m:t>
            </m:r>
          </m:e>
          <m:sub>
            <m:r>
              <w:rPr>
                <w:rFonts w:ascii="Cambria Math" w:hAnsi="Cambria Math"/>
                <w:color w:val="000000" w:themeColor="text1"/>
              </w:rPr>
              <m:t>r</m:t>
            </m:r>
          </m:sub>
        </m:sSub>
        <m:d>
          <m:dPr>
            <m:ctrlPr>
              <w:rPr>
                <w:rFonts w:ascii="Cambria Math" w:hAnsi="Cambria Math"/>
                <w:color w:val="000000" w:themeColor="text1"/>
              </w:rPr>
            </m:ctrlPr>
          </m:dPr>
          <m:e>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r>
              <m:rPr>
                <m:sty m:val="p"/>
              </m:rPr>
              <w:rPr>
                <w:rFonts w:ascii="Cambria Math" w:hAnsi="Cambria Math"/>
                <w:color w:val="000000" w:themeColor="text1"/>
              </w:rPr>
              <m:t>-</m:t>
            </m:r>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r>
                      <m:rPr>
                        <m:sty m:val="p"/>
                      </m:rPr>
                      <w:rPr>
                        <w:rFonts w:ascii="Cambria Math" w:hAnsi="Cambria Math"/>
                        <w:color w:val="000000" w:themeColor="text1"/>
                      </w:rPr>
                      <m:t>-1</m:t>
                    </m:r>
                  </m:sub>
                </m:sSub>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r</m:t>
                    </m:r>
                  </m:num>
                  <m:den>
                    <m:r>
                      <m:rPr>
                        <m:sty m:val="p"/>
                      </m:rPr>
                      <w:rPr>
                        <w:rFonts w:ascii="Cambria Math" w:hAnsi="Cambria Math"/>
                        <w:color w:val="000000" w:themeColor="text1"/>
                      </w:rPr>
                      <m:t>2</m:t>
                    </m:r>
                  </m:den>
                </m:f>
                <m:r>
                  <m:rPr>
                    <m:sty m:val="p"/>
                  </m:rPr>
                  <w:rPr>
                    <w:rFonts w:ascii="Cambria Math" w:hAnsi="Cambria Math"/>
                    <w:color w:val="000000" w:themeColor="text1"/>
                  </w:rPr>
                  <m:t>,</m:t>
                </m:r>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m:rPr>
                    <m:sty m:val="p"/>
                  </m:rPr>
                  <w:rPr>
                    <w:rFonts w:ascii="Cambria Math" w:hAnsi="Cambria Math"/>
                    <w:color w:val="000000" w:themeColor="text1"/>
                  </w:rPr>
                  <m:t>3∝</m:t>
                </m:r>
              </m:e>
              <m:sub>
                <m:r>
                  <w:rPr>
                    <w:rFonts w:ascii="Cambria Math" w:hAnsi="Cambria Math"/>
                    <w:color w:val="000000" w:themeColor="text1"/>
                  </w:rPr>
                  <m:t>i</m:t>
                </m:r>
              </m:sub>
            </m:sSub>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-2</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e>
        </m:d>
      </m:oMath>
      <w:r w:rsidR="00565C27" w:rsidRPr="00487150">
        <w:rPr>
          <w:rFonts w:eastAsiaTheme="minorEastAsia"/>
          <w:color w:val="000000" w:themeColor="text1"/>
        </w:rPr>
        <w:t>,</w:t>
      </w:r>
      <w:r w:rsidR="00565C27">
        <w:rPr>
          <w:rFonts w:eastAsiaTheme="minorEastAsia"/>
        </w:rPr>
        <w:tab/>
      </w:r>
      <w:r w:rsidR="00565C27" w:rsidRPr="00487150">
        <w:rPr>
          <w:color w:val="000000" w:themeColor="text1"/>
        </w:rPr>
        <w:t>(3.</w:t>
      </w:r>
      <w:r w:rsidR="00565C27">
        <w:t>20</w:t>
      </w:r>
      <w:r w:rsidR="00565C27" w:rsidRPr="00487150">
        <w:rPr>
          <w:color w:val="000000" w:themeColor="text1"/>
        </w:rPr>
        <w:t>)</w:t>
      </w:r>
    </w:p>
    <w:p w14:paraId="27097A54" w14:textId="77777777" w:rsidR="00565C27" w:rsidRPr="00487150" w:rsidRDefault="00565C27" w:rsidP="00565C27">
      <w:pPr>
        <w:spacing w:line="480" w:lineRule="auto"/>
        <w:rPr>
          <w:color w:val="000000" w:themeColor="text1"/>
        </w:rPr>
      </w:pPr>
      <w:r w:rsidRPr="00487150">
        <w:rPr>
          <w:color w:val="000000" w:themeColor="text1"/>
        </w:rPr>
        <w:t>and since this study assume</w:t>
      </w:r>
      <w:r>
        <w:rPr>
          <w:color w:val="000000" w:themeColor="text1"/>
        </w:rPr>
        <w:t>s</w:t>
      </w:r>
      <w:r w:rsidRPr="00487150">
        <w:rPr>
          <w:color w:val="000000" w:themeColor="text1"/>
        </w:rPr>
        <w:t xml:space="preserve"> a radially symmetric sphere around the origin:</w:t>
      </w:r>
    </w:p>
    <w:p w14:paraId="31A6BDDC" w14:textId="77777777" w:rsidR="00565C27" w:rsidRPr="00487150" w:rsidRDefault="00000000" w:rsidP="00565C27">
      <w:pPr>
        <w:spacing w:line="480" w:lineRule="auto"/>
        <w:jc w:val="right"/>
        <w:rPr>
          <w:color w:val="000000" w:themeColor="text1"/>
        </w:rPr>
      </w:pPr>
      <m:oMath>
        <m:f>
          <m:fPr>
            <m:ctrlPr>
              <w:rPr>
                <w:rFonts w:ascii="Cambria Math" w:hAnsi="Cambria Math"/>
                <w:color w:val="000000" w:themeColor="text1"/>
              </w:rPr>
            </m:ctrlPr>
          </m:fPr>
          <m:num>
            <m:r>
              <w:rPr>
                <w:rFonts w:ascii="Cambria Math" w:hAnsi="Cambria Math"/>
                <w:color w:val="000000" w:themeColor="text1"/>
              </w:rPr>
              <m:t>∂T</m:t>
            </m:r>
            <m:d>
              <m:dPr>
                <m:ctrlPr>
                  <w:rPr>
                    <w:rFonts w:ascii="Cambria Math" w:hAnsi="Cambria Math"/>
                    <w:color w:val="000000" w:themeColor="text1"/>
                  </w:rPr>
                </m:ctrlPr>
              </m:dPr>
              <m:e>
                <m:r>
                  <m:rPr>
                    <m:sty m:val="p"/>
                  </m:rPr>
                  <w:rPr>
                    <w:rFonts w:ascii="Cambria Math" w:hAnsi="Cambria Math"/>
                    <w:color w:val="000000" w:themeColor="text1"/>
                  </w:rPr>
                  <m:t>0,</m:t>
                </m:r>
                <m:r>
                  <w:rPr>
                    <w:rFonts w:ascii="Cambria Math" w:hAnsi="Cambria Math"/>
                    <w:color w:val="000000" w:themeColor="text1"/>
                  </w:rPr>
                  <m:t>t</m:t>
                </m:r>
              </m:e>
            </m:d>
          </m:num>
          <m:den>
            <m:r>
              <w:rPr>
                <w:rFonts w:ascii="Cambria Math" w:hAnsi="Cambria Math"/>
                <w:color w:val="000000" w:themeColor="text1"/>
              </w:rPr>
              <m:t>∂r</m:t>
            </m:r>
          </m:den>
        </m:f>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δ</m:t>
                </m:r>
              </m:e>
              <m:sub>
                <m:r>
                  <m:rPr>
                    <m:sty m:val="p"/>
                  </m:rPr>
                  <w:rPr>
                    <w:rFonts w:ascii="Cambria Math" w:hAnsi="Cambria Math"/>
                    <w:color w:val="000000" w:themeColor="text1"/>
                  </w:rPr>
                  <m:t>2</m:t>
                </m:r>
                <m:r>
                  <w:rPr>
                    <w:rFonts w:ascii="Cambria Math" w:hAnsi="Cambria Math"/>
                    <w:color w:val="000000" w:themeColor="text1"/>
                  </w:rPr>
                  <m:t>r</m:t>
                </m:r>
              </m:sub>
            </m:sSub>
            <m:r>
              <w:rPr>
                <w:rFonts w:ascii="Cambria Math" w:hAnsi="Cambria Math"/>
                <w:color w:val="000000" w:themeColor="text1"/>
              </w:rPr>
              <m:t>T</m:t>
            </m:r>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r>
                  <m:rPr>
                    <m:sty m:val="p"/>
                  </m:rPr>
                  <w:rPr>
                    <w:rFonts w:ascii="Cambria Math" w:hAnsi="Cambria Math"/>
                    <w:color w:val="000000" w:themeColor="text1"/>
                  </w:rPr>
                  <m:t>,</m:t>
                </m:r>
                <m:r>
                  <w:rPr>
                    <w:rFonts w:ascii="Cambria Math" w:hAnsi="Cambria Math"/>
                    <w:color w:val="000000" w:themeColor="text1"/>
                  </w:rPr>
                  <m:t>t</m:t>
                </m:r>
              </m:e>
            </m:d>
          </m:num>
          <m:den>
            <m:r>
              <m:rPr>
                <m:sty m:val="p"/>
              </m:rPr>
              <w:rPr>
                <w:rFonts w:ascii="Cambria Math" w:hAnsi="Cambria Math"/>
                <w:color w:val="000000" w:themeColor="text1"/>
              </w:rPr>
              <m:t>2Δ</m:t>
            </m:r>
            <m:r>
              <w:rPr>
                <w:rFonts w:ascii="Cambria Math" w:hAnsi="Cambria Math"/>
                <w:color w:val="000000" w:themeColor="text1"/>
              </w:rPr>
              <m:t>r</m:t>
            </m:r>
          </m:den>
        </m:f>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num>
          <m:den>
            <m:r>
              <m:rPr>
                <m:sty m:val="p"/>
              </m:rPr>
              <w:rPr>
                <w:rFonts w:ascii="Cambria Math" w:hAnsi="Cambria Math"/>
                <w:color w:val="000000" w:themeColor="text1"/>
              </w:rPr>
              <m:t>2Δ</m:t>
            </m:r>
            <m:r>
              <w:rPr>
                <w:rFonts w:ascii="Cambria Math" w:hAnsi="Cambria Math"/>
                <w:color w:val="000000" w:themeColor="text1"/>
              </w:rPr>
              <m:t>r</m:t>
            </m:r>
          </m:den>
        </m:f>
        <m:r>
          <m:rPr>
            <m:sty m:val="p"/>
          </m:rPr>
          <w:rPr>
            <w:rFonts w:ascii="Cambria Math" w:hAnsi="Cambria Math"/>
            <w:color w:val="000000" w:themeColor="text1"/>
          </w:rPr>
          <m:t>=0</m:t>
        </m:r>
      </m:oMath>
      <w:r w:rsidR="00565C27" w:rsidRPr="00487150">
        <w:rPr>
          <w:rFonts w:eastAsiaTheme="minorEastAsia"/>
          <w:color w:val="000000" w:themeColor="text1"/>
        </w:rPr>
        <w:tab/>
      </w:r>
      <w:r w:rsidR="00565C27" w:rsidRPr="00487150">
        <w:rPr>
          <w:rFonts w:eastAsiaTheme="minorEastAsia"/>
          <w:color w:val="000000" w:themeColor="text1"/>
        </w:rPr>
        <w:tab/>
      </w:r>
      <w:r w:rsidR="00565C27" w:rsidRPr="00487150">
        <w:rPr>
          <w:rFonts w:eastAsiaTheme="minorEastAsia"/>
          <w:color w:val="000000" w:themeColor="text1"/>
        </w:rPr>
        <w:tab/>
      </w:r>
      <w:r w:rsidR="00565C27" w:rsidRPr="00487150">
        <w:rPr>
          <w:rFonts w:eastAsiaTheme="minorEastAsia"/>
          <w:color w:val="000000" w:themeColor="text1"/>
        </w:rPr>
        <w:tab/>
      </w:r>
      <w:r w:rsidR="00565C27" w:rsidRPr="00487150">
        <w:rPr>
          <w:color w:val="000000" w:themeColor="text1"/>
        </w:rPr>
        <w:t>(3.</w:t>
      </w:r>
      <w:r w:rsidR="00565C27">
        <w:t>21</w:t>
      </w:r>
      <w:r w:rsidR="00565C27" w:rsidRPr="00487150">
        <w:rPr>
          <w:color w:val="000000" w:themeColor="text1"/>
        </w:rPr>
        <w:t>)</w:t>
      </w:r>
    </w:p>
    <w:p w14:paraId="64CE767D" w14:textId="77777777" w:rsidR="00565C27" w:rsidRPr="00487150" w:rsidRDefault="00565C27" w:rsidP="00565C27">
      <w:pPr>
        <w:spacing w:line="480" w:lineRule="auto"/>
        <w:rPr>
          <w:color w:val="000000" w:themeColor="text1"/>
        </w:rPr>
      </w:pPr>
      <w:r w:rsidRPr="00487150">
        <w:rPr>
          <w:color w:val="000000" w:themeColor="text1"/>
        </w:rPr>
        <w:t xml:space="preserve">and </w:t>
      </w:r>
      <m:oMath>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oMath>
      <w:r w:rsidRPr="00487150">
        <w:rPr>
          <w:color w:val="000000" w:themeColor="text1"/>
        </w:rPr>
        <w:t xml:space="preserve"> can be substituted for </w:t>
      </w:r>
      <m:oMath>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oMath>
      <w:r w:rsidRPr="00487150">
        <w:rPr>
          <w:color w:val="000000" w:themeColor="text1"/>
        </w:rPr>
        <w:t xml:space="preserve"> at </w:t>
      </w:r>
      <m:oMath>
        <m:r>
          <w:rPr>
            <w:rFonts w:ascii="Cambria Math" w:hAnsi="Cambria Math"/>
            <w:color w:val="000000" w:themeColor="text1"/>
          </w:rPr>
          <m:t>r</m:t>
        </m:r>
        <m:r>
          <m:rPr>
            <m:sty m:val="p"/>
          </m:rPr>
          <w:rPr>
            <w:rFonts w:ascii="Cambria Math" w:hAnsi="Cambria Math"/>
            <w:color w:val="000000" w:themeColor="text1"/>
          </w:rPr>
          <m:t>=0</m:t>
        </m:r>
      </m:oMath>
      <w:r w:rsidRPr="00487150">
        <w:rPr>
          <w:color w:val="000000" w:themeColor="text1"/>
        </w:rPr>
        <w:t xml:space="preserve"> to </w:t>
      </w:r>
      <w:r>
        <w:rPr>
          <w:color w:val="000000" w:themeColor="text1"/>
        </w:rPr>
        <w:t>obtain</w:t>
      </w:r>
      <w:r w:rsidRPr="00487150">
        <w:rPr>
          <w:color w:val="000000" w:themeColor="text1"/>
        </w:rPr>
        <w:t>:</w:t>
      </w:r>
    </w:p>
    <w:p w14:paraId="5FA483E2" w14:textId="77777777" w:rsidR="00565C27" w:rsidRPr="00487150" w:rsidRDefault="00000000" w:rsidP="00565C27">
      <w:pPr>
        <w:spacing w:line="480" w:lineRule="auto"/>
        <w:jc w:val="right"/>
        <w:rPr>
          <w:color w:val="000000" w:themeColor="text1"/>
        </w:rPr>
      </w:pPr>
      <m:oMath>
        <m:f>
          <m:fPr>
            <m:ctrlPr>
              <w:rPr>
                <w:rFonts w:ascii="Cambria Math" w:hAnsi="Cambria Math"/>
                <w:i/>
                <w:color w:val="000000" w:themeColor="text1"/>
              </w:rPr>
            </m:ctrlPr>
          </m:fPr>
          <m:num>
            <m:r>
              <w:rPr>
                <w:rFonts w:ascii="Cambria Math" w:hAnsi="Cambria Math"/>
                <w:color w:val="000000" w:themeColor="text1"/>
              </w:rPr>
              <m:t>∂</m:t>
            </m:r>
            <m:sSub>
              <m:sSubPr>
                <m:ctrlPr>
                  <w:rPr>
                    <w:rFonts w:ascii="Cambria Math" w:eastAsiaTheme="minorHAnsi" w:hAnsi="Cambria Math"/>
                    <w:i/>
                    <w:color w:val="000000" w:themeColor="text1"/>
                  </w:rPr>
                </m:ctrlPr>
              </m:sSubPr>
              <m:e>
                <m:r>
                  <w:rPr>
                    <w:rFonts w:ascii="Cambria Math" w:hAnsi="Cambria Math"/>
                    <w:color w:val="000000" w:themeColor="text1"/>
                  </w:rPr>
                  <m:t>T</m:t>
                </m:r>
              </m:e>
              <m:sub>
                <m:r>
                  <w:rPr>
                    <w:rFonts w:ascii="Cambria Math" w:hAnsi="Cambria Math"/>
                  </w:rPr>
                  <m:t>i</m:t>
                </m:r>
              </m:sub>
            </m:sSub>
            <m:d>
              <m:dPr>
                <m:ctrlPr>
                  <w:rPr>
                    <w:rFonts w:ascii="Cambria Math" w:hAnsi="Cambria Math"/>
                    <w:color w:val="000000" w:themeColor="text1"/>
                  </w:rPr>
                </m:ctrlPr>
              </m:dPr>
              <m:e>
                <m:r>
                  <w:rPr>
                    <w:rFonts w:ascii="Cambria Math" w:hAnsi="Cambria Math"/>
                    <w:color w:val="000000" w:themeColor="text1"/>
                  </w:rPr>
                  <m:t>t</m:t>
                </m:r>
              </m:e>
            </m:d>
          </m:num>
          <m:den>
            <m:r>
              <w:rPr>
                <w:rFonts w:ascii="Cambria Math" w:hAnsi="Cambria Math"/>
                <w:color w:val="000000" w:themeColor="text1"/>
              </w:rPr>
              <m:t>∂t</m:t>
            </m:r>
          </m:den>
        </m:f>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6</m:t>
            </m:r>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sub>
            </m:sSub>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e>
            </m:d>
          </m:num>
          <m:den>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oMath>
      <w:r w:rsidR="00565C27" w:rsidRPr="00487150">
        <w:rPr>
          <w:rFonts w:eastAsiaTheme="minorEastAsia"/>
          <w:color w:val="000000" w:themeColor="text1"/>
        </w:rPr>
        <w:tab/>
      </w:r>
      <w:r w:rsidR="00565C27" w:rsidRPr="00487150">
        <w:rPr>
          <w:rFonts w:eastAsiaTheme="minorEastAsia"/>
          <w:color w:val="000000" w:themeColor="text1"/>
        </w:rPr>
        <w:tab/>
      </w:r>
      <w:r w:rsidR="00565C27" w:rsidRPr="00487150">
        <w:rPr>
          <w:rFonts w:eastAsiaTheme="minorEastAsia"/>
          <w:color w:val="000000" w:themeColor="text1"/>
        </w:rPr>
        <w:tab/>
      </w:r>
      <w:r w:rsidR="00565C27" w:rsidRPr="00487150">
        <w:rPr>
          <w:rFonts w:eastAsiaTheme="minorEastAsia"/>
          <w:color w:val="000000" w:themeColor="text1"/>
        </w:rPr>
        <w:tab/>
      </w:r>
      <w:r w:rsidR="00565C27" w:rsidRPr="00487150">
        <w:rPr>
          <w:color w:val="000000" w:themeColor="text1"/>
        </w:rPr>
        <w:t>(3.</w:t>
      </w:r>
      <w:r w:rsidR="00565C27">
        <w:t>22</w:t>
      </w:r>
      <w:r w:rsidR="00565C27" w:rsidRPr="00487150">
        <w:rPr>
          <w:color w:val="000000" w:themeColor="text1"/>
        </w:rPr>
        <w:t>)</w:t>
      </w:r>
    </w:p>
    <w:p w14:paraId="0A650548" w14:textId="77777777" w:rsidR="00D65105" w:rsidRPr="00487150" w:rsidRDefault="00565C27" w:rsidP="00D65105">
      <w:pPr>
        <w:spacing w:line="480" w:lineRule="auto"/>
        <w:ind w:firstLine="720"/>
        <w:rPr>
          <w:color w:val="000000" w:themeColor="text1"/>
        </w:rPr>
      </w:pPr>
      <w:r>
        <w:rPr>
          <w:color w:val="000000" w:themeColor="text1"/>
        </w:rPr>
        <w:t>T</w:t>
      </w:r>
      <w:r w:rsidRPr="00487150">
        <w:rPr>
          <w:color w:val="000000" w:themeColor="text1"/>
        </w:rPr>
        <w:t>his study assumes that the surface temperature is fixed</w:t>
      </w:r>
      <w:r>
        <w:rPr>
          <w:color w:val="000000" w:themeColor="text1"/>
        </w:rPr>
        <w:t xml:space="preserve"> </w:t>
      </w:r>
      <w:r w:rsidRPr="00487150">
        <w:rPr>
          <w:color w:val="000000" w:themeColor="text1"/>
        </w:rPr>
        <w:t>at 250 K</w:t>
      </w:r>
      <w:r>
        <w:rPr>
          <w:color w:val="000000" w:themeColor="text1"/>
        </w:rPr>
        <w:t xml:space="preserve"> such that</w:t>
      </w:r>
      <w:r w:rsidRPr="00487150">
        <w:rPr>
          <w:color w:val="000000" w:themeColor="text1"/>
        </w:rPr>
        <w:t xml:space="preserve"> </w:t>
      </w:r>
      <w:r>
        <w:rPr>
          <w:color w:val="000000" w:themeColor="text1"/>
        </w:rPr>
        <w:t>E</w:t>
      </w:r>
      <w:r w:rsidRPr="00487150">
        <w:rPr>
          <w:color w:val="000000" w:themeColor="text1"/>
        </w:rPr>
        <w:t>q</w:t>
      </w:r>
      <w:r>
        <w:rPr>
          <w:color w:val="000000" w:themeColor="text1"/>
        </w:rPr>
        <w:t>s</w:t>
      </w:r>
      <w:r w:rsidR="00505CD6">
        <w:rPr>
          <w:color w:val="000000" w:themeColor="text1"/>
        </w:rPr>
        <w:t>.</w:t>
      </w:r>
      <w:r w:rsidRPr="00487150">
        <w:rPr>
          <w:color w:val="000000" w:themeColor="text1"/>
        </w:rPr>
        <w:t xml:space="preserve"> 3.12 and 3.</w:t>
      </w:r>
      <w:r>
        <w:t>22</w:t>
      </w:r>
      <w:r w:rsidRPr="00487150">
        <w:rPr>
          <w:color w:val="000000" w:themeColor="text1"/>
        </w:rPr>
        <w:t xml:space="preserve"> can be used to solve for the thermal evolution at a given radius </w:t>
      </w:r>
      <m:oMath>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oMath>
      <w:r w:rsidRPr="00487150">
        <w:rPr>
          <w:color w:val="000000" w:themeColor="text1"/>
        </w:rPr>
        <w:t xml:space="preserve">. </w:t>
      </w:r>
      <w:r w:rsidR="00D65105" w:rsidRPr="00487150">
        <w:rPr>
          <w:color w:val="000000" w:themeColor="text1"/>
        </w:rPr>
        <w:t>To account for radiogenic heat production over</w:t>
      </w:r>
      <w:r w:rsidR="00D65105">
        <w:rPr>
          <w:color w:val="000000" w:themeColor="text1"/>
        </w:rPr>
        <w:t xml:space="preserve"> </w:t>
      </w:r>
      <w:r w:rsidR="00D65105" w:rsidRPr="00487150">
        <w:rPr>
          <w:color w:val="000000" w:themeColor="text1"/>
        </w:rPr>
        <w:t xml:space="preserve">time a heat production </w:t>
      </w:r>
      <w:r w:rsidR="00D65105">
        <w:rPr>
          <w:color w:val="000000" w:themeColor="text1"/>
        </w:rPr>
        <w:t>term</w:t>
      </w:r>
      <w:r w:rsidR="00D65105" w:rsidRPr="00487150">
        <w:rPr>
          <w:color w:val="000000" w:themeColor="text1"/>
        </w:rPr>
        <w:t xml:space="preserve"> is added </w:t>
      </w:r>
      <w:r w:rsidR="00D65105">
        <w:rPr>
          <w:color w:val="000000" w:themeColor="text1"/>
        </w:rPr>
        <w:t>to E</w:t>
      </w:r>
      <w:r w:rsidR="00D65105" w:rsidRPr="00487150">
        <w:rPr>
          <w:color w:val="000000" w:themeColor="text1"/>
        </w:rPr>
        <w:t>q</w:t>
      </w:r>
      <w:r w:rsidR="00D65105">
        <w:rPr>
          <w:color w:val="000000" w:themeColor="text1"/>
        </w:rPr>
        <w:t>.</w:t>
      </w:r>
      <w:r w:rsidR="00D65105" w:rsidRPr="00487150">
        <w:rPr>
          <w:color w:val="000000" w:themeColor="text1"/>
        </w:rPr>
        <w:t xml:space="preserve"> 3.12 </w:t>
      </w:r>
      <w:r w:rsidR="00D65105">
        <w:rPr>
          <w:color w:val="000000" w:themeColor="text1"/>
        </w:rPr>
        <w:t>(</w:t>
      </w:r>
      <w:r w:rsidR="00D65105" w:rsidRPr="00487150">
        <w:rPr>
          <w:color w:val="000000" w:themeColor="text1"/>
        </w:rPr>
        <w:t>Özisik, 1993):</w:t>
      </w:r>
    </w:p>
    <w:p w14:paraId="60884F01" w14:textId="77777777" w:rsidR="00D65105" w:rsidRPr="00487150" w:rsidRDefault="00000000" w:rsidP="00D65105">
      <w:pPr>
        <w:spacing w:line="480" w:lineRule="auto"/>
        <w:jc w:val="right"/>
        <w:rPr>
          <w:color w:val="000000" w:themeColor="text1"/>
        </w:rPr>
      </w:pPr>
      <m:oMath>
        <m:f>
          <m:fPr>
            <m:ctrlPr>
              <w:rPr>
                <w:rFonts w:ascii="Cambria Math" w:hAnsi="Cambria Math"/>
                <w:i/>
                <w:color w:val="000000" w:themeColor="text1"/>
              </w:rPr>
            </m:ctrlPr>
          </m:fPr>
          <m:num>
            <m:r>
              <w:rPr>
                <w:rFonts w:ascii="Cambria Math" w:hAnsi="Cambria Math"/>
                <w:color w:val="000000" w:themeColor="text1"/>
              </w:rPr>
              <m:t>∂</m:t>
            </m:r>
            <m:sSub>
              <m:sSubPr>
                <m:ctrlPr>
                  <w:rPr>
                    <w:rFonts w:ascii="Cambria Math" w:eastAsiaTheme="minorHAnsi" w:hAnsi="Cambria Math"/>
                    <w:i/>
                    <w:color w:val="000000" w:themeColor="text1"/>
                  </w:rPr>
                </m:ctrlPr>
              </m:sSubPr>
              <m:e>
                <m:r>
                  <w:rPr>
                    <w:rFonts w:ascii="Cambria Math" w:hAnsi="Cambria Math"/>
                    <w:color w:val="000000" w:themeColor="text1"/>
                  </w:rPr>
                  <m:t>T</m:t>
                </m:r>
              </m:e>
              <m:sub>
                <m:r>
                  <w:rPr>
                    <w:rFonts w:ascii="Cambria Math" w:hAnsi="Cambria Math"/>
                  </w:rPr>
                  <m:t>i</m:t>
                </m:r>
              </m:sub>
            </m:sSub>
            <m:r>
              <w:rPr>
                <w:rFonts w:ascii="Cambria Math" w:hAnsi="Cambria Math"/>
              </w:rPr>
              <m:t>(t)</m:t>
            </m:r>
          </m:num>
          <m:den>
            <m:r>
              <w:rPr>
                <w:rFonts w:ascii="Cambria Math" w:hAnsi="Cambria Math"/>
                <w:color w:val="000000" w:themeColor="text1"/>
              </w:rPr>
              <m:t>∂t</m:t>
            </m:r>
          </m:den>
        </m:f>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sub>
            </m:sSub>
          </m:num>
          <m:den>
            <m:r>
              <m:rPr>
                <m:sty m:val="p"/>
              </m:rPr>
              <w:rPr>
                <w:rFonts w:ascii="Cambria Math" w:hAnsi="Cambria Math"/>
                <w:color w:val="000000" w:themeColor="text1"/>
              </w:rPr>
              <m:t>2</m:t>
            </m:r>
            <m:r>
              <w:rPr>
                <w:rFonts w:ascii="Cambria Math" w:hAnsi="Cambria Math"/>
                <w:color w:val="000000" w:themeColor="text1"/>
              </w:rPr>
              <m:t>i</m:t>
            </m:r>
            <m:r>
              <m:rPr>
                <m:sty m:val="p"/>
              </m:rP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d>
                  <m:dPr>
                    <m:ctrlPr>
                      <w:rPr>
                        <w:rFonts w:ascii="Cambria Math" w:hAnsi="Cambria Math"/>
                        <w:color w:val="000000" w:themeColor="text1"/>
                      </w:rPr>
                    </m:ctrlPr>
                  </m:dPr>
                  <m:e>
                    <m:r>
                      <w:rPr>
                        <w:rFonts w:ascii="Cambria Math" w:hAnsi="Cambria Math"/>
                        <w:color w:val="000000" w:themeColor="text1"/>
                      </w:rPr>
                      <m:t>i</m:t>
                    </m:r>
                    <m:r>
                      <m:rPr>
                        <m:sty m:val="p"/>
                      </m:rPr>
                      <w:rPr>
                        <w:rFonts w:ascii="Cambria Math" w:hAnsi="Cambria Math"/>
                        <w:color w:val="000000" w:themeColor="text1"/>
                      </w:rPr>
                      <m:t>+2</m:t>
                    </m:r>
                  </m:e>
                </m:d>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-2</m:t>
            </m:r>
            <m:r>
              <w:rPr>
                <w:rFonts w:ascii="Cambria Math" w:hAnsi="Cambria Math"/>
                <w:color w:val="000000" w:themeColor="text1"/>
              </w:rPr>
              <m:t>i</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d>
              <m:dPr>
                <m:ctrlPr>
                  <w:rPr>
                    <w:rFonts w:ascii="Cambria Math" w:hAnsi="Cambria Math"/>
                    <w:color w:val="000000" w:themeColor="text1"/>
                  </w:rPr>
                </m:ctrlPr>
              </m:dPr>
              <m:e>
                <m:r>
                  <w:rPr>
                    <w:rFonts w:ascii="Cambria Math" w:hAnsi="Cambria Math"/>
                    <w:color w:val="000000" w:themeColor="text1"/>
                  </w:rPr>
                  <m:t>i</m:t>
                </m:r>
                <m:r>
                  <m:rPr>
                    <m:sty m:val="p"/>
                  </m:rPr>
                  <w:rPr>
                    <w:rFonts w:ascii="Cambria Math" w:hAnsi="Cambria Math"/>
                    <w:color w:val="000000" w:themeColor="text1"/>
                  </w:rPr>
                  <m:t>-2</m:t>
                </m:r>
              </m:e>
            </m:d>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r>
                  <m:rPr>
                    <m:sty m:val="p"/>
                  </m:rPr>
                  <w:rPr>
                    <w:rFonts w:ascii="Cambria Math" w:hAnsi="Cambria Math"/>
                    <w:color w:val="000000" w:themeColor="text1"/>
                  </w:rPr>
                  <m:t>+1</m:t>
                </m:r>
              </m:sub>
            </m:sSub>
          </m:num>
          <m:den>
            <m:r>
              <m:rPr>
                <m:sty m:val="p"/>
              </m:rPr>
              <w:rPr>
                <w:rFonts w:ascii="Cambria Math" w:hAnsi="Cambria Math"/>
                <w:color w:val="000000" w:themeColor="text1"/>
              </w:rPr>
              <m:t>2∆</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color w:val="000000" w:themeColor="text1"/>
          </w:rPr>
          <m:t>+</m:t>
        </m:r>
        <m:f>
          <m:fPr>
            <m:ctrlPr>
              <w:rPr>
                <w:rFonts w:ascii="Cambria Math" w:hAnsi="Cambria Math"/>
                <w:color w:val="000000" w:themeColor="text1"/>
              </w:rPr>
            </m:ctrlPr>
          </m:fPr>
          <m:num>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r>
                  <m:rPr>
                    <m:sty m:val="p"/>
                  </m:rPr>
                  <w:rPr>
                    <w:rFonts w:ascii="Cambria Math" w:hAnsi="Cambria Math"/>
                    <w:color w:val="000000" w:themeColor="text1"/>
                  </w:rPr>
                  <m:t>-1</m:t>
                </m:r>
              </m:sub>
            </m:sSub>
          </m:num>
          <m:den>
            <m:r>
              <m:rPr>
                <m:sty m:val="p"/>
              </m:rPr>
              <w:rPr>
                <w:rFonts w:ascii="Cambria Math" w:hAnsi="Cambria Math"/>
                <w:color w:val="000000" w:themeColor="text1"/>
              </w:rPr>
              <m:t>2∆</m:t>
            </m:r>
            <m:sSup>
              <m:sSupPr>
                <m:ctrlPr>
                  <w:rPr>
                    <w:rFonts w:ascii="Cambria Math" w:hAnsi="Cambria Math"/>
                    <w:color w:val="000000" w:themeColor="text1"/>
                  </w:rPr>
                </m:ctrlPr>
              </m:sSupPr>
              <m:e>
                <m:r>
                  <w:rPr>
                    <w:rFonts w:ascii="Cambria Math" w:hAnsi="Cambria Math"/>
                    <w:color w:val="000000" w:themeColor="text1"/>
                  </w:rPr>
                  <m:t>r</m:t>
                </m:r>
              </m:e>
              <m:sup>
                <m:r>
                  <m:rPr>
                    <m:sty m:val="p"/>
                  </m:rPr>
                  <w:rPr>
                    <w:rFonts w:ascii="Cambria Math" w:hAnsi="Cambria Math"/>
                    <w:color w:val="000000" w:themeColor="text1"/>
                  </w:rPr>
                  <m:t>2</m:t>
                </m:r>
              </m:sup>
            </m:sSup>
          </m:den>
        </m:f>
        <m:d>
          <m:dPr>
            <m:ctrlPr>
              <w:rPr>
                <w:rFonts w:ascii="Cambria Math" w:hAnsi="Cambria Math"/>
                <w:color w:val="000000" w:themeColor="text1"/>
              </w:rPr>
            </m:ctrlPr>
          </m:dPr>
          <m:e>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r>
                  <m:rPr>
                    <m:sty m:val="p"/>
                  </m:rPr>
                  <w:rPr>
                    <w:rFonts w:ascii="Cambria Math" w:hAnsi="Cambria Math"/>
                    <w:color w:val="000000" w:themeColor="text1"/>
                  </w:rPr>
                  <m:t>-1</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m:t>
            </m:r>
            <m:sSub>
              <m:sSubPr>
                <m:ctrlPr>
                  <w:rPr>
                    <w:rFonts w:ascii="Cambria Math" w:hAnsi="Cambria Math"/>
                    <w:color w:val="000000" w:themeColor="text1"/>
                  </w:rPr>
                </m:ctrlPr>
              </m:sSubPr>
              <m:e>
                <m:acc>
                  <m:accPr>
                    <m:chr m:val="̅"/>
                    <m:ctrlPr>
                      <w:rPr>
                        <w:rFonts w:ascii="Cambria Math" w:hAnsi="Cambria Math"/>
                        <w:color w:val="000000" w:themeColor="text1"/>
                      </w:rPr>
                    </m:ctrlPr>
                  </m:accPr>
                  <m:e>
                    <m:r>
                      <w:rPr>
                        <w:rFonts w:ascii="Cambria Math" w:hAnsi="Cambria Math"/>
                        <w:color w:val="000000" w:themeColor="text1"/>
                      </w:rPr>
                      <m:t>T</m:t>
                    </m:r>
                  </m:e>
                </m:acc>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e>
        </m:d>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sub>
        </m:sSub>
        <m:sSub>
          <m:sSubPr>
            <m:ctrlPr>
              <w:rPr>
                <w:rFonts w:ascii="Cambria Math" w:hAnsi="Cambria Math"/>
                <w:color w:val="000000" w:themeColor="text1"/>
              </w:rPr>
            </m:ctrlPr>
          </m:sSubPr>
          <m:e>
            <m:r>
              <w:rPr>
                <w:rFonts w:ascii="Cambria Math" w:hAnsi="Cambria Math"/>
                <w:color w:val="000000" w:themeColor="text1"/>
              </w:rPr>
              <m:t>G</m:t>
            </m:r>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r>
          <m:rPr>
            <m:sty m:val="p"/>
          </m:rPr>
          <w:rPr>
            <w:rFonts w:ascii="Cambria Math" w:hAnsi="Cambria Math"/>
            <w:color w:val="000000" w:themeColor="text1"/>
          </w:rPr>
          <m:t xml:space="preserve">,  if </m:t>
        </m:r>
        <m:r>
          <w:rPr>
            <w:rFonts w:ascii="Cambria Math" w:hAnsi="Cambria Math"/>
            <w:color w:val="000000" w:themeColor="text1"/>
          </w:rPr>
          <m:t>i</m:t>
        </m:r>
        <m:r>
          <m:rPr>
            <m:sty m:val="p"/>
          </m:rPr>
          <w:rPr>
            <w:rFonts w:ascii="Cambria Math" w:hAnsi="Cambria Math"/>
            <w:color w:val="000000" w:themeColor="text1"/>
          </w:rPr>
          <m:t>=1,2,…</m:t>
        </m:r>
        <m:r>
          <w:rPr>
            <w:rFonts w:ascii="Cambria Math" w:hAnsi="Cambria Math"/>
            <w:color w:val="000000" w:themeColor="text1"/>
          </w:rPr>
          <m:t>N</m:t>
        </m:r>
        <m:r>
          <m:rPr>
            <m:sty m:val="p"/>
          </m:rPr>
          <w:rPr>
            <w:rFonts w:ascii="Cambria Math" w:hAnsi="Cambria Math"/>
            <w:color w:val="000000" w:themeColor="text1"/>
          </w:rPr>
          <m:t>-1</m:t>
        </m:r>
        <m:r>
          <m:rPr>
            <m:sty m:val="p"/>
          </m:rPr>
          <w:rPr>
            <w:rFonts w:ascii="Cambria Math" w:hAnsi="Cambria Math"/>
          </w:rPr>
          <m:t xml:space="preserve"> </m:t>
        </m:r>
        <m:r>
          <w:rPr>
            <w:rFonts w:ascii="Cambria Math" w:eastAsiaTheme="minorEastAsia" w:hAnsi="Cambria Math"/>
          </w:rPr>
          <m:t xml:space="preserve"> </m:t>
        </m:r>
        <m:r>
          <m:rPr>
            <m:nor/>
          </m:rPr>
          <w:rPr>
            <w:rFonts w:ascii="Cambria Math" w:eastAsiaTheme="minorEastAsia" w:hAnsi="Cambria Math"/>
          </w:rPr>
          <m:t>and</m:t>
        </m:r>
        <m:r>
          <w:rPr>
            <w:rFonts w:ascii="Cambria Math" w:eastAsiaTheme="minorEastAsia" w:hAnsi="Cambria Math"/>
          </w:rPr>
          <m:t xml:space="preserve"> t&gt;0</m:t>
        </m:r>
      </m:oMath>
      <w:r w:rsidR="00D65105" w:rsidRPr="00487150">
        <w:rPr>
          <w:color w:val="000000" w:themeColor="text1"/>
        </w:rPr>
        <w:t xml:space="preserve"> </w:t>
      </w:r>
      <w:r w:rsidR="00D65105" w:rsidRPr="00487150">
        <w:rPr>
          <w:rFonts w:eastAsiaTheme="minorEastAsia"/>
          <w:color w:val="000000" w:themeColor="text1"/>
        </w:rPr>
        <w:tab/>
      </w:r>
      <w:r w:rsidR="00D65105" w:rsidRPr="00487150">
        <w:rPr>
          <w:rFonts w:eastAsiaTheme="minorEastAsia"/>
          <w:color w:val="000000" w:themeColor="text1"/>
        </w:rPr>
        <w:tab/>
      </w:r>
      <w:r w:rsidR="00D65105" w:rsidRPr="00487150">
        <w:rPr>
          <w:color w:val="000000" w:themeColor="text1"/>
        </w:rPr>
        <w:t>(3.</w:t>
      </w:r>
      <w:r w:rsidR="00D65105">
        <w:t>23</w:t>
      </w:r>
      <w:r w:rsidR="00D65105" w:rsidRPr="00487150">
        <w:rPr>
          <w:color w:val="000000" w:themeColor="text1"/>
        </w:rPr>
        <w:t>)</w:t>
      </w:r>
    </w:p>
    <w:p w14:paraId="684BCDE0" w14:textId="77777777" w:rsidR="00D65105" w:rsidRPr="00487150" w:rsidRDefault="00D65105" w:rsidP="00D65105">
      <w:pPr>
        <w:spacing w:line="480" w:lineRule="auto"/>
        <w:rPr>
          <w:color w:val="000000" w:themeColor="text1"/>
        </w:rPr>
      </w:pPr>
      <w:r w:rsidRPr="00487150">
        <w:rPr>
          <w:color w:val="000000" w:themeColor="text1"/>
        </w:rPr>
        <w:t xml:space="preserve">where </w:t>
      </w:r>
      <m:oMath>
        <m:sSub>
          <m:sSubPr>
            <m:ctrlPr>
              <w:rPr>
                <w:rFonts w:ascii="Cambria Math" w:hAnsi="Cambria Math"/>
                <w:color w:val="000000" w:themeColor="text1"/>
              </w:rPr>
            </m:ctrlPr>
          </m:sSubPr>
          <m:e>
            <m:r>
              <w:rPr>
                <w:rFonts w:ascii="Cambria Math" w:hAnsi="Cambria Math"/>
                <w:color w:val="000000" w:themeColor="text1"/>
              </w:rPr>
              <m:t>G</m:t>
            </m:r>
          </m:e>
          <m:sub>
            <m:r>
              <w:rPr>
                <w:rFonts w:ascii="Cambria Math" w:hAnsi="Cambria Math"/>
                <w:color w:val="000000" w:themeColor="text1"/>
              </w:rPr>
              <m:t>i</m:t>
            </m:r>
          </m:sub>
        </m:sSub>
        <m:d>
          <m:dPr>
            <m:ctrlPr>
              <w:rPr>
                <w:rFonts w:ascii="Cambria Math" w:hAnsi="Cambria Math"/>
                <w:color w:val="000000" w:themeColor="text1"/>
              </w:rPr>
            </m:ctrlPr>
          </m:dPr>
          <m:e>
            <m:r>
              <w:rPr>
                <w:rFonts w:ascii="Cambria Math" w:hAnsi="Cambria Math"/>
                <w:color w:val="000000" w:themeColor="text1"/>
              </w:rPr>
              <m:t>t</m:t>
            </m:r>
          </m:e>
        </m:d>
      </m:oMath>
      <w:r w:rsidRPr="00487150">
        <w:rPr>
          <w:color w:val="000000" w:themeColor="text1"/>
        </w:rPr>
        <w:t xml:space="preserve"> represents the energy production coefficient for a given interval of </w:t>
      </w:r>
      <m:oMath>
        <m:r>
          <w:rPr>
            <w:rFonts w:ascii="Cambria Math" w:hAnsi="Cambria Math"/>
            <w:color w:val="000000" w:themeColor="text1"/>
          </w:rPr>
          <m:t>i</m:t>
        </m:r>
      </m:oMath>
      <w:r w:rsidRPr="00487150">
        <w:rPr>
          <w:color w:val="000000" w:themeColor="text1"/>
        </w:rPr>
        <w:t xml:space="preserve"> and a given time. If </w:t>
      </w:r>
      <m:oMath>
        <m:r>
          <w:rPr>
            <w:rFonts w:ascii="Cambria Math" w:hAnsi="Cambria Math"/>
            <w:color w:val="000000" w:themeColor="text1"/>
          </w:rPr>
          <m:t>n</m:t>
        </m:r>
      </m:oMath>
      <w:r w:rsidRPr="00487150">
        <w:rPr>
          <w:color w:val="000000" w:themeColor="text1"/>
        </w:rPr>
        <w:t xml:space="preserve"> represents the time interval from </w:t>
      </w:r>
      <m:oMath>
        <m:r>
          <w:rPr>
            <w:rFonts w:ascii="Cambria Math" w:hAnsi="Cambria Math"/>
            <w:color w:val="000000" w:themeColor="text1"/>
          </w:rPr>
          <m:t>n</m:t>
        </m:r>
        <m:r>
          <m:rPr>
            <m:sty m:val="p"/>
          </m:rPr>
          <w:rPr>
            <w:rFonts w:ascii="Cambria Math" w:hAnsi="Cambria Math"/>
            <w:color w:val="000000" w:themeColor="text1"/>
          </w:rPr>
          <m:t>=1,2,…,</m:t>
        </m:r>
        <m:r>
          <w:rPr>
            <w:rFonts w:ascii="Cambria Math" w:hAnsi="Cambria Math"/>
            <w:color w:val="000000" w:themeColor="text1"/>
          </w:rPr>
          <m:t>Nt</m:t>
        </m:r>
      </m:oMath>
      <w:r w:rsidRPr="00487150">
        <w:rPr>
          <w:color w:val="000000" w:themeColor="text1"/>
        </w:rPr>
        <w:t xml:space="preserve"> and </w:t>
      </w:r>
      <m:oMath>
        <m:r>
          <w:rPr>
            <w:rFonts w:ascii="Cambria Math" w:hAnsi="Cambria Math"/>
            <w:color w:val="000000" w:themeColor="text1"/>
          </w:rPr>
          <m:t>i</m:t>
        </m:r>
        <m:r>
          <m:rPr>
            <m:sty m:val="p"/>
          </m:rPr>
          <w:rPr>
            <w:rFonts w:ascii="Cambria Math" w:hAnsi="Cambria Math"/>
            <w:color w:val="000000" w:themeColor="text1"/>
          </w:rPr>
          <m:t xml:space="preserve"> </m:t>
        </m:r>
      </m:oMath>
      <w:r w:rsidRPr="00487150">
        <w:rPr>
          <w:color w:val="000000" w:themeColor="text1"/>
        </w:rPr>
        <w:t xml:space="preserve">represent the radius interval from </w:t>
      </w:r>
      <m:oMath>
        <m:r>
          <w:rPr>
            <w:rFonts w:ascii="Cambria Math" w:hAnsi="Cambria Math"/>
            <w:color w:val="000000" w:themeColor="text1"/>
          </w:rPr>
          <m:t>i</m:t>
        </m:r>
        <m:r>
          <m:rPr>
            <m:sty m:val="p"/>
          </m:rPr>
          <w:rPr>
            <w:rFonts w:ascii="Cambria Math" w:hAnsi="Cambria Math"/>
            <w:color w:val="000000" w:themeColor="text1"/>
          </w:rPr>
          <m:t>=0,1,…,</m:t>
        </m:r>
        <m:r>
          <w:rPr>
            <w:rFonts w:ascii="Cambria Math" w:hAnsi="Cambria Math"/>
            <w:color w:val="000000" w:themeColor="text1"/>
          </w:rPr>
          <m:t>N</m:t>
        </m:r>
      </m:oMath>
      <w:r w:rsidRPr="00487150">
        <w:rPr>
          <w:color w:val="000000" w:themeColor="text1"/>
        </w:rPr>
        <w:t>, the energy production coefficient is:</w:t>
      </w:r>
    </w:p>
    <w:p w14:paraId="3F25F586" w14:textId="77777777" w:rsidR="00D65105" w:rsidRPr="00487150" w:rsidRDefault="00000000" w:rsidP="00D65105">
      <w:pPr>
        <w:spacing w:line="480" w:lineRule="auto"/>
        <w:jc w:val="right"/>
        <w:rPr>
          <w:color w:val="000000" w:themeColor="text1"/>
        </w:rPr>
      </w:pPr>
      <m:oMath>
        <m:sSubSup>
          <m:sSubSupPr>
            <m:ctrlPr>
              <w:rPr>
                <w:rFonts w:ascii="Cambria Math" w:hAnsi="Cambria Math"/>
                <w:color w:val="000000" w:themeColor="text1"/>
              </w:rPr>
            </m:ctrlPr>
          </m:sSubSupPr>
          <m:e>
            <m:r>
              <w:rPr>
                <w:rFonts w:ascii="Cambria Math" w:hAnsi="Cambria Math"/>
                <w:color w:val="000000" w:themeColor="text1"/>
              </w:rPr>
              <m:t>G</m:t>
            </m:r>
          </m:e>
          <m:sub>
            <m:r>
              <w:rPr>
                <w:rFonts w:ascii="Cambria Math" w:hAnsi="Cambria Math"/>
                <w:color w:val="000000" w:themeColor="text1"/>
              </w:rPr>
              <m:t>i</m:t>
            </m:r>
          </m:sub>
          <m:sup>
            <m:r>
              <w:rPr>
                <w:rFonts w:ascii="Cambria Math" w:hAnsi="Cambria Math"/>
                <w:color w:val="000000" w:themeColor="text1"/>
              </w:rPr>
              <m:t>n</m:t>
            </m:r>
          </m:sup>
        </m:sSubSup>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m:t>
            </m:r>
            <m:sSup>
              <m:sSupPr>
                <m:ctrlPr>
                  <w:rPr>
                    <w:rFonts w:ascii="Cambria Math" w:hAnsi="Cambria Math"/>
                    <w:color w:val="000000" w:themeColor="text1"/>
                  </w:rPr>
                </m:ctrlPr>
              </m:sSupPr>
              <m:e>
                <m:acc>
                  <m:accPr>
                    <m:ctrlPr>
                      <w:rPr>
                        <w:rFonts w:ascii="Cambria Math" w:hAnsi="Cambria Math"/>
                        <w:color w:val="000000" w:themeColor="text1"/>
                      </w:rPr>
                    </m:ctrlPr>
                  </m:accPr>
                  <m:e>
                    <m:r>
                      <w:rPr>
                        <w:rFonts w:ascii="Cambria Math" w:hAnsi="Cambria Math"/>
                        <w:color w:val="000000" w:themeColor="text1"/>
                      </w:rPr>
                      <m:t>r</m:t>
                    </m:r>
                  </m:e>
                </m:acc>
              </m:e>
              <m:sup>
                <m:r>
                  <m:rPr>
                    <m:sty m:val="p"/>
                  </m:rPr>
                  <w:rPr>
                    <w:rFonts w:ascii="Cambria Math" w:hAnsi="Cambria Math"/>
                    <w:color w:val="000000" w:themeColor="text1"/>
                  </w:rPr>
                  <m:t>2</m:t>
                </m:r>
              </m:sup>
            </m:sSup>
            <m:sSubSup>
              <m:sSubSupPr>
                <m:ctrlPr>
                  <w:rPr>
                    <w:rFonts w:ascii="Cambria Math" w:hAnsi="Cambria Math"/>
                    <w:color w:val="000000" w:themeColor="text1"/>
                  </w:rPr>
                </m:ctrlPr>
              </m:sSubSupPr>
              <m:e>
                <m:r>
                  <w:rPr>
                    <w:rFonts w:ascii="Cambria Math" w:hAnsi="Cambria Math"/>
                    <w:color w:val="000000" w:themeColor="text1"/>
                  </w:rPr>
                  <m:t>g</m:t>
                </m:r>
              </m:e>
              <m:sub>
                <m:r>
                  <w:rPr>
                    <w:rFonts w:ascii="Cambria Math" w:hAnsi="Cambria Math"/>
                    <w:color w:val="000000" w:themeColor="text1"/>
                  </w:rPr>
                  <m:t>i</m:t>
                </m:r>
              </m:sub>
              <m:sup>
                <m:r>
                  <w:rPr>
                    <w:rFonts w:ascii="Cambria Math" w:hAnsi="Cambria Math"/>
                    <w:color w:val="000000" w:themeColor="text1"/>
                  </w:rPr>
                  <m:t>n</m:t>
                </m:r>
              </m:sup>
            </m:sSubSup>
          </m:num>
          <m:den>
            <m:sSub>
              <m:sSubPr>
                <m:ctrlPr>
                  <w:rPr>
                    <w:rFonts w:ascii="Cambria Math" w:hAnsi="Cambria Math"/>
                    <w:color w:val="000000" w:themeColor="text1"/>
                  </w:rPr>
                </m:ctrlPr>
              </m:sSubPr>
              <m:e>
                <m:r>
                  <w:rPr>
                    <w:rFonts w:ascii="Cambria Math" w:hAnsi="Cambria Math"/>
                    <w:color w:val="000000" w:themeColor="text1"/>
                  </w:rPr>
                  <m:t>K</m:t>
                </m:r>
              </m:e>
              <m:sub>
                <m:r>
                  <w:rPr>
                    <w:rFonts w:ascii="Cambria Math" w:hAnsi="Cambria Math"/>
                    <w:color w:val="000000" w:themeColor="text1"/>
                  </w:rPr>
                  <m:t>i</m:t>
                </m:r>
              </m:sub>
            </m:sSub>
          </m:den>
        </m:f>
      </m:oMath>
      <w:r w:rsidR="00D65105" w:rsidRPr="00487150">
        <w:rPr>
          <w:rFonts w:eastAsiaTheme="minorEastAsia"/>
          <w:color w:val="000000" w:themeColor="text1"/>
        </w:rPr>
        <w:tab/>
      </w:r>
      <w:r w:rsidR="00D65105" w:rsidRPr="00487150">
        <w:rPr>
          <w:rFonts w:eastAsiaTheme="minorEastAsia"/>
          <w:color w:val="000000" w:themeColor="text1"/>
        </w:rPr>
        <w:tab/>
      </w:r>
      <w:r w:rsidR="00D65105" w:rsidRPr="00487150">
        <w:rPr>
          <w:rFonts w:eastAsiaTheme="minorEastAsia"/>
          <w:color w:val="000000" w:themeColor="text1"/>
        </w:rPr>
        <w:tab/>
      </w:r>
      <w:r w:rsidR="00D65105" w:rsidRPr="00487150">
        <w:rPr>
          <w:rFonts w:eastAsiaTheme="minorEastAsia"/>
          <w:color w:val="000000" w:themeColor="text1"/>
        </w:rPr>
        <w:tab/>
      </w:r>
      <w:r w:rsidR="00D65105" w:rsidRPr="00487150">
        <w:rPr>
          <w:rFonts w:eastAsiaTheme="minorEastAsia"/>
          <w:color w:val="000000" w:themeColor="text1"/>
        </w:rPr>
        <w:tab/>
      </w:r>
      <w:r w:rsidR="00D65105" w:rsidRPr="00487150">
        <w:rPr>
          <w:color w:val="000000" w:themeColor="text1"/>
        </w:rPr>
        <w:t>(3.</w:t>
      </w:r>
      <w:r w:rsidR="00D65105">
        <w:t>24</w:t>
      </w:r>
      <w:r w:rsidR="00D65105" w:rsidRPr="00487150">
        <w:rPr>
          <w:color w:val="000000" w:themeColor="text1"/>
        </w:rPr>
        <w:t>)</w:t>
      </w:r>
    </w:p>
    <w:p w14:paraId="2E48E5C8" w14:textId="77777777" w:rsidR="00D65105" w:rsidRPr="007F57F8" w:rsidRDefault="00D65105" w:rsidP="00D65105">
      <w:pPr>
        <w:spacing w:line="480" w:lineRule="auto"/>
        <w:rPr>
          <w:color w:val="000000" w:themeColor="text1"/>
        </w:rPr>
      </w:pPr>
      <w:r w:rsidRPr="00487150">
        <w:rPr>
          <w:color w:val="000000" w:themeColor="text1"/>
        </w:rPr>
        <w:t xml:space="preserve">where </w:t>
      </w:r>
      <m:oMath>
        <m:sSubSup>
          <m:sSubSupPr>
            <m:ctrlPr>
              <w:rPr>
                <w:rFonts w:ascii="Cambria Math" w:hAnsi="Cambria Math"/>
                <w:color w:val="000000" w:themeColor="text1"/>
              </w:rPr>
            </m:ctrlPr>
          </m:sSubSupPr>
          <m:e>
            <m:r>
              <w:rPr>
                <w:rFonts w:ascii="Cambria Math" w:hAnsi="Cambria Math"/>
                <w:color w:val="000000" w:themeColor="text1"/>
              </w:rPr>
              <m:t>g</m:t>
            </m:r>
          </m:e>
          <m:sub>
            <m:r>
              <w:rPr>
                <w:rFonts w:ascii="Cambria Math" w:hAnsi="Cambria Math"/>
                <w:color w:val="000000" w:themeColor="text1"/>
              </w:rPr>
              <m:t>i</m:t>
            </m:r>
          </m:sub>
          <m:sup>
            <m:r>
              <w:rPr>
                <w:rFonts w:ascii="Cambria Math" w:hAnsi="Cambria Math"/>
                <w:color w:val="000000" w:themeColor="text1"/>
              </w:rPr>
              <m:t>n</m:t>
            </m:r>
          </m:sup>
        </m:sSubSup>
      </m:oMath>
      <w:r w:rsidRPr="00487150">
        <w:rPr>
          <w:color w:val="000000" w:themeColor="text1"/>
        </w:rPr>
        <w:t xml:space="preserve"> is the total energy (J) produced by decay for </w:t>
      </w:r>
      <w:r w:rsidRPr="00487150">
        <w:rPr>
          <w:color w:val="000000" w:themeColor="text1"/>
          <w:vertAlign w:val="superscript"/>
        </w:rPr>
        <w:t>232</w:t>
      </w:r>
      <w:r w:rsidRPr="00487150">
        <w:rPr>
          <w:color w:val="000000" w:themeColor="text1"/>
        </w:rPr>
        <w:t xml:space="preserve">Th, </w:t>
      </w:r>
      <w:r w:rsidRPr="00487150">
        <w:rPr>
          <w:color w:val="000000" w:themeColor="text1"/>
          <w:vertAlign w:val="superscript"/>
        </w:rPr>
        <w:t>235</w:t>
      </w:r>
      <w:r w:rsidRPr="00487150">
        <w:rPr>
          <w:color w:val="000000" w:themeColor="text1"/>
        </w:rPr>
        <w:t xml:space="preserve">U, </w:t>
      </w:r>
      <w:r w:rsidRPr="00487150">
        <w:rPr>
          <w:color w:val="000000" w:themeColor="text1"/>
          <w:vertAlign w:val="superscript"/>
        </w:rPr>
        <w:t>238</w:t>
      </w:r>
      <w:r w:rsidRPr="00487150">
        <w:rPr>
          <w:color w:val="000000" w:themeColor="text1"/>
        </w:rPr>
        <w:t xml:space="preserve">U, and </w:t>
      </w:r>
      <w:r w:rsidRPr="00487150">
        <w:rPr>
          <w:color w:val="000000" w:themeColor="text1"/>
          <w:vertAlign w:val="superscript"/>
        </w:rPr>
        <w:t>40</w:t>
      </w:r>
      <w:r w:rsidRPr="00487150">
        <w:rPr>
          <w:color w:val="000000" w:themeColor="text1"/>
        </w:rPr>
        <w:t xml:space="preserve">K over a time step </w:t>
      </w:r>
      <m:oMath>
        <m:r>
          <m:rPr>
            <m:sty m:val="p"/>
          </m:rPr>
          <w:rPr>
            <w:rFonts w:ascii="Cambria Math" w:hAnsi="Cambria Math"/>
            <w:color w:val="000000" w:themeColor="text1"/>
          </w:rPr>
          <m:t>∆</m:t>
        </m:r>
        <m:r>
          <w:rPr>
            <w:rFonts w:ascii="Cambria Math" w:hAnsi="Cambria Math"/>
            <w:color w:val="000000" w:themeColor="text1"/>
          </w:rPr>
          <m:t>t</m:t>
        </m:r>
      </m:oMath>
      <w:r w:rsidRPr="00487150">
        <w:rPr>
          <w:color w:val="000000" w:themeColor="text1"/>
        </w:rPr>
        <w:t xml:space="preserve"> for a given radius, and </w:t>
      </w:r>
      <m:oMath>
        <m:sSub>
          <m:sSubPr>
            <m:ctrlPr>
              <w:rPr>
                <w:rFonts w:ascii="Cambria Math" w:hAnsi="Cambria Math"/>
                <w:color w:val="000000" w:themeColor="text1"/>
              </w:rPr>
            </m:ctrlPr>
          </m:sSubPr>
          <m:e>
            <m:r>
              <w:rPr>
                <w:rFonts w:ascii="Cambria Math" w:hAnsi="Cambria Math"/>
                <w:color w:val="000000" w:themeColor="text1"/>
              </w:rPr>
              <m:t>K</m:t>
            </m:r>
          </m:e>
          <m:sub>
            <m:r>
              <w:rPr>
                <w:rFonts w:ascii="Cambria Math" w:hAnsi="Cambria Math"/>
                <w:color w:val="000000" w:themeColor="text1"/>
              </w:rPr>
              <m:t>i</m:t>
            </m:r>
          </m:sub>
        </m:sSub>
      </m:oMath>
      <w:r w:rsidRPr="00487150">
        <w:rPr>
          <w:color w:val="000000" w:themeColor="text1"/>
        </w:rPr>
        <w:t xml:space="preserve"> is the thermal conductivity at interval </w:t>
      </w:r>
      <m:oMath>
        <m:r>
          <w:rPr>
            <w:rFonts w:ascii="Cambria Math" w:hAnsi="Cambria Math"/>
            <w:color w:val="000000" w:themeColor="text1"/>
          </w:rPr>
          <m:t>i</m:t>
        </m:r>
      </m:oMath>
      <w:r w:rsidRPr="00487150">
        <w:rPr>
          <w:color w:val="000000" w:themeColor="text1"/>
        </w:rPr>
        <w:t xml:space="preserve">. Total energy (J) produced by decay </w:t>
      </w:r>
      <m:oMath>
        <m:sSubSup>
          <m:sSubSupPr>
            <m:ctrlPr>
              <w:rPr>
                <w:rFonts w:ascii="Cambria Math" w:hAnsi="Cambria Math"/>
                <w:color w:val="000000" w:themeColor="text1"/>
              </w:rPr>
            </m:ctrlPr>
          </m:sSubSupPr>
          <m:e>
            <m:r>
              <w:rPr>
                <w:rFonts w:ascii="Cambria Math" w:hAnsi="Cambria Math"/>
                <w:color w:val="000000" w:themeColor="text1"/>
              </w:rPr>
              <m:t>g</m:t>
            </m:r>
          </m:e>
          <m:sub>
            <m:r>
              <w:rPr>
                <w:rFonts w:ascii="Cambria Math" w:hAnsi="Cambria Math"/>
                <w:color w:val="000000" w:themeColor="text1"/>
              </w:rPr>
              <m:t>i</m:t>
            </m:r>
          </m:sub>
          <m:sup>
            <m:r>
              <w:rPr>
                <w:rFonts w:ascii="Cambria Math" w:hAnsi="Cambria Math"/>
                <w:color w:val="000000" w:themeColor="text1"/>
              </w:rPr>
              <m:t>n</m:t>
            </m:r>
          </m:sup>
        </m:sSubSup>
      </m:oMath>
      <w:r w:rsidRPr="00487150">
        <w:rPr>
          <w:color w:val="000000" w:themeColor="text1"/>
        </w:rPr>
        <w:t xml:space="preserve"> is calculated for every time interval </w:t>
      </w:r>
      <m:oMath>
        <m:r>
          <w:rPr>
            <w:rFonts w:ascii="Cambria Math" w:hAnsi="Cambria Math"/>
            <w:color w:val="000000" w:themeColor="text1"/>
          </w:rPr>
          <m:t>n</m:t>
        </m:r>
      </m:oMath>
      <w:r w:rsidRPr="00487150">
        <w:rPr>
          <w:color w:val="000000" w:themeColor="text1"/>
        </w:rPr>
        <w:t xml:space="preserve"> by calculating the difference in radiogenic heat potential of each element for a given </w:t>
      </w:r>
      <m:oMath>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i</m:t>
            </m:r>
          </m:sub>
        </m:sSub>
      </m:oMath>
      <w:r w:rsidRPr="00487150">
        <w:rPr>
          <w:color w:val="000000" w:themeColor="text1"/>
        </w:rPr>
        <w:t xml:space="preserve">. The variation in radiogenic heat potential between time intervals </w:t>
      </w:r>
      <m:oMath>
        <m:r>
          <w:rPr>
            <w:rFonts w:ascii="Cambria Math" w:hAnsi="Cambria Math"/>
            <w:color w:val="000000" w:themeColor="text1"/>
          </w:rPr>
          <m:t>n</m:t>
        </m:r>
        <m:r>
          <m:rPr>
            <m:sty m:val="p"/>
          </m:rPr>
          <w:rPr>
            <w:rFonts w:ascii="Cambria Math" w:hAnsi="Cambria Math"/>
            <w:color w:val="000000" w:themeColor="text1"/>
          </w:rPr>
          <m:t>-1</m:t>
        </m:r>
      </m:oMath>
      <w:r w:rsidRPr="00487150">
        <w:rPr>
          <w:color w:val="000000" w:themeColor="text1"/>
        </w:rPr>
        <w:t xml:space="preserve"> and </w:t>
      </w:r>
      <m:oMath>
        <m:r>
          <w:rPr>
            <w:rFonts w:ascii="Cambria Math" w:hAnsi="Cambria Math"/>
            <w:color w:val="000000" w:themeColor="text1"/>
          </w:rPr>
          <m:t>n</m:t>
        </m:r>
      </m:oMath>
      <w:r w:rsidRPr="00487150">
        <w:rPr>
          <w:color w:val="000000" w:themeColor="text1"/>
        </w:rPr>
        <w:t xml:space="preserve"> </w:t>
      </w:r>
      <w:r>
        <w:t>is</w:t>
      </w:r>
      <w:r w:rsidRPr="00487150">
        <w:rPr>
          <w:color w:val="000000" w:themeColor="text1"/>
        </w:rPr>
        <w:t xml:space="preserve"> used to determine the </w:t>
      </w:r>
      <w:r w:rsidRPr="00487150">
        <w:rPr>
          <w:color w:val="000000" w:themeColor="text1"/>
        </w:rPr>
        <w:lastRenderedPageBreak/>
        <w:t xml:space="preserve">energy (J) produced per element for time interval </w:t>
      </w:r>
      <m:oMath>
        <m:r>
          <w:rPr>
            <w:rFonts w:ascii="Cambria Math" w:hAnsi="Cambria Math"/>
            <w:color w:val="000000" w:themeColor="text1"/>
          </w:rPr>
          <m:t>n</m:t>
        </m:r>
      </m:oMath>
      <w:r w:rsidRPr="00487150">
        <w:rPr>
          <w:color w:val="000000" w:themeColor="text1"/>
        </w:rPr>
        <w:t xml:space="preserve">. The parameters for energy production per decay of </w:t>
      </w:r>
      <w:r w:rsidRPr="00487150">
        <w:rPr>
          <w:color w:val="000000" w:themeColor="text1"/>
          <w:vertAlign w:val="superscript"/>
        </w:rPr>
        <w:t>232</w:t>
      </w:r>
      <w:r w:rsidRPr="00487150">
        <w:rPr>
          <w:color w:val="000000" w:themeColor="text1"/>
        </w:rPr>
        <w:t xml:space="preserve">Th, </w:t>
      </w:r>
      <w:r w:rsidRPr="00487150">
        <w:rPr>
          <w:color w:val="000000" w:themeColor="text1"/>
          <w:vertAlign w:val="superscript"/>
        </w:rPr>
        <w:t>235</w:t>
      </w:r>
      <w:r w:rsidRPr="00487150">
        <w:rPr>
          <w:color w:val="000000" w:themeColor="text1"/>
        </w:rPr>
        <w:t xml:space="preserve">U, </w:t>
      </w:r>
      <w:r w:rsidRPr="00487150">
        <w:rPr>
          <w:color w:val="000000" w:themeColor="text1"/>
          <w:vertAlign w:val="superscript"/>
        </w:rPr>
        <w:t>238</w:t>
      </w:r>
      <w:r w:rsidRPr="00487150">
        <w:rPr>
          <w:color w:val="000000" w:themeColor="text1"/>
        </w:rPr>
        <w:t xml:space="preserve">U, and </w:t>
      </w:r>
      <w:r w:rsidRPr="00487150">
        <w:rPr>
          <w:color w:val="000000" w:themeColor="text1"/>
          <w:vertAlign w:val="superscript"/>
        </w:rPr>
        <w:t>40</w:t>
      </w:r>
      <w:r w:rsidRPr="00487150">
        <w:rPr>
          <w:color w:val="000000" w:themeColor="text1"/>
        </w:rPr>
        <w:t>K were taken from Ruedas (2017</w:t>
      </w:r>
      <w:r w:rsidRPr="00487150">
        <w:rPr>
          <w:iCs/>
          <w:color w:val="000000" w:themeColor="text1"/>
        </w:rPr>
        <w:t>) (</w:t>
      </w:r>
      <w:r w:rsidRPr="00487150">
        <w:rPr>
          <w:b/>
          <w:bCs/>
          <w:iCs/>
          <w:color w:val="000000" w:themeColor="text1"/>
        </w:rPr>
        <w:t>Table 3.</w:t>
      </w:r>
      <w:r>
        <w:rPr>
          <w:b/>
          <w:bCs/>
          <w:iCs/>
          <w:color w:val="000000" w:themeColor="text1"/>
        </w:rPr>
        <w:t>4</w:t>
      </w:r>
      <w:r w:rsidRPr="00487150">
        <w:rPr>
          <w:iCs/>
          <w:color w:val="000000" w:themeColor="text1"/>
        </w:rPr>
        <w:t>)</w:t>
      </w:r>
      <w:r w:rsidRPr="00487150">
        <w:rPr>
          <w:color w:val="000000" w:themeColor="text1"/>
        </w:rPr>
        <w:t xml:space="preserve">. </w:t>
      </w:r>
      <w:r w:rsidRPr="00625A04">
        <w:rPr>
          <w:color w:val="000000" w:themeColor="text1"/>
        </w:rPr>
        <w:t>In</w:t>
      </w:r>
      <w:r w:rsidRPr="00E232C9">
        <w:t xml:space="preserve"> summary:</w:t>
      </w:r>
    </w:p>
    <w:p w14:paraId="23C5E61D" w14:textId="3DA3E3CD" w:rsidR="00565C27" w:rsidRPr="00487150" w:rsidRDefault="00000000" w:rsidP="00D65105">
      <w:pPr>
        <w:spacing w:line="480" w:lineRule="auto"/>
        <w:ind w:firstLine="720"/>
        <w:rPr>
          <w:color w:val="000000" w:themeColor="text1"/>
          <w:highlight w:val="yellow"/>
        </w:rPr>
      </w:pPr>
      <m:oMath>
        <m:sSubSup>
          <m:sSubSupPr>
            <m:ctrlPr>
              <w:rPr>
                <w:rFonts w:ascii="Cambria Math" w:hAnsi="Cambria Math"/>
              </w:rPr>
            </m:ctrlPr>
          </m:sSubSupPr>
          <m:e>
            <m:r>
              <w:rPr>
                <w:rFonts w:ascii="Cambria Math" w:hAnsi="Cambria Math"/>
              </w:rPr>
              <m:t>T</m:t>
            </m:r>
          </m:e>
          <m:sub>
            <m:r>
              <w:rPr>
                <w:rFonts w:ascii="Cambria Math" w:hAnsi="Cambria Math"/>
              </w:rPr>
              <m:t>i</m:t>
            </m:r>
          </m:sub>
          <m:sup>
            <m:r>
              <w:rPr>
                <w:rFonts w:ascii="Cambria Math" w:hAnsi="Cambria Math"/>
              </w:rPr>
              <m:t>n</m:t>
            </m:r>
          </m:sup>
        </m:sSubSup>
        <m:r>
          <m:rPr>
            <m:sty m:val="p"/>
          </m:rPr>
          <w:rPr>
            <w:rFonts w:ascii="Cambria Math" w:hAnsi="Cambria Math"/>
          </w:rPr>
          <m:t>-</m:t>
        </m:r>
        <m:sSubSup>
          <m:sSubSupPr>
            <m:ctrlPr>
              <w:rPr>
                <w:rFonts w:ascii="Cambria Math" w:hAnsi="Cambria Math"/>
              </w:rPr>
            </m:ctrlPr>
          </m:sSubSupPr>
          <m:e>
            <m:r>
              <w:rPr>
                <w:rFonts w:ascii="Cambria Math" w:hAnsi="Cambria Math"/>
              </w:rPr>
              <m:t>T</m:t>
            </m:r>
          </m:e>
          <m:sub>
            <m:r>
              <w:rPr>
                <w:rFonts w:ascii="Cambria Math" w:hAnsi="Cambria Math"/>
              </w:rPr>
              <m:t>i</m:t>
            </m:r>
          </m:sub>
          <m:sup>
            <m:r>
              <w:rPr>
                <w:rFonts w:ascii="Cambria Math" w:hAnsi="Cambria Math"/>
              </w:rPr>
              <m:t>n</m:t>
            </m:r>
            <m:r>
              <m:rPr>
                <m:sty m:val="p"/>
              </m:rPr>
              <w:rPr>
                <w:rFonts w:ascii="Cambria Math" w:hAnsi="Cambria Math"/>
              </w:rPr>
              <m:t>-1</m:t>
            </m:r>
          </m:sup>
        </m:sSubSup>
        <m:r>
          <m:rPr>
            <m:sty m:val="p"/>
          </m:rPr>
          <w:rPr>
            <w:rFonts w:ascii="Cambria Math" w:hAnsi="Cambria Math"/>
          </w:rPr>
          <m:t>=</m:t>
        </m:r>
        <m:d>
          <m:dPr>
            <m:begChr m:val="{"/>
            <m:endChr m:val=""/>
            <m:ctrlPr>
              <w:rPr>
                <w:rFonts w:ascii="Cambria Math" w:hAnsi="Cambria Math"/>
              </w:rPr>
            </m:ctrlPr>
          </m:dPr>
          <m:e>
            <m:eqArr>
              <m:eqArrPr>
                <m:ctrlPr>
                  <w:rPr>
                    <w:rFonts w:ascii="Cambria Math" w:hAnsi="Cambria Math"/>
                  </w:rPr>
                </m:ctrlPr>
              </m:eqArrPr>
              <m:e>
                <m:f>
                  <m:fPr>
                    <m:ctrlPr>
                      <w:rPr>
                        <w:rFonts w:ascii="Cambria Math" w:hAnsi="Cambria Math"/>
                      </w:rPr>
                    </m:ctrlPr>
                  </m:fPr>
                  <m:num>
                    <m:r>
                      <m:rPr>
                        <m:sty m:val="p"/>
                      </m:rPr>
                      <w:rPr>
                        <w:rFonts w:ascii="Cambria Math" w:hAnsi="Cambria Math"/>
                      </w:rPr>
                      <m:t>6</m:t>
                    </m:r>
                    <m:sSub>
                      <m:sSubPr>
                        <m:ctrlPr>
                          <w:rPr>
                            <w:rFonts w:ascii="Cambria Math" w:hAnsi="Cambria Math"/>
                          </w:rPr>
                        </m:ctrlPr>
                      </m:sSubPr>
                      <m:e>
                        <m:r>
                          <w:rPr>
                            <w:rFonts w:ascii="Cambria Math" w:hAnsi="Cambria Math"/>
                          </w:rPr>
                          <m:t>A</m:t>
                        </m:r>
                      </m:e>
                      <m:sub>
                        <m:r>
                          <w:rPr>
                            <w:rFonts w:ascii="Cambria Math" w:hAnsi="Cambria Math"/>
                          </w:rPr>
                          <m:t>i</m:t>
                        </m:r>
                      </m:sub>
                    </m:sSub>
                    <m:d>
                      <m:dPr>
                        <m:ctrlPr>
                          <w:rPr>
                            <w:rFonts w:ascii="Cambria Math" w:hAnsi="Cambria Math"/>
                          </w:rPr>
                        </m:ctrlPr>
                      </m:dPr>
                      <m:e>
                        <m:sSubSup>
                          <m:sSubSupPr>
                            <m:ctrlPr>
                              <w:rPr>
                                <w:rFonts w:ascii="Cambria Math" w:hAnsi="Cambria Math"/>
                              </w:rPr>
                            </m:ctrlPr>
                          </m:sSubSupPr>
                          <m:e>
                            <m:acc>
                              <m:accPr>
                                <m:chr m:val="̅"/>
                                <m:ctrlPr>
                                  <w:rPr>
                                    <w:rFonts w:ascii="Cambria Math" w:hAnsi="Cambria Math"/>
                                  </w:rPr>
                                </m:ctrlPr>
                              </m:accPr>
                              <m:e>
                                <m:r>
                                  <w:rPr>
                                    <w:rFonts w:ascii="Cambria Math" w:hAnsi="Cambria Math"/>
                                  </w:rPr>
                                  <m:t>T</m:t>
                                </m:r>
                              </m:e>
                            </m:acc>
                          </m:e>
                          <m:sub>
                            <m:r>
                              <w:rPr>
                                <w:rFonts w:ascii="Cambria Math" w:hAnsi="Cambria Math"/>
                              </w:rPr>
                              <m:t>i</m:t>
                            </m:r>
                            <m:r>
                              <m:rPr>
                                <m:sty m:val="p"/>
                              </m:rPr>
                              <w:rPr>
                                <w:rFonts w:ascii="Cambria Math" w:hAnsi="Cambria Math"/>
                              </w:rPr>
                              <m:t>+1</m:t>
                            </m:r>
                          </m:sub>
                          <m:sup>
                            <m:r>
                              <w:rPr>
                                <w:rFonts w:ascii="Cambria Math" w:hAnsi="Cambria Math"/>
                              </w:rPr>
                              <m:t>n</m:t>
                            </m:r>
                            <m:r>
                              <m:rPr>
                                <m:sty m:val="p"/>
                              </m:rPr>
                              <w:rPr>
                                <w:rFonts w:ascii="Cambria Math" w:hAnsi="Cambria Math"/>
                              </w:rPr>
                              <m:t>-1</m:t>
                            </m:r>
                          </m:sup>
                        </m:sSubSup>
                        <m:r>
                          <m:rPr>
                            <m:sty m:val="p"/>
                          </m:rPr>
                          <w:rPr>
                            <w:rFonts w:ascii="Cambria Math" w:hAnsi="Cambria Math"/>
                          </w:rPr>
                          <m:t>-</m:t>
                        </m:r>
                        <m:sSubSup>
                          <m:sSubSupPr>
                            <m:ctrlPr>
                              <w:rPr>
                                <w:rFonts w:ascii="Cambria Math" w:hAnsi="Cambria Math"/>
                              </w:rPr>
                            </m:ctrlPr>
                          </m:sSubSupPr>
                          <m:e>
                            <m:acc>
                              <m:accPr>
                                <m:chr m:val="̅"/>
                                <m:ctrlPr>
                                  <w:rPr>
                                    <w:rFonts w:ascii="Cambria Math" w:hAnsi="Cambria Math"/>
                                  </w:rPr>
                                </m:ctrlPr>
                              </m:accPr>
                              <m:e>
                                <m:r>
                                  <w:rPr>
                                    <w:rFonts w:ascii="Cambria Math" w:hAnsi="Cambria Math"/>
                                  </w:rPr>
                                  <m:t>T</m:t>
                                </m:r>
                              </m:e>
                            </m:acc>
                          </m:e>
                          <m:sub>
                            <m:r>
                              <w:rPr>
                                <w:rFonts w:ascii="Cambria Math" w:hAnsi="Cambria Math"/>
                              </w:rPr>
                              <m:t>i</m:t>
                            </m:r>
                          </m:sub>
                          <m:sup>
                            <m:r>
                              <w:rPr>
                                <w:rFonts w:ascii="Cambria Math" w:hAnsi="Cambria Math"/>
                              </w:rPr>
                              <m:t>n</m:t>
                            </m:r>
                            <m:r>
                              <m:rPr>
                                <m:sty m:val="p"/>
                              </m:rPr>
                              <w:rPr>
                                <w:rFonts w:ascii="Cambria Math" w:hAnsi="Cambria Math"/>
                              </w:rPr>
                              <m:t>-1</m:t>
                            </m:r>
                          </m:sup>
                        </m:sSubSup>
                      </m:e>
                    </m:d>
                  </m:num>
                  <m:den>
                    <m:r>
                      <m:rPr>
                        <m:sty m:val="p"/>
                      </m:rPr>
                      <w:rPr>
                        <w:rFonts w:ascii="Cambria Math" w:hAnsi="Cambria Math"/>
                      </w:rPr>
                      <m:t>∆</m:t>
                    </m:r>
                    <m:sSup>
                      <m:sSupPr>
                        <m:ctrlPr>
                          <w:rPr>
                            <w:rFonts w:ascii="Cambria Math" w:hAnsi="Cambria Math"/>
                          </w:rPr>
                        </m:ctrlPr>
                      </m:sSupPr>
                      <m:e>
                        <m:r>
                          <w:rPr>
                            <w:rFonts w:ascii="Cambria Math" w:hAnsi="Cambria Math"/>
                          </w:rPr>
                          <m:t>r</m:t>
                        </m:r>
                      </m:e>
                      <m:sup>
                        <m:r>
                          <m:rPr>
                            <m:sty m:val="p"/>
                          </m:rPr>
                          <w:rPr>
                            <w:rFonts w:ascii="Cambria Math" w:hAnsi="Cambria Math"/>
                          </w:rPr>
                          <m:t>2</m:t>
                        </m:r>
                      </m:sup>
                    </m:sSup>
                  </m:den>
                </m:f>
                <m:r>
                  <m:rPr>
                    <m:sty m:val="p"/>
                  </m:rPr>
                  <w:rPr>
                    <w:rFonts w:ascii="Cambria Math" w:hAnsi="Cambria Math"/>
                  </w:rPr>
                  <m:t xml:space="preserve">,   </m:t>
                </m:r>
                <m:r>
                  <m:rPr>
                    <m:nor/>
                  </m:rPr>
                  <w:rPr>
                    <w:iCs/>
                  </w:rPr>
                  <m:t>if</m:t>
                </m:r>
                <m:r>
                  <m:rPr>
                    <m:sty m:val="p"/>
                  </m:rPr>
                  <w:rPr>
                    <w:rFonts w:ascii="Cambria Math" w:hAnsi="Cambria Math"/>
                  </w:rPr>
                  <m:t xml:space="preserve"> </m:t>
                </m:r>
                <m:r>
                  <w:rPr>
                    <w:rFonts w:ascii="Cambria Math" w:hAnsi="Cambria Math"/>
                  </w:rPr>
                  <m:t>i</m:t>
                </m:r>
                <m:r>
                  <m:rPr>
                    <m:sty m:val="p"/>
                  </m:rPr>
                  <w:rPr>
                    <w:rFonts w:ascii="Cambria Math" w:hAnsi="Cambria Math"/>
                  </w:rPr>
                  <m:t>=0</m:t>
                </m:r>
              </m:e>
              <m:e>
                <m:f>
                  <m:fPr>
                    <m:ctrlPr>
                      <w:rPr>
                        <w:rFonts w:ascii="Cambria Math" w:hAnsi="Cambria Math"/>
                      </w:rPr>
                    </m:ctrlPr>
                  </m:fPr>
                  <m:num>
                    <m:sSub>
                      <m:sSubPr>
                        <m:ctrlPr>
                          <w:rPr>
                            <w:rFonts w:ascii="Cambria Math" w:hAnsi="Cambria Math"/>
                          </w:rPr>
                        </m:ctrlPr>
                      </m:sSubPr>
                      <m:e>
                        <m:r>
                          <w:rPr>
                            <w:rFonts w:ascii="Cambria Math" w:hAnsi="Cambria Math"/>
                          </w:rPr>
                          <m:t>A</m:t>
                        </m:r>
                      </m:e>
                      <m:sub>
                        <m:r>
                          <w:rPr>
                            <w:rFonts w:ascii="Cambria Math" w:hAnsi="Cambria Math"/>
                          </w:rPr>
                          <m:t>i</m:t>
                        </m:r>
                      </m:sub>
                    </m:sSub>
                  </m:num>
                  <m:den>
                    <m:r>
                      <m:rPr>
                        <m:sty m:val="p"/>
                      </m:rPr>
                      <w:rPr>
                        <w:rFonts w:ascii="Cambria Math" w:hAnsi="Cambria Math"/>
                      </w:rPr>
                      <m:t>2</m:t>
                    </m:r>
                    <m:r>
                      <w:rPr>
                        <w:rFonts w:ascii="Cambria Math" w:hAnsi="Cambria Math"/>
                      </w:rPr>
                      <m:t>i</m:t>
                    </m:r>
                    <m:r>
                      <m:rPr>
                        <m:sty m:val="p"/>
                      </m:rPr>
                      <w:rPr>
                        <w:rFonts w:ascii="Cambria Math" w:hAnsi="Cambria Math"/>
                      </w:rPr>
                      <m:t>∆</m:t>
                    </m:r>
                    <m:sSup>
                      <m:sSupPr>
                        <m:ctrlPr>
                          <w:rPr>
                            <w:rFonts w:ascii="Cambria Math" w:hAnsi="Cambria Math"/>
                          </w:rPr>
                        </m:ctrlPr>
                      </m:sSupPr>
                      <m:e>
                        <m:r>
                          <w:rPr>
                            <w:rFonts w:ascii="Cambria Math" w:hAnsi="Cambria Math"/>
                          </w:rPr>
                          <m:t>r</m:t>
                        </m:r>
                      </m:e>
                      <m:sup>
                        <m:r>
                          <m:rPr>
                            <m:sty m:val="p"/>
                          </m:rPr>
                          <w:rPr>
                            <w:rFonts w:ascii="Cambria Math" w:hAnsi="Cambria Math"/>
                          </w:rPr>
                          <m:t>2</m:t>
                        </m:r>
                      </m:sup>
                    </m:sSup>
                  </m:den>
                </m:f>
                <m:d>
                  <m:dPr>
                    <m:ctrlPr>
                      <w:rPr>
                        <w:rFonts w:ascii="Cambria Math" w:hAnsi="Cambria Math"/>
                      </w:rPr>
                    </m:ctrlPr>
                  </m:dPr>
                  <m:e>
                    <m:d>
                      <m:dPr>
                        <m:ctrlPr>
                          <w:rPr>
                            <w:rFonts w:ascii="Cambria Math" w:hAnsi="Cambria Math"/>
                          </w:rPr>
                        </m:ctrlPr>
                      </m:dPr>
                      <m:e>
                        <m:r>
                          <w:rPr>
                            <w:rFonts w:ascii="Cambria Math" w:hAnsi="Cambria Math"/>
                          </w:rPr>
                          <m:t>i</m:t>
                        </m:r>
                        <m:r>
                          <m:rPr>
                            <m:sty m:val="p"/>
                          </m:rPr>
                          <w:rPr>
                            <w:rFonts w:ascii="Cambria Math" w:hAnsi="Cambria Math"/>
                          </w:rPr>
                          <m:t>+2</m:t>
                        </m:r>
                      </m:e>
                    </m:d>
                    <m:sSubSup>
                      <m:sSubSupPr>
                        <m:ctrlPr>
                          <w:rPr>
                            <w:rFonts w:ascii="Cambria Math" w:hAnsi="Cambria Math"/>
                          </w:rPr>
                        </m:ctrlPr>
                      </m:sSubSupPr>
                      <m:e>
                        <m:acc>
                          <m:accPr>
                            <m:chr m:val="̅"/>
                            <m:ctrlPr>
                              <w:rPr>
                                <w:rFonts w:ascii="Cambria Math" w:hAnsi="Cambria Math"/>
                              </w:rPr>
                            </m:ctrlPr>
                          </m:accPr>
                          <m:e>
                            <m:r>
                              <w:rPr>
                                <w:rFonts w:ascii="Cambria Math" w:hAnsi="Cambria Math"/>
                              </w:rPr>
                              <m:t>T</m:t>
                            </m:r>
                          </m:e>
                        </m:acc>
                      </m:e>
                      <m:sub>
                        <m:r>
                          <w:rPr>
                            <w:rFonts w:ascii="Cambria Math" w:hAnsi="Cambria Math"/>
                          </w:rPr>
                          <m:t>i</m:t>
                        </m:r>
                        <m:r>
                          <m:rPr>
                            <m:sty m:val="p"/>
                          </m:rPr>
                          <w:rPr>
                            <w:rFonts w:ascii="Cambria Math" w:hAnsi="Cambria Math"/>
                          </w:rPr>
                          <m:t>+1</m:t>
                        </m:r>
                      </m:sub>
                      <m:sup>
                        <m:r>
                          <w:rPr>
                            <w:rFonts w:ascii="Cambria Math" w:hAnsi="Cambria Math"/>
                          </w:rPr>
                          <m:t>n</m:t>
                        </m:r>
                        <m:r>
                          <m:rPr>
                            <m:sty m:val="p"/>
                          </m:rPr>
                          <w:rPr>
                            <w:rFonts w:ascii="Cambria Math" w:hAnsi="Cambria Math"/>
                          </w:rPr>
                          <m:t>-1</m:t>
                        </m:r>
                      </m:sup>
                    </m:sSubSup>
                    <m:r>
                      <m:rPr>
                        <m:sty m:val="p"/>
                      </m:rPr>
                      <w:rPr>
                        <w:rFonts w:ascii="Cambria Math" w:hAnsi="Cambria Math"/>
                      </w:rPr>
                      <m:t>-2</m:t>
                    </m:r>
                    <m:r>
                      <w:rPr>
                        <w:rFonts w:ascii="Cambria Math" w:hAnsi="Cambria Math"/>
                      </w:rPr>
                      <m:t>i</m:t>
                    </m:r>
                    <m:sSubSup>
                      <m:sSubSupPr>
                        <m:ctrlPr>
                          <w:rPr>
                            <w:rFonts w:ascii="Cambria Math" w:hAnsi="Cambria Math"/>
                          </w:rPr>
                        </m:ctrlPr>
                      </m:sSubSupPr>
                      <m:e>
                        <m:acc>
                          <m:accPr>
                            <m:chr m:val="̅"/>
                            <m:ctrlPr>
                              <w:rPr>
                                <w:rFonts w:ascii="Cambria Math" w:hAnsi="Cambria Math"/>
                              </w:rPr>
                            </m:ctrlPr>
                          </m:accPr>
                          <m:e>
                            <m:r>
                              <w:rPr>
                                <w:rFonts w:ascii="Cambria Math" w:hAnsi="Cambria Math"/>
                              </w:rPr>
                              <m:t>T</m:t>
                            </m:r>
                          </m:e>
                        </m:acc>
                      </m:e>
                      <m:sub>
                        <m:r>
                          <w:rPr>
                            <w:rFonts w:ascii="Cambria Math" w:hAnsi="Cambria Math"/>
                          </w:rPr>
                          <m:t>i</m:t>
                        </m:r>
                      </m:sub>
                      <m:sup>
                        <m:r>
                          <w:rPr>
                            <w:rFonts w:ascii="Cambria Math" w:hAnsi="Cambria Math"/>
                          </w:rPr>
                          <m:t>n</m:t>
                        </m:r>
                        <m:r>
                          <m:rPr>
                            <m:sty m:val="p"/>
                          </m:rPr>
                          <w:rPr>
                            <w:rFonts w:ascii="Cambria Math" w:hAnsi="Cambria Math"/>
                          </w:rPr>
                          <m:t>-1</m:t>
                        </m:r>
                      </m:sup>
                    </m:sSubSup>
                    <m:r>
                      <m:rPr>
                        <m:sty m:val="p"/>
                      </m:rPr>
                      <w:rPr>
                        <w:rFonts w:ascii="Cambria Math" w:hAnsi="Cambria Math"/>
                      </w:rPr>
                      <m:t>+</m:t>
                    </m:r>
                    <m:d>
                      <m:dPr>
                        <m:ctrlPr>
                          <w:rPr>
                            <w:rFonts w:ascii="Cambria Math" w:hAnsi="Cambria Math"/>
                          </w:rPr>
                        </m:ctrlPr>
                      </m:dPr>
                      <m:e>
                        <m:r>
                          <w:rPr>
                            <w:rFonts w:ascii="Cambria Math" w:hAnsi="Cambria Math"/>
                          </w:rPr>
                          <m:t>i</m:t>
                        </m:r>
                        <m:r>
                          <m:rPr>
                            <m:sty m:val="p"/>
                          </m:rPr>
                          <w:rPr>
                            <w:rFonts w:ascii="Cambria Math" w:hAnsi="Cambria Math"/>
                          </w:rPr>
                          <m:t>-2</m:t>
                        </m:r>
                      </m:e>
                    </m:d>
                    <m:sSubSup>
                      <m:sSubSupPr>
                        <m:ctrlPr>
                          <w:rPr>
                            <w:rFonts w:ascii="Cambria Math" w:hAnsi="Cambria Math"/>
                          </w:rPr>
                        </m:ctrlPr>
                      </m:sSubSupPr>
                      <m:e>
                        <m:acc>
                          <m:accPr>
                            <m:chr m:val="̅"/>
                            <m:ctrlPr>
                              <w:rPr>
                                <w:rFonts w:ascii="Cambria Math" w:hAnsi="Cambria Math"/>
                              </w:rPr>
                            </m:ctrlPr>
                          </m:accPr>
                          <m:e>
                            <m:r>
                              <w:rPr>
                                <w:rFonts w:ascii="Cambria Math" w:hAnsi="Cambria Math"/>
                              </w:rPr>
                              <m:t>T</m:t>
                            </m:r>
                          </m:e>
                        </m:acc>
                      </m:e>
                      <m:sub>
                        <m:r>
                          <w:rPr>
                            <w:rFonts w:ascii="Cambria Math" w:hAnsi="Cambria Math"/>
                          </w:rPr>
                          <m:t>i</m:t>
                        </m:r>
                        <m:r>
                          <m:rPr>
                            <m:sty m:val="p"/>
                          </m:rPr>
                          <w:rPr>
                            <w:rFonts w:ascii="Cambria Math" w:hAnsi="Cambria Math"/>
                          </w:rPr>
                          <m:t>-1</m:t>
                        </m:r>
                      </m:sub>
                      <m:sup>
                        <m:r>
                          <w:rPr>
                            <w:rFonts w:ascii="Cambria Math" w:hAnsi="Cambria Math"/>
                          </w:rPr>
                          <m:t>n</m:t>
                        </m:r>
                        <m:r>
                          <m:rPr>
                            <m:sty m:val="p"/>
                          </m:rPr>
                          <w:rPr>
                            <w:rFonts w:ascii="Cambria Math" w:hAnsi="Cambria Math"/>
                          </w:rPr>
                          <m:t>-1</m:t>
                        </m:r>
                      </m:sup>
                    </m:sSubSup>
                  </m:e>
                </m:d>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A</m:t>
                        </m:r>
                      </m:e>
                      <m:sub>
                        <m:r>
                          <w:rPr>
                            <w:rFonts w:ascii="Cambria Math" w:hAnsi="Cambria Math"/>
                          </w:rPr>
                          <m:t>i</m:t>
                        </m:r>
                        <m:r>
                          <m:rPr>
                            <m:sty m:val="p"/>
                          </m:rPr>
                          <w:rPr>
                            <w:rFonts w:ascii="Cambria Math" w:hAnsi="Cambria Math"/>
                          </w:rPr>
                          <m:t>+1</m:t>
                        </m:r>
                      </m:sub>
                    </m:sSub>
                  </m:num>
                  <m:den>
                    <m:r>
                      <m:rPr>
                        <m:sty m:val="p"/>
                      </m:rPr>
                      <w:rPr>
                        <w:rFonts w:ascii="Cambria Math" w:hAnsi="Cambria Math"/>
                      </w:rPr>
                      <m:t>2∆</m:t>
                    </m:r>
                    <m:sSup>
                      <m:sSupPr>
                        <m:ctrlPr>
                          <w:rPr>
                            <w:rFonts w:ascii="Cambria Math" w:hAnsi="Cambria Math"/>
                          </w:rPr>
                        </m:ctrlPr>
                      </m:sSupPr>
                      <m:e>
                        <m:r>
                          <w:rPr>
                            <w:rFonts w:ascii="Cambria Math" w:hAnsi="Cambria Math"/>
                          </w:rPr>
                          <m:t>r</m:t>
                        </m:r>
                      </m:e>
                      <m:sup>
                        <m:r>
                          <m:rPr>
                            <m:sty m:val="p"/>
                          </m:rPr>
                          <w:rPr>
                            <w:rFonts w:ascii="Cambria Math" w:hAnsi="Cambria Math"/>
                          </w:rPr>
                          <m:t>2</m:t>
                        </m:r>
                      </m:sup>
                    </m:sSup>
                  </m:den>
                </m:f>
                <m:d>
                  <m:dPr>
                    <m:ctrlPr>
                      <w:rPr>
                        <w:rFonts w:ascii="Cambria Math" w:hAnsi="Cambria Math"/>
                      </w:rPr>
                    </m:ctrlPr>
                  </m:dPr>
                  <m:e>
                    <m:sSubSup>
                      <m:sSubSupPr>
                        <m:ctrlPr>
                          <w:rPr>
                            <w:rFonts w:ascii="Cambria Math" w:hAnsi="Cambria Math"/>
                          </w:rPr>
                        </m:ctrlPr>
                      </m:sSubSupPr>
                      <m:e>
                        <m:acc>
                          <m:accPr>
                            <m:chr m:val="̅"/>
                            <m:ctrlPr>
                              <w:rPr>
                                <w:rFonts w:ascii="Cambria Math" w:hAnsi="Cambria Math"/>
                              </w:rPr>
                            </m:ctrlPr>
                          </m:accPr>
                          <m:e>
                            <m:r>
                              <w:rPr>
                                <w:rFonts w:ascii="Cambria Math" w:hAnsi="Cambria Math"/>
                              </w:rPr>
                              <m:t>T</m:t>
                            </m:r>
                          </m:e>
                        </m:acc>
                      </m:e>
                      <m:sub>
                        <m:r>
                          <w:rPr>
                            <w:rFonts w:ascii="Cambria Math" w:hAnsi="Cambria Math"/>
                          </w:rPr>
                          <m:t>i</m:t>
                        </m:r>
                        <m:r>
                          <m:rPr>
                            <m:sty m:val="p"/>
                          </m:rPr>
                          <w:rPr>
                            <w:rFonts w:ascii="Cambria Math" w:hAnsi="Cambria Math"/>
                          </w:rPr>
                          <m:t>+1</m:t>
                        </m:r>
                      </m:sub>
                      <m:sup>
                        <m:r>
                          <w:rPr>
                            <w:rFonts w:ascii="Cambria Math" w:hAnsi="Cambria Math"/>
                          </w:rPr>
                          <m:t>n</m:t>
                        </m:r>
                        <m:r>
                          <m:rPr>
                            <m:sty m:val="p"/>
                          </m:rPr>
                          <w:rPr>
                            <w:rFonts w:ascii="Cambria Math" w:hAnsi="Cambria Math"/>
                          </w:rPr>
                          <m:t>-1</m:t>
                        </m:r>
                      </m:sup>
                    </m:sSubSup>
                    <m:r>
                      <m:rPr>
                        <m:sty m:val="p"/>
                      </m:rPr>
                      <w:rPr>
                        <w:rFonts w:ascii="Cambria Math" w:hAnsi="Cambria Math"/>
                      </w:rPr>
                      <m:t>-</m:t>
                    </m:r>
                    <m:sSubSup>
                      <m:sSubSupPr>
                        <m:ctrlPr>
                          <w:rPr>
                            <w:rFonts w:ascii="Cambria Math" w:hAnsi="Cambria Math"/>
                          </w:rPr>
                        </m:ctrlPr>
                      </m:sSubSupPr>
                      <m:e>
                        <m:acc>
                          <m:accPr>
                            <m:chr m:val="̅"/>
                            <m:ctrlPr>
                              <w:rPr>
                                <w:rFonts w:ascii="Cambria Math" w:hAnsi="Cambria Math"/>
                              </w:rPr>
                            </m:ctrlPr>
                          </m:accPr>
                          <m:e>
                            <m:r>
                              <w:rPr>
                                <w:rFonts w:ascii="Cambria Math" w:hAnsi="Cambria Math"/>
                              </w:rPr>
                              <m:t>T</m:t>
                            </m:r>
                          </m:e>
                        </m:acc>
                      </m:e>
                      <m:sub>
                        <m:r>
                          <w:rPr>
                            <w:rFonts w:ascii="Cambria Math" w:hAnsi="Cambria Math"/>
                          </w:rPr>
                          <m:t>i</m:t>
                        </m:r>
                      </m:sub>
                      <m:sup>
                        <m:r>
                          <w:rPr>
                            <w:rFonts w:ascii="Cambria Math" w:hAnsi="Cambria Math"/>
                          </w:rPr>
                          <m:t>n</m:t>
                        </m:r>
                        <m:r>
                          <m:rPr>
                            <m:sty m:val="p"/>
                          </m:rPr>
                          <w:rPr>
                            <w:rFonts w:ascii="Cambria Math" w:hAnsi="Cambria Math"/>
                          </w:rPr>
                          <m:t>-1</m:t>
                        </m:r>
                      </m:sup>
                    </m:sSubSup>
                  </m:e>
                </m:d>
                <m:r>
                  <m:rPr>
                    <m:sty m:val="p"/>
                  </m:rPr>
                  <w:rPr>
                    <w:rFonts w:ascii="Cambria Math" w:hAnsi="Cambria Math"/>
                  </w:rPr>
                  <m:t>…</m:t>
                </m:r>
              </m:e>
              <m:e>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A</m:t>
                        </m:r>
                      </m:e>
                      <m:sub>
                        <m:r>
                          <w:rPr>
                            <w:rFonts w:ascii="Cambria Math" w:hAnsi="Cambria Math"/>
                          </w:rPr>
                          <m:t>i</m:t>
                        </m:r>
                        <m:r>
                          <m:rPr>
                            <m:sty m:val="p"/>
                          </m:rPr>
                          <w:rPr>
                            <w:rFonts w:ascii="Cambria Math" w:hAnsi="Cambria Math"/>
                          </w:rPr>
                          <m:t>-1</m:t>
                        </m:r>
                      </m:sub>
                    </m:sSub>
                  </m:num>
                  <m:den>
                    <m:r>
                      <m:rPr>
                        <m:sty m:val="p"/>
                      </m:rPr>
                      <w:rPr>
                        <w:rFonts w:ascii="Cambria Math" w:hAnsi="Cambria Math"/>
                      </w:rPr>
                      <m:t>2∆</m:t>
                    </m:r>
                    <m:sSup>
                      <m:sSupPr>
                        <m:ctrlPr>
                          <w:rPr>
                            <w:rFonts w:ascii="Cambria Math" w:hAnsi="Cambria Math"/>
                          </w:rPr>
                        </m:ctrlPr>
                      </m:sSupPr>
                      <m:e>
                        <m:r>
                          <w:rPr>
                            <w:rFonts w:ascii="Cambria Math" w:hAnsi="Cambria Math"/>
                          </w:rPr>
                          <m:t>r</m:t>
                        </m:r>
                      </m:e>
                      <m:sup>
                        <m:r>
                          <m:rPr>
                            <m:sty m:val="p"/>
                          </m:rPr>
                          <w:rPr>
                            <w:rFonts w:ascii="Cambria Math" w:hAnsi="Cambria Math"/>
                          </w:rPr>
                          <m:t>2</m:t>
                        </m:r>
                      </m:sup>
                    </m:sSup>
                  </m:den>
                </m:f>
                <m:d>
                  <m:dPr>
                    <m:ctrlPr>
                      <w:rPr>
                        <w:rFonts w:ascii="Cambria Math" w:hAnsi="Cambria Math"/>
                      </w:rPr>
                    </m:ctrlPr>
                  </m:dPr>
                  <m:e>
                    <m:sSubSup>
                      <m:sSubSupPr>
                        <m:ctrlPr>
                          <w:rPr>
                            <w:rFonts w:ascii="Cambria Math" w:hAnsi="Cambria Math"/>
                          </w:rPr>
                        </m:ctrlPr>
                      </m:sSubSupPr>
                      <m:e>
                        <m:acc>
                          <m:accPr>
                            <m:chr m:val="̅"/>
                            <m:ctrlPr>
                              <w:rPr>
                                <w:rFonts w:ascii="Cambria Math" w:hAnsi="Cambria Math"/>
                              </w:rPr>
                            </m:ctrlPr>
                          </m:accPr>
                          <m:e>
                            <m:r>
                              <w:rPr>
                                <w:rFonts w:ascii="Cambria Math" w:hAnsi="Cambria Math"/>
                              </w:rPr>
                              <m:t>T</m:t>
                            </m:r>
                          </m:e>
                        </m:acc>
                      </m:e>
                      <m:sub>
                        <m:r>
                          <w:rPr>
                            <w:rFonts w:ascii="Cambria Math" w:hAnsi="Cambria Math"/>
                          </w:rPr>
                          <m:t>i</m:t>
                        </m:r>
                        <m:r>
                          <m:rPr>
                            <m:sty m:val="p"/>
                          </m:rPr>
                          <w:rPr>
                            <w:rFonts w:ascii="Cambria Math" w:hAnsi="Cambria Math"/>
                          </w:rPr>
                          <m:t>-1</m:t>
                        </m:r>
                      </m:sub>
                      <m:sup>
                        <m:r>
                          <w:rPr>
                            <w:rFonts w:ascii="Cambria Math" w:hAnsi="Cambria Math"/>
                          </w:rPr>
                          <m:t>n</m:t>
                        </m:r>
                        <m:r>
                          <m:rPr>
                            <m:sty m:val="p"/>
                          </m:rPr>
                          <w:rPr>
                            <w:rFonts w:ascii="Cambria Math" w:hAnsi="Cambria Math"/>
                          </w:rPr>
                          <m:t>-1</m:t>
                        </m:r>
                      </m:sup>
                    </m:sSubSup>
                    <m:r>
                      <m:rPr>
                        <m:sty m:val="p"/>
                      </m:rPr>
                      <w:rPr>
                        <w:rFonts w:ascii="Cambria Math" w:hAnsi="Cambria Math"/>
                      </w:rPr>
                      <m:t>-</m:t>
                    </m:r>
                    <m:sSubSup>
                      <m:sSubSupPr>
                        <m:ctrlPr>
                          <w:rPr>
                            <w:rFonts w:ascii="Cambria Math" w:hAnsi="Cambria Math"/>
                          </w:rPr>
                        </m:ctrlPr>
                      </m:sSubSupPr>
                      <m:e>
                        <m:acc>
                          <m:accPr>
                            <m:chr m:val="̅"/>
                            <m:ctrlPr>
                              <w:rPr>
                                <w:rFonts w:ascii="Cambria Math" w:hAnsi="Cambria Math"/>
                              </w:rPr>
                            </m:ctrlPr>
                          </m:accPr>
                          <m:e>
                            <m:r>
                              <w:rPr>
                                <w:rFonts w:ascii="Cambria Math" w:hAnsi="Cambria Math"/>
                              </w:rPr>
                              <m:t>T</m:t>
                            </m:r>
                          </m:e>
                        </m:acc>
                      </m:e>
                      <m:sub>
                        <m:r>
                          <w:rPr>
                            <w:rFonts w:ascii="Cambria Math" w:hAnsi="Cambria Math"/>
                          </w:rPr>
                          <m:t>i</m:t>
                        </m:r>
                      </m:sub>
                      <m:sup>
                        <m:r>
                          <w:rPr>
                            <w:rFonts w:ascii="Cambria Math" w:hAnsi="Cambria Math"/>
                          </w:rPr>
                          <m:t>n</m:t>
                        </m:r>
                        <m:r>
                          <m:rPr>
                            <m:sty m:val="p"/>
                          </m:rPr>
                          <w:rPr>
                            <w:rFonts w:ascii="Cambria Math" w:hAnsi="Cambria Math"/>
                          </w:rPr>
                          <m:t>-1</m:t>
                        </m:r>
                      </m:sup>
                    </m:sSubSup>
                  </m:e>
                </m:d>
                <m:r>
                  <m:rPr>
                    <m:sty m:val="p"/>
                  </m:rP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sSubSup>
                  <m:sSubSupPr>
                    <m:ctrlPr>
                      <w:rPr>
                        <w:rFonts w:ascii="Cambria Math" w:hAnsi="Cambria Math"/>
                      </w:rPr>
                    </m:ctrlPr>
                  </m:sSubSupPr>
                  <m:e>
                    <m:r>
                      <w:rPr>
                        <w:rFonts w:ascii="Cambria Math" w:hAnsi="Cambria Math"/>
                      </w:rPr>
                      <m:t>G</m:t>
                    </m:r>
                  </m:e>
                  <m:sub>
                    <m:r>
                      <w:rPr>
                        <w:rFonts w:ascii="Cambria Math" w:hAnsi="Cambria Math"/>
                      </w:rPr>
                      <m:t>i</m:t>
                    </m:r>
                  </m:sub>
                  <m:sup>
                    <m:r>
                      <w:rPr>
                        <w:rFonts w:ascii="Cambria Math" w:hAnsi="Cambria Math"/>
                      </w:rPr>
                      <m:t>n</m:t>
                    </m:r>
                  </m:sup>
                </m:sSubSup>
                <m:r>
                  <m:rPr>
                    <m:sty m:val="p"/>
                  </m:rPr>
                  <w:rPr>
                    <w:rFonts w:ascii="Cambria Math" w:hAnsi="Cambria Math"/>
                  </w:rPr>
                  <m:t xml:space="preserve">,  </m:t>
                </m:r>
                <m:r>
                  <m:rPr>
                    <m:nor/>
                  </m:rPr>
                  <m:t xml:space="preserve"> </m:t>
                </m:r>
                <m:r>
                  <m:rPr>
                    <m:nor/>
                  </m:rPr>
                  <w:rPr>
                    <w:iCs/>
                  </w:rPr>
                  <m:t>if</m:t>
                </m:r>
                <m:r>
                  <m:rPr>
                    <m:sty m:val="p"/>
                  </m:rPr>
                  <w:rPr>
                    <w:rFonts w:ascii="Cambria Math" w:hAnsi="Cambria Math"/>
                  </w:rPr>
                  <m:t xml:space="preserve"> </m:t>
                </m:r>
                <m:r>
                  <w:rPr>
                    <w:rFonts w:ascii="Cambria Math" w:hAnsi="Cambria Math"/>
                  </w:rPr>
                  <m:t>i</m:t>
                </m:r>
                <m:r>
                  <m:rPr>
                    <m:sty m:val="p"/>
                  </m:rPr>
                  <w:rPr>
                    <w:rFonts w:ascii="Cambria Math" w:hAnsi="Cambria Math"/>
                  </w:rPr>
                  <m:t>=1,2,…,</m:t>
                </m:r>
                <m:r>
                  <w:rPr>
                    <w:rFonts w:ascii="Cambria Math" w:hAnsi="Cambria Math"/>
                  </w:rPr>
                  <m:t>N</m:t>
                </m:r>
                <m:r>
                  <m:rPr>
                    <m:sty m:val="p"/>
                  </m:rPr>
                  <w:rPr>
                    <w:rFonts w:ascii="Cambria Math" w:hAnsi="Cambria Math"/>
                  </w:rPr>
                  <m:t xml:space="preserve">-1 </m:t>
                </m:r>
                <m:ctrlPr>
                  <w:rPr>
                    <w:rFonts w:ascii="Cambria Math" w:eastAsia="Cambria Math" w:hAnsi="Cambria Math"/>
                  </w:rPr>
                </m:ctrlPr>
              </m:e>
              <m:e>
                <m:r>
                  <m:rPr>
                    <m:sty m:val="p"/>
                  </m:rPr>
                  <w:rPr>
                    <w:rFonts w:ascii="Cambria Math" w:hAnsi="Cambria Math"/>
                  </w:rPr>
                  <m:t xml:space="preserve">0,    </m:t>
                </m:r>
                <m:r>
                  <m:rPr>
                    <m:nor/>
                  </m:rPr>
                  <w:rPr>
                    <w:iCs/>
                  </w:rPr>
                  <m:t>if</m:t>
                </m:r>
                <m:r>
                  <m:rPr>
                    <m:sty m:val="p"/>
                  </m:rPr>
                  <w:rPr>
                    <w:rFonts w:ascii="Cambria Math" w:hAnsi="Cambria Math"/>
                  </w:rPr>
                  <m:t xml:space="preserve"> </m:t>
                </m:r>
                <m:r>
                  <w:rPr>
                    <w:rFonts w:ascii="Cambria Math" w:hAnsi="Cambria Math"/>
                  </w:rPr>
                  <m:t>i</m:t>
                </m:r>
                <m:r>
                  <m:rPr>
                    <m:sty m:val="p"/>
                  </m:rPr>
                  <w:rPr>
                    <w:rFonts w:ascii="Cambria Math" w:hAnsi="Cambria Math"/>
                  </w:rPr>
                  <m:t>=</m:t>
                </m:r>
                <m:r>
                  <w:rPr>
                    <w:rFonts w:ascii="Cambria Math" w:hAnsi="Cambria Math"/>
                  </w:rPr>
                  <m:t xml:space="preserve">N  </m:t>
                </m:r>
              </m:e>
            </m:eqArr>
          </m:e>
        </m:d>
      </m:oMath>
      <w:r w:rsidR="00D65105" w:rsidRPr="00E232C9">
        <w:t xml:space="preserve"> </w:t>
      </w:r>
      <w:r w:rsidR="00D65105" w:rsidRPr="00E232C9">
        <w:rPr>
          <w:iCs/>
        </w:rPr>
        <w:t>(3.2</w:t>
      </w:r>
      <w:r w:rsidR="00D65105">
        <w:rPr>
          <w:iCs/>
        </w:rPr>
        <w:t>5</w:t>
      </w:r>
      <w:r w:rsidR="00D65105" w:rsidRPr="00E232C9">
        <w:rPr>
          <w:iCs/>
        </w:rPr>
        <w:t>)</w:t>
      </w:r>
    </w:p>
    <w:p w14:paraId="0FB0FF50" w14:textId="77777777" w:rsidR="00D65105" w:rsidRDefault="00D65105" w:rsidP="00D65105">
      <w:pPr>
        <w:spacing w:line="480" w:lineRule="auto"/>
        <w:rPr>
          <w:iCs/>
          <w:color w:val="000000" w:themeColor="text1"/>
        </w:rPr>
      </w:pPr>
      <w:r w:rsidRPr="00487150">
        <w:rPr>
          <w:iCs/>
          <w:color w:val="000000" w:themeColor="text1"/>
        </w:rPr>
        <w:t xml:space="preserve">This numerical model has been </w:t>
      </w:r>
      <w:r>
        <w:rPr>
          <w:iCs/>
          <w:color w:val="000000" w:themeColor="text1"/>
        </w:rPr>
        <w:t xml:space="preserve">successfully </w:t>
      </w:r>
      <w:r w:rsidRPr="00487150">
        <w:rPr>
          <w:iCs/>
          <w:color w:val="000000" w:themeColor="text1"/>
        </w:rPr>
        <w:t xml:space="preserve">tested against the analytical </w:t>
      </w:r>
      <w:r>
        <w:rPr>
          <w:iCs/>
          <w:color w:val="000000" w:themeColor="text1"/>
        </w:rPr>
        <w:t>solution to the heat production-conduction</w:t>
      </w:r>
      <w:r w:rsidRPr="00487150">
        <w:rPr>
          <w:iCs/>
          <w:color w:val="000000" w:themeColor="text1"/>
        </w:rPr>
        <w:t xml:space="preserve"> model of Hevey and Sanders (2006) (</w:t>
      </w:r>
      <w:r w:rsidRPr="00487150">
        <w:rPr>
          <w:b/>
          <w:bCs/>
          <w:iCs/>
          <w:color w:val="000000" w:themeColor="text1"/>
        </w:rPr>
        <w:t>Figure C</w:t>
      </w:r>
      <w:r>
        <w:rPr>
          <w:b/>
          <w:bCs/>
          <w:iCs/>
        </w:rPr>
        <w:t>4</w:t>
      </w:r>
      <w:r w:rsidRPr="00487150">
        <w:rPr>
          <w:iCs/>
          <w:color w:val="000000" w:themeColor="text1"/>
        </w:rPr>
        <w:t>).</w:t>
      </w:r>
    </w:p>
    <w:p w14:paraId="10343E5D" w14:textId="77777777" w:rsidR="00016274" w:rsidRPr="00487150" w:rsidRDefault="00016274" w:rsidP="00016274">
      <w:pPr>
        <w:pStyle w:val="Heading3"/>
      </w:pPr>
      <w:bookmarkStart w:id="464" w:name="_Toc182995505"/>
      <w:bookmarkStart w:id="465" w:name="_Toc183536631"/>
      <w:bookmarkStart w:id="466" w:name="_Toc184727436"/>
      <w:bookmarkStart w:id="467" w:name="_Toc185325684"/>
      <w:r w:rsidRPr="00487150">
        <w:t>Density, Conductivity, and Heat Capacity Assumptions</w:t>
      </w:r>
      <w:bookmarkEnd w:id="464"/>
      <w:bookmarkEnd w:id="465"/>
      <w:bookmarkEnd w:id="466"/>
      <w:bookmarkEnd w:id="467"/>
      <w:r w:rsidRPr="00487150">
        <w:t xml:space="preserve"> </w:t>
      </w:r>
    </w:p>
    <w:p w14:paraId="6122D437" w14:textId="7C52F962" w:rsidR="00016274" w:rsidRPr="00016274" w:rsidRDefault="00016274" w:rsidP="00016274">
      <w:pPr>
        <w:spacing w:line="480" w:lineRule="auto"/>
        <w:ind w:firstLine="720"/>
        <w:rPr>
          <w:iCs/>
          <w:color w:val="000000" w:themeColor="text1"/>
        </w:rPr>
      </w:pPr>
      <w:r w:rsidRPr="00487150">
        <w:rPr>
          <w:color w:val="000000" w:themeColor="text1"/>
        </w:rPr>
        <w:t xml:space="preserve">To simplify </w:t>
      </w:r>
      <w:r>
        <w:rPr>
          <w:color w:val="000000" w:themeColor="text1"/>
        </w:rPr>
        <w:t>the problem</w:t>
      </w:r>
      <w:r w:rsidRPr="00487150">
        <w:rPr>
          <w:iCs/>
          <w:color w:val="000000" w:themeColor="text1"/>
        </w:rPr>
        <w:t>,</w:t>
      </w:r>
      <w:r w:rsidRPr="00487150">
        <w:rPr>
          <w:color w:val="000000" w:themeColor="text1"/>
        </w:rPr>
        <w:t xml:space="preserve"> the Moon </w:t>
      </w:r>
      <w:r>
        <w:rPr>
          <w:color w:val="000000" w:themeColor="text1"/>
        </w:rPr>
        <w:t xml:space="preserve">is broken </w:t>
      </w:r>
      <w:r w:rsidRPr="00487150">
        <w:rPr>
          <w:color w:val="000000" w:themeColor="text1"/>
        </w:rPr>
        <w:t>into three layers: crustal cumulates, mantle cumulates, and core.</w:t>
      </w:r>
      <w:r w:rsidRPr="00487150">
        <w:rPr>
          <w:iCs/>
          <w:color w:val="000000" w:themeColor="text1"/>
        </w:rPr>
        <w:t xml:space="preserve"> Each layer is assigned a constant value for heat capacity, thermal diffusivity, and density to avoid additional uncertainty related to model-dependent mineral abundance, density, and composition variations. The thermal conductivity and heat capacity constants for crustal and mantle cumulate layers were determined using the reported thermal conductivity and heat capacities of the minerals that comprise each layer (</w:t>
      </w:r>
      <w:r w:rsidRPr="00487150">
        <w:rPr>
          <w:color w:val="000000" w:themeColor="text1"/>
        </w:rPr>
        <w:t>Waples and Waples, 2004</w:t>
      </w:r>
      <w:r w:rsidRPr="00487150">
        <w:rPr>
          <w:iCs/>
          <w:color w:val="000000" w:themeColor="text1"/>
        </w:rPr>
        <w:t>).</w:t>
      </w:r>
      <w:r w:rsidRPr="00016274">
        <w:rPr>
          <w:iCs/>
          <w:color w:val="000000" w:themeColor="text1"/>
        </w:rPr>
        <w:t xml:space="preserve"> </w:t>
      </w:r>
      <w:r w:rsidRPr="00487150">
        <w:rPr>
          <w:iCs/>
          <w:color w:val="000000" w:themeColor="text1"/>
        </w:rPr>
        <w:t>The crustal and mantle densities were assumed to be equal to anorthite and olivine</w:t>
      </w:r>
      <w:r>
        <w:rPr>
          <w:iCs/>
        </w:rPr>
        <w:t>,</w:t>
      </w:r>
      <w:r w:rsidRPr="00487150">
        <w:rPr>
          <w:iCs/>
          <w:color w:val="000000" w:themeColor="text1"/>
        </w:rPr>
        <w:t xml:space="preserve"> respectively. </w:t>
      </w:r>
      <w:r>
        <w:rPr>
          <w:iCs/>
        </w:rPr>
        <w:t>We</w:t>
      </w:r>
      <w:r w:rsidRPr="00487150">
        <w:rPr>
          <w:iCs/>
          <w:color w:val="000000" w:themeColor="text1"/>
        </w:rPr>
        <w:t xml:space="preserve"> apply the thermal conductivity, heat capacity, and density values used by Zhang et al. (2013) and Li et al. (2019)</w:t>
      </w:r>
      <w:r>
        <w:rPr>
          <w:iCs/>
        </w:rPr>
        <w:t xml:space="preserve"> for the lunar core</w:t>
      </w:r>
      <w:r w:rsidRPr="00487150">
        <w:rPr>
          <w:iCs/>
          <w:color w:val="000000" w:themeColor="text1"/>
        </w:rPr>
        <w:t xml:space="preserve">. </w:t>
      </w:r>
      <w:r>
        <w:rPr>
          <w:iCs/>
          <w:color w:val="000000" w:themeColor="text1"/>
        </w:rPr>
        <w:t>Model assumptions</w:t>
      </w:r>
      <w:r w:rsidRPr="00487150">
        <w:rPr>
          <w:iCs/>
          <w:color w:val="000000" w:themeColor="text1"/>
        </w:rPr>
        <w:t xml:space="preserve"> are reported in </w:t>
      </w:r>
      <w:r w:rsidRPr="00487150">
        <w:rPr>
          <w:b/>
          <w:bCs/>
          <w:iCs/>
          <w:color w:val="000000" w:themeColor="text1"/>
        </w:rPr>
        <w:t>Table 3.</w:t>
      </w:r>
      <w:r>
        <w:rPr>
          <w:b/>
          <w:bCs/>
          <w:iCs/>
          <w:color w:val="000000" w:themeColor="text1"/>
        </w:rPr>
        <w:t>5</w:t>
      </w:r>
      <w:r w:rsidRPr="00487150">
        <w:rPr>
          <w:iCs/>
          <w:color w:val="000000" w:themeColor="text1"/>
        </w:rPr>
        <w:t>.</w:t>
      </w:r>
    </w:p>
    <w:p w14:paraId="314C7C51" w14:textId="77777777" w:rsidR="004F38AC" w:rsidRPr="00487150" w:rsidRDefault="004F38AC">
      <w:pPr>
        <w:rPr>
          <w:color w:val="000000" w:themeColor="text1"/>
        </w:rPr>
      </w:pPr>
      <w:r w:rsidRPr="00487150">
        <w:rPr>
          <w:color w:val="000000" w:themeColor="text1"/>
        </w:rPr>
        <w:br w:type="page"/>
      </w:r>
    </w:p>
    <w:p w14:paraId="02770C3A" w14:textId="1D08470E" w:rsidR="00D65105" w:rsidRPr="00487150" w:rsidRDefault="00D65105" w:rsidP="00D65105">
      <w:pPr>
        <w:pStyle w:val="Tables"/>
      </w:pPr>
      <w:bookmarkStart w:id="468" w:name="_Toc185263601"/>
      <w:r w:rsidRPr="00487150">
        <w:rPr>
          <w:b/>
          <w:bCs/>
          <w:iCs/>
        </w:rPr>
        <w:lastRenderedPageBreak/>
        <w:t>Table 3.</w:t>
      </w:r>
      <w:r>
        <w:rPr>
          <w:b/>
          <w:bCs/>
          <w:iCs/>
        </w:rPr>
        <w:t>4</w:t>
      </w:r>
      <w:r w:rsidRPr="00487150">
        <w:rPr>
          <w:b/>
          <w:bCs/>
          <w:iCs/>
        </w:rPr>
        <w:t>.</w:t>
      </w:r>
      <w:r w:rsidRPr="00487150">
        <w:rPr>
          <w:iCs/>
        </w:rPr>
        <w:t xml:space="preserve"> </w:t>
      </w:r>
      <w:r w:rsidRPr="00487150">
        <w:t>Atomic Mass (</w:t>
      </w:r>
      <w:r w:rsidRPr="00487150">
        <w:rPr>
          <w:i/>
          <w:iCs/>
        </w:rPr>
        <w:t>u</w:t>
      </w:r>
      <w:r w:rsidRPr="00487150">
        <w:t>), Half-life (</w:t>
      </w:r>
      <w:r w:rsidRPr="00487150">
        <w:rPr>
          <w:i/>
          <w:iCs/>
        </w:rPr>
        <w:t>T</w:t>
      </w:r>
      <w:r w:rsidRPr="00487150">
        <w:rPr>
          <w:vertAlign w:val="subscript"/>
        </w:rPr>
        <w:t>1/2</w:t>
      </w:r>
      <w:r w:rsidRPr="00487150">
        <w:t>), Present-Day Fractional Abundance (X</w:t>
      </w:r>
      <w:r w:rsidRPr="00487150">
        <w:rPr>
          <w:vertAlign w:val="subscript"/>
        </w:rPr>
        <w:t>iso</w:t>
      </w:r>
      <w:r w:rsidRPr="00487150">
        <w:t>), Heat-Effective Decay Energy per Atom (</w:t>
      </w:r>
      <w:r w:rsidRPr="00487150">
        <w:rPr>
          <w:i/>
          <w:iCs/>
        </w:rPr>
        <w:t>E</w:t>
      </w:r>
      <w:r w:rsidRPr="00487150">
        <w:rPr>
          <w:vertAlign w:val="subscript"/>
        </w:rPr>
        <w:t>H</w:t>
      </w:r>
      <w:r w:rsidRPr="00487150">
        <w:t>), and Specific Heat Production (</w:t>
      </w:r>
      <w:r w:rsidRPr="00487150">
        <w:rPr>
          <w:i/>
          <w:iCs/>
        </w:rPr>
        <w:t>H</w:t>
      </w:r>
      <w:r w:rsidRPr="00487150">
        <w:t xml:space="preserve">) of </w:t>
      </w:r>
      <w:r w:rsidRPr="00487150">
        <w:rPr>
          <w:vertAlign w:val="superscript"/>
        </w:rPr>
        <w:t>40</w:t>
      </w:r>
      <w:r w:rsidRPr="00487150">
        <w:t xml:space="preserve">K, </w:t>
      </w:r>
      <w:r w:rsidRPr="00487150">
        <w:rPr>
          <w:vertAlign w:val="superscript"/>
        </w:rPr>
        <w:t>232</w:t>
      </w:r>
      <w:r w:rsidRPr="00487150">
        <w:t xml:space="preserve">Th, </w:t>
      </w:r>
      <w:r w:rsidRPr="00487150">
        <w:rPr>
          <w:vertAlign w:val="superscript"/>
        </w:rPr>
        <w:t>235</w:t>
      </w:r>
      <w:r w:rsidRPr="00487150">
        <w:t xml:space="preserve">U, and </w:t>
      </w:r>
      <w:r w:rsidRPr="00487150">
        <w:rPr>
          <w:vertAlign w:val="superscript"/>
        </w:rPr>
        <w:t>238</w:t>
      </w:r>
      <w:r w:rsidRPr="00487150">
        <w:t>U from Ruedas (2017).</w:t>
      </w:r>
      <w:bookmarkEnd w:id="468"/>
    </w:p>
    <w:tbl>
      <w:tblPr>
        <w:tblW w:w="8140" w:type="dxa"/>
        <w:tblLook w:val="04A0" w:firstRow="1" w:lastRow="0" w:firstColumn="1" w:lastColumn="0" w:noHBand="0" w:noVBand="1"/>
      </w:tblPr>
      <w:tblGrid>
        <w:gridCol w:w="1300"/>
        <w:gridCol w:w="1476"/>
        <w:gridCol w:w="1380"/>
        <w:gridCol w:w="1300"/>
        <w:gridCol w:w="1380"/>
        <w:gridCol w:w="1380"/>
      </w:tblGrid>
      <w:tr w:rsidR="00D65105" w:rsidRPr="00487150" w14:paraId="1CC13635" w14:textId="77777777" w:rsidTr="003B3C51">
        <w:trPr>
          <w:trHeight w:val="36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CAE1E" w14:textId="77777777" w:rsidR="00D65105" w:rsidRPr="00487150" w:rsidRDefault="00D65105" w:rsidP="003B3C51">
            <w:pPr>
              <w:jc w:val="center"/>
              <w:rPr>
                <w:color w:val="000000" w:themeColor="text1"/>
              </w:rPr>
            </w:pPr>
            <w:r w:rsidRPr="00487150">
              <w:rPr>
                <w:color w:val="000000" w:themeColor="text1"/>
              </w:rPr>
              <w:t>Isotope</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63506C59" w14:textId="77777777" w:rsidR="00D65105" w:rsidRPr="00487150" w:rsidRDefault="00D65105" w:rsidP="003B3C51">
            <w:pPr>
              <w:jc w:val="center"/>
              <w:rPr>
                <w:color w:val="000000" w:themeColor="text1"/>
              </w:rPr>
            </w:pPr>
            <w:r w:rsidRPr="00487150">
              <w:rPr>
                <w:i/>
                <w:iCs/>
                <w:color w:val="000000" w:themeColor="text1"/>
              </w:rPr>
              <w:t>u</w:t>
            </w:r>
            <w:r w:rsidRPr="00487150">
              <w:rPr>
                <w:color w:val="000000" w:themeColor="text1"/>
              </w:rPr>
              <w:t xml:space="preserve"> (a.m.u.)</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1F596CB3" w14:textId="77777777" w:rsidR="00D65105" w:rsidRPr="00487150" w:rsidRDefault="00D65105" w:rsidP="003B3C51">
            <w:pPr>
              <w:jc w:val="center"/>
              <w:rPr>
                <w:color w:val="000000" w:themeColor="text1"/>
              </w:rPr>
            </w:pPr>
            <w:r w:rsidRPr="00487150">
              <w:rPr>
                <w:i/>
                <w:iCs/>
                <w:color w:val="000000" w:themeColor="text1"/>
              </w:rPr>
              <w:t>T</w:t>
            </w:r>
            <w:r w:rsidRPr="00487150">
              <w:rPr>
                <w:color w:val="000000" w:themeColor="text1"/>
                <w:vertAlign w:val="subscript"/>
              </w:rPr>
              <w:t>1/2</w:t>
            </w:r>
            <w:r w:rsidRPr="00487150">
              <w:rPr>
                <w:color w:val="000000" w:themeColor="text1"/>
              </w:rPr>
              <w:t xml:space="preserve"> (Myr)</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44ABC4C0" w14:textId="77777777" w:rsidR="00D65105" w:rsidRPr="00487150" w:rsidRDefault="00D65105" w:rsidP="003B3C51">
            <w:pPr>
              <w:jc w:val="center"/>
              <w:rPr>
                <w:color w:val="000000" w:themeColor="text1"/>
              </w:rPr>
            </w:pPr>
            <w:r w:rsidRPr="00487150">
              <w:rPr>
                <w:color w:val="000000" w:themeColor="text1"/>
              </w:rPr>
              <w:t>X</w:t>
            </w:r>
            <w:r w:rsidRPr="00487150">
              <w:rPr>
                <w:color w:val="000000" w:themeColor="text1"/>
                <w:vertAlign w:val="subscript"/>
              </w:rPr>
              <w:t>iso</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0CA7DCA9" w14:textId="77777777" w:rsidR="00D65105" w:rsidRPr="00487150" w:rsidRDefault="00D65105" w:rsidP="003B3C51">
            <w:pPr>
              <w:jc w:val="center"/>
              <w:rPr>
                <w:color w:val="000000" w:themeColor="text1"/>
              </w:rPr>
            </w:pPr>
            <w:r w:rsidRPr="00487150">
              <w:rPr>
                <w:i/>
                <w:iCs/>
                <w:color w:val="000000" w:themeColor="text1"/>
              </w:rPr>
              <w:t>E</w:t>
            </w:r>
            <w:r w:rsidRPr="00487150">
              <w:rPr>
                <w:color w:val="000000" w:themeColor="text1"/>
                <w:vertAlign w:val="subscript"/>
              </w:rPr>
              <w:t>H</w:t>
            </w:r>
            <w:r w:rsidRPr="00487150">
              <w:rPr>
                <w:color w:val="000000" w:themeColor="text1"/>
              </w:rPr>
              <w:t xml:space="preserve"> (J)</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1EC8E9E2" w14:textId="77777777" w:rsidR="00D65105" w:rsidRPr="00487150" w:rsidRDefault="00D65105" w:rsidP="003B3C51">
            <w:pPr>
              <w:jc w:val="center"/>
              <w:rPr>
                <w:color w:val="000000" w:themeColor="text1"/>
              </w:rPr>
            </w:pPr>
            <w:r w:rsidRPr="00487150">
              <w:rPr>
                <w:i/>
                <w:iCs/>
                <w:color w:val="000000" w:themeColor="text1"/>
              </w:rPr>
              <w:t>H</w:t>
            </w:r>
            <w:r w:rsidRPr="00487150">
              <w:rPr>
                <w:color w:val="000000" w:themeColor="text1"/>
              </w:rPr>
              <w:t xml:space="preserve"> (W/kg)</w:t>
            </w:r>
          </w:p>
        </w:tc>
      </w:tr>
      <w:tr w:rsidR="00D65105" w:rsidRPr="00487150" w14:paraId="5C52F2EE" w14:textId="77777777" w:rsidTr="003B3C51">
        <w:trPr>
          <w:trHeight w:val="36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B493E16" w14:textId="77777777" w:rsidR="00D65105" w:rsidRPr="00487150" w:rsidRDefault="00D65105" w:rsidP="003B3C51">
            <w:pPr>
              <w:jc w:val="center"/>
              <w:rPr>
                <w:color w:val="000000" w:themeColor="text1"/>
              </w:rPr>
            </w:pPr>
            <w:r w:rsidRPr="00487150">
              <w:rPr>
                <w:color w:val="000000" w:themeColor="text1"/>
                <w:vertAlign w:val="superscript"/>
              </w:rPr>
              <w:t>40</w:t>
            </w:r>
            <w:r w:rsidRPr="00487150">
              <w:rPr>
                <w:color w:val="000000" w:themeColor="text1"/>
              </w:rPr>
              <w:t>K</w:t>
            </w:r>
          </w:p>
        </w:tc>
        <w:tc>
          <w:tcPr>
            <w:tcW w:w="1400" w:type="dxa"/>
            <w:tcBorders>
              <w:top w:val="nil"/>
              <w:left w:val="nil"/>
              <w:bottom w:val="single" w:sz="4" w:space="0" w:color="auto"/>
              <w:right w:val="single" w:sz="4" w:space="0" w:color="auto"/>
            </w:tcBorders>
            <w:shd w:val="clear" w:color="auto" w:fill="auto"/>
            <w:noWrap/>
            <w:vAlign w:val="center"/>
            <w:hideMark/>
          </w:tcPr>
          <w:p w14:paraId="03DF99A1" w14:textId="77777777" w:rsidR="00D65105" w:rsidRPr="00487150" w:rsidRDefault="00D65105" w:rsidP="003B3C51">
            <w:pPr>
              <w:jc w:val="center"/>
              <w:rPr>
                <w:color w:val="000000" w:themeColor="text1"/>
              </w:rPr>
            </w:pPr>
            <w:r w:rsidRPr="00487150">
              <w:rPr>
                <w:color w:val="000000" w:themeColor="text1"/>
              </w:rPr>
              <w:t>39.9639982</w:t>
            </w:r>
          </w:p>
        </w:tc>
        <w:tc>
          <w:tcPr>
            <w:tcW w:w="1380" w:type="dxa"/>
            <w:tcBorders>
              <w:top w:val="nil"/>
              <w:left w:val="nil"/>
              <w:bottom w:val="single" w:sz="4" w:space="0" w:color="auto"/>
              <w:right w:val="single" w:sz="4" w:space="0" w:color="auto"/>
            </w:tcBorders>
            <w:shd w:val="clear" w:color="auto" w:fill="auto"/>
            <w:noWrap/>
            <w:vAlign w:val="center"/>
            <w:hideMark/>
          </w:tcPr>
          <w:p w14:paraId="34155B7A" w14:textId="77777777" w:rsidR="00D65105" w:rsidRPr="00487150" w:rsidRDefault="00D65105" w:rsidP="003B3C51">
            <w:pPr>
              <w:jc w:val="center"/>
              <w:rPr>
                <w:color w:val="000000" w:themeColor="text1"/>
              </w:rPr>
            </w:pPr>
            <w:r w:rsidRPr="00487150">
              <w:rPr>
                <w:color w:val="000000" w:themeColor="text1"/>
              </w:rPr>
              <w:t>1,248</w:t>
            </w:r>
          </w:p>
        </w:tc>
        <w:tc>
          <w:tcPr>
            <w:tcW w:w="1300" w:type="dxa"/>
            <w:tcBorders>
              <w:top w:val="nil"/>
              <w:left w:val="nil"/>
              <w:bottom w:val="single" w:sz="4" w:space="0" w:color="auto"/>
              <w:right w:val="single" w:sz="4" w:space="0" w:color="auto"/>
            </w:tcBorders>
            <w:shd w:val="clear" w:color="auto" w:fill="auto"/>
            <w:noWrap/>
            <w:vAlign w:val="center"/>
            <w:hideMark/>
          </w:tcPr>
          <w:p w14:paraId="326334AF" w14:textId="77777777" w:rsidR="00D65105" w:rsidRPr="00487150" w:rsidRDefault="00D65105" w:rsidP="003B3C51">
            <w:pPr>
              <w:jc w:val="center"/>
              <w:rPr>
                <w:color w:val="000000" w:themeColor="text1"/>
              </w:rPr>
            </w:pPr>
            <w:r w:rsidRPr="00487150">
              <w:rPr>
                <w:color w:val="000000" w:themeColor="text1"/>
              </w:rPr>
              <w:t>0.0001167</w:t>
            </w:r>
          </w:p>
        </w:tc>
        <w:tc>
          <w:tcPr>
            <w:tcW w:w="1380" w:type="dxa"/>
            <w:tcBorders>
              <w:top w:val="nil"/>
              <w:left w:val="nil"/>
              <w:bottom w:val="single" w:sz="4" w:space="0" w:color="auto"/>
              <w:right w:val="single" w:sz="4" w:space="0" w:color="auto"/>
            </w:tcBorders>
            <w:shd w:val="clear" w:color="auto" w:fill="auto"/>
            <w:noWrap/>
            <w:vAlign w:val="center"/>
            <w:hideMark/>
          </w:tcPr>
          <w:p w14:paraId="22E8DD7D" w14:textId="77777777" w:rsidR="00D65105" w:rsidRPr="00487150" w:rsidRDefault="00D65105" w:rsidP="003B3C51">
            <w:pPr>
              <w:jc w:val="center"/>
              <w:rPr>
                <w:color w:val="000000" w:themeColor="text1"/>
              </w:rPr>
            </w:pPr>
            <w:r w:rsidRPr="00487150">
              <w:rPr>
                <w:color w:val="000000" w:themeColor="text1"/>
              </w:rPr>
              <w:t>1.084E-13</w:t>
            </w:r>
          </w:p>
        </w:tc>
        <w:tc>
          <w:tcPr>
            <w:tcW w:w="1380" w:type="dxa"/>
            <w:tcBorders>
              <w:top w:val="nil"/>
              <w:left w:val="nil"/>
              <w:bottom w:val="single" w:sz="4" w:space="0" w:color="auto"/>
              <w:right w:val="single" w:sz="4" w:space="0" w:color="auto"/>
            </w:tcBorders>
            <w:shd w:val="clear" w:color="auto" w:fill="auto"/>
            <w:noWrap/>
            <w:vAlign w:val="center"/>
            <w:hideMark/>
          </w:tcPr>
          <w:p w14:paraId="5A85DBED" w14:textId="77777777" w:rsidR="00D65105" w:rsidRPr="00487150" w:rsidRDefault="00D65105" w:rsidP="003B3C51">
            <w:pPr>
              <w:jc w:val="center"/>
              <w:rPr>
                <w:color w:val="000000" w:themeColor="text1"/>
              </w:rPr>
            </w:pPr>
            <w:r w:rsidRPr="00487150">
              <w:rPr>
                <w:color w:val="000000" w:themeColor="text1"/>
              </w:rPr>
              <w:t>2.876E-05</w:t>
            </w:r>
          </w:p>
        </w:tc>
      </w:tr>
      <w:tr w:rsidR="00D65105" w:rsidRPr="00487150" w14:paraId="58F54867" w14:textId="77777777" w:rsidTr="003B3C51">
        <w:trPr>
          <w:trHeight w:val="36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53E7A83" w14:textId="77777777" w:rsidR="00D65105" w:rsidRPr="00487150" w:rsidRDefault="00D65105" w:rsidP="003B3C51">
            <w:pPr>
              <w:jc w:val="center"/>
              <w:rPr>
                <w:color w:val="000000" w:themeColor="text1"/>
              </w:rPr>
            </w:pPr>
            <w:r w:rsidRPr="00487150">
              <w:rPr>
                <w:color w:val="000000" w:themeColor="text1"/>
                <w:vertAlign w:val="superscript"/>
              </w:rPr>
              <w:t>232</w:t>
            </w:r>
            <w:r w:rsidRPr="00487150">
              <w:rPr>
                <w:color w:val="000000" w:themeColor="text1"/>
              </w:rPr>
              <w:t>Th</w:t>
            </w:r>
          </w:p>
        </w:tc>
        <w:tc>
          <w:tcPr>
            <w:tcW w:w="1400" w:type="dxa"/>
            <w:tcBorders>
              <w:top w:val="nil"/>
              <w:left w:val="nil"/>
              <w:bottom w:val="single" w:sz="4" w:space="0" w:color="auto"/>
              <w:right w:val="single" w:sz="4" w:space="0" w:color="auto"/>
            </w:tcBorders>
            <w:shd w:val="clear" w:color="auto" w:fill="auto"/>
            <w:noWrap/>
            <w:vAlign w:val="center"/>
            <w:hideMark/>
          </w:tcPr>
          <w:p w14:paraId="78EEDC90" w14:textId="77777777" w:rsidR="00D65105" w:rsidRPr="00487150" w:rsidRDefault="00D65105" w:rsidP="003B3C51">
            <w:pPr>
              <w:jc w:val="center"/>
              <w:rPr>
                <w:color w:val="000000" w:themeColor="text1"/>
              </w:rPr>
            </w:pPr>
            <w:r w:rsidRPr="00487150">
              <w:rPr>
                <w:color w:val="000000" w:themeColor="text1"/>
              </w:rPr>
              <w:t>232.0380537</w:t>
            </w:r>
          </w:p>
        </w:tc>
        <w:tc>
          <w:tcPr>
            <w:tcW w:w="1380" w:type="dxa"/>
            <w:tcBorders>
              <w:top w:val="nil"/>
              <w:left w:val="nil"/>
              <w:bottom w:val="single" w:sz="4" w:space="0" w:color="auto"/>
              <w:right w:val="single" w:sz="4" w:space="0" w:color="auto"/>
            </w:tcBorders>
            <w:shd w:val="clear" w:color="auto" w:fill="auto"/>
            <w:noWrap/>
            <w:vAlign w:val="center"/>
            <w:hideMark/>
          </w:tcPr>
          <w:p w14:paraId="7E906C95" w14:textId="77777777" w:rsidR="00D65105" w:rsidRPr="00487150" w:rsidRDefault="00D65105" w:rsidP="003B3C51">
            <w:pPr>
              <w:jc w:val="center"/>
              <w:rPr>
                <w:color w:val="000000" w:themeColor="text1"/>
              </w:rPr>
            </w:pPr>
            <w:r w:rsidRPr="00487150">
              <w:rPr>
                <w:color w:val="000000" w:themeColor="text1"/>
              </w:rPr>
              <w:t>14,000</w:t>
            </w:r>
          </w:p>
        </w:tc>
        <w:tc>
          <w:tcPr>
            <w:tcW w:w="1300" w:type="dxa"/>
            <w:tcBorders>
              <w:top w:val="nil"/>
              <w:left w:val="nil"/>
              <w:bottom w:val="single" w:sz="4" w:space="0" w:color="auto"/>
              <w:right w:val="single" w:sz="4" w:space="0" w:color="auto"/>
            </w:tcBorders>
            <w:shd w:val="clear" w:color="auto" w:fill="auto"/>
            <w:noWrap/>
            <w:vAlign w:val="center"/>
            <w:hideMark/>
          </w:tcPr>
          <w:p w14:paraId="05A27C1B" w14:textId="77777777" w:rsidR="00D65105" w:rsidRPr="00487150" w:rsidRDefault="00D65105" w:rsidP="003B3C51">
            <w:pPr>
              <w:jc w:val="center"/>
              <w:rPr>
                <w:color w:val="000000" w:themeColor="text1"/>
              </w:rPr>
            </w:pPr>
            <w:r w:rsidRPr="00487150">
              <w:rPr>
                <w:color w:val="000000" w:themeColor="text1"/>
              </w:rPr>
              <w:t>1</w:t>
            </w:r>
          </w:p>
        </w:tc>
        <w:tc>
          <w:tcPr>
            <w:tcW w:w="1380" w:type="dxa"/>
            <w:tcBorders>
              <w:top w:val="nil"/>
              <w:left w:val="nil"/>
              <w:bottom w:val="single" w:sz="4" w:space="0" w:color="auto"/>
              <w:right w:val="single" w:sz="4" w:space="0" w:color="auto"/>
            </w:tcBorders>
            <w:shd w:val="clear" w:color="auto" w:fill="auto"/>
            <w:noWrap/>
            <w:vAlign w:val="center"/>
            <w:hideMark/>
          </w:tcPr>
          <w:p w14:paraId="457FC18B" w14:textId="77777777" w:rsidR="00D65105" w:rsidRPr="00487150" w:rsidRDefault="00D65105" w:rsidP="003B3C51">
            <w:pPr>
              <w:jc w:val="center"/>
              <w:rPr>
                <w:color w:val="000000" w:themeColor="text1"/>
              </w:rPr>
            </w:pPr>
            <w:r w:rsidRPr="00487150">
              <w:rPr>
                <w:color w:val="000000" w:themeColor="text1"/>
              </w:rPr>
              <w:t>6.476E-12</w:t>
            </w:r>
          </w:p>
        </w:tc>
        <w:tc>
          <w:tcPr>
            <w:tcW w:w="1380" w:type="dxa"/>
            <w:tcBorders>
              <w:top w:val="nil"/>
              <w:left w:val="nil"/>
              <w:bottom w:val="single" w:sz="4" w:space="0" w:color="auto"/>
              <w:right w:val="single" w:sz="4" w:space="0" w:color="auto"/>
            </w:tcBorders>
            <w:shd w:val="clear" w:color="auto" w:fill="auto"/>
            <w:noWrap/>
            <w:vAlign w:val="center"/>
            <w:hideMark/>
          </w:tcPr>
          <w:p w14:paraId="5130D201" w14:textId="77777777" w:rsidR="00D65105" w:rsidRPr="00487150" w:rsidRDefault="00D65105" w:rsidP="003B3C51">
            <w:pPr>
              <w:jc w:val="center"/>
              <w:rPr>
                <w:color w:val="000000" w:themeColor="text1"/>
              </w:rPr>
            </w:pPr>
            <w:r w:rsidRPr="00487150">
              <w:rPr>
                <w:color w:val="000000" w:themeColor="text1"/>
              </w:rPr>
              <w:t>2.637E-05</w:t>
            </w:r>
          </w:p>
        </w:tc>
      </w:tr>
      <w:tr w:rsidR="00D65105" w:rsidRPr="00487150" w14:paraId="2AC38369" w14:textId="77777777" w:rsidTr="003B3C51">
        <w:trPr>
          <w:trHeight w:val="36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4E781AA" w14:textId="77777777" w:rsidR="00D65105" w:rsidRPr="00487150" w:rsidRDefault="00D65105" w:rsidP="003B3C51">
            <w:pPr>
              <w:jc w:val="center"/>
              <w:rPr>
                <w:color w:val="000000" w:themeColor="text1"/>
              </w:rPr>
            </w:pPr>
            <w:r w:rsidRPr="00487150">
              <w:rPr>
                <w:color w:val="000000" w:themeColor="text1"/>
                <w:vertAlign w:val="superscript"/>
              </w:rPr>
              <w:t>235</w:t>
            </w:r>
            <w:r w:rsidRPr="00487150">
              <w:rPr>
                <w:color w:val="000000" w:themeColor="text1"/>
              </w:rPr>
              <w:t>U</w:t>
            </w:r>
          </w:p>
        </w:tc>
        <w:tc>
          <w:tcPr>
            <w:tcW w:w="1400" w:type="dxa"/>
            <w:tcBorders>
              <w:top w:val="nil"/>
              <w:left w:val="nil"/>
              <w:bottom w:val="single" w:sz="4" w:space="0" w:color="auto"/>
              <w:right w:val="single" w:sz="4" w:space="0" w:color="auto"/>
            </w:tcBorders>
            <w:shd w:val="clear" w:color="auto" w:fill="auto"/>
            <w:noWrap/>
            <w:vAlign w:val="center"/>
            <w:hideMark/>
          </w:tcPr>
          <w:p w14:paraId="50664653" w14:textId="77777777" w:rsidR="00D65105" w:rsidRPr="00487150" w:rsidRDefault="00D65105" w:rsidP="003B3C51">
            <w:pPr>
              <w:jc w:val="center"/>
              <w:rPr>
                <w:color w:val="000000" w:themeColor="text1"/>
              </w:rPr>
            </w:pPr>
            <w:r w:rsidRPr="00487150">
              <w:rPr>
                <w:color w:val="000000" w:themeColor="text1"/>
              </w:rPr>
              <w:t>235.0439282</w:t>
            </w:r>
          </w:p>
        </w:tc>
        <w:tc>
          <w:tcPr>
            <w:tcW w:w="1380" w:type="dxa"/>
            <w:tcBorders>
              <w:top w:val="nil"/>
              <w:left w:val="nil"/>
              <w:bottom w:val="single" w:sz="4" w:space="0" w:color="auto"/>
              <w:right w:val="single" w:sz="4" w:space="0" w:color="auto"/>
            </w:tcBorders>
            <w:shd w:val="clear" w:color="auto" w:fill="auto"/>
            <w:noWrap/>
            <w:vAlign w:val="center"/>
            <w:hideMark/>
          </w:tcPr>
          <w:p w14:paraId="7EA4C9BF" w14:textId="77777777" w:rsidR="00D65105" w:rsidRPr="00487150" w:rsidRDefault="00D65105" w:rsidP="003B3C51">
            <w:pPr>
              <w:jc w:val="center"/>
              <w:rPr>
                <w:color w:val="000000" w:themeColor="text1"/>
              </w:rPr>
            </w:pPr>
            <w:r w:rsidRPr="00487150">
              <w:rPr>
                <w:color w:val="000000" w:themeColor="text1"/>
              </w:rPr>
              <w:t>704</w:t>
            </w:r>
          </w:p>
        </w:tc>
        <w:tc>
          <w:tcPr>
            <w:tcW w:w="1300" w:type="dxa"/>
            <w:tcBorders>
              <w:top w:val="nil"/>
              <w:left w:val="nil"/>
              <w:bottom w:val="single" w:sz="4" w:space="0" w:color="auto"/>
              <w:right w:val="single" w:sz="4" w:space="0" w:color="auto"/>
            </w:tcBorders>
            <w:shd w:val="clear" w:color="auto" w:fill="auto"/>
            <w:noWrap/>
            <w:vAlign w:val="center"/>
            <w:hideMark/>
          </w:tcPr>
          <w:p w14:paraId="12DC9E4C" w14:textId="77777777" w:rsidR="00D65105" w:rsidRPr="00487150" w:rsidRDefault="00D65105" w:rsidP="003B3C51">
            <w:pPr>
              <w:jc w:val="center"/>
              <w:rPr>
                <w:color w:val="000000" w:themeColor="text1"/>
              </w:rPr>
            </w:pPr>
            <w:r w:rsidRPr="00487150">
              <w:rPr>
                <w:color w:val="000000" w:themeColor="text1"/>
              </w:rPr>
              <w:t>0.0072045</w:t>
            </w:r>
          </w:p>
        </w:tc>
        <w:tc>
          <w:tcPr>
            <w:tcW w:w="1380" w:type="dxa"/>
            <w:tcBorders>
              <w:top w:val="nil"/>
              <w:left w:val="nil"/>
              <w:bottom w:val="single" w:sz="4" w:space="0" w:color="auto"/>
              <w:right w:val="single" w:sz="4" w:space="0" w:color="auto"/>
            </w:tcBorders>
            <w:shd w:val="clear" w:color="auto" w:fill="auto"/>
            <w:noWrap/>
            <w:vAlign w:val="center"/>
            <w:hideMark/>
          </w:tcPr>
          <w:p w14:paraId="34B19177" w14:textId="77777777" w:rsidR="00D65105" w:rsidRPr="00487150" w:rsidRDefault="00D65105" w:rsidP="003B3C51">
            <w:pPr>
              <w:jc w:val="center"/>
              <w:rPr>
                <w:color w:val="000000" w:themeColor="text1"/>
              </w:rPr>
            </w:pPr>
            <w:r w:rsidRPr="00487150">
              <w:rPr>
                <w:color w:val="000000" w:themeColor="text1"/>
              </w:rPr>
              <w:t>7.110E-12</w:t>
            </w:r>
          </w:p>
        </w:tc>
        <w:tc>
          <w:tcPr>
            <w:tcW w:w="1380" w:type="dxa"/>
            <w:tcBorders>
              <w:top w:val="nil"/>
              <w:left w:val="nil"/>
              <w:bottom w:val="single" w:sz="4" w:space="0" w:color="auto"/>
              <w:right w:val="single" w:sz="4" w:space="0" w:color="auto"/>
            </w:tcBorders>
            <w:shd w:val="clear" w:color="auto" w:fill="auto"/>
            <w:noWrap/>
            <w:vAlign w:val="center"/>
            <w:hideMark/>
          </w:tcPr>
          <w:p w14:paraId="1B26637D" w14:textId="77777777" w:rsidR="00D65105" w:rsidRPr="00487150" w:rsidRDefault="00D65105" w:rsidP="003B3C51">
            <w:pPr>
              <w:jc w:val="center"/>
              <w:rPr>
                <w:color w:val="000000" w:themeColor="text1"/>
              </w:rPr>
            </w:pPr>
            <w:r w:rsidRPr="00487150">
              <w:rPr>
                <w:color w:val="000000" w:themeColor="text1"/>
              </w:rPr>
              <w:t>5.684E-04</w:t>
            </w:r>
          </w:p>
        </w:tc>
      </w:tr>
      <w:tr w:rsidR="00D65105" w:rsidRPr="00487150" w14:paraId="7B08B9BA" w14:textId="77777777" w:rsidTr="003B3C51">
        <w:trPr>
          <w:trHeight w:val="36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995142F" w14:textId="77777777" w:rsidR="00D65105" w:rsidRPr="00487150" w:rsidRDefault="00D65105" w:rsidP="003B3C51">
            <w:pPr>
              <w:jc w:val="center"/>
              <w:rPr>
                <w:color w:val="000000" w:themeColor="text1"/>
              </w:rPr>
            </w:pPr>
            <w:r w:rsidRPr="00487150">
              <w:rPr>
                <w:color w:val="000000" w:themeColor="text1"/>
                <w:vertAlign w:val="superscript"/>
              </w:rPr>
              <w:t>238</w:t>
            </w:r>
            <w:r w:rsidRPr="00487150">
              <w:rPr>
                <w:color w:val="000000" w:themeColor="text1"/>
              </w:rPr>
              <w:t>U</w:t>
            </w:r>
          </w:p>
        </w:tc>
        <w:tc>
          <w:tcPr>
            <w:tcW w:w="1400" w:type="dxa"/>
            <w:tcBorders>
              <w:top w:val="nil"/>
              <w:left w:val="nil"/>
              <w:bottom w:val="single" w:sz="4" w:space="0" w:color="auto"/>
              <w:right w:val="single" w:sz="4" w:space="0" w:color="auto"/>
            </w:tcBorders>
            <w:shd w:val="clear" w:color="auto" w:fill="auto"/>
            <w:noWrap/>
            <w:vAlign w:val="center"/>
            <w:hideMark/>
          </w:tcPr>
          <w:p w14:paraId="57341C06" w14:textId="77777777" w:rsidR="00D65105" w:rsidRPr="00487150" w:rsidRDefault="00D65105" w:rsidP="003B3C51">
            <w:pPr>
              <w:jc w:val="center"/>
              <w:rPr>
                <w:color w:val="000000" w:themeColor="text1"/>
              </w:rPr>
            </w:pPr>
            <w:r w:rsidRPr="00487150">
              <w:rPr>
                <w:color w:val="000000" w:themeColor="text1"/>
              </w:rPr>
              <w:t>238.0507870</w:t>
            </w:r>
          </w:p>
        </w:tc>
        <w:tc>
          <w:tcPr>
            <w:tcW w:w="1380" w:type="dxa"/>
            <w:tcBorders>
              <w:top w:val="nil"/>
              <w:left w:val="nil"/>
              <w:bottom w:val="single" w:sz="4" w:space="0" w:color="auto"/>
              <w:right w:val="single" w:sz="4" w:space="0" w:color="auto"/>
            </w:tcBorders>
            <w:shd w:val="clear" w:color="auto" w:fill="auto"/>
            <w:noWrap/>
            <w:vAlign w:val="center"/>
            <w:hideMark/>
          </w:tcPr>
          <w:p w14:paraId="052400ED" w14:textId="77777777" w:rsidR="00D65105" w:rsidRPr="00487150" w:rsidRDefault="00D65105" w:rsidP="003B3C51">
            <w:pPr>
              <w:jc w:val="center"/>
              <w:rPr>
                <w:color w:val="000000" w:themeColor="text1"/>
              </w:rPr>
            </w:pPr>
            <w:r w:rsidRPr="00487150">
              <w:rPr>
                <w:color w:val="000000" w:themeColor="text1"/>
              </w:rPr>
              <w:t>4,468</w:t>
            </w:r>
          </w:p>
        </w:tc>
        <w:tc>
          <w:tcPr>
            <w:tcW w:w="1300" w:type="dxa"/>
            <w:tcBorders>
              <w:top w:val="nil"/>
              <w:left w:val="nil"/>
              <w:bottom w:val="single" w:sz="4" w:space="0" w:color="auto"/>
              <w:right w:val="single" w:sz="4" w:space="0" w:color="auto"/>
            </w:tcBorders>
            <w:shd w:val="clear" w:color="auto" w:fill="auto"/>
            <w:noWrap/>
            <w:vAlign w:val="center"/>
            <w:hideMark/>
          </w:tcPr>
          <w:p w14:paraId="51444968" w14:textId="77777777" w:rsidR="00D65105" w:rsidRPr="00487150" w:rsidRDefault="00D65105" w:rsidP="003B3C51">
            <w:pPr>
              <w:jc w:val="center"/>
              <w:rPr>
                <w:color w:val="000000" w:themeColor="text1"/>
              </w:rPr>
            </w:pPr>
            <w:r w:rsidRPr="00487150">
              <w:rPr>
                <w:color w:val="000000" w:themeColor="text1"/>
              </w:rPr>
              <w:t>0.9927955</w:t>
            </w:r>
          </w:p>
        </w:tc>
        <w:tc>
          <w:tcPr>
            <w:tcW w:w="1380" w:type="dxa"/>
            <w:tcBorders>
              <w:top w:val="nil"/>
              <w:left w:val="nil"/>
              <w:bottom w:val="single" w:sz="4" w:space="0" w:color="auto"/>
              <w:right w:val="single" w:sz="4" w:space="0" w:color="auto"/>
            </w:tcBorders>
            <w:shd w:val="clear" w:color="auto" w:fill="auto"/>
            <w:noWrap/>
            <w:vAlign w:val="center"/>
            <w:hideMark/>
          </w:tcPr>
          <w:p w14:paraId="43C0F54B" w14:textId="77777777" w:rsidR="00D65105" w:rsidRPr="00487150" w:rsidRDefault="00D65105" w:rsidP="003B3C51">
            <w:pPr>
              <w:jc w:val="center"/>
              <w:rPr>
                <w:color w:val="000000" w:themeColor="text1"/>
              </w:rPr>
            </w:pPr>
            <w:r w:rsidRPr="00487150">
              <w:rPr>
                <w:color w:val="000000" w:themeColor="text1"/>
              </w:rPr>
              <w:t>7.634E-12</w:t>
            </w:r>
          </w:p>
        </w:tc>
        <w:tc>
          <w:tcPr>
            <w:tcW w:w="1380" w:type="dxa"/>
            <w:tcBorders>
              <w:top w:val="nil"/>
              <w:left w:val="nil"/>
              <w:bottom w:val="single" w:sz="4" w:space="0" w:color="auto"/>
              <w:right w:val="single" w:sz="4" w:space="0" w:color="auto"/>
            </w:tcBorders>
            <w:shd w:val="clear" w:color="auto" w:fill="auto"/>
            <w:noWrap/>
            <w:vAlign w:val="center"/>
            <w:hideMark/>
          </w:tcPr>
          <w:p w14:paraId="5C8F2845" w14:textId="77777777" w:rsidR="00D65105" w:rsidRPr="00487150" w:rsidRDefault="00D65105" w:rsidP="003B3C51">
            <w:pPr>
              <w:jc w:val="center"/>
              <w:rPr>
                <w:color w:val="000000" w:themeColor="text1"/>
              </w:rPr>
            </w:pPr>
            <w:r w:rsidRPr="00487150">
              <w:rPr>
                <w:color w:val="000000" w:themeColor="text1"/>
              </w:rPr>
              <w:t>9.495E-05</w:t>
            </w:r>
          </w:p>
        </w:tc>
      </w:tr>
    </w:tbl>
    <w:p w14:paraId="1A4F8FE8" w14:textId="77777777" w:rsidR="00D65105" w:rsidRPr="00487150" w:rsidRDefault="00D65105" w:rsidP="00D65105">
      <w:pPr>
        <w:rPr>
          <w:color w:val="000000" w:themeColor="text1"/>
        </w:rPr>
      </w:pPr>
      <w:r w:rsidRPr="00487150">
        <w:rPr>
          <w:color w:val="000000" w:themeColor="text1"/>
        </w:rPr>
        <w:br w:type="page"/>
      </w:r>
    </w:p>
    <w:p w14:paraId="395E0718" w14:textId="62368C2F" w:rsidR="004F38AC" w:rsidRPr="00487150" w:rsidRDefault="004F38AC" w:rsidP="004F38AC">
      <w:pPr>
        <w:pStyle w:val="Tables"/>
      </w:pPr>
      <w:bookmarkStart w:id="469" w:name="_Toc185263602"/>
      <w:r w:rsidRPr="00487150">
        <w:rPr>
          <w:b/>
          <w:bCs/>
        </w:rPr>
        <w:lastRenderedPageBreak/>
        <w:t>Table 3.</w:t>
      </w:r>
      <w:r w:rsidR="00D65105">
        <w:rPr>
          <w:b/>
          <w:bCs/>
        </w:rPr>
        <w:t>5</w:t>
      </w:r>
      <w:r w:rsidRPr="00487150">
        <w:rPr>
          <w:b/>
          <w:bCs/>
        </w:rPr>
        <w:t>.</w:t>
      </w:r>
      <w:r w:rsidRPr="00487150">
        <w:t xml:space="preserve"> </w:t>
      </w:r>
      <w:r w:rsidR="00B451CE">
        <w:t>Parameter assumptions</w:t>
      </w:r>
      <w:r w:rsidR="00B451CE" w:rsidRPr="00487150">
        <w:t xml:space="preserve"> used in thermal evolution calculations in this study.</w:t>
      </w:r>
      <w:bookmarkEnd w:id="469"/>
      <w:r w:rsidRPr="00487150">
        <w:t xml:space="preserve"> </w:t>
      </w:r>
    </w:p>
    <w:tbl>
      <w:tblPr>
        <w:tblW w:w="6300" w:type="dxa"/>
        <w:tblCellMar>
          <w:left w:w="0" w:type="dxa"/>
          <w:right w:w="0" w:type="dxa"/>
        </w:tblCellMar>
        <w:tblLook w:val="04A0" w:firstRow="1" w:lastRow="0" w:firstColumn="1" w:lastColumn="0" w:noHBand="0" w:noVBand="1"/>
      </w:tblPr>
      <w:tblGrid>
        <w:gridCol w:w="2400"/>
        <w:gridCol w:w="1300"/>
        <w:gridCol w:w="1300"/>
        <w:gridCol w:w="1300"/>
      </w:tblGrid>
      <w:tr w:rsidR="00487150" w:rsidRPr="00487150" w14:paraId="2455A897" w14:textId="77777777" w:rsidTr="00381517">
        <w:trPr>
          <w:trHeight w:val="400"/>
        </w:trPr>
        <w:tc>
          <w:tcPr>
            <w:tcW w:w="24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42FBC2" w14:textId="77777777" w:rsidR="004F38AC" w:rsidRPr="00487150" w:rsidRDefault="004F38AC" w:rsidP="00381517">
            <w:pPr>
              <w:jc w:val="center"/>
              <w:rPr>
                <w:color w:val="000000" w:themeColor="text1"/>
              </w:rPr>
            </w:pPr>
            <w:r w:rsidRPr="00487150">
              <w:rPr>
                <w:color w:val="000000" w:themeColor="text1"/>
              </w:rPr>
              <w:t>Term</w:t>
            </w:r>
          </w:p>
        </w:tc>
        <w:tc>
          <w:tcPr>
            <w:tcW w:w="13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C12BBA" w14:textId="77777777" w:rsidR="004F38AC" w:rsidRPr="00487150" w:rsidRDefault="004F38AC" w:rsidP="00381517">
            <w:pPr>
              <w:jc w:val="center"/>
              <w:rPr>
                <w:color w:val="000000" w:themeColor="text1"/>
              </w:rPr>
            </w:pPr>
            <w:r w:rsidRPr="00487150">
              <w:rPr>
                <w:color w:val="000000" w:themeColor="text1"/>
              </w:rPr>
              <w:t>Symbol</w:t>
            </w:r>
          </w:p>
        </w:tc>
        <w:tc>
          <w:tcPr>
            <w:tcW w:w="13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B747C8" w14:textId="77777777" w:rsidR="004F38AC" w:rsidRPr="00487150" w:rsidRDefault="004F38AC" w:rsidP="00381517">
            <w:pPr>
              <w:jc w:val="center"/>
              <w:rPr>
                <w:color w:val="000000" w:themeColor="text1"/>
              </w:rPr>
            </w:pPr>
            <w:r w:rsidRPr="00487150">
              <w:rPr>
                <w:color w:val="000000" w:themeColor="text1"/>
              </w:rPr>
              <w:t>Units</w:t>
            </w:r>
          </w:p>
        </w:tc>
        <w:tc>
          <w:tcPr>
            <w:tcW w:w="13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496288" w14:textId="77777777" w:rsidR="004F38AC" w:rsidRPr="00487150" w:rsidRDefault="004F38AC" w:rsidP="00381517">
            <w:pPr>
              <w:jc w:val="center"/>
              <w:rPr>
                <w:color w:val="000000" w:themeColor="text1"/>
              </w:rPr>
            </w:pPr>
            <w:r w:rsidRPr="00487150">
              <w:rPr>
                <w:color w:val="000000" w:themeColor="text1"/>
              </w:rPr>
              <w:t>Value</w:t>
            </w:r>
          </w:p>
        </w:tc>
      </w:tr>
      <w:tr w:rsidR="00487150" w:rsidRPr="00487150" w14:paraId="649A934B" w14:textId="77777777" w:rsidTr="00381517">
        <w:trPr>
          <w:trHeight w:val="40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5317C24" w14:textId="061F8816" w:rsidR="004F38AC" w:rsidRPr="00487150" w:rsidRDefault="00CC3653" w:rsidP="00381517">
            <w:pPr>
              <w:jc w:val="center"/>
              <w:rPr>
                <w:color w:val="000000" w:themeColor="text1"/>
              </w:rPr>
            </w:pPr>
            <w:r w:rsidRPr="00487150">
              <w:rPr>
                <w:color w:val="000000" w:themeColor="text1"/>
              </w:rPr>
              <w:t>Radius</w:t>
            </w:r>
            <w:r w:rsidR="004F38AC" w:rsidRPr="00487150">
              <w:rPr>
                <w:color w:val="000000" w:themeColor="text1"/>
              </w:rPr>
              <w:t xml:space="preserve"> of Moon</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7433A7" w14:textId="1AAA6255" w:rsidR="004F38AC" w:rsidRPr="00487150" w:rsidRDefault="00073E5C" w:rsidP="00381517">
            <w:pPr>
              <w:jc w:val="center"/>
              <w:rPr>
                <w:i/>
                <w:iCs/>
                <w:color w:val="000000" w:themeColor="text1"/>
              </w:rPr>
            </w:pPr>
            <w:r w:rsidRPr="00487150">
              <w:rPr>
                <w:i/>
                <w:iCs/>
                <w:color w:val="000000" w:themeColor="text1"/>
              </w:rPr>
              <w:t>R</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EE6333" w14:textId="77777777" w:rsidR="004F38AC" w:rsidRPr="00487150" w:rsidRDefault="004F38AC" w:rsidP="00381517">
            <w:pPr>
              <w:jc w:val="center"/>
              <w:rPr>
                <w:color w:val="000000" w:themeColor="text1"/>
              </w:rPr>
            </w:pPr>
            <w:r w:rsidRPr="00487150">
              <w:rPr>
                <w:color w:val="000000" w:themeColor="text1"/>
              </w:rPr>
              <w:t>km</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606F4C" w14:textId="4C931889" w:rsidR="004F38AC" w:rsidRPr="00487150" w:rsidRDefault="00073E5C" w:rsidP="00381517">
            <w:pPr>
              <w:jc w:val="center"/>
              <w:rPr>
                <w:color w:val="000000" w:themeColor="text1"/>
              </w:rPr>
            </w:pPr>
            <w:r w:rsidRPr="00487150">
              <w:rPr>
                <w:color w:val="000000" w:themeColor="text1"/>
              </w:rPr>
              <w:t>1740</w:t>
            </w:r>
          </w:p>
        </w:tc>
      </w:tr>
      <w:tr w:rsidR="00487150" w:rsidRPr="00487150" w14:paraId="22E011FE" w14:textId="77777777" w:rsidTr="00381517">
        <w:trPr>
          <w:trHeight w:val="40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911988A" w14:textId="70056057" w:rsidR="004F38AC" w:rsidRPr="00487150" w:rsidRDefault="00073E5C" w:rsidP="00381517">
            <w:pPr>
              <w:jc w:val="center"/>
              <w:rPr>
                <w:color w:val="000000" w:themeColor="text1"/>
              </w:rPr>
            </w:pPr>
            <w:r w:rsidRPr="00487150">
              <w:rPr>
                <w:color w:val="000000" w:themeColor="text1"/>
              </w:rPr>
              <w:t>Radius</w:t>
            </w:r>
            <w:r w:rsidR="004F38AC" w:rsidRPr="00487150">
              <w:rPr>
                <w:color w:val="000000" w:themeColor="text1"/>
              </w:rPr>
              <w:t xml:space="preserve"> of </w:t>
            </w:r>
            <w:r w:rsidR="00CC3653" w:rsidRPr="00487150">
              <w:rPr>
                <w:color w:val="000000" w:themeColor="text1"/>
              </w:rPr>
              <w:t>Outer</w:t>
            </w:r>
            <w:r w:rsidR="004F38AC" w:rsidRPr="00487150">
              <w:rPr>
                <w:color w:val="000000" w:themeColor="text1"/>
              </w:rPr>
              <w:t xml:space="preserve"> </w:t>
            </w:r>
            <w:r w:rsidR="00CC3653" w:rsidRPr="00487150">
              <w:rPr>
                <w:color w:val="000000" w:themeColor="text1"/>
              </w:rPr>
              <w:t>C</w:t>
            </w:r>
            <w:r w:rsidR="004F38AC" w:rsidRPr="00487150">
              <w:rPr>
                <w:color w:val="000000" w:themeColor="text1"/>
              </w:rPr>
              <w:t>ore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159603" w14:textId="68855AB1" w:rsidR="004F38AC" w:rsidRPr="00487150" w:rsidRDefault="00073E5C" w:rsidP="00381517">
            <w:pPr>
              <w:jc w:val="center"/>
              <w:rPr>
                <w:i/>
                <w:iCs/>
                <w:color w:val="000000" w:themeColor="text1"/>
                <w:vertAlign w:val="subscript"/>
              </w:rPr>
            </w:pPr>
            <w:r w:rsidRPr="00487150">
              <w:rPr>
                <w:i/>
                <w:iCs/>
                <w:color w:val="000000" w:themeColor="text1"/>
              </w:rPr>
              <w:t>R</w:t>
            </w:r>
            <w:r w:rsidRPr="00487150">
              <w:rPr>
                <w:i/>
                <w:iCs/>
                <w:color w:val="000000" w:themeColor="text1"/>
                <w:vertAlign w:val="subscript"/>
              </w:rPr>
              <w:t>c</w:t>
            </w:r>
            <w:r w:rsidR="0000551E" w:rsidRPr="00487150">
              <w:rPr>
                <w:i/>
                <w:iCs/>
                <w:color w:val="000000" w:themeColor="text1"/>
                <w:vertAlign w:val="subscript"/>
              </w:rPr>
              <w:t>ore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28CD8C" w14:textId="77777777" w:rsidR="004F38AC" w:rsidRPr="00487150" w:rsidRDefault="004F38AC" w:rsidP="00381517">
            <w:pPr>
              <w:jc w:val="center"/>
              <w:rPr>
                <w:color w:val="000000" w:themeColor="text1"/>
              </w:rPr>
            </w:pPr>
            <w:r w:rsidRPr="00487150">
              <w:rPr>
                <w:color w:val="000000" w:themeColor="text1"/>
              </w:rPr>
              <w:t>km</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62799A" w14:textId="3011BE88" w:rsidR="004F38AC" w:rsidRPr="00487150" w:rsidRDefault="00073E5C" w:rsidP="00381517">
            <w:pPr>
              <w:jc w:val="center"/>
              <w:rPr>
                <w:color w:val="000000" w:themeColor="text1"/>
              </w:rPr>
            </w:pPr>
            <w:r w:rsidRPr="00487150">
              <w:rPr>
                <w:color w:val="000000" w:themeColor="text1"/>
              </w:rPr>
              <w:t>340</w:t>
            </w:r>
          </w:p>
        </w:tc>
      </w:tr>
      <w:tr w:rsidR="00487150" w:rsidRPr="00487150" w14:paraId="71140383" w14:textId="77777777" w:rsidTr="00381517">
        <w:trPr>
          <w:trHeight w:val="40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91EF94B" w14:textId="4916C7E1" w:rsidR="004F38AC" w:rsidRPr="00487150" w:rsidRDefault="0000551E" w:rsidP="00381517">
            <w:pPr>
              <w:jc w:val="center"/>
              <w:rPr>
                <w:color w:val="000000" w:themeColor="text1"/>
              </w:rPr>
            </w:pPr>
            <w:r w:rsidRPr="00487150">
              <w:rPr>
                <w:color w:val="000000" w:themeColor="text1"/>
              </w:rPr>
              <w:t>Radius</w:t>
            </w:r>
            <w:r w:rsidR="00CC3653" w:rsidRPr="00487150">
              <w:rPr>
                <w:color w:val="000000" w:themeColor="text1"/>
              </w:rPr>
              <w:t xml:space="preserve"> of Lower Crust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4E78AF" w14:textId="020C64BC" w:rsidR="004F38AC" w:rsidRPr="00487150" w:rsidRDefault="0000551E" w:rsidP="00381517">
            <w:pPr>
              <w:jc w:val="center"/>
              <w:rPr>
                <w:i/>
                <w:iCs/>
                <w:color w:val="000000" w:themeColor="text1"/>
                <w:vertAlign w:val="subscript"/>
              </w:rPr>
            </w:pPr>
            <w:r w:rsidRPr="00487150">
              <w:rPr>
                <w:i/>
                <w:iCs/>
                <w:color w:val="000000" w:themeColor="text1"/>
              </w:rPr>
              <w:t>R</w:t>
            </w:r>
            <w:r w:rsidRPr="00487150">
              <w:rPr>
                <w:i/>
                <w:iCs/>
                <w:color w:val="000000" w:themeColor="text1"/>
                <w:vertAlign w:val="subscript"/>
              </w:rPr>
              <w:t>crust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787B29" w14:textId="77777777" w:rsidR="004F38AC" w:rsidRPr="00487150" w:rsidRDefault="004F38AC" w:rsidP="00381517">
            <w:pPr>
              <w:jc w:val="center"/>
              <w:rPr>
                <w:color w:val="000000" w:themeColor="text1"/>
              </w:rPr>
            </w:pPr>
            <w:r w:rsidRPr="00487150">
              <w:rPr>
                <w:color w:val="000000" w:themeColor="text1"/>
              </w:rPr>
              <w:t>km</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19A678" w14:textId="24EB493F" w:rsidR="004F38AC" w:rsidRPr="00487150" w:rsidRDefault="0000551E" w:rsidP="00381517">
            <w:pPr>
              <w:jc w:val="center"/>
              <w:rPr>
                <w:color w:val="000000" w:themeColor="text1"/>
              </w:rPr>
            </w:pPr>
            <w:r w:rsidRPr="00487150">
              <w:rPr>
                <w:color w:val="000000" w:themeColor="text1"/>
              </w:rPr>
              <w:t>1688</w:t>
            </w:r>
          </w:p>
        </w:tc>
      </w:tr>
      <w:tr w:rsidR="00487150" w:rsidRPr="00487150" w14:paraId="214CF0A0" w14:textId="77777777" w:rsidTr="00381517">
        <w:trPr>
          <w:trHeight w:val="68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7D7A217" w14:textId="77777777" w:rsidR="004F38AC" w:rsidRPr="00487150" w:rsidRDefault="004F38AC" w:rsidP="00381517">
            <w:pPr>
              <w:jc w:val="center"/>
              <w:rPr>
                <w:color w:val="000000" w:themeColor="text1"/>
              </w:rPr>
            </w:pPr>
            <w:r w:rsidRPr="00487150">
              <w:rPr>
                <w:color w:val="000000" w:themeColor="text1"/>
              </w:rPr>
              <w:t>Crustal Thermal Conductivity</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721C9B" w14:textId="77777777" w:rsidR="004F38AC" w:rsidRPr="00487150" w:rsidRDefault="004F38AC" w:rsidP="00381517">
            <w:pPr>
              <w:jc w:val="center"/>
              <w:rPr>
                <w:i/>
                <w:iCs/>
                <w:color w:val="000000" w:themeColor="text1"/>
              </w:rPr>
            </w:pPr>
            <w:r w:rsidRPr="00487150">
              <w:rPr>
                <w:i/>
                <w:iCs/>
                <w:color w:val="000000" w:themeColor="text1"/>
              </w:rPr>
              <w:t>K</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C02E64" w14:textId="77777777" w:rsidR="004F38AC" w:rsidRPr="00487150" w:rsidRDefault="004F38AC" w:rsidP="00381517">
            <w:pPr>
              <w:jc w:val="center"/>
              <w:rPr>
                <w:color w:val="000000" w:themeColor="text1"/>
              </w:rPr>
            </w:pPr>
            <w:r w:rsidRPr="00487150">
              <w:rPr>
                <w:color w:val="000000" w:themeColor="text1"/>
              </w:rPr>
              <w:t>W m</w:t>
            </w:r>
            <w:r w:rsidRPr="00487150">
              <w:rPr>
                <w:color w:val="000000" w:themeColor="text1"/>
                <w:vertAlign w:val="superscript"/>
              </w:rPr>
              <w:t>-1</w:t>
            </w:r>
            <w:r w:rsidRPr="00487150">
              <w:rPr>
                <w:color w:val="000000" w:themeColor="text1"/>
              </w:rPr>
              <w:t>K</w:t>
            </w:r>
            <w:r w:rsidRPr="00487150">
              <w:rPr>
                <w:color w:val="000000" w:themeColor="text1"/>
                <w:vertAlign w:val="superscript"/>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C08221" w14:textId="77777777" w:rsidR="004F38AC" w:rsidRPr="00487150" w:rsidRDefault="004F38AC" w:rsidP="00381517">
            <w:pPr>
              <w:jc w:val="center"/>
              <w:rPr>
                <w:color w:val="000000" w:themeColor="text1"/>
              </w:rPr>
            </w:pPr>
            <w:r w:rsidRPr="00487150">
              <w:rPr>
                <w:color w:val="000000" w:themeColor="text1"/>
              </w:rPr>
              <w:t>1.68</w:t>
            </w:r>
          </w:p>
        </w:tc>
      </w:tr>
      <w:tr w:rsidR="00487150" w:rsidRPr="00487150" w14:paraId="0300F39F" w14:textId="77777777" w:rsidTr="00381517">
        <w:trPr>
          <w:trHeight w:val="68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FB7EC4A" w14:textId="77777777" w:rsidR="004F38AC" w:rsidRPr="00487150" w:rsidRDefault="004F38AC" w:rsidP="00381517">
            <w:pPr>
              <w:jc w:val="center"/>
              <w:rPr>
                <w:color w:val="000000" w:themeColor="text1"/>
              </w:rPr>
            </w:pPr>
            <w:r w:rsidRPr="00487150">
              <w:rPr>
                <w:color w:val="000000" w:themeColor="text1"/>
              </w:rPr>
              <w:t>Mantle Thermal Conductivity</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F09544" w14:textId="77777777" w:rsidR="004F38AC" w:rsidRPr="00487150" w:rsidRDefault="004F38AC" w:rsidP="00381517">
            <w:pPr>
              <w:jc w:val="center"/>
              <w:rPr>
                <w:i/>
                <w:iCs/>
                <w:color w:val="000000" w:themeColor="text1"/>
              </w:rPr>
            </w:pPr>
            <w:r w:rsidRPr="00487150">
              <w:rPr>
                <w:i/>
                <w:iCs/>
                <w:color w:val="000000" w:themeColor="text1"/>
              </w:rPr>
              <w:t>K</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9B4F5C" w14:textId="77777777" w:rsidR="004F38AC" w:rsidRPr="00487150" w:rsidRDefault="004F38AC" w:rsidP="00381517">
            <w:pPr>
              <w:jc w:val="center"/>
              <w:rPr>
                <w:color w:val="000000" w:themeColor="text1"/>
              </w:rPr>
            </w:pPr>
            <w:r w:rsidRPr="00487150">
              <w:rPr>
                <w:color w:val="000000" w:themeColor="text1"/>
              </w:rPr>
              <w:t>W m</w:t>
            </w:r>
            <w:r w:rsidRPr="00487150">
              <w:rPr>
                <w:color w:val="000000" w:themeColor="text1"/>
                <w:vertAlign w:val="superscript"/>
              </w:rPr>
              <w:t>-1</w:t>
            </w:r>
            <w:r w:rsidRPr="00487150">
              <w:rPr>
                <w:color w:val="000000" w:themeColor="text1"/>
              </w:rPr>
              <w:t>K</w:t>
            </w:r>
            <w:r w:rsidRPr="00487150">
              <w:rPr>
                <w:color w:val="000000" w:themeColor="text1"/>
                <w:vertAlign w:val="superscript"/>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40476C" w14:textId="77777777" w:rsidR="004F38AC" w:rsidRPr="00487150" w:rsidRDefault="004F38AC" w:rsidP="00381517">
            <w:pPr>
              <w:jc w:val="center"/>
              <w:rPr>
                <w:color w:val="000000" w:themeColor="text1"/>
              </w:rPr>
            </w:pPr>
            <w:r w:rsidRPr="00487150">
              <w:rPr>
                <w:color w:val="000000" w:themeColor="text1"/>
              </w:rPr>
              <w:t>5</w:t>
            </w:r>
          </w:p>
        </w:tc>
      </w:tr>
      <w:tr w:rsidR="00487150" w:rsidRPr="00487150" w14:paraId="076542A5" w14:textId="77777777" w:rsidTr="00381517">
        <w:trPr>
          <w:trHeight w:val="68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68ED820" w14:textId="77777777" w:rsidR="004F38AC" w:rsidRPr="00487150" w:rsidRDefault="004F38AC" w:rsidP="00381517">
            <w:pPr>
              <w:jc w:val="center"/>
              <w:rPr>
                <w:color w:val="000000" w:themeColor="text1"/>
              </w:rPr>
            </w:pPr>
            <w:r w:rsidRPr="00487150">
              <w:rPr>
                <w:color w:val="000000" w:themeColor="text1"/>
              </w:rPr>
              <w:t>Core Thermal Conductivity</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063AC3" w14:textId="77777777" w:rsidR="004F38AC" w:rsidRPr="00487150" w:rsidRDefault="004F38AC" w:rsidP="00381517">
            <w:pPr>
              <w:jc w:val="center"/>
              <w:rPr>
                <w:i/>
                <w:iCs/>
                <w:color w:val="000000" w:themeColor="text1"/>
              </w:rPr>
            </w:pPr>
            <w:r w:rsidRPr="00487150">
              <w:rPr>
                <w:i/>
                <w:iCs/>
                <w:color w:val="000000" w:themeColor="text1"/>
              </w:rPr>
              <w:t>K</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093457" w14:textId="77777777" w:rsidR="004F38AC" w:rsidRPr="00487150" w:rsidRDefault="004F38AC" w:rsidP="00381517">
            <w:pPr>
              <w:jc w:val="center"/>
              <w:rPr>
                <w:color w:val="000000" w:themeColor="text1"/>
              </w:rPr>
            </w:pPr>
            <w:r w:rsidRPr="00487150">
              <w:rPr>
                <w:color w:val="000000" w:themeColor="text1"/>
              </w:rPr>
              <w:t>W m</w:t>
            </w:r>
            <w:r w:rsidRPr="00487150">
              <w:rPr>
                <w:color w:val="000000" w:themeColor="text1"/>
                <w:vertAlign w:val="superscript"/>
              </w:rPr>
              <w:t>-1</w:t>
            </w:r>
            <w:r w:rsidRPr="00487150">
              <w:rPr>
                <w:color w:val="000000" w:themeColor="text1"/>
              </w:rPr>
              <w:t>K</w:t>
            </w:r>
            <w:r w:rsidRPr="00487150">
              <w:rPr>
                <w:color w:val="000000" w:themeColor="text1"/>
                <w:vertAlign w:val="superscript"/>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29BDDB" w14:textId="77777777" w:rsidR="004F38AC" w:rsidRPr="00487150" w:rsidRDefault="004F38AC" w:rsidP="00381517">
            <w:pPr>
              <w:jc w:val="center"/>
              <w:rPr>
                <w:color w:val="000000" w:themeColor="text1"/>
              </w:rPr>
            </w:pPr>
            <w:r w:rsidRPr="00487150">
              <w:rPr>
                <w:color w:val="000000" w:themeColor="text1"/>
              </w:rPr>
              <w:t>50</w:t>
            </w:r>
          </w:p>
        </w:tc>
      </w:tr>
      <w:tr w:rsidR="00487150" w:rsidRPr="00487150" w14:paraId="5CCE0EC2" w14:textId="77777777" w:rsidTr="00381517">
        <w:trPr>
          <w:trHeight w:val="68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2BA5D60" w14:textId="77777777" w:rsidR="004F38AC" w:rsidRPr="00487150" w:rsidRDefault="004F38AC" w:rsidP="00381517">
            <w:pPr>
              <w:jc w:val="center"/>
              <w:rPr>
                <w:color w:val="000000" w:themeColor="text1"/>
              </w:rPr>
            </w:pPr>
            <w:r w:rsidRPr="00487150">
              <w:rPr>
                <w:color w:val="000000" w:themeColor="text1"/>
              </w:rPr>
              <w:t xml:space="preserve">Crustal Specific Heat Capacity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9D16DF" w14:textId="77777777" w:rsidR="004F38AC" w:rsidRPr="00487150" w:rsidRDefault="004F38AC" w:rsidP="00381517">
            <w:pPr>
              <w:jc w:val="center"/>
              <w:rPr>
                <w:i/>
                <w:iCs/>
                <w:color w:val="000000" w:themeColor="text1"/>
              </w:rPr>
            </w:pPr>
            <w:r w:rsidRPr="00487150">
              <w:rPr>
                <w:i/>
                <w:iCs/>
                <w:color w:val="000000" w:themeColor="text1"/>
              </w:rPr>
              <w:t>C</w:t>
            </w:r>
            <w:r w:rsidRPr="00487150">
              <w:rPr>
                <w:i/>
                <w:iCs/>
                <w:color w:val="000000" w:themeColor="text1"/>
                <w:vertAlign w:val="subscript"/>
              </w:rPr>
              <w:t>P</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835189" w14:textId="77777777" w:rsidR="004F38AC" w:rsidRPr="00487150" w:rsidRDefault="004F38AC" w:rsidP="00381517">
            <w:pPr>
              <w:jc w:val="center"/>
              <w:rPr>
                <w:color w:val="000000" w:themeColor="text1"/>
              </w:rPr>
            </w:pPr>
            <w:r w:rsidRPr="00487150">
              <w:rPr>
                <w:color w:val="000000" w:themeColor="text1"/>
              </w:rPr>
              <w:t>J kg</w:t>
            </w:r>
            <w:r w:rsidRPr="00487150">
              <w:rPr>
                <w:color w:val="000000" w:themeColor="text1"/>
                <w:vertAlign w:val="superscript"/>
              </w:rPr>
              <w:t>-1</w:t>
            </w:r>
            <w:r w:rsidRPr="00487150">
              <w:rPr>
                <w:color w:val="000000" w:themeColor="text1"/>
              </w:rPr>
              <w:t>K</w:t>
            </w:r>
            <w:r w:rsidRPr="00487150">
              <w:rPr>
                <w:color w:val="000000" w:themeColor="text1"/>
                <w:vertAlign w:val="superscript"/>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DBDD86" w14:textId="77777777" w:rsidR="004F38AC" w:rsidRPr="00487150" w:rsidRDefault="004F38AC" w:rsidP="00381517">
            <w:pPr>
              <w:jc w:val="center"/>
              <w:rPr>
                <w:color w:val="000000" w:themeColor="text1"/>
              </w:rPr>
            </w:pPr>
            <w:r w:rsidRPr="00487150">
              <w:rPr>
                <w:color w:val="000000" w:themeColor="text1"/>
              </w:rPr>
              <w:t>762</w:t>
            </w:r>
          </w:p>
        </w:tc>
      </w:tr>
      <w:tr w:rsidR="00487150" w:rsidRPr="00487150" w14:paraId="6122DA07" w14:textId="77777777" w:rsidTr="00381517">
        <w:trPr>
          <w:trHeight w:val="68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8190157" w14:textId="77777777" w:rsidR="004F38AC" w:rsidRPr="00487150" w:rsidRDefault="004F38AC" w:rsidP="00381517">
            <w:pPr>
              <w:jc w:val="center"/>
              <w:rPr>
                <w:color w:val="000000" w:themeColor="text1"/>
              </w:rPr>
            </w:pPr>
            <w:r w:rsidRPr="00487150">
              <w:rPr>
                <w:color w:val="000000" w:themeColor="text1"/>
              </w:rPr>
              <w:t xml:space="preserve">Mantle Specific Heat Capacity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5550C8" w14:textId="77777777" w:rsidR="004F38AC" w:rsidRPr="00487150" w:rsidRDefault="004F38AC" w:rsidP="00381517">
            <w:pPr>
              <w:jc w:val="center"/>
              <w:rPr>
                <w:i/>
                <w:iCs/>
                <w:color w:val="000000" w:themeColor="text1"/>
              </w:rPr>
            </w:pPr>
            <w:r w:rsidRPr="00487150">
              <w:rPr>
                <w:i/>
                <w:iCs/>
                <w:color w:val="000000" w:themeColor="text1"/>
              </w:rPr>
              <w:t>C</w:t>
            </w:r>
            <w:r w:rsidRPr="00487150">
              <w:rPr>
                <w:i/>
                <w:iCs/>
                <w:color w:val="000000" w:themeColor="text1"/>
                <w:vertAlign w:val="subscript"/>
              </w:rPr>
              <w:t>P</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08CAE5" w14:textId="77777777" w:rsidR="004F38AC" w:rsidRPr="00487150" w:rsidRDefault="004F38AC" w:rsidP="00381517">
            <w:pPr>
              <w:jc w:val="center"/>
              <w:rPr>
                <w:color w:val="000000" w:themeColor="text1"/>
              </w:rPr>
            </w:pPr>
            <w:r w:rsidRPr="00487150">
              <w:rPr>
                <w:color w:val="000000" w:themeColor="text1"/>
              </w:rPr>
              <w:t>J kg</w:t>
            </w:r>
            <w:r w:rsidRPr="00487150">
              <w:rPr>
                <w:color w:val="000000" w:themeColor="text1"/>
                <w:vertAlign w:val="superscript"/>
              </w:rPr>
              <w:t>-1</w:t>
            </w:r>
            <w:r w:rsidRPr="00487150">
              <w:rPr>
                <w:color w:val="000000" w:themeColor="text1"/>
              </w:rPr>
              <w:t>K</w:t>
            </w:r>
            <w:r w:rsidRPr="00487150">
              <w:rPr>
                <w:color w:val="000000" w:themeColor="text1"/>
                <w:vertAlign w:val="superscript"/>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5C7C8B" w14:textId="77777777" w:rsidR="004F38AC" w:rsidRPr="00487150" w:rsidRDefault="004F38AC" w:rsidP="00381517">
            <w:pPr>
              <w:jc w:val="center"/>
              <w:rPr>
                <w:color w:val="000000" w:themeColor="text1"/>
              </w:rPr>
            </w:pPr>
            <w:r w:rsidRPr="00487150">
              <w:rPr>
                <w:color w:val="000000" w:themeColor="text1"/>
              </w:rPr>
              <w:t>830</w:t>
            </w:r>
          </w:p>
        </w:tc>
      </w:tr>
      <w:tr w:rsidR="00487150" w:rsidRPr="00487150" w14:paraId="7607DAC8" w14:textId="77777777" w:rsidTr="00381517">
        <w:trPr>
          <w:trHeight w:val="68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113305D" w14:textId="77777777" w:rsidR="004F38AC" w:rsidRPr="00487150" w:rsidRDefault="004F38AC" w:rsidP="00381517">
            <w:pPr>
              <w:jc w:val="center"/>
              <w:rPr>
                <w:color w:val="000000" w:themeColor="text1"/>
              </w:rPr>
            </w:pPr>
            <w:r w:rsidRPr="00487150">
              <w:rPr>
                <w:color w:val="000000" w:themeColor="text1"/>
              </w:rPr>
              <w:t xml:space="preserve">Core Specific Heat Capacity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330FE4" w14:textId="77777777" w:rsidR="004F38AC" w:rsidRPr="00487150" w:rsidRDefault="004F38AC" w:rsidP="00381517">
            <w:pPr>
              <w:jc w:val="center"/>
              <w:rPr>
                <w:i/>
                <w:iCs/>
                <w:color w:val="000000" w:themeColor="text1"/>
              </w:rPr>
            </w:pPr>
            <w:r w:rsidRPr="00487150">
              <w:rPr>
                <w:i/>
                <w:iCs/>
                <w:color w:val="000000" w:themeColor="text1"/>
              </w:rPr>
              <w:t>C</w:t>
            </w:r>
            <w:r w:rsidRPr="00487150">
              <w:rPr>
                <w:i/>
                <w:iCs/>
                <w:color w:val="000000" w:themeColor="text1"/>
                <w:vertAlign w:val="subscript"/>
              </w:rPr>
              <w:t>P</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F568D5" w14:textId="77777777" w:rsidR="004F38AC" w:rsidRPr="00487150" w:rsidRDefault="004F38AC" w:rsidP="00381517">
            <w:pPr>
              <w:jc w:val="center"/>
              <w:rPr>
                <w:color w:val="000000" w:themeColor="text1"/>
              </w:rPr>
            </w:pPr>
            <w:r w:rsidRPr="00487150">
              <w:rPr>
                <w:color w:val="000000" w:themeColor="text1"/>
              </w:rPr>
              <w:t>J kg</w:t>
            </w:r>
            <w:r w:rsidRPr="00487150">
              <w:rPr>
                <w:color w:val="000000" w:themeColor="text1"/>
                <w:vertAlign w:val="superscript"/>
              </w:rPr>
              <w:t>-1</w:t>
            </w:r>
            <w:r w:rsidRPr="00487150">
              <w:rPr>
                <w:color w:val="000000" w:themeColor="text1"/>
              </w:rPr>
              <w:t>K</w:t>
            </w:r>
            <w:r w:rsidRPr="00487150">
              <w:rPr>
                <w:color w:val="000000" w:themeColor="text1"/>
                <w:vertAlign w:val="superscript"/>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C38666" w14:textId="77777777" w:rsidR="004F38AC" w:rsidRPr="00487150" w:rsidRDefault="004F38AC" w:rsidP="00381517">
            <w:pPr>
              <w:jc w:val="center"/>
              <w:rPr>
                <w:color w:val="000000" w:themeColor="text1"/>
              </w:rPr>
            </w:pPr>
            <w:r w:rsidRPr="00487150">
              <w:rPr>
                <w:color w:val="000000" w:themeColor="text1"/>
              </w:rPr>
              <w:t>800</w:t>
            </w:r>
          </w:p>
        </w:tc>
      </w:tr>
      <w:tr w:rsidR="00487150" w:rsidRPr="00487150" w14:paraId="5BFF64CE" w14:textId="77777777" w:rsidTr="00381517">
        <w:trPr>
          <w:trHeight w:val="40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66121CB" w14:textId="77777777" w:rsidR="004F38AC" w:rsidRPr="00487150" w:rsidRDefault="004F38AC" w:rsidP="00381517">
            <w:pPr>
              <w:jc w:val="center"/>
              <w:rPr>
                <w:color w:val="000000" w:themeColor="text1"/>
              </w:rPr>
            </w:pPr>
            <w:r w:rsidRPr="00487150">
              <w:rPr>
                <w:color w:val="000000" w:themeColor="text1"/>
              </w:rPr>
              <w:t xml:space="preserve">Crustal Density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5A3B64" w14:textId="77777777" w:rsidR="004F38AC" w:rsidRPr="00487150" w:rsidRDefault="004F38AC" w:rsidP="00381517">
            <w:pPr>
              <w:jc w:val="center"/>
              <w:rPr>
                <w:rFonts w:ascii="Symbol" w:hAnsi="Symbol"/>
                <w:color w:val="000000" w:themeColor="text1"/>
              </w:rPr>
            </w:pPr>
            <w:r w:rsidRPr="00487150">
              <w:rPr>
                <w:rFonts w:ascii="Symbol" w:hAnsi="Symbol"/>
                <w:color w:val="000000" w:themeColor="text1"/>
              </w:rPr>
              <w:t>r</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A55294" w14:textId="77777777" w:rsidR="004F38AC" w:rsidRPr="00487150" w:rsidRDefault="004F38AC" w:rsidP="00381517">
            <w:pPr>
              <w:jc w:val="center"/>
              <w:rPr>
                <w:color w:val="000000" w:themeColor="text1"/>
              </w:rPr>
            </w:pPr>
            <w:r w:rsidRPr="00487150">
              <w:rPr>
                <w:color w:val="000000" w:themeColor="text1"/>
              </w:rPr>
              <w:t>kg m</w:t>
            </w:r>
            <w:r w:rsidRPr="00487150">
              <w:rPr>
                <w:color w:val="000000" w:themeColor="text1"/>
                <w:vertAlign w:val="superscript"/>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5DDD4A" w14:textId="77777777" w:rsidR="004F38AC" w:rsidRPr="00487150" w:rsidRDefault="004F38AC" w:rsidP="00381517">
            <w:pPr>
              <w:jc w:val="center"/>
              <w:rPr>
                <w:color w:val="000000" w:themeColor="text1"/>
              </w:rPr>
            </w:pPr>
            <w:r w:rsidRPr="00487150">
              <w:rPr>
                <w:color w:val="000000" w:themeColor="text1"/>
              </w:rPr>
              <w:t>2760</w:t>
            </w:r>
          </w:p>
        </w:tc>
      </w:tr>
      <w:tr w:rsidR="00487150" w:rsidRPr="00487150" w14:paraId="33450AFF" w14:textId="77777777" w:rsidTr="00381517">
        <w:trPr>
          <w:trHeight w:val="40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FCB15AA" w14:textId="77777777" w:rsidR="004F38AC" w:rsidRPr="00487150" w:rsidRDefault="004F38AC" w:rsidP="00381517">
            <w:pPr>
              <w:jc w:val="center"/>
              <w:rPr>
                <w:color w:val="000000" w:themeColor="text1"/>
              </w:rPr>
            </w:pPr>
            <w:r w:rsidRPr="00487150">
              <w:rPr>
                <w:color w:val="000000" w:themeColor="text1"/>
              </w:rPr>
              <w:t xml:space="preserve">Mantle Density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0B0B00" w14:textId="77777777" w:rsidR="004F38AC" w:rsidRPr="00487150" w:rsidRDefault="004F38AC" w:rsidP="00381517">
            <w:pPr>
              <w:jc w:val="center"/>
              <w:rPr>
                <w:rFonts w:ascii="Symbol" w:hAnsi="Symbol"/>
                <w:color w:val="000000" w:themeColor="text1"/>
              </w:rPr>
            </w:pPr>
            <w:r w:rsidRPr="00487150">
              <w:rPr>
                <w:rFonts w:ascii="Symbol" w:hAnsi="Symbol"/>
                <w:color w:val="000000" w:themeColor="text1"/>
              </w:rPr>
              <w:t>r</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B1DCBD" w14:textId="77777777" w:rsidR="004F38AC" w:rsidRPr="00487150" w:rsidRDefault="004F38AC" w:rsidP="00381517">
            <w:pPr>
              <w:jc w:val="center"/>
              <w:rPr>
                <w:color w:val="000000" w:themeColor="text1"/>
              </w:rPr>
            </w:pPr>
            <w:r w:rsidRPr="00487150">
              <w:rPr>
                <w:color w:val="000000" w:themeColor="text1"/>
              </w:rPr>
              <w:t>kg m</w:t>
            </w:r>
            <w:r w:rsidRPr="00487150">
              <w:rPr>
                <w:color w:val="000000" w:themeColor="text1"/>
                <w:vertAlign w:val="superscript"/>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6DFB0D" w14:textId="77777777" w:rsidR="004F38AC" w:rsidRPr="00487150" w:rsidRDefault="004F38AC" w:rsidP="00381517">
            <w:pPr>
              <w:jc w:val="center"/>
              <w:rPr>
                <w:color w:val="000000" w:themeColor="text1"/>
              </w:rPr>
            </w:pPr>
            <w:r w:rsidRPr="00487150">
              <w:rPr>
                <w:color w:val="000000" w:themeColor="text1"/>
              </w:rPr>
              <w:t>3400</w:t>
            </w:r>
          </w:p>
        </w:tc>
      </w:tr>
      <w:tr w:rsidR="00487150" w:rsidRPr="00487150" w14:paraId="3966DA16" w14:textId="77777777" w:rsidTr="00381517">
        <w:trPr>
          <w:trHeight w:val="40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AC3BA57" w14:textId="77777777" w:rsidR="004F38AC" w:rsidRPr="00487150" w:rsidRDefault="004F38AC" w:rsidP="00381517">
            <w:pPr>
              <w:jc w:val="center"/>
              <w:rPr>
                <w:color w:val="000000" w:themeColor="text1"/>
              </w:rPr>
            </w:pPr>
            <w:r w:rsidRPr="00487150">
              <w:rPr>
                <w:color w:val="000000" w:themeColor="text1"/>
              </w:rPr>
              <w:t xml:space="preserve">Core Density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D0966A" w14:textId="77777777" w:rsidR="004F38AC" w:rsidRPr="00487150" w:rsidRDefault="004F38AC" w:rsidP="00381517">
            <w:pPr>
              <w:jc w:val="center"/>
              <w:rPr>
                <w:rFonts w:ascii="Symbol" w:hAnsi="Symbol"/>
                <w:color w:val="000000" w:themeColor="text1"/>
              </w:rPr>
            </w:pPr>
            <w:r w:rsidRPr="00487150">
              <w:rPr>
                <w:rFonts w:ascii="Symbol" w:hAnsi="Symbol"/>
                <w:color w:val="000000" w:themeColor="text1"/>
              </w:rPr>
              <w:sym w:font="Symbol" w:char="F072"/>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272F41" w14:textId="77777777" w:rsidR="004F38AC" w:rsidRPr="00487150" w:rsidRDefault="004F38AC" w:rsidP="00381517">
            <w:pPr>
              <w:jc w:val="center"/>
              <w:rPr>
                <w:color w:val="000000" w:themeColor="text1"/>
              </w:rPr>
            </w:pPr>
            <w:r w:rsidRPr="00487150">
              <w:rPr>
                <w:color w:val="000000" w:themeColor="text1"/>
              </w:rPr>
              <w:t>kg m</w:t>
            </w:r>
            <w:r w:rsidRPr="00487150">
              <w:rPr>
                <w:color w:val="000000" w:themeColor="text1"/>
                <w:vertAlign w:val="superscript"/>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4CCD25" w14:textId="77777777" w:rsidR="004F38AC" w:rsidRPr="00487150" w:rsidRDefault="004F38AC" w:rsidP="00381517">
            <w:pPr>
              <w:jc w:val="center"/>
              <w:rPr>
                <w:color w:val="000000" w:themeColor="text1"/>
              </w:rPr>
            </w:pPr>
            <w:r w:rsidRPr="00487150">
              <w:rPr>
                <w:color w:val="000000" w:themeColor="text1"/>
              </w:rPr>
              <w:t>7800</w:t>
            </w:r>
          </w:p>
        </w:tc>
      </w:tr>
      <w:tr w:rsidR="00487150" w:rsidRPr="00487150" w14:paraId="1365FAE7" w14:textId="77777777" w:rsidTr="00381517">
        <w:trPr>
          <w:trHeight w:val="68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9C94912" w14:textId="77777777" w:rsidR="004F38AC" w:rsidRPr="00487150" w:rsidRDefault="004F38AC" w:rsidP="00381517">
            <w:pPr>
              <w:jc w:val="center"/>
              <w:rPr>
                <w:color w:val="000000" w:themeColor="text1"/>
              </w:rPr>
            </w:pPr>
            <w:r w:rsidRPr="00487150">
              <w:rPr>
                <w:color w:val="000000" w:themeColor="text1"/>
              </w:rPr>
              <w:t>Crustal Thermal Diffusivity</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051186" w14:textId="77777777" w:rsidR="004F38AC" w:rsidRPr="00487150" w:rsidRDefault="004F38AC" w:rsidP="00381517">
            <w:pPr>
              <w:jc w:val="center"/>
              <w:rPr>
                <w:rFonts w:ascii="Symbol" w:hAnsi="Symbol"/>
                <w:color w:val="000000" w:themeColor="text1"/>
              </w:rPr>
            </w:pPr>
            <w:r w:rsidRPr="00487150">
              <w:rPr>
                <w:rFonts w:ascii="Symbol" w:hAnsi="Symbol"/>
                <w:color w:val="000000" w:themeColor="text1"/>
              </w:rPr>
              <w:sym w:font="Symbol" w:char="F06B"/>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7E47A7" w14:textId="77777777" w:rsidR="004F38AC" w:rsidRPr="00487150" w:rsidRDefault="004F38AC" w:rsidP="00381517">
            <w:pPr>
              <w:jc w:val="center"/>
              <w:rPr>
                <w:color w:val="000000" w:themeColor="text1"/>
              </w:rPr>
            </w:pPr>
            <w:r w:rsidRPr="00487150">
              <w:rPr>
                <w:color w:val="000000" w:themeColor="text1"/>
              </w:rPr>
              <w:t>m</w:t>
            </w:r>
            <w:r w:rsidRPr="00487150">
              <w:rPr>
                <w:color w:val="000000" w:themeColor="text1"/>
                <w:vertAlign w:val="superscript"/>
              </w:rPr>
              <w:t xml:space="preserve">2 </w:t>
            </w:r>
            <w:r w:rsidRPr="00487150">
              <w:rPr>
                <w:color w:val="000000" w:themeColor="text1"/>
              </w:rPr>
              <w:t>s</w:t>
            </w:r>
            <w:r w:rsidRPr="00487150">
              <w:rPr>
                <w:color w:val="000000" w:themeColor="text1"/>
                <w:vertAlign w:val="superscript"/>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8FA2D1" w14:textId="77777777" w:rsidR="004F38AC" w:rsidRPr="00487150" w:rsidRDefault="004F38AC" w:rsidP="00381517">
            <w:pPr>
              <w:jc w:val="center"/>
              <w:rPr>
                <w:color w:val="000000" w:themeColor="text1"/>
              </w:rPr>
            </w:pPr>
            <w:r w:rsidRPr="00487150">
              <w:rPr>
                <w:color w:val="000000" w:themeColor="text1"/>
              </w:rPr>
              <w:t>7.99E-07</w:t>
            </w:r>
          </w:p>
        </w:tc>
      </w:tr>
      <w:tr w:rsidR="00487150" w:rsidRPr="00487150" w14:paraId="6C57562C" w14:textId="77777777" w:rsidTr="00381517">
        <w:trPr>
          <w:trHeight w:val="68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A5734A0" w14:textId="77777777" w:rsidR="004F38AC" w:rsidRPr="00487150" w:rsidRDefault="004F38AC" w:rsidP="00381517">
            <w:pPr>
              <w:jc w:val="center"/>
              <w:rPr>
                <w:color w:val="000000" w:themeColor="text1"/>
              </w:rPr>
            </w:pPr>
            <w:r w:rsidRPr="00487150">
              <w:rPr>
                <w:color w:val="000000" w:themeColor="text1"/>
              </w:rPr>
              <w:t>Mantle Thermal Diffusivity</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8ACD9F" w14:textId="77777777" w:rsidR="004F38AC" w:rsidRPr="00487150" w:rsidRDefault="004F38AC" w:rsidP="00381517">
            <w:pPr>
              <w:jc w:val="center"/>
              <w:rPr>
                <w:rFonts w:ascii="Symbol" w:hAnsi="Symbol"/>
                <w:color w:val="000000" w:themeColor="text1"/>
              </w:rPr>
            </w:pPr>
            <w:r w:rsidRPr="00487150">
              <w:rPr>
                <w:rFonts w:ascii="Symbol" w:hAnsi="Symbol"/>
                <w:color w:val="000000" w:themeColor="text1"/>
              </w:rPr>
              <w:sym w:font="Symbol" w:char="F06B"/>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FF0B06" w14:textId="77777777" w:rsidR="004F38AC" w:rsidRPr="00487150" w:rsidRDefault="004F38AC" w:rsidP="00381517">
            <w:pPr>
              <w:jc w:val="center"/>
              <w:rPr>
                <w:color w:val="000000" w:themeColor="text1"/>
              </w:rPr>
            </w:pPr>
            <w:r w:rsidRPr="00487150">
              <w:rPr>
                <w:color w:val="000000" w:themeColor="text1"/>
              </w:rPr>
              <w:t>m</w:t>
            </w:r>
            <w:r w:rsidRPr="00487150">
              <w:rPr>
                <w:color w:val="000000" w:themeColor="text1"/>
                <w:vertAlign w:val="superscript"/>
              </w:rPr>
              <w:t xml:space="preserve">2 </w:t>
            </w:r>
            <w:r w:rsidRPr="00487150">
              <w:rPr>
                <w:color w:val="000000" w:themeColor="text1"/>
              </w:rPr>
              <w:t>s</w:t>
            </w:r>
            <w:r w:rsidRPr="00487150">
              <w:rPr>
                <w:color w:val="000000" w:themeColor="text1"/>
                <w:vertAlign w:val="superscript"/>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56E336" w14:textId="77777777" w:rsidR="004F38AC" w:rsidRPr="00487150" w:rsidRDefault="004F38AC" w:rsidP="00381517">
            <w:pPr>
              <w:jc w:val="center"/>
              <w:rPr>
                <w:color w:val="000000" w:themeColor="text1"/>
              </w:rPr>
            </w:pPr>
            <w:r w:rsidRPr="00487150">
              <w:rPr>
                <w:color w:val="000000" w:themeColor="text1"/>
              </w:rPr>
              <w:t>1.77E-06</w:t>
            </w:r>
          </w:p>
        </w:tc>
      </w:tr>
      <w:tr w:rsidR="00487150" w:rsidRPr="00487150" w14:paraId="02EADA73" w14:textId="77777777" w:rsidTr="00381517">
        <w:trPr>
          <w:trHeight w:val="68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D91C1BB" w14:textId="77777777" w:rsidR="004F38AC" w:rsidRPr="00487150" w:rsidRDefault="004F38AC" w:rsidP="00381517">
            <w:pPr>
              <w:jc w:val="center"/>
              <w:rPr>
                <w:color w:val="000000" w:themeColor="text1"/>
              </w:rPr>
            </w:pPr>
            <w:r w:rsidRPr="00487150">
              <w:rPr>
                <w:color w:val="000000" w:themeColor="text1"/>
              </w:rPr>
              <w:t>Core Thermal Diffusivity</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C20492" w14:textId="77777777" w:rsidR="004F38AC" w:rsidRPr="00487150" w:rsidRDefault="004F38AC" w:rsidP="00381517">
            <w:pPr>
              <w:jc w:val="center"/>
              <w:rPr>
                <w:rFonts w:ascii="Symbol" w:hAnsi="Symbol"/>
                <w:color w:val="000000" w:themeColor="text1"/>
              </w:rPr>
            </w:pPr>
            <w:r w:rsidRPr="00487150">
              <w:rPr>
                <w:rFonts w:ascii="Symbol" w:hAnsi="Symbol"/>
                <w:color w:val="000000" w:themeColor="text1"/>
              </w:rPr>
              <w:sym w:font="Symbol" w:char="F06B"/>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35FC3A" w14:textId="77777777" w:rsidR="004F38AC" w:rsidRPr="00487150" w:rsidRDefault="004F38AC" w:rsidP="00381517">
            <w:pPr>
              <w:jc w:val="center"/>
              <w:rPr>
                <w:color w:val="000000" w:themeColor="text1"/>
              </w:rPr>
            </w:pPr>
            <w:r w:rsidRPr="00487150">
              <w:rPr>
                <w:color w:val="000000" w:themeColor="text1"/>
              </w:rPr>
              <w:t>m</w:t>
            </w:r>
            <w:r w:rsidRPr="00487150">
              <w:rPr>
                <w:color w:val="000000" w:themeColor="text1"/>
                <w:vertAlign w:val="superscript"/>
              </w:rPr>
              <w:t xml:space="preserve">2 </w:t>
            </w:r>
            <w:r w:rsidRPr="00487150">
              <w:rPr>
                <w:color w:val="000000" w:themeColor="text1"/>
              </w:rPr>
              <w:t>s</w:t>
            </w:r>
            <w:r w:rsidRPr="00487150">
              <w:rPr>
                <w:color w:val="000000" w:themeColor="text1"/>
                <w:vertAlign w:val="superscript"/>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1A16D7" w14:textId="77777777" w:rsidR="004F38AC" w:rsidRPr="00487150" w:rsidRDefault="004F38AC" w:rsidP="00381517">
            <w:pPr>
              <w:jc w:val="center"/>
              <w:rPr>
                <w:color w:val="000000" w:themeColor="text1"/>
              </w:rPr>
            </w:pPr>
            <w:r w:rsidRPr="00487150">
              <w:rPr>
                <w:color w:val="000000" w:themeColor="text1"/>
              </w:rPr>
              <w:t>8.01E-06</w:t>
            </w:r>
          </w:p>
        </w:tc>
      </w:tr>
      <w:tr w:rsidR="00487150" w:rsidRPr="00487150" w14:paraId="3C9BF017" w14:textId="77777777" w:rsidTr="00381517">
        <w:trPr>
          <w:trHeight w:val="420"/>
        </w:trPr>
        <w:tc>
          <w:tcPr>
            <w:tcW w:w="24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6CB24EE" w14:textId="43CD8D54" w:rsidR="004F38AC" w:rsidRPr="00487150" w:rsidRDefault="004F38AC" w:rsidP="00381517">
            <w:pPr>
              <w:jc w:val="center"/>
              <w:rPr>
                <w:color w:val="000000" w:themeColor="text1"/>
              </w:rPr>
            </w:pPr>
            <w:r w:rsidRPr="00487150">
              <w:rPr>
                <w:color w:val="000000" w:themeColor="text1"/>
              </w:rPr>
              <w:t xml:space="preserve">Ambient </w:t>
            </w:r>
            <w:r w:rsidR="00CC3653" w:rsidRPr="00487150">
              <w:rPr>
                <w:color w:val="000000" w:themeColor="text1"/>
              </w:rPr>
              <w:t>T</w:t>
            </w:r>
            <w:r w:rsidRPr="00487150">
              <w:rPr>
                <w:color w:val="000000" w:themeColor="text1"/>
              </w:rPr>
              <w:t>emperature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5465F3" w14:textId="77777777" w:rsidR="004F38AC" w:rsidRPr="00487150" w:rsidRDefault="004F38AC" w:rsidP="00381517">
            <w:pPr>
              <w:jc w:val="center"/>
              <w:rPr>
                <w:i/>
                <w:iCs/>
                <w:color w:val="000000" w:themeColor="text1"/>
              </w:rPr>
            </w:pPr>
            <w:r w:rsidRPr="00487150">
              <w:rPr>
                <w:i/>
                <w:iCs/>
                <w:color w:val="000000" w:themeColor="text1"/>
              </w:rPr>
              <w:t>T</w:t>
            </w:r>
            <w:r w:rsidRPr="00487150">
              <w:rPr>
                <w:i/>
                <w:iCs/>
                <w:color w:val="000000" w:themeColor="text1"/>
                <w:vertAlign w:val="subscript"/>
              </w:rPr>
              <w:t>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D8018B" w14:textId="77777777" w:rsidR="004F38AC" w:rsidRPr="00487150" w:rsidRDefault="004F38AC" w:rsidP="00381517">
            <w:pPr>
              <w:jc w:val="center"/>
              <w:rPr>
                <w:color w:val="000000" w:themeColor="text1"/>
              </w:rPr>
            </w:pPr>
            <w:r w:rsidRPr="00487150">
              <w:rPr>
                <w:color w:val="000000" w:themeColor="text1"/>
              </w:rPr>
              <w:t>K</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C02017" w14:textId="77777777" w:rsidR="004F38AC" w:rsidRPr="00487150" w:rsidRDefault="004F38AC" w:rsidP="00381517">
            <w:pPr>
              <w:jc w:val="center"/>
              <w:rPr>
                <w:color w:val="000000" w:themeColor="text1"/>
              </w:rPr>
            </w:pPr>
            <w:r w:rsidRPr="00487150">
              <w:rPr>
                <w:color w:val="000000" w:themeColor="text1"/>
              </w:rPr>
              <w:t>250</w:t>
            </w:r>
          </w:p>
        </w:tc>
      </w:tr>
    </w:tbl>
    <w:p w14:paraId="472D7A9F" w14:textId="05B0B914" w:rsidR="00B6540F" w:rsidRDefault="00B6540F">
      <w:pPr>
        <w:rPr>
          <w:color w:val="000000" w:themeColor="text1"/>
        </w:rPr>
      </w:pPr>
    </w:p>
    <w:p w14:paraId="63D1D54A" w14:textId="5F1DE827" w:rsidR="00B218B4" w:rsidRPr="00D65105" w:rsidRDefault="00B6540F" w:rsidP="00D65105">
      <w:pPr>
        <w:rPr>
          <w:color w:val="000000" w:themeColor="text1"/>
        </w:rPr>
      </w:pPr>
      <w:r>
        <w:rPr>
          <w:color w:val="000000" w:themeColor="text1"/>
        </w:rPr>
        <w:br w:type="page"/>
      </w:r>
    </w:p>
    <w:p w14:paraId="3E0E07E9" w14:textId="5CC19B1D" w:rsidR="00B7492D" w:rsidRPr="00487150" w:rsidRDefault="00B62076" w:rsidP="006E67B1">
      <w:pPr>
        <w:pStyle w:val="Heading3"/>
      </w:pPr>
      <w:bookmarkStart w:id="470" w:name="_Toc182995506"/>
      <w:bookmarkStart w:id="471" w:name="_Toc183536632"/>
      <w:bookmarkStart w:id="472" w:name="_Toc184727437"/>
      <w:bookmarkStart w:id="473" w:name="_Toc185325685"/>
      <w:r w:rsidRPr="00487150">
        <w:lastRenderedPageBreak/>
        <w:t>P-T Conditions of the Lunar Mantle</w:t>
      </w:r>
      <w:bookmarkEnd w:id="470"/>
      <w:bookmarkEnd w:id="471"/>
      <w:bookmarkEnd w:id="472"/>
      <w:bookmarkEnd w:id="473"/>
    </w:p>
    <w:p w14:paraId="4130EABD" w14:textId="07018541" w:rsidR="0035155A" w:rsidRPr="00487150" w:rsidRDefault="0035155A" w:rsidP="0035155A">
      <w:pPr>
        <w:spacing w:line="480" w:lineRule="auto"/>
        <w:ind w:firstLine="720"/>
        <w:rPr>
          <w:color w:val="000000" w:themeColor="text1"/>
        </w:rPr>
      </w:pPr>
      <w:r>
        <w:rPr>
          <w:color w:val="000000" w:themeColor="text1"/>
        </w:rPr>
        <w:t>F</w:t>
      </w:r>
      <w:r w:rsidRPr="00487150">
        <w:rPr>
          <w:color w:val="000000" w:themeColor="text1"/>
        </w:rPr>
        <w:t xml:space="preserve">ollowing magma ocean solidification, the </w:t>
      </w:r>
      <w:r>
        <w:t xml:space="preserve">terrestrial </w:t>
      </w:r>
      <w:r w:rsidRPr="00487150">
        <w:rPr>
          <w:color w:val="000000" w:themeColor="text1"/>
        </w:rPr>
        <w:t>anhydrous peridotite solidus model from Katz et al. (2003)</w:t>
      </w:r>
      <w:r>
        <w:rPr>
          <w:color w:val="000000" w:themeColor="text1"/>
        </w:rPr>
        <w:t xml:space="preserve"> is assumed as the initial temperature</w:t>
      </w:r>
      <w:r w:rsidRPr="00487150">
        <w:rPr>
          <w:color w:val="000000" w:themeColor="text1"/>
        </w:rPr>
        <w:t xml:space="preserve"> Eq</w:t>
      </w:r>
      <w:r w:rsidR="006A4926">
        <w:rPr>
          <w:color w:val="000000" w:themeColor="text1"/>
        </w:rPr>
        <w:t>.</w:t>
      </w:r>
      <w:r w:rsidRPr="00487150">
        <w:rPr>
          <w:color w:val="000000" w:themeColor="text1"/>
        </w:rPr>
        <w:t xml:space="preserve"> </w:t>
      </w:r>
      <w:r>
        <w:t>(</w:t>
      </w:r>
      <w:r w:rsidRPr="00487150">
        <w:rPr>
          <w:color w:val="000000" w:themeColor="text1"/>
        </w:rPr>
        <w:t>3.2</w:t>
      </w:r>
      <w:r>
        <w:t>6</w:t>
      </w:r>
      <w:r w:rsidRPr="00487150">
        <w:rPr>
          <w:color w:val="000000" w:themeColor="text1"/>
        </w:rPr>
        <w:t>):</w:t>
      </w:r>
      <w:r w:rsidRPr="00487150">
        <w:rPr>
          <w:color w:val="000000" w:themeColor="text1"/>
        </w:rPr>
        <w:tab/>
      </w:r>
    </w:p>
    <w:p w14:paraId="0CAA3DDD" w14:textId="77777777" w:rsidR="0035155A" w:rsidRPr="00487150" w:rsidRDefault="00000000" w:rsidP="0035155A">
      <w:pPr>
        <w:spacing w:line="480" w:lineRule="auto"/>
        <w:jc w:val="right"/>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r</m:t>
            </m:r>
          </m:sub>
        </m:sSub>
        <m:r>
          <w:rPr>
            <w:rFonts w:ascii="Cambria Math" w:hAnsi="Cambria Math"/>
            <w:color w:val="000000" w:themeColor="text1"/>
          </w:rPr>
          <m:t>=1085.7+132.9</m:t>
        </m:r>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r</m:t>
            </m:r>
          </m:sub>
        </m:sSub>
        <m:r>
          <w:rPr>
            <w:rFonts w:ascii="Cambria Math" w:hAnsi="Cambria Math"/>
            <w:color w:val="000000" w:themeColor="text1"/>
          </w:rPr>
          <m:t>-5.1</m:t>
        </m:r>
        <m:sSubSup>
          <m:sSubSupPr>
            <m:ctrlPr>
              <w:rPr>
                <w:rFonts w:ascii="Cambria Math" w:hAnsi="Cambria Math"/>
                <w:i/>
                <w:color w:val="000000" w:themeColor="text1"/>
              </w:rPr>
            </m:ctrlPr>
          </m:sSubSupPr>
          <m:e>
            <m:r>
              <w:rPr>
                <w:rFonts w:ascii="Cambria Math" w:hAnsi="Cambria Math"/>
                <w:color w:val="000000" w:themeColor="text1"/>
              </w:rPr>
              <m:t>P</m:t>
            </m:r>
          </m:e>
          <m:sub>
            <m:r>
              <w:rPr>
                <w:rFonts w:ascii="Cambria Math" w:hAnsi="Cambria Math"/>
                <w:color w:val="000000" w:themeColor="text1"/>
              </w:rPr>
              <m:t>r</m:t>
            </m:r>
          </m:sub>
          <m:sup>
            <m:r>
              <w:rPr>
                <w:rFonts w:ascii="Cambria Math" w:hAnsi="Cambria Math"/>
                <w:color w:val="000000" w:themeColor="text1"/>
              </w:rPr>
              <m:t>2</m:t>
            </m:r>
          </m:sup>
        </m:sSubSup>
      </m:oMath>
      <w:r w:rsidR="0035155A" w:rsidRPr="00487150">
        <w:rPr>
          <w:rFonts w:eastAsiaTheme="minorEastAsia"/>
          <w:color w:val="000000" w:themeColor="text1"/>
        </w:rPr>
        <w:tab/>
      </w:r>
      <w:r w:rsidR="0035155A" w:rsidRPr="00487150">
        <w:rPr>
          <w:rFonts w:eastAsiaTheme="minorEastAsia"/>
          <w:color w:val="000000" w:themeColor="text1"/>
        </w:rPr>
        <w:tab/>
      </w:r>
      <w:r w:rsidR="0035155A" w:rsidRPr="00487150">
        <w:rPr>
          <w:rFonts w:eastAsiaTheme="minorEastAsia"/>
          <w:color w:val="000000" w:themeColor="text1"/>
        </w:rPr>
        <w:tab/>
      </w:r>
      <w:r w:rsidR="0035155A" w:rsidRPr="00487150">
        <w:rPr>
          <w:rFonts w:eastAsiaTheme="minorEastAsia"/>
          <w:color w:val="000000" w:themeColor="text1"/>
        </w:rPr>
        <w:tab/>
      </w:r>
      <w:r w:rsidR="0035155A" w:rsidRPr="00487150">
        <w:rPr>
          <w:color w:val="000000" w:themeColor="text1"/>
        </w:rPr>
        <w:t>(3.2</w:t>
      </w:r>
      <w:r w:rsidR="0035155A">
        <w:t>6</w:t>
      </w:r>
      <w:r w:rsidR="0035155A" w:rsidRPr="00487150">
        <w:rPr>
          <w:color w:val="000000" w:themeColor="text1"/>
        </w:rPr>
        <w:t>)</w:t>
      </w:r>
    </w:p>
    <w:p w14:paraId="7A13FBA8" w14:textId="474681FD" w:rsidR="0035155A" w:rsidRPr="00487150" w:rsidRDefault="0035155A" w:rsidP="0035155A">
      <w:pPr>
        <w:spacing w:line="480" w:lineRule="auto"/>
        <w:rPr>
          <w:color w:val="000000" w:themeColor="text1"/>
        </w:rPr>
      </w:pPr>
      <w:r w:rsidRPr="00487150">
        <w:rPr>
          <w:color w:val="000000" w:themeColor="text1"/>
        </w:rPr>
        <w:t xml:space="preserve">where </w:t>
      </w:r>
      <m:oMath>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r</m:t>
            </m:r>
          </m:sub>
        </m:sSub>
      </m:oMath>
      <w:r w:rsidRPr="00487150">
        <w:rPr>
          <w:color w:val="000000" w:themeColor="text1"/>
        </w:rPr>
        <w:t xml:space="preserve"> is the solidus temperature (</w:t>
      </w:r>
      <w:r w:rsidRPr="00487150">
        <w:rPr>
          <w:color w:val="000000" w:themeColor="text1"/>
        </w:rPr>
        <w:sym w:font="Symbol" w:char="F0B0"/>
      </w:r>
      <w:r w:rsidRPr="00487150">
        <w:rPr>
          <w:color w:val="000000" w:themeColor="text1"/>
        </w:rPr>
        <w:t>C) at a given radius (</w:t>
      </w:r>
      <m:oMath>
        <m:r>
          <w:rPr>
            <w:rFonts w:ascii="Cambria Math" w:hAnsi="Cambria Math"/>
            <w:color w:val="000000" w:themeColor="text1"/>
          </w:rPr>
          <m:t>r</m:t>
        </m:r>
      </m:oMath>
      <w:r w:rsidRPr="00487150">
        <w:rPr>
          <w:color w:val="000000" w:themeColor="text1"/>
        </w:rPr>
        <w:t xml:space="preserve">) within the Moon, </w:t>
      </w:r>
      <m:oMath>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r</m:t>
            </m:r>
          </m:sub>
        </m:sSub>
      </m:oMath>
      <w:r w:rsidRPr="00487150">
        <w:rPr>
          <w:color w:val="000000" w:themeColor="text1"/>
        </w:rPr>
        <w:t xml:space="preserve"> is the pressure (GPa) at that radius. </w:t>
      </w:r>
      <w:r>
        <w:rPr>
          <w:color w:val="000000" w:themeColor="text1"/>
        </w:rPr>
        <w:t>T</w:t>
      </w:r>
      <w:r w:rsidRPr="00487150">
        <w:rPr>
          <w:color w:val="000000" w:themeColor="text1"/>
        </w:rPr>
        <w:t>he lunar pressure gradient model from Elkins-Tanton et al. (2011)</w:t>
      </w:r>
      <w:r>
        <w:rPr>
          <w:color w:val="000000" w:themeColor="text1"/>
        </w:rPr>
        <w:t xml:space="preserve"> is applied</w:t>
      </w:r>
      <w:r w:rsidRPr="00487150">
        <w:rPr>
          <w:color w:val="000000" w:themeColor="text1"/>
        </w:rPr>
        <w:t xml:space="preserve"> Eq</w:t>
      </w:r>
      <w:r w:rsidR="006A4926">
        <w:rPr>
          <w:color w:val="000000" w:themeColor="text1"/>
        </w:rPr>
        <w:t>.</w:t>
      </w:r>
      <w:r w:rsidRPr="00487150">
        <w:rPr>
          <w:color w:val="000000" w:themeColor="text1"/>
        </w:rPr>
        <w:t xml:space="preserve"> 3.2</w:t>
      </w:r>
      <w:r>
        <w:t>7</w:t>
      </w:r>
      <w:r w:rsidRPr="00487150">
        <w:rPr>
          <w:color w:val="000000" w:themeColor="text1"/>
        </w:rPr>
        <w:t xml:space="preserve">: </w:t>
      </w:r>
    </w:p>
    <w:p w14:paraId="6BAA5AF5" w14:textId="77777777" w:rsidR="0035155A" w:rsidRPr="00487150" w:rsidRDefault="00000000" w:rsidP="0035155A">
      <w:pPr>
        <w:spacing w:line="480" w:lineRule="auto"/>
        <w:jc w:val="right"/>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r</m:t>
            </m:r>
          </m:sub>
        </m:sSub>
        <m:r>
          <w:rPr>
            <w:rFonts w:ascii="Cambria Math" w:hAnsi="Cambria Math"/>
            <w:color w:val="000000" w:themeColor="text1"/>
          </w:rPr>
          <m:t>=</m:t>
        </m:r>
        <m:d>
          <m:dPr>
            <m:ctrlPr>
              <w:rPr>
                <w:rFonts w:ascii="Cambria Math" w:hAnsi="Cambria Math"/>
                <w:i/>
                <w:color w:val="000000" w:themeColor="text1"/>
              </w:rPr>
            </m:ctrlPr>
          </m:dPr>
          <m:e>
            <m:r>
              <w:rPr>
                <w:rFonts w:ascii="Cambria Math" w:hAnsi="Cambria Math"/>
                <w:color w:val="000000" w:themeColor="text1"/>
              </w:rPr>
              <m:t>-1.522×</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-6</m:t>
                </m:r>
              </m:sup>
            </m:sSup>
          </m:e>
        </m:d>
        <m:sSup>
          <m:sSupPr>
            <m:ctrlPr>
              <w:rPr>
                <w:rFonts w:ascii="Cambria Math" w:hAnsi="Cambria Math"/>
                <w:i/>
                <w:color w:val="000000" w:themeColor="text1"/>
              </w:rPr>
            </m:ctrlPr>
          </m:sSupPr>
          <m:e>
            <m:r>
              <w:rPr>
                <w:rFonts w:ascii="Cambria Math" w:hAnsi="Cambria Math"/>
                <w:color w:val="000000" w:themeColor="text1"/>
              </w:rPr>
              <m:t>r</m:t>
            </m:r>
          </m:e>
          <m:sup>
            <m:r>
              <w:rPr>
                <w:rFonts w:ascii="Cambria Math" w:hAnsi="Cambria Math"/>
                <w:color w:val="000000" w:themeColor="text1"/>
              </w:rPr>
              <m:t>2</m:t>
            </m:r>
          </m:sup>
        </m:sSup>
        <m:r>
          <w:rPr>
            <w:rFonts w:ascii="Cambria Math" w:hAnsi="Cambria Math"/>
            <w:color w:val="000000" w:themeColor="text1"/>
          </w:rPr>
          <m:t>+</m:t>
        </m:r>
        <m:d>
          <m:dPr>
            <m:ctrlPr>
              <w:rPr>
                <w:rFonts w:ascii="Cambria Math" w:hAnsi="Cambria Math"/>
                <w:i/>
                <w:color w:val="000000" w:themeColor="text1"/>
              </w:rPr>
            </m:ctrlPr>
          </m:dPr>
          <m:e>
            <m:r>
              <w:rPr>
                <w:rFonts w:ascii="Cambria Math" w:hAnsi="Cambria Math"/>
                <w:color w:val="000000" w:themeColor="text1"/>
              </w:rPr>
              <m:t>-8.963×</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-5</m:t>
                </m:r>
              </m:sup>
            </m:sSup>
          </m:e>
        </m:d>
        <m:r>
          <w:rPr>
            <w:rFonts w:ascii="Cambria Math" w:hAnsi="Cambria Math"/>
            <w:color w:val="000000" w:themeColor="text1"/>
          </w:rPr>
          <m:t>r+4.7</m:t>
        </m:r>
      </m:oMath>
      <w:r w:rsidR="0035155A" w:rsidRPr="00487150">
        <w:rPr>
          <w:rFonts w:eastAsiaTheme="minorEastAsia"/>
          <w:color w:val="000000" w:themeColor="text1"/>
        </w:rPr>
        <w:tab/>
      </w:r>
      <w:r w:rsidR="0035155A" w:rsidRPr="00487150">
        <w:rPr>
          <w:rFonts w:eastAsiaTheme="minorEastAsia"/>
          <w:color w:val="000000" w:themeColor="text1"/>
        </w:rPr>
        <w:tab/>
      </w:r>
      <w:r w:rsidR="0035155A" w:rsidRPr="00487150">
        <w:rPr>
          <w:color w:val="000000" w:themeColor="text1"/>
        </w:rPr>
        <w:t>(3.2</w:t>
      </w:r>
      <w:r w:rsidR="0035155A">
        <w:t>7</w:t>
      </w:r>
      <w:r w:rsidR="0035155A" w:rsidRPr="00487150">
        <w:rPr>
          <w:color w:val="000000" w:themeColor="text1"/>
        </w:rPr>
        <w:t>)</w:t>
      </w:r>
    </w:p>
    <w:p w14:paraId="55F1F57E" w14:textId="01705DD2" w:rsidR="007B04AA" w:rsidRPr="00487150" w:rsidRDefault="0035155A" w:rsidP="0035155A">
      <w:pPr>
        <w:spacing w:line="480" w:lineRule="auto"/>
        <w:rPr>
          <w:color w:val="000000" w:themeColor="text1"/>
        </w:rPr>
      </w:pPr>
      <w:r w:rsidRPr="00487150">
        <w:rPr>
          <w:color w:val="000000" w:themeColor="text1"/>
        </w:rPr>
        <w:t xml:space="preserve">where </w:t>
      </w:r>
      <m:oMath>
        <m:r>
          <w:rPr>
            <w:rFonts w:ascii="Cambria Math" w:hAnsi="Cambria Math"/>
            <w:color w:val="000000" w:themeColor="text1"/>
          </w:rPr>
          <m:t>r</m:t>
        </m:r>
      </m:oMath>
      <w:r w:rsidRPr="00487150">
        <w:rPr>
          <w:color w:val="000000" w:themeColor="text1"/>
        </w:rPr>
        <w:t xml:space="preserve"> is the radius (km) within the </w:t>
      </w:r>
      <w:r>
        <w:rPr>
          <w:color w:val="000000" w:themeColor="text1"/>
        </w:rPr>
        <w:t>M</w:t>
      </w:r>
      <w:r w:rsidRPr="00487150">
        <w:rPr>
          <w:color w:val="000000" w:themeColor="text1"/>
        </w:rPr>
        <w:t>oon</w:t>
      </w:r>
      <w:r w:rsidR="00B7492D" w:rsidRPr="00487150">
        <w:rPr>
          <w:color w:val="000000" w:themeColor="text1"/>
        </w:rPr>
        <w:t>.</w:t>
      </w:r>
    </w:p>
    <w:p w14:paraId="413BF5D7" w14:textId="14D8AA58" w:rsidR="00EA01A2" w:rsidRPr="00487150" w:rsidRDefault="00EA01A2" w:rsidP="006E67B1">
      <w:pPr>
        <w:pStyle w:val="Heading3"/>
      </w:pPr>
      <w:bookmarkStart w:id="474" w:name="_Toc182995507"/>
      <w:bookmarkStart w:id="475" w:name="_Toc183536633"/>
      <w:bookmarkStart w:id="476" w:name="_Toc184727438"/>
      <w:bookmarkStart w:id="477" w:name="_Toc185325686"/>
      <w:r w:rsidRPr="00487150">
        <w:t>HPE</w:t>
      </w:r>
      <w:r w:rsidR="001F4187" w:rsidRPr="00487150">
        <w:t xml:space="preserve"> and Thermal</w:t>
      </w:r>
      <w:r w:rsidRPr="00487150">
        <w:t xml:space="preserve"> Distributions Before and After Overturn</w:t>
      </w:r>
      <w:bookmarkEnd w:id="474"/>
      <w:bookmarkEnd w:id="475"/>
      <w:bookmarkEnd w:id="476"/>
      <w:bookmarkEnd w:id="477"/>
    </w:p>
    <w:p w14:paraId="6E7B61D7" w14:textId="01842899" w:rsidR="00B7492D" w:rsidRPr="00487150" w:rsidRDefault="00994710" w:rsidP="00A96111">
      <w:pPr>
        <w:spacing w:line="480" w:lineRule="auto"/>
        <w:ind w:firstLine="720"/>
        <w:rPr>
          <w:color w:val="000000" w:themeColor="text1"/>
        </w:rPr>
      </w:pPr>
      <w:r w:rsidRPr="00487150">
        <w:rPr>
          <w:color w:val="000000" w:themeColor="text1"/>
        </w:rPr>
        <w:t>Thermal models in this study test three lunar HPE budgets with K/Th ratios of 464 and U/Th ratios of 0.2613</w:t>
      </w:r>
      <w:r>
        <w:t xml:space="preserve"> based on the findings of this study and previous studies (</w:t>
      </w:r>
      <w:r w:rsidRPr="00487150">
        <w:rPr>
          <w:rFonts w:eastAsiaTheme="minorEastAsia"/>
          <w:color w:val="000000" w:themeColor="text1"/>
        </w:rPr>
        <w:t>Taylor and Wieczorek</w:t>
      </w:r>
      <w:r>
        <w:rPr>
          <w:rFonts w:eastAsiaTheme="minorEastAsia"/>
        </w:rPr>
        <w:t>,</w:t>
      </w:r>
      <w:r w:rsidRPr="00487150">
        <w:rPr>
          <w:rFonts w:eastAsiaTheme="minorEastAsia"/>
          <w:color w:val="000000" w:themeColor="text1"/>
        </w:rPr>
        <w:t xml:space="preserve"> 2014</w:t>
      </w:r>
      <w:r>
        <w:t>;</w:t>
      </w:r>
      <w:r w:rsidRPr="00487150">
        <w:rPr>
          <w:color w:val="000000" w:themeColor="text1"/>
        </w:rPr>
        <w:t xml:space="preserve"> </w:t>
      </w:r>
      <w:r w:rsidRPr="00487150">
        <w:rPr>
          <w:bCs/>
          <w:color w:val="000000" w:themeColor="text1"/>
        </w:rPr>
        <w:t>Seigler et al.</w:t>
      </w:r>
      <w:r>
        <w:rPr>
          <w:bCs/>
        </w:rPr>
        <w:t>,</w:t>
      </w:r>
      <w:r w:rsidRPr="00487150">
        <w:rPr>
          <w:bCs/>
          <w:color w:val="000000" w:themeColor="text1"/>
        </w:rPr>
        <w:t xml:space="preserve"> 2022</w:t>
      </w:r>
      <w:r>
        <w:t>)</w:t>
      </w:r>
      <w:r w:rsidRPr="00487150">
        <w:rPr>
          <w:color w:val="000000" w:themeColor="text1"/>
        </w:rPr>
        <w:t>. These HPE budgets assume high-Th (0.11 ppm), moderate-Th (0.0795 ppm), and</w:t>
      </w:r>
      <w:r w:rsidR="000B56CA">
        <w:rPr>
          <w:color w:val="000000" w:themeColor="text1"/>
        </w:rPr>
        <w:t xml:space="preserve"> </w:t>
      </w:r>
      <w:r w:rsidRPr="00487150">
        <w:rPr>
          <w:color w:val="000000" w:themeColor="text1"/>
        </w:rPr>
        <w:t>low-Th (0.0432 ppm)</w:t>
      </w:r>
      <w:r w:rsidR="000B56CA">
        <w:rPr>
          <w:color w:val="000000" w:themeColor="text1"/>
        </w:rPr>
        <w:t xml:space="preserve"> compositions</w:t>
      </w:r>
      <w:r w:rsidRPr="00487150">
        <w:rPr>
          <w:color w:val="000000" w:themeColor="text1"/>
        </w:rPr>
        <w:t xml:space="preserve"> to </w:t>
      </w:r>
      <w:r>
        <w:rPr>
          <w:color w:val="000000" w:themeColor="text1"/>
        </w:rPr>
        <w:t>evaluate</w:t>
      </w:r>
      <w:r w:rsidRPr="00487150">
        <w:rPr>
          <w:color w:val="000000" w:themeColor="text1"/>
        </w:rPr>
        <w:t xml:space="preserve"> the effect </w:t>
      </w:r>
      <w:r>
        <w:rPr>
          <w:color w:val="000000" w:themeColor="text1"/>
        </w:rPr>
        <w:t>of</w:t>
      </w:r>
      <w:r w:rsidRPr="00487150">
        <w:rPr>
          <w:color w:val="000000" w:themeColor="text1"/>
        </w:rPr>
        <w:t xml:space="preserve"> changing the Th abundance within the range of lunar and terrestrial estimates.</w:t>
      </w:r>
      <w:r>
        <w:t xml:space="preserve"> We also </w:t>
      </w:r>
      <w:r w:rsidRPr="00487150">
        <w:rPr>
          <w:color w:val="000000" w:themeColor="text1"/>
        </w:rPr>
        <w:t xml:space="preserve">test </w:t>
      </w:r>
      <w:r>
        <w:t>a fourth reference scenario with</w:t>
      </w:r>
      <w:r w:rsidRPr="00487150">
        <w:rPr>
          <w:color w:val="000000" w:themeColor="text1"/>
        </w:rPr>
        <w:t xml:space="preserve"> </w:t>
      </w:r>
      <w:r>
        <w:t xml:space="preserve">a </w:t>
      </w:r>
      <w:r w:rsidRPr="00487150">
        <w:rPr>
          <w:color w:val="000000" w:themeColor="text1"/>
        </w:rPr>
        <w:t xml:space="preserve">K/Th ratio of </w:t>
      </w:r>
      <w:r>
        <w:t xml:space="preserve">3019 </w:t>
      </w:r>
      <w:r w:rsidRPr="00487150">
        <w:rPr>
          <w:color w:val="000000" w:themeColor="text1"/>
        </w:rPr>
        <w:t xml:space="preserve">and moderate-Th (0.0795 ppm) to </w:t>
      </w:r>
      <w:r>
        <w:rPr>
          <w:color w:val="000000" w:themeColor="text1"/>
        </w:rPr>
        <w:t>evaluate</w:t>
      </w:r>
      <w:r>
        <w:t xml:space="preserve"> how much the low lunar K/Th ratio favored by geochemical models in this study would affect the lunar thermal evolution relative to a terrestrial K/Th ratio</w:t>
      </w:r>
      <w:r w:rsidRPr="00487150">
        <w:rPr>
          <w:color w:val="000000" w:themeColor="text1"/>
        </w:rPr>
        <w:t xml:space="preserve">. </w:t>
      </w:r>
      <w:r w:rsidR="00B7492D" w:rsidRPr="00487150">
        <w:rPr>
          <w:color w:val="000000" w:themeColor="text1"/>
          <w:highlight w:val="yellow"/>
        </w:rPr>
        <w:br w:type="page"/>
      </w:r>
    </w:p>
    <w:p w14:paraId="6A830E5B" w14:textId="77777777" w:rsidR="003D6C27" w:rsidRPr="00487150" w:rsidRDefault="003D6C27">
      <w:pPr>
        <w:rPr>
          <w:color w:val="000000" w:themeColor="text1"/>
          <w:highlight w:val="yellow"/>
        </w:rPr>
      </w:pPr>
      <w:r w:rsidRPr="00487150">
        <w:rPr>
          <w:noProof/>
          <w:color w:val="000000" w:themeColor="text1"/>
        </w:rPr>
        <w:lastRenderedPageBreak/>
        <w:drawing>
          <wp:inline distT="0" distB="0" distL="0" distR="0" wp14:anchorId="6DB24CB3" wp14:editId="3FA0D435">
            <wp:extent cx="5486400" cy="2284730"/>
            <wp:effectExtent l="0" t="0" r="0" b="1270"/>
            <wp:docPr id="412409094" name="Picture 2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409094" name="Picture 21" descr="A diagram of a graph&#10;&#10;Description automatically generated"/>
                    <pic:cNvPicPr/>
                  </pic:nvPicPr>
                  <pic:blipFill>
                    <a:blip r:embed="rId352" cstate="print">
                      <a:extLst>
                        <a:ext uri="{28A0092B-C50C-407E-A947-70E740481C1C}">
                          <a14:useLocalDpi xmlns:a14="http://schemas.microsoft.com/office/drawing/2010/main" val="0"/>
                        </a:ext>
                      </a:extLst>
                    </a:blip>
                    <a:stretch>
                      <a:fillRect/>
                    </a:stretch>
                  </pic:blipFill>
                  <pic:spPr>
                    <a:xfrm>
                      <a:off x="0" y="0"/>
                      <a:ext cx="5486400" cy="2284730"/>
                    </a:xfrm>
                    <a:prstGeom prst="rect">
                      <a:avLst/>
                    </a:prstGeom>
                  </pic:spPr>
                </pic:pic>
              </a:graphicData>
            </a:graphic>
          </wp:inline>
        </w:drawing>
      </w:r>
    </w:p>
    <w:p w14:paraId="6C90898B" w14:textId="42DDBAC5" w:rsidR="00C40C92" w:rsidRDefault="003D6C27" w:rsidP="002312D1">
      <w:pPr>
        <w:pStyle w:val="FigureCaption"/>
      </w:pPr>
      <w:bookmarkStart w:id="478" w:name="_Toc182944875"/>
      <w:bookmarkStart w:id="479" w:name="_Toc183019422"/>
      <w:bookmarkStart w:id="480" w:name="_Toc185263432"/>
      <w:r w:rsidRPr="002312D1">
        <w:rPr>
          <w:b/>
          <w:bCs/>
        </w:rPr>
        <w:t>Figure 3.3.</w:t>
      </w:r>
      <w:r w:rsidRPr="00487150">
        <w:t xml:space="preserve"> </w:t>
      </w:r>
      <w:r w:rsidR="00651DE5" w:rsidRPr="00F83D21">
        <w:t xml:space="preserve">Pre- and post-overturn HPE </w:t>
      </w:r>
      <w:r w:rsidR="00651DE5">
        <w:t xml:space="preserve">(a) and temperature (b) </w:t>
      </w:r>
      <w:r w:rsidR="00651DE5" w:rsidRPr="00F83D21">
        <w:t>distributions</w:t>
      </w:r>
      <w:r w:rsidR="00651DE5">
        <w:rPr>
          <w:b/>
          <w:bCs/>
        </w:rPr>
        <w:t xml:space="preserve"> </w:t>
      </w:r>
      <w:r w:rsidR="00651DE5">
        <w:t>tested</w:t>
      </w:r>
      <w:r w:rsidR="00651DE5" w:rsidRPr="00F83D21">
        <w:t xml:space="preserve"> in this study. The assumed lunar stratigraphy for the models which assume overturn </w:t>
      </w:r>
      <w:r w:rsidR="00651DE5">
        <w:t>did not occur</w:t>
      </w:r>
      <w:r w:rsidR="00651DE5" w:rsidRPr="00F83D21">
        <w:t xml:space="preserve"> </w:t>
      </w:r>
      <w:r w:rsidR="00651DE5">
        <w:t>are</w:t>
      </w:r>
      <w:r w:rsidR="00651DE5" w:rsidRPr="00F83D21">
        <w:t xml:space="preserve"> shown in </w:t>
      </w:r>
      <w:r w:rsidR="00651DE5" w:rsidRPr="00FD506E">
        <w:t>the sub-panel on the</w:t>
      </w:r>
      <w:r w:rsidR="00651DE5" w:rsidRPr="00F83D21">
        <w:t xml:space="preserve"> right side of (a). The assumed lunar stratigraphy for the </w:t>
      </w:r>
      <w:r w:rsidR="00651DE5" w:rsidRPr="00FD506E">
        <w:t>models that assume</w:t>
      </w:r>
      <w:r w:rsidR="00651DE5" w:rsidRPr="00F83D21">
        <w:t xml:space="preserve"> overturn occurred is shown in </w:t>
      </w:r>
      <w:r w:rsidR="00651DE5" w:rsidRPr="00FD506E">
        <w:t>the sub-panel on</w:t>
      </w:r>
      <w:r w:rsidR="00651DE5" w:rsidRPr="00F83D21">
        <w:t xml:space="preserve"> the left side of (b)</w:t>
      </w:r>
      <w:r w:rsidR="00182396" w:rsidRPr="00F83D21">
        <w:t>.</w:t>
      </w:r>
      <w:bookmarkEnd w:id="478"/>
      <w:bookmarkEnd w:id="479"/>
      <w:bookmarkEnd w:id="480"/>
    </w:p>
    <w:p w14:paraId="35D22292" w14:textId="161E0FC3" w:rsidR="00A96111" w:rsidRDefault="00A96111">
      <w:pPr>
        <w:rPr>
          <w:color w:val="000000" w:themeColor="text1"/>
        </w:rPr>
      </w:pPr>
      <w:r>
        <w:br w:type="page"/>
      </w:r>
    </w:p>
    <w:p w14:paraId="738F6682" w14:textId="59CAA649" w:rsidR="00A96111" w:rsidRPr="00487150" w:rsidRDefault="00E0035F" w:rsidP="00E0035F">
      <w:pPr>
        <w:spacing w:line="480" w:lineRule="auto"/>
        <w:rPr>
          <w:color w:val="000000" w:themeColor="text1"/>
        </w:rPr>
      </w:pPr>
      <w:r>
        <w:rPr>
          <w:color w:val="000000" w:themeColor="text1"/>
        </w:rPr>
        <w:lastRenderedPageBreak/>
        <w:t>W</w:t>
      </w:r>
      <w:r w:rsidRPr="00487150">
        <w:rPr>
          <w:color w:val="000000" w:themeColor="text1"/>
        </w:rPr>
        <w:t>e simplify the HPE distribution</w:t>
      </w:r>
      <w:r>
        <w:t xml:space="preserve"> </w:t>
      </w:r>
      <w:r>
        <w:rPr>
          <w:color w:val="000000" w:themeColor="text1"/>
        </w:rPr>
        <w:t>and assume</w:t>
      </w:r>
      <w:r w:rsidRPr="00487150">
        <w:rPr>
          <w:color w:val="000000" w:themeColor="text1"/>
        </w:rPr>
        <w:t xml:space="preserve"> the mantle cumulates </w:t>
      </w:r>
      <w:r>
        <w:rPr>
          <w:color w:val="000000" w:themeColor="text1"/>
        </w:rPr>
        <w:t>comprise</w:t>
      </w:r>
      <w:r w:rsidRPr="00487150">
        <w:rPr>
          <w:color w:val="000000" w:themeColor="text1"/>
        </w:rPr>
        <w:t xml:space="preserve"> three layers: (1) an early mantle dunite layer (i.e., stage 1 cumulates), (2) a mafic pyroxenite layer (i.e., stage 2 cumulates), and (3) an IBC layer (stage 3-6 cumulates</w:t>
      </w:r>
      <w:r>
        <w:rPr>
          <w:color w:val="000000" w:themeColor="text1"/>
        </w:rPr>
        <w:t xml:space="preserve">, </w:t>
      </w:r>
      <w:r w:rsidRPr="00487150">
        <w:rPr>
          <w:b/>
          <w:bCs/>
          <w:color w:val="000000" w:themeColor="text1"/>
        </w:rPr>
        <w:t>Table 3.1</w:t>
      </w:r>
      <w:r w:rsidRPr="00487150">
        <w:rPr>
          <w:color w:val="000000" w:themeColor="text1"/>
        </w:rPr>
        <w:t xml:space="preserve"> and </w:t>
      </w:r>
      <w:r w:rsidRPr="00487150">
        <w:rPr>
          <w:b/>
          <w:bCs/>
          <w:color w:val="000000" w:themeColor="text1"/>
        </w:rPr>
        <w:t>Figure 3.3</w:t>
      </w:r>
      <w:r w:rsidRPr="00487150">
        <w:rPr>
          <w:color w:val="000000" w:themeColor="text1"/>
        </w:rPr>
        <w:t xml:space="preserve">). We also assume that the HPE budget of these layers is evenly distributed across </w:t>
      </w:r>
      <w:r>
        <w:t>them</w:t>
      </w:r>
      <w:r w:rsidRPr="00487150">
        <w:rPr>
          <w:color w:val="000000" w:themeColor="text1"/>
        </w:rPr>
        <w:t>.</w:t>
      </w:r>
      <w:r>
        <w:rPr>
          <w:color w:val="000000" w:themeColor="text1"/>
        </w:rPr>
        <w:t xml:space="preserve"> </w:t>
      </w:r>
      <w:r w:rsidR="00A96111">
        <w:rPr>
          <w:color w:val="000000" w:themeColor="text1"/>
        </w:rPr>
        <w:t xml:space="preserve">Making the simplifying assumption that density does not change after overturn, </w:t>
      </w:r>
      <w:r w:rsidR="00A96111" w:rsidRPr="00487150">
        <w:rPr>
          <w:color w:val="000000" w:themeColor="text1"/>
        </w:rPr>
        <w:t xml:space="preserve">the radiogenic heat production per km </w:t>
      </w:r>
      <w:r w:rsidR="00A96111">
        <w:rPr>
          <w:color w:val="000000" w:themeColor="text1"/>
        </w:rPr>
        <w:t xml:space="preserve">in the lunar interior </w:t>
      </w:r>
      <w:r w:rsidR="00A96111" w:rsidRPr="00487150">
        <w:rPr>
          <w:color w:val="000000" w:themeColor="text1"/>
        </w:rPr>
        <w:t>change</w:t>
      </w:r>
      <w:r w:rsidR="00A96111">
        <w:rPr>
          <w:color w:val="000000" w:themeColor="text1"/>
        </w:rPr>
        <w:t>s</w:t>
      </w:r>
      <w:r w:rsidR="00A96111">
        <w:t xml:space="preserve"> according to the volume of the IBC layer prior to and after overturn </w:t>
      </w:r>
      <w:r w:rsidR="00A96111" w:rsidRPr="00487150">
        <w:rPr>
          <w:color w:val="000000" w:themeColor="text1"/>
        </w:rPr>
        <w:t>(</w:t>
      </w:r>
      <w:r w:rsidR="00A96111" w:rsidRPr="00487150">
        <w:rPr>
          <w:b/>
          <w:bCs/>
          <w:color w:val="000000" w:themeColor="text1"/>
        </w:rPr>
        <w:t>Figure 3.3a</w:t>
      </w:r>
      <w:r w:rsidR="00A96111" w:rsidRPr="00487150">
        <w:rPr>
          <w:color w:val="000000" w:themeColor="text1"/>
        </w:rPr>
        <w:t>).</w:t>
      </w:r>
    </w:p>
    <w:p w14:paraId="5F5C719A" w14:textId="77777777" w:rsidR="00A96111" w:rsidRDefault="00A96111" w:rsidP="00A96111">
      <w:pPr>
        <w:spacing w:line="480" w:lineRule="auto"/>
        <w:ind w:firstLine="720"/>
        <w:rPr>
          <w:color w:val="000000" w:themeColor="text1"/>
        </w:rPr>
      </w:pPr>
      <w:r w:rsidRPr="00487150">
        <w:rPr>
          <w:color w:val="000000" w:themeColor="text1"/>
        </w:rPr>
        <w:t>For overturn models in this study, overturn is</w:t>
      </w:r>
      <w:r>
        <w:rPr>
          <w:color w:val="000000" w:themeColor="text1"/>
        </w:rPr>
        <w:t xml:space="preserve"> assumed to be</w:t>
      </w:r>
      <w:r w:rsidRPr="00487150">
        <w:rPr>
          <w:color w:val="000000" w:themeColor="text1"/>
        </w:rPr>
        <w:t xml:space="preserve"> 100% efficient and occurs </w:t>
      </w:r>
      <w:r>
        <w:rPr>
          <w:color w:val="000000" w:themeColor="text1"/>
        </w:rPr>
        <w:t>quickly</w:t>
      </w:r>
      <w:r w:rsidRPr="00487150">
        <w:rPr>
          <w:color w:val="000000" w:themeColor="text1"/>
        </w:rPr>
        <w:t xml:space="preserve"> enough that there is negligible thermal exchange during the overturn process. </w:t>
      </w:r>
      <w:r>
        <w:rPr>
          <w:color w:val="000000" w:themeColor="text1"/>
        </w:rPr>
        <w:t>Thus</w:t>
      </w:r>
      <w:r w:rsidRPr="00487150">
        <w:rPr>
          <w:color w:val="000000" w:themeColor="text1"/>
        </w:rPr>
        <w:t xml:space="preserve">, the post-overturn thermal structure shifts the thermal gradient of the lower lunar mantle layers upward. </w:t>
      </w:r>
      <w:r>
        <w:rPr>
          <w:color w:val="000000" w:themeColor="text1"/>
        </w:rPr>
        <w:t>The I</w:t>
      </w:r>
      <w:r w:rsidRPr="00487150">
        <w:rPr>
          <w:color w:val="000000" w:themeColor="text1"/>
        </w:rPr>
        <w:t xml:space="preserve">BC </w:t>
      </w:r>
      <w:r>
        <w:t>is</w:t>
      </w:r>
      <w:r>
        <w:rPr>
          <w:color w:val="000000" w:themeColor="text1"/>
        </w:rPr>
        <w:t xml:space="preserve"> assumed to have</w:t>
      </w:r>
      <w:r w:rsidRPr="00487150">
        <w:rPr>
          <w:color w:val="000000" w:themeColor="text1"/>
        </w:rPr>
        <w:t xml:space="preserve"> a temperature equal to the average temperature of cumulate layers 3-6 before cumulate overturn (</w:t>
      </w:r>
      <w:r w:rsidRPr="00487150">
        <w:rPr>
          <w:b/>
          <w:bCs/>
          <w:color w:val="000000" w:themeColor="text1"/>
        </w:rPr>
        <w:t>Figure 3.3b</w:t>
      </w:r>
      <w:r w:rsidRPr="00487150">
        <w:rPr>
          <w:color w:val="000000" w:themeColor="text1"/>
        </w:rPr>
        <w:t>).</w:t>
      </w:r>
    </w:p>
    <w:p w14:paraId="787EFBD5" w14:textId="77777777" w:rsidR="00A96111" w:rsidRPr="00487150" w:rsidRDefault="00A96111" w:rsidP="00A96111">
      <w:pPr>
        <w:pStyle w:val="Heading2"/>
      </w:pPr>
      <w:bookmarkStart w:id="481" w:name="_Toc182331779"/>
      <w:bookmarkStart w:id="482" w:name="_Toc182995508"/>
      <w:bookmarkStart w:id="483" w:name="_Toc183536634"/>
      <w:bookmarkStart w:id="484" w:name="_Toc184727439"/>
      <w:bookmarkStart w:id="485" w:name="_Toc185325687"/>
      <w:bookmarkStart w:id="486" w:name="_Toc182331780"/>
      <w:r w:rsidRPr="00487150">
        <w:t>Thermal Modeling Results</w:t>
      </w:r>
      <w:bookmarkEnd w:id="481"/>
      <w:bookmarkEnd w:id="482"/>
      <w:bookmarkEnd w:id="483"/>
      <w:bookmarkEnd w:id="484"/>
      <w:bookmarkEnd w:id="485"/>
    </w:p>
    <w:bookmarkEnd w:id="486"/>
    <w:p w14:paraId="75D4303B" w14:textId="570B4076" w:rsidR="00217590" w:rsidRDefault="00A96111" w:rsidP="00094F21">
      <w:pPr>
        <w:spacing w:line="480" w:lineRule="auto"/>
        <w:ind w:firstLine="576"/>
      </w:pPr>
      <w:r w:rsidRPr="002F1946">
        <w:t>The model results depend on the initial thermal structure, HPE distribution, and K/Th ratio. In cases where overturn does not occur and the Moon has a K/Th ratio of 464, the lunar mantle reaches subsolidus temperatures relatively quickly (i.e., by 4.3-3.9 Ga, depending on the depth) due to the K-depleted composition of the Moon (</w:t>
      </w:r>
      <w:r w:rsidRPr="008A27DD">
        <w:rPr>
          <w:b/>
          <w:bCs/>
        </w:rPr>
        <w:t>Figure 3.4</w:t>
      </w:r>
      <w:r w:rsidRPr="002F1946">
        <w:t xml:space="preserve">). Changing the Th abundance within the range of lunar and terrestrial estimates has a relatively negligible effect on short-term thermal evolution. </w:t>
      </w:r>
      <w:r w:rsidR="00217590">
        <w:br w:type="page"/>
      </w:r>
    </w:p>
    <w:p w14:paraId="7BBE053E" w14:textId="77777777" w:rsidR="00217590" w:rsidRDefault="00217590" w:rsidP="002F1946">
      <w:pPr>
        <w:pStyle w:val="FigureCaption"/>
      </w:pPr>
      <w:bookmarkStart w:id="487" w:name="_Toc182944876"/>
      <w:bookmarkStart w:id="488" w:name="_Toc183019423"/>
      <w:bookmarkStart w:id="489" w:name="_Toc185263433"/>
      <w:r w:rsidRPr="00886455">
        <w:rPr>
          <w:b/>
          <w:bCs/>
        </w:rPr>
        <w:lastRenderedPageBreak/>
        <w:t>Figure 3.4.</w:t>
      </w:r>
      <w:r w:rsidRPr="00487150">
        <w:t xml:space="preserve"> </w:t>
      </w:r>
      <w:r w:rsidRPr="001537B6">
        <w:t>Post 4.35 Ga thermal evolution of the upper</w:t>
      </w:r>
      <w:r>
        <w:t xml:space="preserve"> (top row)</w:t>
      </w:r>
      <w:r w:rsidRPr="001537B6">
        <w:t>, middle</w:t>
      </w:r>
      <w:r>
        <w:t xml:space="preserve"> (middle row)</w:t>
      </w:r>
      <w:r w:rsidRPr="001537B6">
        <w:t>, and lower lunar mantle</w:t>
      </w:r>
      <w:r>
        <w:t xml:space="preserve"> (bottom row)</w:t>
      </w:r>
      <w:r w:rsidRPr="001537B6">
        <w:t xml:space="preserve"> for scenarios with and without lunar cumulate overturn</w:t>
      </w:r>
      <w:r>
        <w:t xml:space="preserve"> (left and right columns)</w:t>
      </w:r>
      <w:r w:rsidRPr="001537B6">
        <w:t xml:space="preserve">. </w:t>
      </w:r>
      <w:r>
        <w:t xml:space="preserve">The terrestrial K/Th model assumes an Earth-like ratio of 3019. The three other models assume this study's preferred lunar K/Th ratio (i.e., 464) and test various Th abundances (i.e., various degrees of refractory element enrichment or depletion). All models in this figure assume the U/Th ratio of 0.2613 for each HPE budget. </w:t>
      </w:r>
      <w:r w:rsidRPr="001537B6">
        <w:t>The average lherzolite and IBC solidus temperatures for the given depth ranges are represented by the horizontal solid (Lherzolite) and dashed (IBC) lines. The lherzolite solidus temperatures were determined using Eq.’s 3.2</w:t>
      </w:r>
      <w:r>
        <w:t>6</w:t>
      </w:r>
      <w:r w:rsidRPr="001537B6">
        <w:t xml:space="preserve"> and 3.2</w:t>
      </w:r>
      <w:r>
        <w:t>7</w:t>
      </w:r>
      <w:r w:rsidRPr="001537B6">
        <w:t>. The IBC solidus was determined using the experimentally determined IBC solidus from (Scholpp and Dygert, 2024) (see Appendix C and Figure C</w:t>
      </w:r>
      <w:r>
        <w:t>5</w:t>
      </w:r>
      <w:r w:rsidRPr="001537B6">
        <w:t xml:space="preserve"> for further discussion). This figure shows how the overturn of late crystallizing LMO cumulates would be required to initiate lunar mantle melting</w:t>
      </w:r>
      <w:r>
        <w:t xml:space="preserve"> if the Moon had a highly K-depleted composition, as suggested by this study</w:t>
      </w:r>
      <w:r w:rsidRPr="001537B6">
        <w:t xml:space="preserve">. The figure also shows that </w:t>
      </w:r>
      <w:r>
        <w:t>another heat production or retention mechanism is likely required for the Moon to produce</w:t>
      </w:r>
      <w:r w:rsidRPr="001537B6">
        <w:t xml:space="preserve"> </w:t>
      </w:r>
      <w:r>
        <w:t xml:space="preserve">mantle </w:t>
      </w:r>
      <w:r w:rsidRPr="001537B6">
        <w:t>melts after ~3.88 Ga</w:t>
      </w:r>
      <w:r>
        <w:t>,</w:t>
      </w:r>
      <w:r w:rsidRPr="001537B6">
        <w:t xml:space="preserve"> </w:t>
      </w:r>
      <w:r>
        <w:t>as</w:t>
      </w:r>
      <w:r w:rsidRPr="001537B6">
        <w:t xml:space="preserve"> radiogenic heating </w:t>
      </w:r>
      <w:r>
        <w:t>alone fails to maintain long-term melting even if we assume an Earth-like K/Th ratio</w:t>
      </w:r>
      <w:r w:rsidRPr="001537B6">
        <w:t>.</w:t>
      </w:r>
      <w:bookmarkEnd w:id="487"/>
      <w:bookmarkEnd w:id="488"/>
      <w:bookmarkEnd w:id="489"/>
    </w:p>
    <w:p w14:paraId="5250AC97" w14:textId="15767047" w:rsidR="005C2EC8" w:rsidRPr="00487150" w:rsidRDefault="003D6C27" w:rsidP="00C40C92">
      <w:pPr>
        <w:rPr>
          <w:highlight w:val="yellow"/>
        </w:rPr>
      </w:pPr>
      <w:r w:rsidRPr="00487150">
        <w:br w:type="page"/>
      </w:r>
      <w:r w:rsidR="00E65065">
        <w:rPr>
          <w:noProof/>
        </w:rPr>
        <w:lastRenderedPageBreak/>
        <w:drawing>
          <wp:inline distT="0" distB="0" distL="0" distR="0" wp14:anchorId="645A8F75" wp14:editId="6A4655B5">
            <wp:extent cx="5486400" cy="6369685"/>
            <wp:effectExtent l="0" t="0" r="0" b="5715"/>
            <wp:docPr id="2018469792" name="Picture 58" descr="A group of graphs showing different types of solu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469792" name="Picture 58" descr="A group of graphs showing different types of solutions&#10;&#10;Description automatically generated"/>
                    <pic:cNvPicPr/>
                  </pic:nvPicPr>
                  <pic:blipFill>
                    <a:blip r:embed="rId353" cstate="print">
                      <a:extLst>
                        <a:ext uri="{28A0092B-C50C-407E-A947-70E740481C1C}">
                          <a14:useLocalDpi xmlns:a14="http://schemas.microsoft.com/office/drawing/2010/main" val="0"/>
                        </a:ext>
                      </a:extLst>
                    </a:blip>
                    <a:stretch>
                      <a:fillRect/>
                    </a:stretch>
                  </pic:blipFill>
                  <pic:spPr>
                    <a:xfrm>
                      <a:off x="0" y="0"/>
                      <a:ext cx="5486400" cy="6369685"/>
                    </a:xfrm>
                    <a:prstGeom prst="rect">
                      <a:avLst/>
                    </a:prstGeom>
                  </pic:spPr>
                </pic:pic>
              </a:graphicData>
            </a:graphic>
          </wp:inline>
        </w:drawing>
      </w:r>
    </w:p>
    <w:p w14:paraId="0F77AC1F" w14:textId="1766B259" w:rsidR="005C2EC8" w:rsidRPr="00217590" w:rsidRDefault="00FE081F" w:rsidP="00217590">
      <w:pPr>
        <w:rPr>
          <w:b/>
          <w:bCs/>
          <w:color w:val="000000" w:themeColor="text1"/>
        </w:rPr>
      </w:pPr>
      <w:r w:rsidRPr="00487150">
        <w:rPr>
          <w:b/>
          <w:bCs/>
          <w:color w:val="000000" w:themeColor="text1"/>
        </w:rPr>
        <w:br w:type="page"/>
      </w:r>
    </w:p>
    <w:p w14:paraId="45DAE4E7" w14:textId="6692763F" w:rsidR="00217590" w:rsidRDefault="00334140" w:rsidP="00217590">
      <w:pPr>
        <w:spacing w:line="480" w:lineRule="auto"/>
      </w:pPr>
      <w:r w:rsidRPr="002F1946">
        <w:lastRenderedPageBreak/>
        <w:t>In cases where overturn does not occur and the Moon has an Earth-like K/Th ratio of 3019, the lunar mantle reaches subsolidus temperatures at a similar rate to the model with less K in the middle and lower mantle; however, the effects of lower crustal and upper mantle cumulate heat production reheat the upper mantle and keep the upper mantle partially molten</w:t>
      </w:r>
      <w:r>
        <w:t xml:space="preserve"> until ~3.8 Ga </w:t>
      </w:r>
      <w:r w:rsidRPr="00487150">
        <w:rPr>
          <w:color w:val="000000" w:themeColor="text1"/>
        </w:rPr>
        <w:t>(</w:t>
      </w:r>
      <w:r w:rsidRPr="00487150">
        <w:rPr>
          <w:b/>
          <w:bCs/>
          <w:color w:val="000000" w:themeColor="text1"/>
        </w:rPr>
        <w:t>Figure 3.4</w:t>
      </w:r>
      <w:r w:rsidRPr="00487150">
        <w:rPr>
          <w:color w:val="000000" w:themeColor="text1"/>
        </w:rPr>
        <w:t>).</w:t>
      </w:r>
      <w:r>
        <w:t xml:space="preserve"> This upper mantle heating also creates a downward propagating thermal pulse in the mantle, which peaks at ~4.15 Ga in the upper mantle </w:t>
      </w:r>
      <w:r w:rsidRPr="00487150">
        <w:rPr>
          <w:color w:val="000000" w:themeColor="text1"/>
        </w:rPr>
        <w:t>(</w:t>
      </w:r>
      <w:r w:rsidRPr="00487150">
        <w:rPr>
          <w:b/>
          <w:bCs/>
          <w:color w:val="000000" w:themeColor="text1"/>
        </w:rPr>
        <w:t>Figure 3.4</w:t>
      </w:r>
      <w:r>
        <w:rPr>
          <w:b/>
          <w:bCs/>
        </w:rPr>
        <w:t>a</w:t>
      </w:r>
      <w:r w:rsidRPr="00487150">
        <w:rPr>
          <w:color w:val="000000" w:themeColor="text1"/>
        </w:rPr>
        <w:t>)</w:t>
      </w:r>
      <w:r>
        <w:t xml:space="preserve">, ~3.8 Ga in the middle mantle </w:t>
      </w:r>
      <w:r w:rsidRPr="00487150">
        <w:rPr>
          <w:color w:val="000000" w:themeColor="text1"/>
        </w:rPr>
        <w:t>(</w:t>
      </w:r>
      <w:r w:rsidRPr="00487150">
        <w:rPr>
          <w:b/>
          <w:bCs/>
          <w:color w:val="000000" w:themeColor="text1"/>
        </w:rPr>
        <w:t>Figure 3.4</w:t>
      </w:r>
      <w:r>
        <w:rPr>
          <w:b/>
          <w:bCs/>
        </w:rPr>
        <w:t>c</w:t>
      </w:r>
      <w:r w:rsidRPr="00487150">
        <w:rPr>
          <w:color w:val="000000" w:themeColor="text1"/>
        </w:rPr>
        <w:t>)</w:t>
      </w:r>
      <w:r>
        <w:t xml:space="preserve">, and ~3.6 Ga in the lower mantle </w:t>
      </w:r>
      <w:r w:rsidRPr="00487150">
        <w:rPr>
          <w:color w:val="000000" w:themeColor="text1"/>
        </w:rPr>
        <w:t>(</w:t>
      </w:r>
      <w:r w:rsidRPr="00487150">
        <w:rPr>
          <w:b/>
          <w:bCs/>
          <w:color w:val="000000" w:themeColor="text1"/>
        </w:rPr>
        <w:t>Figure 3.4</w:t>
      </w:r>
      <w:r>
        <w:rPr>
          <w:b/>
          <w:bCs/>
        </w:rPr>
        <w:t>e</w:t>
      </w:r>
      <w:r w:rsidRPr="00487150">
        <w:rPr>
          <w:color w:val="000000" w:themeColor="text1"/>
        </w:rPr>
        <w:t>)</w:t>
      </w:r>
      <w:r>
        <w:t xml:space="preserve">. </w:t>
      </w:r>
      <w:r w:rsidR="00217590">
        <w:t xml:space="preserve">These </w:t>
      </w:r>
      <w:r w:rsidR="00217590">
        <w:rPr>
          <w:color w:val="000000" w:themeColor="text1"/>
        </w:rPr>
        <w:t>model results</w:t>
      </w:r>
      <w:r w:rsidR="00217590">
        <w:t xml:space="preserve"> demonstrate that the depletion of K on the Moon would significantly affect the thermal evolution</w:t>
      </w:r>
      <w:r w:rsidR="00217590" w:rsidRPr="00487150">
        <w:rPr>
          <w:color w:val="000000" w:themeColor="text1"/>
        </w:rPr>
        <w:t>.</w:t>
      </w:r>
    </w:p>
    <w:p w14:paraId="49894189" w14:textId="0EE35743" w:rsidR="00A21A60" w:rsidRDefault="00A21A60" w:rsidP="00A21A60">
      <w:pPr>
        <w:spacing w:line="480" w:lineRule="auto"/>
        <w:ind w:firstLine="720"/>
      </w:pPr>
      <w:r>
        <w:t>In c</w:t>
      </w:r>
      <w:r>
        <w:rPr>
          <w:color w:val="000000" w:themeColor="text1"/>
        </w:rPr>
        <w:t>ases where overturn occurs</w:t>
      </w:r>
      <w:r>
        <w:t>,</w:t>
      </w:r>
      <w:r w:rsidRPr="00487150">
        <w:rPr>
          <w:color w:val="000000" w:themeColor="text1"/>
        </w:rPr>
        <w:t xml:space="preserve"> </w:t>
      </w:r>
      <w:r w:rsidR="00094F21">
        <w:rPr>
          <w:color w:val="000000" w:themeColor="text1"/>
        </w:rPr>
        <w:t>two mechanisms could induce</w:t>
      </w:r>
      <w:r w:rsidRPr="00487150">
        <w:rPr>
          <w:color w:val="000000" w:themeColor="text1"/>
        </w:rPr>
        <w:t xml:space="preserve"> lunar mantle</w:t>
      </w:r>
      <w:r w:rsidR="00094F21">
        <w:rPr>
          <w:color w:val="000000" w:themeColor="text1"/>
        </w:rPr>
        <w:t xml:space="preserve"> </w:t>
      </w:r>
      <w:r w:rsidRPr="00487150">
        <w:rPr>
          <w:color w:val="000000" w:themeColor="text1"/>
        </w:rPr>
        <w:t>melting at different depths (</w:t>
      </w:r>
      <w:r w:rsidRPr="00487150">
        <w:rPr>
          <w:b/>
          <w:bCs/>
          <w:color w:val="000000" w:themeColor="text1"/>
        </w:rPr>
        <w:t>Figure 3.4b, 3.4d, 3.4f</w:t>
      </w:r>
      <w:r w:rsidRPr="00487150">
        <w:rPr>
          <w:color w:val="000000" w:themeColor="text1"/>
        </w:rPr>
        <w:t xml:space="preserve">). The first </w:t>
      </w:r>
      <w:r w:rsidR="00094F21">
        <w:rPr>
          <w:color w:val="000000" w:themeColor="text1"/>
        </w:rPr>
        <w:t>mechanism (i.e., decompression melting) would primarily affect</w:t>
      </w:r>
      <w:r w:rsidRPr="00487150">
        <w:rPr>
          <w:color w:val="000000" w:themeColor="text1"/>
        </w:rPr>
        <w:t xml:space="preserve"> the upper mantle (i.e., 52-499 km depth) as the lower mantle cumulates are displaced by the overturning cumulates and ascend into the upper mantle where mantle pressures are lower (</w:t>
      </w:r>
      <w:r w:rsidRPr="00487150">
        <w:rPr>
          <w:b/>
          <w:bCs/>
          <w:color w:val="000000" w:themeColor="text1"/>
        </w:rPr>
        <w:t>Figure 3.4b</w:t>
      </w:r>
      <w:r w:rsidRPr="00487150">
        <w:rPr>
          <w:color w:val="000000" w:themeColor="text1"/>
        </w:rPr>
        <w:t>).</w:t>
      </w:r>
      <w:r>
        <w:t xml:space="preserve"> </w:t>
      </w:r>
      <w:r w:rsidRPr="00487150">
        <w:rPr>
          <w:color w:val="000000" w:themeColor="text1"/>
        </w:rPr>
        <w:t xml:space="preserve">This </w:t>
      </w:r>
      <w:r>
        <w:t xml:space="preserve">event </w:t>
      </w:r>
      <w:r w:rsidRPr="00487150">
        <w:rPr>
          <w:color w:val="000000" w:themeColor="text1"/>
        </w:rPr>
        <w:t>would likely be short-lived (i.e., 4.35-4.28 Ga</w:t>
      </w:r>
      <w:r>
        <w:t xml:space="preserve"> regardless of the K/Th ratio</w:t>
      </w:r>
      <w:r w:rsidRPr="00487150">
        <w:rPr>
          <w:color w:val="000000" w:themeColor="text1"/>
        </w:rPr>
        <w:t>)</w:t>
      </w:r>
      <w:r>
        <w:t>; however, it should be noted that the occurrence of this melting event is not only dependent on the initial cumulate temperatures but also on the rate of overturn. Thus, 3D dynamic overturn models, which account for the rate of downwelling and material displacement, are required to determine whether this event would occur</w:t>
      </w:r>
      <w:r w:rsidRPr="00E61726">
        <w:t>.</w:t>
      </w:r>
      <w:r w:rsidRPr="00E61726">
        <w:rPr>
          <w:color w:val="000000" w:themeColor="text1"/>
        </w:rPr>
        <w:t xml:space="preserve"> </w:t>
      </w:r>
      <w:r w:rsidR="00094F21">
        <w:rPr>
          <w:color w:val="000000" w:themeColor="text1"/>
        </w:rPr>
        <w:t>The second mechanism (i.e., radiogenic heating) would primarily affect</w:t>
      </w:r>
      <w:r w:rsidRPr="00487150">
        <w:rPr>
          <w:color w:val="000000" w:themeColor="text1"/>
        </w:rPr>
        <w:t xml:space="preserve"> the middle and lower lunar mantle (i.e., 500-1400 km depth) as the cold but HPE-rich IBC material began to heat up</w:t>
      </w:r>
      <w:r w:rsidR="005C541B">
        <w:rPr>
          <w:color w:val="000000" w:themeColor="text1"/>
        </w:rPr>
        <w:t xml:space="preserve"> in the lower mantle</w:t>
      </w:r>
      <w:r w:rsidRPr="00487150">
        <w:rPr>
          <w:color w:val="000000" w:themeColor="text1"/>
        </w:rPr>
        <w:t xml:space="preserve"> (</w:t>
      </w:r>
      <w:r w:rsidRPr="00487150">
        <w:rPr>
          <w:b/>
          <w:bCs/>
          <w:color w:val="000000" w:themeColor="text1"/>
        </w:rPr>
        <w:t>Figure 3.4d and 3.4f</w:t>
      </w:r>
      <w:r w:rsidRPr="00487150">
        <w:rPr>
          <w:color w:val="000000" w:themeColor="text1"/>
        </w:rPr>
        <w:t xml:space="preserve">). </w:t>
      </w:r>
      <w:r w:rsidRPr="009E7C0F">
        <w:t>T</w:t>
      </w:r>
      <w:r w:rsidRPr="009E7C0F">
        <w:rPr>
          <w:color w:val="000000" w:themeColor="text1"/>
        </w:rPr>
        <w:t xml:space="preserve">his </w:t>
      </w:r>
      <w:r w:rsidR="005C541B">
        <w:rPr>
          <w:color w:val="000000" w:themeColor="text1"/>
        </w:rPr>
        <w:t>heating process</w:t>
      </w:r>
      <w:r w:rsidRPr="009E7C0F">
        <w:rPr>
          <w:color w:val="000000" w:themeColor="text1"/>
        </w:rPr>
        <w:t xml:space="preserve"> </w:t>
      </w:r>
      <w:r>
        <w:t>sh</w:t>
      </w:r>
      <w:r w:rsidRPr="009E7C0F">
        <w:rPr>
          <w:color w:val="000000" w:themeColor="text1"/>
        </w:rPr>
        <w:t>ould result in melting</w:t>
      </w:r>
      <w:r w:rsidRPr="009E7C0F">
        <w:t>; however,</w:t>
      </w:r>
      <w:r w:rsidRPr="009E7C0F">
        <w:rPr>
          <w:color w:val="000000" w:themeColor="text1"/>
        </w:rPr>
        <w:t xml:space="preserve"> </w:t>
      </w:r>
      <w:r w:rsidRPr="009E7C0F">
        <w:rPr>
          <w:color w:val="000000" w:themeColor="text1"/>
        </w:rPr>
        <w:lastRenderedPageBreak/>
        <w:t xml:space="preserve">the </w:t>
      </w:r>
      <w:r>
        <w:rPr>
          <w:color w:val="000000" w:themeColor="text1"/>
        </w:rPr>
        <w:t>model results</w:t>
      </w:r>
      <w:r w:rsidRPr="009E7C0F">
        <w:rPr>
          <w:color w:val="000000" w:themeColor="text1"/>
        </w:rPr>
        <w:t xml:space="preserve"> indicate that the melts would be constrained</w:t>
      </w:r>
      <w:r w:rsidRPr="00487150">
        <w:rPr>
          <w:color w:val="000000" w:themeColor="text1"/>
        </w:rPr>
        <w:t xml:space="preserve"> to IBC material or hybridized peridotites</w:t>
      </w:r>
      <w:r>
        <w:t xml:space="preserve"> unless the lunar K/Th ratio was more Earth-like or the overturned cumulates experienced significant conductive heating during overturn</w:t>
      </w:r>
      <w:r w:rsidRPr="00487150">
        <w:rPr>
          <w:color w:val="000000" w:themeColor="text1"/>
        </w:rPr>
        <w:t>. This melting event would last slightly longer (i.e., ~4.3</w:t>
      </w:r>
      <w:r>
        <w:t>2</w:t>
      </w:r>
      <w:r w:rsidRPr="00487150">
        <w:rPr>
          <w:color w:val="000000" w:themeColor="text1"/>
        </w:rPr>
        <w:t>-3.88 Ga</w:t>
      </w:r>
      <w:r>
        <w:t xml:space="preserve"> for a K/Th ratio of 464 or </w:t>
      </w:r>
      <w:r w:rsidRPr="00487150">
        <w:rPr>
          <w:color w:val="000000" w:themeColor="text1"/>
        </w:rPr>
        <w:t>~4.3</w:t>
      </w:r>
      <w:r>
        <w:t>2</w:t>
      </w:r>
      <w:r w:rsidRPr="00487150">
        <w:rPr>
          <w:color w:val="000000" w:themeColor="text1"/>
        </w:rPr>
        <w:t>-3.8</w:t>
      </w:r>
      <w:r>
        <w:t>0</w:t>
      </w:r>
      <w:r w:rsidRPr="00487150">
        <w:rPr>
          <w:color w:val="000000" w:themeColor="text1"/>
        </w:rPr>
        <w:t xml:space="preserve"> Ga</w:t>
      </w:r>
      <w:r>
        <w:t xml:space="preserve"> for a K/Th ratio of 3019</w:t>
      </w:r>
      <w:r w:rsidRPr="00487150">
        <w:rPr>
          <w:color w:val="000000" w:themeColor="text1"/>
        </w:rPr>
        <w:t>) than the earl</w:t>
      </w:r>
      <w:r>
        <w:t>ier</w:t>
      </w:r>
      <w:r w:rsidRPr="00487150">
        <w:rPr>
          <w:color w:val="000000" w:themeColor="text1"/>
        </w:rPr>
        <w:t xml:space="preserve"> melting period</w:t>
      </w:r>
      <w:r>
        <w:t xml:space="preserve"> as the heat produced by radioactive decay would need to diffuse through the overlying lunar mantle material</w:t>
      </w:r>
      <w:r w:rsidRPr="00487150">
        <w:rPr>
          <w:color w:val="000000" w:themeColor="text1"/>
        </w:rPr>
        <w:t>.</w:t>
      </w:r>
      <w:r>
        <w:t xml:space="preserve"> </w:t>
      </w:r>
    </w:p>
    <w:p w14:paraId="31A3F924" w14:textId="597FBB11" w:rsidR="00A21A60" w:rsidRDefault="00A21A60" w:rsidP="00A21A60">
      <w:pPr>
        <w:spacing w:line="480" w:lineRule="auto"/>
        <w:ind w:firstLine="720"/>
      </w:pPr>
      <w:r>
        <w:t xml:space="preserve">Another notable feature of cases where </w:t>
      </w:r>
      <w:r>
        <w:rPr>
          <w:color w:val="000000" w:themeColor="text1"/>
        </w:rPr>
        <w:t>overturn occurs</w:t>
      </w:r>
      <w:r w:rsidRPr="00487150">
        <w:rPr>
          <w:color w:val="000000" w:themeColor="text1"/>
        </w:rPr>
        <w:t>,</w:t>
      </w:r>
      <w:r>
        <w:t xml:space="preserve"> is the lower temperatures throughout the lunar mantle at ~3 Ga relative to the cases without overturn (</w:t>
      </w:r>
      <w:r w:rsidRPr="00487150">
        <w:rPr>
          <w:b/>
          <w:bCs/>
          <w:color w:val="000000" w:themeColor="text1"/>
        </w:rPr>
        <w:t>Figure 3.4</w:t>
      </w:r>
      <w:r>
        <w:rPr>
          <w:b/>
          <w:bCs/>
        </w:rPr>
        <w:t>)</w:t>
      </w:r>
      <w:r>
        <w:t>. This decrease in long-term mantle temperatures likely occurs for two reasons: (1) cooling of the lunar core by the overturned cumulates, and (2) the upper mantle cumulates thermally insulate the lunar mantle if overturn doesn’t occur. Cooling of the lunar core would occur quickly because the metallic core has a much higher thermal diffusivity than the mantle (i.e., the core should cool off or heat up faster than the mantle) (</w:t>
      </w:r>
      <w:r w:rsidRPr="00DE4724">
        <w:rPr>
          <w:b/>
          <w:bCs/>
        </w:rPr>
        <w:t>Table 3.5</w:t>
      </w:r>
      <w:r>
        <w:t xml:space="preserve">). This means that overturn effectively carries an extra layer of cold material beneath the overturned cumulates that must be heated by radioactive decay. Without overturn, the </w:t>
      </w:r>
      <w:r w:rsidRPr="00E61726">
        <w:t>HPE-rich upper mantle cumulates thermally insulate the upper mantle due to their high radiogenic heat output. This insulating effect is best</w:t>
      </w:r>
      <w:r>
        <w:t xml:space="preserve"> demonstrated by comparing the models that assume an Earth-like K/Th ratio with and without overturn (</w:t>
      </w:r>
      <w:r w:rsidRPr="005C718C">
        <w:rPr>
          <w:b/>
          <w:bCs/>
        </w:rPr>
        <w:t>Figure 3.4</w:t>
      </w:r>
      <w:r>
        <w:t>). In the model that assumes no cumulate overturn occurs, the radiogenic heat produced by the upper mantle cumulates heats the mantle from above. The lower crustal heating adds to this</w:t>
      </w:r>
      <w:r w:rsidR="00AF0074">
        <w:t xml:space="preserve"> insulating</w:t>
      </w:r>
      <w:r>
        <w:t xml:space="preserve"> effect; however, this effect is primarily related to the upper mantle </w:t>
      </w:r>
      <w:r>
        <w:lastRenderedPageBreak/>
        <w:t>cumulates because the downward propagating thermal pulse from the upper mantle is absent in the model that assumes overturn occurred.</w:t>
      </w:r>
    </w:p>
    <w:p w14:paraId="7A99A1C8" w14:textId="77777777" w:rsidR="00A21A60" w:rsidRPr="00487150" w:rsidRDefault="00A21A60" w:rsidP="00A21A60">
      <w:pPr>
        <w:spacing w:line="480" w:lineRule="auto"/>
        <w:ind w:firstLine="720"/>
        <w:rPr>
          <w:color w:val="000000" w:themeColor="text1"/>
        </w:rPr>
      </w:pPr>
      <w:r>
        <w:t xml:space="preserve">The models presented in this study are informative when thinking about how the cumulate overturn and the degree of K depletion would affect the lunar thermal evolution; however, the results of these models aren’t necessarily representative of the actual lunar thermal history. If we consider the average </w:t>
      </w:r>
      <w:r w:rsidRPr="00487150">
        <w:rPr>
          <w:color w:val="000000" w:themeColor="text1"/>
        </w:rPr>
        <w:t xml:space="preserve">ages of lunar Mg-Suite samples </w:t>
      </w:r>
      <w:r>
        <w:t>(</w:t>
      </w:r>
      <w:r w:rsidRPr="00487150">
        <w:rPr>
          <w:color w:val="000000" w:themeColor="text1"/>
        </w:rPr>
        <w:t>4.30</w:t>
      </w:r>
      <w:r w:rsidRPr="00487150">
        <w:rPr>
          <w:color w:val="000000" w:themeColor="text1"/>
        </w:rPr>
        <w:sym w:font="Symbol" w:char="F0B1"/>
      </w:r>
      <w:r w:rsidRPr="00487150">
        <w:rPr>
          <w:color w:val="000000" w:themeColor="text1"/>
        </w:rPr>
        <w:t>0.11 Ga</w:t>
      </w:r>
      <w:r>
        <w:t>;</w:t>
      </w:r>
      <w:r w:rsidRPr="00487150">
        <w:rPr>
          <w:color w:val="000000" w:themeColor="text1"/>
        </w:rPr>
        <w:t xml:space="preserve"> Bogard et al., 1975; Hinthorne et al., 1975; Huneke and Wasserburg, 1975; Husain and Schaeffer; 1975; Turner and Cadogan, 1975; Lugmair et al., 1976; Nakamura et al., 1976; Oberli et al., 1978; Carlson and Lugmair 1981; Aeschlimann et al., 1982; Nyquist et al., 1982; Compston et al., 1984; Meyer et al., 1989; Shih et al., 1993; Carlson et al., 2014; Borg et al., 2019)</w:t>
      </w:r>
      <w:r>
        <w:t>,</w:t>
      </w:r>
      <w:r w:rsidRPr="00487150">
        <w:rPr>
          <w:color w:val="000000" w:themeColor="text1"/>
        </w:rPr>
        <w:t xml:space="preserve"> lunar KREEP basalts (3.92</w:t>
      </w:r>
      <w:r w:rsidRPr="00487150">
        <w:rPr>
          <w:color w:val="000000" w:themeColor="text1"/>
        </w:rPr>
        <w:sym w:font="Symbol" w:char="F0B1"/>
      </w:r>
      <w:r w:rsidRPr="00487150">
        <w:rPr>
          <w:color w:val="000000" w:themeColor="text1"/>
        </w:rPr>
        <w:t>0.07 Ga</w:t>
      </w:r>
      <w:r>
        <w:t xml:space="preserve">; </w:t>
      </w:r>
      <w:r w:rsidRPr="00487150">
        <w:rPr>
          <w:color w:val="000000" w:themeColor="text1"/>
        </w:rPr>
        <w:t xml:space="preserve">Sprung et al., 2013; Gaffney and Borg, 2014; Borg et al., 2019), high-Ti </w:t>
      </w:r>
      <w:r>
        <w:t xml:space="preserve">mare </w:t>
      </w:r>
      <w:r w:rsidRPr="00487150">
        <w:rPr>
          <w:color w:val="000000" w:themeColor="text1"/>
        </w:rPr>
        <w:t>basalts (3.72</w:t>
      </w:r>
      <w:r w:rsidRPr="00487150">
        <w:rPr>
          <w:color w:val="000000" w:themeColor="text1"/>
        </w:rPr>
        <w:sym w:font="Symbol" w:char="F0B1"/>
      </w:r>
      <w:r w:rsidRPr="00487150">
        <w:rPr>
          <w:color w:val="000000" w:themeColor="text1"/>
        </w:rPr>
        <w:t>0.06 Ga</w:t>
      </w:r>
      <w:r>
        <w:rPr>
          <w:color w:val="000000" w:themeColor="text1"/>
        </w:rPr>
        <w:t xml:space="preserve">; </w:t>
      </w:r>
      <w:r w:rsidRPr="00487150">
        <w:rPr>
          <w:color w:val="000000" w:themeColor="text1"/>
        </w:rPr>
        <w:t>Evensen et al., 1973; Huneke et al, 1973; Kirsten et al., 1973; Tera et al., 1974; Kirsten and Horn, 1974; Lugmair et al., 1975; Nyquist et al., 1974; Turner and Cadogan, 1975; Murthy and Coscio, 1976; Schaeffer, 1977; Unruh et al., 1984; Paces et al., 1991; Beard et al., 1997; Sprung et al., 2013; Borg et al., 2019), low-Ti</w:t>
      </w:r>
      <w:r>
        <w:t xml:space="preserve"> mare</w:t>
      </w:r>
      <w:r w:rsidRPr="00487150">
        <w:rPr>
          <w:color w:val="000000" w:themeColor="text1"/>
        </w:rPr>
        <w:t xml:space="preserve"> basalts</w:t>
      </w:r>
      <w:r>
        <w:rPr>
          <w:color w:val="000000" w:themeColor="text1"/>
        </w:rPr>
        <w:t xml:space="preserve"> </w:t>
      </w:r>
      <w:r w:rsidRPr="00487150">
        <w:rPr>
          <w:color w:val="000000" w:themeColor="text1"/>
        </w:rPr>
        <w:t>(3.28</w:t>
      </w:r>
      <w:r w:rsidRPr="00487150">
        <w:rPr>
          <w:color w:val="000000" w:themeColor="text1"/>
        </w:rPr>
        <w:sym w:font="Symbol" w:char="F0B1"/>
      </w:r>
      <w:r w:rsidRPr="00487150">
        <w:rPr>
          <w:color w:val="000000" w:themeColor="text1"/>
        </w:rPr>
        <w:t>0.10 Ga</w:t>
      </w:r>
      <w:r>
        <w:rPr>
          <w:color w:val="000000" w:themeColor="text1"/>
        </w:rPr>
        <w:t xml:space="preserve">; </w:t>
      </w:r>
      <w:r w:rsidRPr="00487150">
        <w:rPr>
          <w:color w:val="000000" w:themeColor="text1"/>
        </w:rPr>
        <w:t>Unruh et al., 1984; Sprung et al., 2013; Borg et al., 2019), and the recently recovered Chang’e 6 (2.83</w:t>
      </w:r>
      <w:r w:rsidRPr="00487150">
        <w:rPr>
          <w:color w:val="000000" w:themeColor="text1"/>
        </w:rPr>
        <w:sym w:font="Symbol" w:char="F0B1"/>
      </w:r>
      <w:r w:rsidRPr="00487150">
        <w:rPr>
          <w:color w:val="000000" w:themeColor="text1"/>
        </w:rPr>
        <w:t>0.005 Ga</w:t>
      </w:r>
      <w:r>
        <w:rPr>
          <w:color w:val="000000" w:themeColor="text1"/>
        </w:rPr>
        <w:t xml:space="preserve">; </w:t>
      </w:r>
      <w:r w:rsidRPr="00487150">
        <w:rPr>
          <w:color w:val="000000" w:themeColor="text1"/>
        </w:rPr>
        <w:t>Cui et al., 2024</w:t>
      </w:r>
      <w:r>
        <w:t>; Zhang et al., 2024</w:t>
      </w:r>
      <w:r w:rsidRPr="00487150">
        <w:rPr>
          <w:color w:val="000000" w:themeColor="text1"/>
        </w:rPr>
        <w:t>) and Chang’e 5 basalts</w:t>
      </w:r>
      <w:r>
        <w:rPr>
          <w:color w:val="000000" w:themeColor="text1"/>
        </w:rPr>
        <w:t xml:space="preserve"> </w:t>
      </w:r>
      <w:r w:rsidRPr="00487150">
        <w:rPr>
          <w:color w:val="000000" w:themeColor="text1"/>
        </w:rPr>
        <w:t>(2.03</w:t>
      </w:r>
      <w:r w:rsidRPr="00487150">
        <w:rPr>
          <w:color w:val="000000" w:themeColor="text1"/>
        </w:rPr>
        <w:sym w:font="Symbol" w:char="F0B1"/>
      </w:r>
      <w:r w:rsidRPr="00487150">
        <w:rPr>
          <w:color w:val="000000" w:themeColor="text1"/>
        </w:rPr>
        <w:t>0.004 Ga</w:t>
      </w:r>
      <w:r>
        <w:rPr>
          <w:color w:val="000000" w:themeColor="text1"/>
        </w:rPr>
        <w:t xml:space="preserve">; </w:t>
      </w:r>
      <w:r w:rsidRPr="00487150">
        <w:rPr>
          <w:color w:val="000000" w:themeColor="text1"/>
        </w:rPr>
        <w:t>Li et al., 2021)</w:t>
      </w:r>
      <w:r>
        <w:t>, it is evident that the history of mafic lunar volcanism covers a ~2.27 Gyr period following the Moon’s formation</w:t>
      </w:r>
      <w:r w:rsidRPr="00487150">
        <w:rPr>
          <w:color w:val="000000" w:themeColor="text1"/>
        </w:rPr>
        <w:t>.</w:t>
      </w:r>
      <w:r>
        <w:t xml:space="preserve"> In addition to this period of mafic volcanism, </w:t>
      </w:r>
      <w:r w:rsidRPr="00487150">
        <w:rPr>
          <w:color w:val="000000" w:themeColor="text1"/>
        </w:rPr>
        <w:t xml:space="preserve">geophysical studies of the lunar mantle indicate that the Moon likely contains a solid core surrounded by a molten or partially molten layer of </w:t>
      </w:r>
      <w:r w:rsidRPr="00487150">
        <w:rPr>
          <w:color w:val="000000" w:themeColor="text1"/>
        </w:rPr>
        <w:lastRenderedPageBreak/>
        <w:t>material (Wieczorek et al., 2006; Weber et al., 2011)</w:t>
      </w:r>
      <w:r>
        <w:t>. The model results from this study indicate that mantle melting should last for ~0.55 Gyr following lunar formation regardless of the assumed K/Th ratio (</w:t>
      </w:r>
      <w:r w:rsidRPr="002E23AA">
        <w:rPr>
          <w:b/>
          <w:bCs/>
        </w:rPr>
        <w:t>Figure 3.4</w:t>
      </w:r>
      <w:r>
        <w:t>) (i.e., our modeled Moon would solidify long before the isotopic dates and geophysical data suggest it should)</w:t>
      </w:r>
      <w:r w:rsidRPr="00487150">
        <w:rPr>
          <w:color w:val="000000" w:themeColor="text1"/>
        </w:rPr>
        <w:t>.</w:t>
      </w:r>
      <w:r>
        <w:t xml:space="preserve"> </w:t>
      </w:r>
      <w:r w:rsidRPr="00487150">
        <w:rPr>
          <w:color w:val="000000" w:themeColor="text1"/>
        </w:rPr>
        <w:t xml:space="preserve">Thus, there must be </w:t>
      </w:r>
      <w:r>
        <w:rPr>
          <w:color w:val="000000" w:themeColor="text1"/>
        </w:rPr>
        <w:t>other</w:t>
      </w:r>
      <w:r w:rsidRPr="00487150">
        <w:rPr>
          <w:color w:val="000000" w:themeColor="text1"/>
        </w:rPr>
        <w:t xml:space="preserve"> heat production</w:t>
      </w:r>
      <w:r>
        <w:t xml:space="preserve"> or heat retention</w:t>
      </w:r>
      <w:r w:rsidRPr="00487150">
        <w:rPr>
          <w:color w:val="000000" w:themeColor="text1"/>
        </w:rPr>
        <w:t xml:space="preserve"> mechanism</w:t>
      </w:r>
      <w:r>
        <w:rPr>
          <w:color w:val="000000" w:themeColor="text1"/>
        </w:rPr>
        <w:t>s</w:t>
      </w:r>
      <w:r w:rsidRPr="00487150">
        <w:rPr>
          <w:color w:val="000000" w:themeColor="text1"/>
        </w:rPr>
        <w:t xml:space="preserve"> that models in this study don’t account for.</w:t>
      </w:r>
    </w:p>
    <w:p w14:paraId="72E06F56" w14:textId="77777777" w:rsidR="00A21A60" w:rsidRPr="00487150" w:rsidRDefault="00A21A60" w:rsidP="00A21A60">
      <w:pPr>
        <w:pStyle w:val="Heading2"/>
      </w:pPr>
      <w:bookmarkStart w:id="490" w:name="_Toc182995509"/>
      <w:bookmarkStart w:id="491" w:name="_Toc183536635"/>
      <w:bookmarkStart w:id="492" w:name="_Toc185325688"/>
      <w:r w:rsidRPr="00487150">
        <w:t>Mechanisms That Could Prolong Lunar Thermal Evolution</w:t>
      </w:r>
      <w:bookmarkEnd w:id="490"/>
      <w:bookmarkEnd w:id="491"/>
      <w:bookmarkEnd w:id="492"/>
    </w:p>
    <w:p w14:paraId="271C35D9" w14:textId="77777777" w:rsidR="00A21A60" w:rsidRDefault="00A21A60" w:rsidP="00A21A60">
      <w:pPr>
        <w:spacing w:line="480" w:lineRule="auto"/>
        <w:ind w:firstLine="720"/>
      </w:pPr>
      <w:r>
        <w:rPr>
          <w:color w:val="000000" w:themeColor="text1"/>
        </w:rPr>
        <w:t>The model results</w:t>
      </w:r>
      <w:r>
        <w:t xml:space="preserve"> for cases with and without cumulate overturn suggest </w:t>
      </w:r>
      <w:r w:rsidRPr="00050D78">
        <w:rPr>
          <w:color w:val="000000" w:themeColor="text1"/>
        </w:rPr>
        <w:t>that</w:t>
      </w:r>
      <w:r>
        <w:t xml:space="preserve"> </w:t>
      </w:r>
      <w:r w:rsidRPr="00050D78">
        <w:rPr>
          <w:color w:val="000000" w:themeColor="text1"/>
        </w:rPr>
        <w:t>radiogenic heating alone couldn’t account for the protracted history of lunar basaltic volcanism if the HPE were symmetrically distributed throughout the lunar mantle</w:t>
      </w:r>
      <w:r>
        <w:t>; however, this may change given different model parameters</w:t>
      </w:r>
      <w:r w:rsidRPr="00487150">
        <w:rPr>
          <w:color w:val="000000" w:themeColor="text1"/>
        </w:rPr>
        <w:t>.</w:t>
      </w:r>
      <w:r>
        <w:t xml:space="preserve"> One</w:t>
      </w:r>
      <w:r w:rsidRPr="004C706F">
        <w:t xml:space="preserve"> </w:t>
      </w:r>
      <w:r>
        <w:t>parameter that could significantly affect the thermal evolution models is the assumed thermal diffusivity of the lunar crust. Models in this study assume that the crustal layer has a constant thermal diffusivity equal to anorthite; however, variations in the crustal density with depth would directly affect the thermal diffusivity. Previous studies indicate that the porosity of the lunar crust decreases with depth due to the lunar impact history (</w:t>
      </w:r>
      <w:r w:rsidRPr="00BA1FA5">
        <w:rPr>
          <w:color w:val="000000" w:themeColor="text1"/>
        </w:rPr>
        <w:t xml:space="preserve">Toksöz et al., 1978; Hörz et al., 1991; </w:t>
      </w:r>
      <w:r w:rsidRPr="006E62B8">
        <w:rPr>
          <w:color w:val="000000" w:themeColor="text1"/>
        </w:rPr>
        <w:t>Wieczorek et al., 2013</w:t>
      </w:r>
      <w:r>
        <w:t>). This would directly affect the density and thermal diffusivity of the lunar crust, resulting in a lower density and diffusivity for the upper crust and a higher density and diffusivity for the lower crust (</w:t>
      </w:r>
      <w:r w:rsidRPr="008B64F5">
        <w:rPr>
          <w:color w:val="000000" w:themeColor="text1"/>
        </w:rPr>
        <w:t xml:space="preserve">Smoluchowski, 1981; </w:t>
      </w:r>
      <w:r w:rsidRPr="006E62B8">
        <w:rPr>
          <w:color w:val="000000" w:themeColor="text1"/>
        </w:rPr>
        <w:t>Siegler and Smrekar, 2014</w:t>
      </w:r>
      <w:r>
        <w:t xml:space="preserve">; </w:t>
      </w:r>
      <w:r w:rsidRPr="006E62B8">
        <w:rPr>
          <w:color w:val="000000" w:themeColor="text1"/>
        </w:rPr>
        <w:t>Henke et al., 2016</w:t>
      </w:r>
      <w:r>
        <w:t>). Depending on the density and porosity profiles you assume for the average lunar crust, this could significantly impact heat retention.</w:t>
      </w:r>
    </w:p>
    <w:p w14:paraId="004A8633" w14:textId="77777777" w:rsidR="00A21A60" w:rsidRDefault="00A21A60" w:rsidP="00A21A60">
      <w:pPr>
        <w:spacing w:line="480" w:lineRule="auto"/>
        <w:ind w:firstLine="720"/>
      </w:pPr>
      <w:r>
        <w:lastRenderedPageBreak/>
        <w:t xml:space="preserve">Another parameter that could affect the thermal evolution models is the latent heat released during core </w:t>
      </w:r>
      <w:r w:rsidRPr="005F04C4">
        <w:t>solidification (Laneuville et al., 2014).</w:t>
      </w:r>
      <w:r>
        <w:t xml:space="preserve"> The heat produced by this process would likely be significantly lower than the heat produced by radiogenic decay; however, in cases where overturn occurs, the heat released by crystallization of the cooling core would decrease the effect of overturn on the core temperatures. This means less radiogenic heat from the overturned cumulates would be lost to the rapidly cooling core, and more heat would go towards heating the lunar mantle.</w:t>
      </w:r>
    </w:p>
    <w:p w14:paraId="460B0721" w14:textId="77777777" w:rsidR="00A21A60" w:rsidRDefault="00A21A60" w:rsidP="00A21A60">
      <w:pPr>
        <w:spacing w:line="480" w:lineRule="auto"/>
        <w:ind w:firstLine="720"/>
      </w:pPr>
      <w:r>
        <w:t>T</w:t>
      </w:r>
      <w:r w:rsidRPr="00487150">
        <w:rPr>
          <w:color w:val="000000" w:themeColor="text1"/>
        </w:rPr>
        <w:t xml:space="preserve">he most straightforward mechanism to </w:t>
      </w:r>
      <w:r>
        <w:t>extend</w:t>
      </w:r>
      <w:r w:rsidRPr="00487150">
        <w:rPr>
          <w:color w:val="000000" w:themeColor="text1"/>
        </w:rPr>
        <w:t xml:space="preserve"> th</w:t>
      </w:r>
      <w:r>
        <w:t>e lunar thermal evolution might be to decrease the efficiency of cumulate overturn. This would adjust the distribution of</w:t>
      </w:r>
      <w:r w:rsidRPr="00487150">
        <w:rPr>
          <w:color w:val="000000" w:themeColor="text1"/>
        </w:rPr>
        <w:t xml:space="preserve"> HPE</w:t>
      </w:r>
      <w:r>
        <w:t xml:space="preserve"> throughout the Moon by retaining some of the upper mantle cumulates near the crust-mantle boundary and transferring a smaller portion of these cumulates deep within the lunar mantle. Based on the models from this study (</w:t>
      </w:r>
      <w:r w:rsidRPr="002B7E66">
        <w:rPr>
          <w:b/>
          <w:bCs/>
        </w:rPr>
        <w:t>Figure 3.4</w:t>
      </w:r>
      <w:r>
        <w:t>), this may extend the lunar thermal evolution in two ways: (1) it would minimize the cooling effect of cumulate overturn on the lower mantle, and (2) it would leave a more of the HPE-rich cumulates in the upper mantle where they could thermally insulate the lunar mantle.</w:t>
      </w:r>
    </w:p>
    <w:p w14:paraId="47C6F768" w14:textId="28D50EA4" w:rsidR="000F3834" w:rsidRPr="00487150" w:rsidRDefault="00A21A60" w:rsidP="00A21A60">
      <w:pPr>
        <w:spacing w:line="480" w:lineRule="auto"/>
        <w:ind w:firstLine="720"/>
        <w:rPr>
          <w:color w:val="000000" w:themeColor="text1"/>
        </w:rPr>
      </w:pPr>
      <w:r>
        <w:t xml:space="preserve">It should also be noted that other mechanisms like the asymmetric redistribution of HPE due to large-scale cumulate overturn events (Zhong et al., 2000; </w:t>
      </w:r>
      <w:r w:rsidRPr="00487150">
        <w:rPr>
          <w:color w:val="000000" w:themeColor="text1"/>
        </w:rPr>
        <w:t>Laneuville et al.</w:t>
      </w:r>
      <w:r>
        <w:t>, 2013,</w:t>
      </w:r>
      <w:r w:rsidRPr="00487150">
        <w:rPr>
          <w:color w:val="000000" w:themeColor="text1"/>
        </w:rPr>
        <w:t xml:space="preserve"> 2018</w:t>
      </w:r>
      <w:r>
        <w:t>; Moriarty et al., 2021; Zhang et al., 2022</w:t>
      </w:r>
      <w:r w:rsidRPr="00487150">
        <w:rPr>
          <w:color w:val="000000" w:themeColor="text1"/>
        </w:rPr>
        <w:t>)</w:t>
      </w:r>
      <w:r>
        <w:t xml:space="preserve"> or </w:t>
      </w:r>
      <w:r w:rsidRPr="00487150">
        <w:rPr>
          <w:color w:val="000000" w:themeColor="text1"/>
        </w:rPr>
        <w:t>shock heating during multiple large basin-forming impacts (</w:t>
      </w:r>
      <w:r>
        <w:t xml:space="preserve">Perera et al., 2018; Rolf et al., 2017; </w:t>
      </w:r>
      <w:r w:rsidRPr="00EC5A8C">
        <w:rPr>
          <w:color w:val="000000" w:themeColor="text1"/>
        </w:rPr>
        <w:t>Jones et al., 2022</w:t>
      </w:r>
      <w:r w:rsidRPr="00487150">
        <w:rPr>
          <w:color w:val="000000" w:themeColor="text1"/>
        </w:rPr>
        <w:t>)</w:t>
      </w:r>
      <w:r>
        <w:t xml:space="preserve"> could also aid in extending the lunar thermal evolution. These mechanisms for producing heat are highly model dependent (e.g., the mechanism that initiated overturn, mantle rheologic properties at the time of overturn or impact, impact rate, etc… can all </w:t>
      </w:r>
      <w:r>
        <w:lastRenderedPageBreak/>
        <w:t>significantly alter the distribution of elements or heat produced by impacts) so we avoid further speculation on their overall impact. In reality, a combination of multiple mechanisms discussed above is likely required to explain the protracted history of lunar volcanism and the possibly</w:t>
      </w:r>
      <w:r w:rsidR="009B2F7E">
        <w:t xml:space="preserve"> present-day</w:t>
      </w:r>
      <w:r>
        <w:t xml:space="preserve"> molten state of material around the modern lunar core; however, each mechanism needs to be tested by future thermal models</w:t>
      </w:r>
      <w:r w:rsidRPr="00487150">
        <w:rPr>
          <w:color w:val="000000" w:themeColor="text1"/>
        </w:rPr>
        <w:t xml:space="preserve">. </w:t>
      </w:r>
      <w:r w:rsidR="00911F6C" w:rsidRPr="00487150">
        <w:rPr>
          <w:color w:val="000000" w:themeColor="text1"/>
        </w:rPr>
        <w:t xml:space="preserve"> </w:t>
      </w:r>
    </w:p>
    <w:p w14:paraId="1D06573E" w14:textId="6311322D" w:rsidR="0000476F" w:rsidRPr="00487150" w:rsidRDefault="006F2143" w:rsidP="002F7368">
      <w:pPr>
        <w:pStyle w:val="Heading2"/>
      </w:pPr>
      <w:bookmarkStart w:id="493" w:name="_Toc182331781"/>
      <w:bookmarkStart w:id="494" w:name="_Toc182995510"/>
      <w:bookmarkStart w:id="495" w:name="_Toc183536636"/>
      <w:bookmarkStart w:id="496" w:name="_Toc184727441"/>
      <w:bookmarkStart w:id="497" w:name="_Toc185325689"/>
      <w:r w:rsidRPr="00487150">
        <w:t>Conclusion</w:t>
      </w:r>
      <w:r w:rsidR="0000476F" w:rsidRPr="00487150">
        <w:t>s</w:t>
      </w:r>
      <w:bookmarkEnd w:id="493"/>
      <w:bookmarkEnd w:id="494"/>
      <w:bookmarkEnd w:id="495"/>
      <w:bookmarkEnd w:id="496"/>
      <w:bookmarkEnd w:id="497"/>
    </w:p>
    <w:p w14:paraId="69A1C5DA" w14:textId="77777777" w:rsidR="001A4F29" w:rsidRPr="00487150" w:rsidRDefault="001A4F29" w:rsidP="001A4F29">
      <w:pPr>
        <w:spacing w:line="480" w:lineRule="auto"/>
        <w:ind w:firstLine="720"/>
        <w:rPr>
          <w:color w:val="000000" w:themeColor="text1"/>
        </w:rPr>
      </w:pPr>
      <w:r w:rsidRPr="00487150">
        <w:rPr>
          <w:color w:val="000000" w:themeColor="text1"/>
        </w:rPr>
        <w:t xml:space="preserve">This work attempts to constrain the K/Th ratio of the initial lunar magma ocean. Using experimentally determined LMO cumulate solidification sequences and up-to-date lunar trace element partition coefficients, we model chemical fractionation during LMO solidification and post-solidification partial melting. Geochemical models of LMO solidification demonstrate that the K/Th ratio of the initial LMO could range from 450-550 if the floatation efficiency of plagioclase is </w:t>
      </w:r>
      <m:oMath>
        <m:r>
          <w:rPr>
            <w:rFonts w:ascii="Cambria Math" w:hAnsi="Cambria Math"/>
            <w:color w:val="000000" w:themeColor="text1"/>
          </w:rPr>
          <m:t>≥</m:t>
        </m:r>
      </m:oMath>
      <w:r w:rsidRPr="00487150">
        <w:rPr>
          <w:rFonts w:eastAsiaTheme="minorEastAsia"/>
          <w:color w:val="000000" w:themeColor="text1"/>
        </w:rPr>
        <w:t>95%</w:t>
      </w:r>
      <w:r w:rsidRPr="00487150">
        <w:rPr>
          <w:color w:val="000000" w:themeColor="text1"/>
        </w:rPr>
        <w:t xml:space="preserve">. If plagioclase floatation is less efficient, the K/Th ratio of the LMO would have to decrease such that the crystallizing cumulates have similar K/Th ratios to mantle-derived lunar melts (i.e., mare basalts and picritic glasses) as secondary partial melts should have similar K/Th ratios to their respective mantle sources. </w:t>
      </w:r>
    </w:p>
    <w:p w14:paraId="0D9BF739" w14:textId="69F6F2D7" w:rsidR="002E292D" w:rsidRPr="00487150" w:rsidRDefault="001A4F29" w:rsidP="001A4F29">
      <w:pPr>
        <w:spacing w:line="480" w:lineRule="auto"/>
        <w:ind w:firstLine="720"/>
        <w:rPr>
          <w:color w:val="000000" w:themeColor="text1"/>
        </w:rPr>
      </w:pPr>
      <w:r>
        <w:t xml:space="preserve">Thermal evolution models from this study demonstrate that the degree of K depletion on the Moon has a far more significant impact on lunar thermal evolution than the degree of possible Th and U enrichment relative to Earth. </w:t>
      </w:r>
      <w:r w:rsidRPr="00487150">
        <w:rPr>
          <w:color w:val="000000" w:themeColor="text1"/>
        </w:rPr>
        <w:t xml:space="preserve">Thermal evolution models that assume cumulate overturn occurred indicate that two separate mantle melting events could occur if overturn occurs </w:t>
      </w:r>
      <w:r w:rsidR="009B2F7E">
        <w:rPr>
          <w:color w:val="000000" w:themeColor="text1"/>
        </w:rPr>
        <w:t>quickly</w:t>
      </w:r>
      <w:r w:rsidRPr="00487150">
        <w:rPr>
          <w:color w:val="000000" w:themeColor="text1"/>
        </w:rPr>
        <w:t xml:space="preserve">: (1) an early decompression melting event in the </w:t>
      </w:r>
      <w:r w:rsidRPr="00487150">
        <w:rPr>
          <w:color w:val="000000" w:themeColor="text1"/>
        </w:rPr>
        <w:lastRenderedPageBreak/>
        <w:t>upper mantle and (2) a later radiogenic heating-induced melting event in the middle and lower lunar mantle caused by the displaced and HPE-rich IBC material</w:t>
      </w:r>
      <w:r w:rsidR="002E292D" w:rsidRPr="00487150">
        <w:rPr>
          <w:color w:val="000000" w:themeColor="text1"/>
        </w:rPr>
        <w:t>.</w:t>
      </w:r>
    </w:p>
    <w:p w14:paraId="169A4AAF" w14:textId="77777777" w:rsidR="0000476F" w:rsidRDefault="0000476F" w:rsidP="0000476F"/>
    <w:p w14:paraId="1EFB8251" w14:textId="77777777" w:rsidR="0000476F" w:rsidRDefault="0000476F" w:rsidP="0000476F"/>
    <w:p w14:paraId="41BC0FCB" w14:textId="77777777" w:rsidR="0000476F" w:rsidRPr="0000476F" w:rsidRDefault="0000476F" w:rsidP="0000476F">
      <w:pPr>
        <w:sectPr w:rsidR="0000476F" w:rsidRPr="0000476F" w:rsidSect="004B09F9">
          <w:pgSz w:w="12240" w:h="15840" w:code="1"/>
          <w:pgMar w:top="1440" w:right="1800" w:bottom="1872" w:left="1800" w:header="720" w:footer="1440" w:gutter="0"/>
          <w:cols w:space="720"/>
          <w:noEndnote/>
          <w:docGrid w:linePitch="360"/>
        </w:sectPr>
      </w:pPr>
    </w:p>
    <w:p w14:paraId="085501EA" w14:textId="739B229B" w:rsidR="005D44E8" w:rsidRPr="005D44E8" w:rsidRDefault="0000476F" w:rsidP="00130C41">
      <w:pPr>
        <w:pStyle w:val="NonNumberedHeading2"/>
        <w:spacing w:line="480" w:lineRule="auto"/>
      </w:pPr>
      <w:bookmarkStart w:id="498" w:name="_Toc184727442"/>
      <w:bookmarkStart w:id="499" w:name="_Toc185325690"/>
      <w:r w:rsidRPr="00293242">
        <w:lastRenderedPageBreak/>
        <w:t>References</w:t>
      </w:r>
      <w:bookmarkEnd w:id="498"/>
      <w:bookmarkEnd w:id="499"/>
    </w:p>
    <w:p w14:paraId="4C919777" w14:textId="77777777" w:rsidR="005D44E8" w:rsidRPr="005D44E8" w:rsidRDefault="005D44E8" w:rsidP="00130C41">
      <w:pPr>
        <w:spacing w:line="480" w:lineRule="auto"/>
        <w:ind w:left="450" w:hanging="450"/>
      </w:pPr>
      <w:r w:rsidRPr="005D44E8">
        <w:t xml:space="preserve">Aeschlimann, U., Eberhardt, P., Geiss, J., Grogler, N., Kurtz, J., and Marti, K., 1982, On the Age of Cumulate Norite 78236: an 39AR-40AR Study, </w:t>
      </w:r>
      <w:r w:rsidRPr="005D44E8">
        <w:rPr>
          <w:i/>
          <w:iCs/>
        </w:rPr>
        <w:t>in</w:t>
      </w:r>
      <w:r w:rsidRPr="005D44E8">
        <w:t xml:space="preserve"> Lunar and Planetary Science Conference, Lunar and Planetary Science Conference, p. 1–2.</w:t>
      </w:r>
    </w:p>
    <w:p w14:paraId="086C7E62" w14:textId="77777777" w:rsidR="005D44E8" w:rsidRPr="005D44E8" w:rsidRDefault="005D44E8" w:rsidP="00130C41">
      <w:pPr>
        <w:spacing w:line="480" w:lineRule="auto"/>
        <w:ind w:left="450" w:hanging="450"/>
      </w:pPr>
      <w:r w:rsidRPr="005D44E8">
        <w:t>Anders, E., and Grevesse, N., 1989, Abundances of the elements: Meteoritic and solar: Geochimica et Cosmochimica Acta, v. 53, p. 197–214, doi:</w:t>
      </w:r>
      <w:hyperlink r:id="rId354" w:history="1">
        <w:r w:rsidRPr="005D44E8">
          <w:rPr>
            <w:color w:val="0000FF"/>
            <w:u w:val="single"/>
          </w:rPr>
          <w:t>10.1016/0016-7037(89)90286-X</w:t>
        </w:r>
      </w:hyperlink>
      <w:r w:rsidRPr="005D44E8">
        <w:t>.</w:t>
      </w:r>
    </w:p>
    <w:p w14:paraId="45393A63" w14:textId="77777777" w:rsidR="005D44E8" w:rsidRPr="005D44E8" w:rsidRDefault="005D44E8" w:rsidP="00130C41">
      <w:pPr>
        <w:spacing w:line="480" w:lineRule="auto"/>
        <w:ind w:left="450" w:hanging="450"/>
      </w:pPr>
      <w:r w:rsidRPr="005D44E8">
        <w:t>Barr, J.A., and Grove, T.L., 2013, Experimental petrology of the Apollo 15 group A green glasses: Melting primordial lunar mantle and magma ocean cumulate assimilation: Geochimica et Cosmochimica Acta, v. 106, p. 216–230, doi:</w:t>
      </w:r>
      <w:hyperlink r:id="rId355" w:history="1">
        <w:r w:rsidRPr="005D44E8">
          <w:rPr>
            <w:color w:val="0000FF"/>
            <w:u w:val="single"/>
          </w:rPr>
          <w:t>10.1016/j.gca.2012.12.035</w:t>
        </w:r>
      </w:hyperlink>
      <w:r w:rsidRPr="005D44E8">
        <w:t>.</w:t>
      </w:r>
    </w:p>
    <w:p w14:paraId="3F81B810" w14:textId="77777777" w:rsidR="005D44E8" w:rsidRPr="005D44E8" w:rsidRDefault="005D44E8" w:rsidP="00130C41">
      <w:pPr>
        <w:spacing w:line="480" w:lineRule="auto"/>
        <w:ind w:left="450" w:hanging="450"/>
      </w:pPr>
      <w:r w:rsidRPr="005D44E8">
        <w:t>Beard, B.L., Taylor, L.A., Scherer, E.E., Johnson, C.M., and Snyder, G.A., 1998, The Source Region and Melting Mineralogy of High-Titanium and Low-Titanium Lunar Basalts Deduced from Lu-Hf Isotope Data: Geochimica et Cosmochimica Acta, v. 62, p. 525–544, doi:</w:t>
      </w:r>
      <w:hyperlink r:id="rId356" w:history="1">
        <w:r w:rsidRPr="005D44E8">
          <w:rPr>
            <w:color w:val="0000FF"/>
            <w:u w:val="single"/>
          </w:rPr>
          <w:t>10.1016/S0016-7037(97)00373-6</w:t>
        </w:r>
      </w:hyperlink>
      <w:r w:rsidRPr="005D44E8">
        <w:t>.</w:t>
      </w:r>
    </w:p>
    <w:p w14:paraId="6E7F1E51" w14:textId="77777777" w:rsidR="005D44E8" w:rsidRPr="005D44E8" w:rsidRDefault="005D44E8" w:rsidP="00130C41">
      <w:pPr>
        <w:spacing w:line="480" w:lineRule="auto"/>
        <w:ind w:left="450" w:hanging="450"/>
      </w:pPr>
      <w:r w:rsidRPr="005D44E8">
        <w:t>Bogard, D.D., Nyquist, L.E., Bansal, B.M., Wiesmann, H., and Shih, C.Y., 1975, 76535: An old lunar rock: Earth and Planetary Science Letters, v. 26, p. 69–80, doi:</w:t>
      </w:r>
      <w:hyperlink r:id="rId357" w:history="1">
        <w:r w:rsidRPr="005D44E8">
          <w:rPr>
            <w:color w:val="0000FF"/>
            <w:u w:val="single"/>
          </w:rPr>
          <w:t>10.1016/0012-821X(75)90178-8</w:t>
        </w:r>
      </w:hyperlink>
      <w:r w:rsidRPr="005D44E8">
        <w:t>.</w:t>
      </w:r>
    </w:p>
    <w:p w14:paraId="1DBB07D5" w14:textId="77777777" w:rsidR="005D44E8" w:rsidRPr="005D44E8" w:rsidRDefault="005D44E8" w:rsidP="00130C41">
      <w:pPr>
        <w:spacing w:line="480" w:lineRule="auto"/>
        <w:ind w:left="450" w:hanging="450"/>
      </w:pPr>
      <w:r w:rsidRPr="005D44E8">
        <w:t>Borg, L.E., Cassata, W.S., Wimpenny, J., Gaffney, A.M., and Shearer, C.K., 2020, The formation and evolution of the Moon’s crust inferred from the Sm-Nd isotopic systematics of highlands rocks: Geochimica et Cosmochimica Acta, v. 290, p. 312–332, doi:</w:t>
      </w:r>
      <w:hyperlink r:id="rId358" w:history="1">
        <w:r w:rsidRPr="005D44E8">
          <w:rPr>
            <w:color w:val="0000FF"/>
            <w:u w:val="single"/>
          </w:rPr>
          <w:t>10.1016/j.gca.2020.09.013</w:t>
        </w:r>
      </w:hyperlink>
      <w:r w:rsidRPr="005D44E8">
        <w:t>.</w:t>
      </w:r>
    </w:p>
    <w:p w14:paraId="2B283A57" w14:textId="77777777" w:rsidR="005D44E8" w:rsidRPr="005D44E8" w:rsidRDefault="005D44E8" w:rsidP="00130C41">
      <w:pPr>
        <w:spacing w:line="480" w:lineRule="auto"/>
        <w:ind w:left="450" w:hanging="450"/>
      </w:pPr>
      <w:r w:rsidRPr="005D44E8">
        <w:lastRenderedPageBreak/>
        <w:t>Borg, L.E., Gaffney, A.M., Kruijer, T.S., Marks, N.A., Sio, C.K., and Wimpenny, J., 2019, Isotopic evidence for a young lunar magma ocean: Earth and Planetary Science Letters, v. 523, p. 115706, doi:</w:t>
      </w:r>
      <w:hyperlink r:id="rId359" w:history="1">
        <w:r w:rsidRPr="005D44E8">
          <w:rPr>
            <w:color w:val="0000FF"/>
            <w:u w:val="single"/>
          </w:rPr>
          <w:t>10.1016/j.epsl.2019.07.008</w:t>
        </w:r>
      </w:hyperlink>
      <w:r w:rsidRPr="005D44E8">
        <w:t>.</w:t>
      </w:r>
    </w:p>
    <w:p w14:paraId="4152EBC7" w14:textId="77777777" w:rsidR="005D44E8" w:rsidRPr="005D44E8" w:rsidRDefault="005D44E8" w:rsidP="00130C41">
      <w:pPr>
        <w:spacing w:line="480" w:lineRule="auto"/>
        <w:ind w:left="450" w:hanging="450"/>
      </w:pPr>
      <w:r w:rsidRPr="005D44E8">
        <w:t>Brown, S.M., and Grove, T.L., 2015, Origin of the Apollo 14, 15, and 17 yellow ultramafic glasses by mixing of deep cumulate remelts: Geochimica et Cosmochimica Acta, v. 171, p. 201–215, doi:</w:t>
      </w:r>
      <w:hyperlink r:id="rId360" w:history="1">
        <w:r w:rsidRPr="005D44E8">
          <w:rPr>
            <w:color w:val="0000FF"/>
            <w:u w:val="single"/>
          </w:rPr>
          <w:t>10.1016/j.gca.2015.09.001</w:t>
        </w:r>
      </w:hyperlink>
      <w:r w:rsidRPr="005D44E8">
        <w:t>.</w:t>
      </w:r>
    </w:p>
    <w:p w14:paraId="252C18C5" w14:textId="77777777" w:rsidR="005D44E8" w:rsidRPr="005D44E8" w:rsidRDefault="005D44E8" w:rsidP="00130C41">
      <w:pPr>
        <w:spacing w:line="480" w:lineRule="auto"/>
        <w:ind w:left="450" w:hanging="450"/>
      </w:pPr>
      <w:r w:rsidRPr="005D44E8">
        <w:t>Canup, R.M., 2008, Accretion of the Earth: Philosophical Transactions of the Royal Society A: Mathematical, Physical and Engineering Sciences, v. 366, p. 4061–4075, doi:</w:t>
      </w:r>
      <w:hyperlink r:id="rId361" w:history="1">
        <w:r w:rsidRPr="005D44E8">
          <w:rPr>
            <w:color w:val="0000FF"/>
            <w:u w:val="single"/>
          </w:rPr>
          <w:t>10.1098/rsta.2008.0101</w:t>
        </w:r>
      </w:hyperlink>
      <w:r w:rsidRPr="005D44E8">
        <w:t>.</w:t>
      </w:r>
    </w:p>
    <w:p w14:paraId="27BF117D" w14:textId="77777777" w:rsidR="005D44E8" w:rsidRPr="005D44E8" w:rsidRDefault="005D44E8" w:rsidP="00130C41">
      <w:pPr>
        <w:spacing w:line="480" w:lineRule="auto"/>
        <w:ind w:left="450" w:hanging="450"/>
      </w:pPr>
      <w:r w:rsidRPr="005D44E8">
        <w:t>Canup, R.M., 2004, Dynamics of Lunar Formation: Annual Review of Astronomy and Astrophysics, v. 42, p. 441–475, doi:</w:t>
      </w:r>
      <w:hyperlink r:id="rId362" w:history="1">
        <w:r w:rsidRPr="005D44E8">
          <w:rPr>
            <w:color w:val="0000FF"/>
            <w:u w:val="single"/>
          </w:rPr>
          <w:t>https://doi.org/10.1146/annurev.astro.41.082201.113457</w:t>
        </w:r>
      </w:hyperlink>
      <w:r w:rsidRPr="005D44E8">
        <w:t>.</w:t>
      </w:r>
    </w:p>
    <w:p w14:paraId="680EACAB" w14:textId="77777777" w:rsidR="005D44E8" w:rsidRPr="005D44E8" w:rsidRDefault="005D44E8" w:rsidP="00130C41">
      <w:pPr>
        <w:spacing w:line="480" w:lineRule="auto"/>
        <w:ind w:left="450" w:hanging="450"/>
      </w:pPr>
      <w:r w:rsidRPr="005D44E8">
        <w:t>Cao, H., Ling, Z., Chen, J., Fu, X., and Zou, Y., 2021, Petrography, mineralogy, and geochemistry of a new lunar magnesian feldspathic meteorite Northwest Africa 11460: Meteoritics &amp; Planetary Science, v. 56, p. 1857–1889, doi:</w:t>
      </w:r>
      <w:hyperlink r:id="rId363" w:history="1">
        <w:r w:rsidRPr="005D44E8">
          <w:rPr>
            <w:color w:val="0000FF"/>
            <w:u w:val="single"/>
          </w:rPr>
          <w:t>10.1111/maps.13741</w:t>
        </w:r>
      </w:hyperlink>
      <w:r w:rsidRPr="005D44E8">
        <w:t>.</w:t>
      </w:r>
    </w:p>
    <w:p w14:paraId="1603082C" w14:textId="77777777" w:rsidR="005D44E8" w:rsidRPr="005D44E8" w:rsidRDefault="005D44E8" w:rsidP="00130C41">
      <w:pPr>
        <w:spacing w:line="480" w:lineRule="auto"/>
        <w:ind w:left="450" w:hanging="450"/>
      </w:pPr>
      <w:r w:rsidRPr="005D44E8">
        <w:t>Carlson, R.W., Borg, L.E., Gaffney, A.M., and Boyet, M., 2014, Rb-Sr, Sm-Nd and Lu-Hf isotope systematics of the lunar Mg-suite: the age of the lunar crust and its relation to the time of Moon formation: Philosophical Transactions of the Royal Society A: Mathematical, Physical and Engineering Sciences, v. 372, p. 20130246, doi:</w:t>
      </w:r>
      <w:hyperlink r:id="rId364" w:history="1">
        <w:r w:rsidRPr="005D44E8">
          <w:rPr>
            <w:color w:val="0000FF"/>
            <w:u w:val="single"/>
          </w:rPr>
          <w:t>10.1098/rsta.2013.0246</w:t>
        </w:r>
      </w:hyperlink>
      <w:r w:rsidRPr="005D44E8">
        <w:t>.</w:t>
      </w:r>
    </w:p>
    <w:p w14:paraId="0D5D309E" w14:textId="77777777" w:rsidR="005D44E8" w:rsidRPr="005D44E8" w:rsidRDefault="005D44E8" w:rsidP="00130C41">
      <w:pPr>
        <w:spacing w:line="480" w:lineRule="auto"/>
        <w:ind w:left="450" w:hanging="450"/>
      </w:pPr>
      <w:r w:rsidRPr="005D44E8">
        <w:lastRenderedPageBreak/>
        <w:t>Carlson, R.W., and Lugmair, G.W., 1981, Sm-Nd age of lherzolite 67667: implications for the processes involved in lunar crustal formation: Earth and Planetary Science Letters, v. 56, p. 1–8, doi:</w:t>
      </w:r>
      <w:hyperlink r:id="rId365" w:history="1">
        <w:r w:rsidRPr="005D44E8">
          <w:rPr>
            <w:color w:val="0000FF"/>
            <w:u w:val="single"/>
          </w:rPr>
          <w:t>10.1016/0012-821X(81)90112-6</w:t>
        </w:r>
      </w:hyperlink>
      <w:r w:rsidRPr="005D44E8">
        <w:t>.</w:t>
      </w:r>
    </w:p>
    <w:p w14:paraId="4B1ECC74" w14:textId="77777777" w:rsidR="005D44E8" w:rsidRPr="005D44E8" w:rsidRDefault="005D44E8" w:rsidP="00130C41">
      <w:pPr>
        <w:spacing w:line="480" w:lineRule="auto"/>
        <w:ind w:left="450" w:hanging="450"/>
      </w:pPr>
      <w:r w:rsidRPr="005D44E8">
        <w:t>Carslaw, H.S., and Jaeger, J.C., 1986, Conduction of heat in solids: Conduction of heat in solids,.</w:t>
      </w:r>
    </w:p>
    <w:p w14:paraId="77965AAD" w14:textId="77777777" w:rsidR="005D44E8" w:rsidRPr="005D44E8" w:rsidRDefault="005D44E8" w:rsidP="00130C41">
      <w:pPr>
        <w:spacing w:line="480" w:lineRule="auto"/>
        <w:ind w:left="450" w:hanging="450"/>
      </w:pPr>
      <w:r w:rsidRPr="005D44E8">
        <w:t>Compston, W., Williams, I.S., and Meyer, C., 1984, U-Pb geochronology of zircons from lunar breccia 73217 using a sensitive high mass-resolution ion microprobe: Journal of Geophysical Research: Solid Earth, v. 89, p. B525–B534, doi:</w:t>
      </w:r>
      <w:hyperlink r:id="rId366" w:history="1">
        <w:r w:rsidRPr="005D44E8">
          <w:rPr>
            <w:color w:val="0000FF"/>
            <w:u w:val="single"/>
          </w:rPr>
          <w:t>10.1029/JB089iS02p0B525</w:t>
        </w:r>
      </w:hyperlink>
      <w:r w:rsidRPr="005D44E8">
        <w:t>.</w:t>
      </w:r>
    </w:p>
    <w:p w14:paraId="5E218533" w14:textId="77777777" w:rsidR="005D44E8" w:rsidRPr="005D44E8" w:rsidRDefault="005D44E8" w:rsidP="00130C41">
      <w:pPr>
        <w:spacing w:line="480" w:lineRule="auto"/>
        <w:ind w:left="450" w:hanging="450"/>
      </w:pPr>
      <w:r w:rsidRPr="005D44E8">
        <w:t>Crank, J., 1975, The mathematics of diffusion: Oxford university press.</w:t>
      </w:r>
    </w:p>
    <w:p w14:paraId="46FFD429" w14:textId="77777777" w:rsidR="005D44E8" w:rsidRPr="005D44E8" w:rsidRDefault="005D44E8" w:rsidP="00130C41">
      <w:pPr>
        <w:spacing w:line="480" w:lineRule="auto"/>
        <w:ind w:left="450" w:hanging="450"/>
      </w:pPr>
      <w:r w:rsidRPr="005D44E8">
        <w:t>Criss, R.E., and Hofmeister, A.M., 2016, Conductive cooling of spherical bodies with emphasis on the Earth: Terra Nova, v. 28, p. 101–109, doi:</w:t>
      </w:r>
      <w:hyperlink r:id="rId367" w:history="1">
        <w:r w:rsidRPr="005D44E8">
          <w:rPr>
            <w:color w:val="0000FF"/>
            <w:u w:val="single"/>
          </w:rPr>
          <w:t>10.1111/ter.12195</w:t>
        </w:r>
      </w:hyperlink>
      <w:r w:rsidRPr="005D44E8">
        <w:t>.</w:t>
      </w:r>
    </w:p>
    <w:p w14:paraId="5F7B128B" w14:textId="77777777" w:rsidR="005D44E8" w:rsidRPr="005D44E8" w:rsidRDefault="005D44E8" w:rsidP="00130C41">
      <w:pPr>
        <w:spacing w:line="480" w:lineRule="auto"/>
        <w:ind w:left="450" w:hanging="450"/>
      </w:pPr>
      <w:r w:rsidRPr="005D44E8">
        <w:t>Cui, Z. et al. A sample of the Moon’s far side retrieved by Chang’e-6 contains 2.83-billion-year-old basalt: Science, v. 0, p. eadt1093, doi:</w:t>
      </w:r>
      <w:hyperlink r:id="rId368" w:history="1">
        <w:r w:rsidRPr="005D44E8">
          <w:rPr>
            <w:color w:val="0000FF"/>
            <w:u w:val="single"/>
          </w:rPr>
          <w:t>10.1126/science.adt1093</w:t>
        </w:r>
      </w:hyperlink>
      <w:r w:rsidRPr="005D44E8">
        <w:t>.</w:t>
      </w:r>
    </w:p>
    <w:p w14:paraId="0F833CAF" w14:textId="77777777" w:rsidR="005D44E8" w:rsidRPr="005D44E8" w:rsidRDefault="005D44E8" w:rsidP="00130C41">
      <w:pPr>
        <w:spacing w:line="480" w:lineRule="auto"/>
        <w:ind w:left="450" w:hanging="450"/>
      </w:pPr>
      <w:r w:rsidRPr="005D44E8">
        <w:t>Elkins-Tanton, L.T., Burgess, S., and Yin, Q.-Z., 2011, The lunar magma ocean: Reconciling the solidification process with lunar petrology and geochronology: Earth and Planetary Science Letters, v. 304, p. 326–336, doi:</w:t>
      </w:r>
      <w:hyperlink r:id="rId369" w:history="1">
        <w:r w:rsidRPr="005D44E8">
          <w:rPr>
            <w:color w:val="0000FF"/>
            <w:u w:val="single"/>
          </w:rPr>
          <w:t>10.1016/j.epsl.2011.02.004</w:t>
        </w:r>
      </w:hyperlink>
      <w:r w:rsidRPr="005D44E8">
        <w:t>.</w:t>
      </w:r>
    </w:p>
    <w:p w14:paraId="38BBC56A" w14:textId="77777777" w:rsidR="005D44E8" w:rsidRPr="005D44E8" w:rsidRDefault="005D44E8" w:rsidP="00130C41">
      <w:pPr>
        <w:spacing w:line="480" w:lineRule="auto"/>
        <w:ind w:left="450" w:hanging="450"/>
      </w:pPr>
      <w:r w:rsidRPr="005D44E8">
        <w:t>Elkins-Tanton, L.T., Chatterjee, N., and Grove, T.L., 2003, Experimental and petrological constraints on lunar differentiation from the Apollo 15 green picritic glasses: Meteoritics &amp; Planetary Science, v. 38, p. 515–527, doi:</w:t>
      </w:r>
      <w:hyperlink r:id="rId370" w:history="1">
        <w:r w:rsidRPr="005D44E8">
          <w:rPr>
            <w:color w:val="0000FF"/>
            <w:u w:val="single"/>
          </w:rPr>
          <w:t>10.1111/j.1945-5100.2003.tb00024.x</w:t>
        </w:r>
      </w:hyperlink>
      <w:r w:rsidRPr="005D44E8">
        <w:t>.</w:t>
      </w:r>
    </w:p>
    <w:p w14:paraId="1691440F" w14:textId="77777777" w:rsidR="005D44E8" w:rsidRPr="005D44E8" w:rsidRDefault="005D44E8" w:rsidP="00130C41">
      <w:pPr>
        <w:spacing w:line="480" w:lineRule="auto"/>
        <w:ind w:left="450" w:hanging="450"/>
      </w:pPr>
      <w:r w:rsidRPr="005D44E8">
        <w:lastRenderedPageBreak/>
        <w:t>Evensen, N.M., Murthy, V.R., and Coscio, Jr., M.R., 1973, Rb-Sr ages of some mare basalts and the isotopic and trace element systematics in lunar fines: Lunar and Planetary Science Conference Proceedings, v. 4, p. 1707.</w:t>
      </w:r>
    </w:p>
    <w:p w14:paraId="5DECB10A" w14:textId="77777777" w:rsidR="005D44E8" w:rsidRPr="005D44E8" w:rsidRDefault="005D44E8" w:rsidP="00130C41">
      <w:pPr>
        <w:spacing w:line="480" w:lineRule="auto"/>
        <w:ind w:left="450" w:hanging="450"/>
      </w:pPr>
      <w:r w:rsidRPr="005D44E8">
        <w:t>Faure, P., Bouhifd, M.A., Boyet, M., Manthilake, G., Clesi, V., and Devidal, J.-L., 2020, Uranium and thorium partitioning in the bulk silicate Earth and the oxygen content of Earth’s core: Geochimica et Cosmochimica Acta, v. 275, p. 83–98, doi:</w:t>
      </w:r>
      <w:hyperlink r:id="rId371" w:history="1">
        <w:r w:rsidRPr="005D44E8">
          <w:rPr>
            <w:color w:val="0000FF"/>
            <w:u w:val="single"/>
          </w:rPr>
          <w:t>10.1016/j.gca.2020.02.010</w:t>
        </w:r>
      </w:hyperlink>
      <w:r w:rsidRPr="005D44E8">
        <w:t>.</w:t>
      </w:r>
    </w:p>
    <w:p w14:paraId="5C50B24F" w14:textId="77777777" w:rsidR="005D44E8" w:rsidRPr="005D44E8" w:rsidRDefault="005D44E8" w:rsidP="00130C41">
      <w:pPr>
        <w:spacing w:line="480" w:lineRule="auto"/>
        <w:ind w:left="450" w:hanging="450"/>
      </w:pPr>
      <w:r w:rsidRPr="005D44E8">
        <w:t>Ford Versypt, A.N., 2012, Modeling of controlled-release drug delivery from autocatalytically degrading polymer microspheres: University of Illinois at Urbana-Champaign.</w:t>
      </w:r>
    </w:p>
    <w:p w14:paraId="1ED56D33" w14:textId="77777777" w:rsidR="005D44E8" w:rsidRPr="005D44E8" w:rsidRDefault="005D44E8" w:rsidP="00130C41">
      <w:pPr>
        <w:spacing w:line="480" w:lineRule="auto"/>
        <w:ind w:left="450" w:hanging="450"/>
      </w:pPr>
      <w:r w:rsidRPr="005D44E8">
        <w:t>Ford Versypt, A.N., and Braatz, R.D., 2014, Analysis of finite difference discretization schemes for diffusion in spheres with variable diffusivity: Computers &amp; Chemical Engineering, v. 71, p. 241–252, doi:</w:t>
      </w:r>
      <w:hyperlink r:id="rId372" w:history="1">
        <w:r w:rsidRPr="005D44E8">
          <w:rPr>
            <w:color w:val="0000FF"/>
            <w:u w:val="single"/>
          </w:rPr>
          <w:t>10.1016/j.compchemeng.2014.05.022</w:t>
        </w:r>
      </w:hyperlink>
      <w:r w:rsidRPr="005D44E8">
        <w:t>.</w:t>
      </w:r>
    </w:p>
    <w:p w14:paraId="7CCAF199" w14:textId="77777777" w:rsidR="005D44E8" w:rsidRPr="005D44E8" w:rsidRDefault="005D44E8" w:rsidP="00130C41">
      <w:pPr>
        <w:spacing w:line="480" w:lineRule="auto"/>
        <w:ind w:left="450" w:hanging="450"/>
      </w:pPr>
      <w:r w:rsidRPr="005D44E8">
        <w:t>Fu, X., Cao, H., Chen, J., Hou, X., Ling, Z., Xu, L., Zou, Y., Tang, C., and Hsu, W., 2021, Petrology and geochemistry of lunar feldspathic meteorite Northwest Africa 11111: Insights into the lithology of the lunar farside highlands: Meteoritics &amp; Planetary Science, v. 56, p. 1829–1856, doi:</w:t>
      </w:r>
      <w:hyperlink r:id="rId373" w:history="1">
        <w:r w:rsidRPr="005D44E8">
          <w:rPr>
            <w:color w:val="0000FF"/>
            <w:u w:val="single"/>
          </w:rPr>
          <w:t>10.1111/maps.13743</w:t>
        </w:r>
      </w:hyperlink>
      <w:r w:rsidRPr="005D44E8">
        <w:t>.</w:t>
      </w:r>
    </w:p>
    <w:p w14:paraId="10A38401" w14:textId="77777777" w:rsidR="005D44E8" w:rsidRPr="005D44E8" w:rsidRDefault="005D44E8" w:rsidP="00130C41">
      <w:pPr>
        <w:spacing w:line="480" w:lineRule="auto"/>
        <w:ind w:left="450" w:hanging="450"/>
      </w:pPr>
      <w:r w:rsidRPr="005D44E8">
        <w:t>Gaffney, A.M., and Borg, L.E., 2014, A young solidification age for the lunar magma ocean: Geochimica et Cosmochimica Acta, v. 140, p. 227–240, doi:</w:t>
      </w:r>
      <w:hyperlink r:id="rId374" w:history="1">
        <w:r w:rsidRPr="005D44E8">
          <w:rPr>
            <w:color w:val="0000FF"/>
            <w:u w:val="single"/>
          </w:rPr>
          <w:t>10.1016/j.gca.2014.05.028</w:t>
        </w:r>
      </w:hyperlink>
      <w:r w:rsidRPr="005D44E8">
        <w:t>.</w:t>
      </w:r>
    </w:p>
    <w:p w14:paraId="6C0BD2EF" w14:textId="77777777" w:rsidR="005D44E8" w:rsidRPr="005D44E8" w:rsidRDefault="005D44E8" w:rsidP="00130C41">
      <w:pPr>
        <w:spacing w:line="480" w:lineRule="auto"/>
        <w:ind w:left="450" w:hanging="450"/>
      </w:pPr>
      <w:r w:rsidRPr="005D44E8">
        <w:t xml:space="preserve">Gagnepain-Beyneix, J., Lognonné, P., Chenet, H., Lombardi, D., and Spohn, T., 2006, A seismic model of the lunar mantle and constraints on temperature and mineralogy: </w:t>
      </w:r>
      <w:r w:rsidRPr="005D44E8">
        <w:lastRenderedPageBreak/>
        <w:t>Physics of the Earth and Planetary Interiors, v. 159, p. 140–166, doi:</w:t>
      </w:r>
      <w:hyperlink r:id="rId375" w:history="1">
        <w:r w:rsidRPr="005D44E8">
          <w:rPr>
            <w:color w:val="0000FF"/>
            <w:u w:val="single"/>
          </w:rPr>
          <w:t>10.1016/j.pepi.2006.05.009</w:t>
        </w:r>
      </w:hyperlink>
      <w:r w:rsidRPr="005D44E8">
        <w:t>.</w:t>
      </w:r>
    </w:p>
    <w:p w14:paraId="1CA7F9FC" w14:textId="77777777" w:rsidR="005D44E8" w:rsidRPr="005D44E8" w:rsidRDefault="005D44E8" w:rsidP="00130C41">
      <w:pPr>
        <w:spacing w:line="480" w:lineRule="auto"/>
        <w:ind w:left="450" w:hanging="450"/>
      </w:pPr>
      <w:r w:rsidRPr="005D44E8">
        <w:t>Garrick-Bethell, I., Nimmo, F., and Wieczorek, M.A., 2010, Structure and Formation of the Lunar Farside Highlands: Science, v. 330, p. 949–951, doi:</w:t>
      </w:r>
      <w:hyperlink r:id="rId376" w:history="1">
        <w:r w:rsidRPr="005D44E8">
          <w:rPr>
            <w:color w:val="0000FF"/>
            <w:u w:val="single"/>
          </w:rPr>
          <w:t>10.1126/science.1193424</w:t>
        </w:r>
      </w:hyperlink>
      <w:r w:rsidRPr="005D44E8">
        <w:t>.</w:t>
      </w:r>
    </w:p>
    <w:p w14:paraId="732E0665" w14:textId="77777777" w:rsidR="005D44E8" w:rsidRPr="005D44E8" w:rsidRDefault="005D44E8" w:rsidP="00130C41">
      <w:pPr>
        <w:spacing w:line="480" w:lineRule="auto"/>
        <w:ind w:left="450" w:hanging="450"/>
      </w:pPr>
      <w:r w:rsidRPr="005D44E8">
        <w:t>Hagerty, J.J., Shearer, C.K., and Vaniman, D.T., 2006, Heat-producing elements in the lunar mantle: Insights from ion microprobe analyses of lunar pyroclastic glasses: Geochimica et Cosmochimica Acta, v. 70, p. 3457–3476, doi:</w:t>
      </w:r>
      <w:hyperlink r:id="rId377" w:history="1">
        <w:r w:rsidRPr="005D44E8">
          <w:rPr>
            <w:color w:val="0000FF"/>
            <w:u w:val="single"/>
          </w:rPr>
          <w:t>10.1016/j.gca.2006.04.013</w:t>
        </w:r>
      </w:hyperlink>
      <w:r w:rsidRPr="005D44E8">
        <w:t>.</w:t>
      </w:r>
    </w:p>
    <w:p w14:paraId="47B84654" w14:textId="77777777" w:rsidR="005D44E8" w:rsidRPr="005D44E8" w:rsidRDefault="005D44E8" w:rsidP="00130C41">
      <w:pPr>
        <w:spacing w:line="480" w:lineRule="auto"/>
        <w:ind w:left="450" w:hanging="450"/>
      </w:pPr>
      <w:r w:rsidRPr="005D44E8">
        <w:t>Hallis, L.J., Anand, M., and Strekopytov, S., 2014, Trace-element modelling of mare basalt parental melts: Implications for a heterogeneous lunar mantle: Geochimica et Cosmochimica Acta, v. 134, p. 289–316, doi:</w:t>
      </w:r>
      <w:hyperlink r:id="rId378" w:history="1">
        <w:r w:rsidRPr="005D44E8">
          <w:rPr>
            <w:color w:val="0000FF"/>
            <w:u w:val="single"/>
          </w:rPr>
          <w:t>10.1016/j.gca.2014.01.012</w:t>
        </w:r>
      </w:hyperlink>
      <w:r w:rsidRPr="005D44E8">
        <w:t>.</w:t>
      </w:r>
    </w:p>
    <w:p w14:paraId="036EE541" w14:textId="77777777" w:rsidR="005D44E8" w:rsidRPr="005D44E8" w:rsidRDefault="005D44E8" w:rsidP="00130C41">
      <w:pPr>
        <w:spacing w:line="480" w:lineRule="auto"/>
        <w:ind w:left="450" w:hanging="450"/>
      </w:pPr>
      <w:r w:rsidRPr="005D44E8">
        <w:t>Haupt, C.P., Renggli, C.J., Rohrbach, A., Berndt, J., and Klemme, S., 2024, Experimental Constraints on the Origin of the Lunar High-Ti Basalts: Journal of Geophysical Research: Planets, v. 129, p. e2023JE008239, doi:</w:t>
      </w:r>
      <w:hyperlink r:id="rId379" w:history="1">
        <w:r w:rsidRPr="005D44E8">
          <w:rPr>
            <w:color w:val="0000FF"/>
            <w:u w:val="single"/>
          </w:rPr>
          <w:t>10.1029/2023JE008239</w:t>
        </w:r>
      </w:hyperlink>
      <w:r w:rsidRPr="005D44E8">
        <w:t>.</w:t>
      </w:r>
    </w:p>
    <w:p w14:paraId="505D8ED5" w14:textId="77777777" w:rsidR="005D44E8" w:rsidRPr="005D44E8" w:rsidRDefault="005D44E8" w:rsidP="00130C41">
      <w:pPr>
        <w:spacing w:line="480" w:lineRule="auto"/>
        <w:ind w:left="450" w:hanging="450"/>
      </w:pPr>
      <w:r w:rsidRPr="005D44E8">
        <w:t>He, Q. et al., 2024, Petrogenesis of magnesian troctolitic granulite clasts from Chang’e -5 drilling sample: Implications for the origin of ejecta material from lunar highlands: Icarus, v. 408, p. 115853, doi:</w:t>
      </w:r>
      <w:hyperlink r:id="rId380" w:history="1">
        <w:r w:rsidRPr="005D44E8">
          <w:rPr>
            <w:color w:val="0000FF"/>
            <w:u w:val="single"/>
          </w:rPr>
          <w:t>10.1016/j.icarus.2023.115853</w:t>
        </w:r>
      </w:hyperlink>
      <w:r w:rsidRPr="005D44E8">
        <w:t>.</w:t>
      </w:r>
    </w:p>
    <w:p w14:paraId="303D5F44" w14:textId="77777777" w:rsidR="005D44E8" w:rsidRPr="005D44E8" w:rsidRDefault="005D44E8" w:rsidP="00130C41">
      <w:pPr>
        <w:spacing w:line="480" w:lineRule="auto"/>
        <w:ind w:left="450" w:hanging="450"/>
      </w:pPr>
      <w:r w:rsidRPr="005D44E8">
        <w:t>Henke, S., Gail, H.-P., and Trieloff, M., 2016, Thermal evolution and sintering of chondritic planetesimals: A&amp;A, v. 589, doi:</w:t>
      </w:r>
      <w:hyperlink r:id="rId381" w:history="1">
        <w:r w:rsidRPr="005D44E8">
          <w:rPr>
            <w:color w:val="0000FF"/>
            <w:u w:val="single"/>
          </w:rPr>
          <w:t>10.1051/0004-6361/201527687</w:t>
        </w:r>
      </w:hyperlink>
      <w:r w:rsidRPr="005D44E8">
        <w:t>.</w:t>
      </w:r>
    </w:p>
    <w:p w14:paraId="3D7C7E08" w14:textId="77777777" w:rsidR="005D44E8" w:rsidRPr="005D44E8" w:rsidRDefault="005D44E8" w:rsidP="00130C41">
      <w:pPr>
        <w:spacing w:line="480" w:lineRule="auto"/>
        <w:ind w:left="450" w:hanging="450"/>
      </w:pPr>
      <w:r w:rsidRPr="005D44E8">
        <w:lastRenderedPageBreak/>
        <w:t>Hevey, P.J., and Sanders, I.S., 2006, A model for planetesimal meltdown by 26Al and its implications for meteorite parent bodies: Meteoritics &amp; Planetary Science, v. 41, p. 95–106, doi:</w:t>
      </w:r>
      <w:hyperlink r:id="rId382" w:history="1">
        <w:r w:rsidRPr="005D44E8">
          <w:rPr>
            <w:color w:val="0000FF"/>
            <w:u w:val="single"/>
          </w:rPr>
          <w:t>10.1111/j.1945-5100.2006.tb00195.x</w:t>
        </w:r>
      </w:hyperlink>
      <w:r w:rsidRPr="005D44E8">
        <w:t>.</w:t>
      </w:r>
    </w:p>
    <w:p w14:paraId="6BFBD9F0" w14:textId="77777777" w:rsidR="005D44E8" w:rsidRPr="005D44E8" w:rsidRDefault="005D44E8" w:rsidP="00130C41">
      <w:pPr>
        <w:spacing w:line="480" w:lineRule="auto"/>
        <w:ind w:left="450" w:hanging="450"/>
      </w:pPr>
      <w:r w:rsidRPr="005D44E8">
        <w:t xml:space="preserve">Hinthorne, J.R., Conrad, R., and Andersen, C.A., 1975, Lead-Lead Age and Trace Element Abundances in Lunar Troctolite 76535, </w:t>
      </w:r>
      <w:r w:rsidRPr="005D44E8">
        <w:rPr>
          <w:i/>
          <w:iCs/>
        </w:rPr>
        <w:t>in</w:t>
      </w:r>
      <w:r w:rsidRPr="005D44E8">
        <w:t xml:space="preserve"> Lunar and Planetary Science Conference, Lunar and Planetary Science Conference, v. 6, p. 373.</w:t>
      </w:r>
    </w:p>
    <w:p w14:paraId="37E4AEA5" w14:textId="77777777" w:rsidR="005D44E8" w:rsidRPr="005D44E8" w:rsidRDefault="005D44E8" w:rsidP="00130C41">
      <w:pPr>
        <w:spacing w:line="480" w:lineRule="auto"/>
        <w:ind w:left="450" w:hanging="450"/>
      </w:pPr>
      <w:r w:rsidRPr="005D44E8">
        <w:t xml:space="preserve">Hörz, F., Grieve, R., Heiken, G., Spudis, P., and Binder, A., 1991, Lunar Surface Processes, </w:t>
      </w:r>
      <w:r w:rsidRPr="005D44E8">
        <w:rPr>
          <w:i/>
          <w:iCs/>
        </w:rPr>
        <w:t>in</w:t>
      </w:r>
      <w:r w:rsidRPr="005D44E8">
        <w:t xml:space="preserve"> Heiken, G.H., Vaniman, D.T., and French, B.M. eds., Lunar Sourcebook, A User’s Guide to the Moon, p. 61–120.</w:t>
      </w:r>
    </w:p>
    <w:p w14:paraId="5B0CBD7E" w14:textId="77777777" w:rsidR="005D44E8" w:rsidRPr="005D44E8" w:rsidRDefault="005D44E8" w:rsidP="00130C41">
      <w:pPr>
        <w:spacing w:line="480" w:lineRule="auto"/>
        <w:ind w:left="450" w:hanging="450"/>
      </w:pPr>
      <w:r w:rsidRPr="005D44E8">
        <w:t>Hughes, S.S., Delano, J.W., and Schmitt, R.A., 1990, Chemistry of individual mare volcanic glasses: evidence for distinct regions of hybridized mantle and a KREEP component in Apollo 14 magmatic sources.: Lunar and Planetary Science Conference Proceedings, v. 20, p. 127–138.</w:t>
      </w:r>
    </w:p>
    <w:p w14:paraId="12CE648A" w14:textId="77777777" w:rsidR="005D44E8" w:rsidRPr="005D44E8" w:rsidRDefault="005D44E8" w:rsidP="00130C41">
      <w:pPr>
        <w:spacing w:line="480" w:lineRule="auto"/>
        <w:ind w:left="450" w:hanging="450"/>
      </w:pPr>
      <w:r w:rsidRPr="005D44E8">
        <w:t xml:space="preserve">Huneke, J.C., Jessberger, E.K., Podosek, F.A., and Wasserburg, G.J., 1973, </w:t>
      </w:r>
      <w:r w:rsidRPr="005D44E8">
        <w:rPr>
          <w:vertAlign w:val="superscript"/>
        </w:rPr>
        <w:t>40</w:t>
      </w:r>
      <w:r w:rsidRPr="005D44E8">
        <w:t>Ar/</w:t>
      </w:r>
      <w:r w:rsidRPr="005D44E8">
        <w:rPr>
          <w:vertAlign w:val="superscript"/>
        </w:rPr>
        <w:t>39</w:t>
      </w:r>
      <w:r w:rsidRPr="005D44E8">
        <w:t>Ar measurements in Apollo 16 and 17 samples and the chronology of metamorphic and volcanic activity in the Taurus-Littrow region: Lunar and Planetary Science Conference Proceedings, v. 4, p. 1725.</w:t>
      </w:r>
    </w:p>
    <w:p w14:paraId="12F3CCD7" w14:textId="77777777" w:rsidR="005D44E8" w:rsidRPr="005D44E8" w:rsidRDefault="005D44E8" w:rsidP="00130C41">
      <w:pPr>
        <w:spacing w:line="480" w:lineRule="auto"/>
        <w:ind w:left="450" w:hanging="450"/>
      </w:pPr>
      <w:r w:rsidRPr="005D44E8">
        <w:t xml:space="preserve">Huneke, J.C., and Wasserburg, G.J., 1975, Trapped 40Ar in Troctolite 76535 and Evidence for Enhanced 40Ar-39Ar Age Plateaus, </w:t>
      </w:r>
      <w:r w:rsidRPr="005D44E8">
        <w:rPr>
          <w:i/>
          <w:iCs/>
        </w:rPr>
        <w:t>in</w:t>
      </w:r>
      <w:r w:rsidRPr="005D44E8">
        <w:t xml:space="preserve"> Lunar and Planetary Science Conference, Lunar and Planetary Science Conference, v. 6, p. 417.</w:t>
      </w:r>
    </w:p>
    <w:p w14:paraId="2E060B41" w14:textId="77777777" w:rsidR="005D44E8" w:rsidRPr="005D44E8" w:rsidRDefault="005D44E8" w:rsidP="00130C41">
      <w:pPr>
        <w:spacing w:line="480" w:lineRule="auto"/>
        <w:ind w:left="450" w:hanging="450"/>
      </w:pPr>
      <w:r w:rsidRPr="005D44E8">
        <w:t>Husain, L., and Schaeffer, O.A., 1975, Lunar evolution: The first 600 million years: Geophysical Research Letters, v. 2, p. 29–32, doi:</w:t>
      </w:r>
      <w:hyperlink r:id="rId383" w:history="1">
        <w:r w:rsidRPr="005D44E8">
          <w:rPr>
            <w:color w:val="0000FF"/>
            <w:u w:val="single"/>
          </w:rPr>
          <w:t>10.1029/GL002i001p00029</w:t>
        </w:r>
      </w:hyperlink>
      <w:r w:rsidRPr="005D44E8">
        <w:t>.</w:t>
      </w:r>
    </w:p>
    <w:p w14:paraId="38EA8A77" w14:textId="77777777" w:rsidR="005D44E8" w:rsidRPr="005D44E8" w:rsidRDefault="005D44E8" w:rsidP="00130C41">
      <w:pPr>
        <w:spacing w:line="480" w:lineRule="auto"/>
        <w:ind w:left="450" w:hanging="450"/>
      </w:pPr>
      <w:r w:rsidRPr="005D44E8">
        <w:lastRenderedPageBreak/>
        <w:t>Jones, M.J., Evans, A.J., Johnson, B.C., Weller, M.B., Andrews-Hanna, J.C., Tikoo, S.M., and Keane, J.T. A South Pole–Aitken impact origin of the lunar compositional asymmetry: Science Advances, v. 8, p. eabm8475, doi:</w:t>
      </w:r>
      <w:hyperlink r:id="rId384" w:history="1">
        <w:r w:rsidRPr="005D44E8">
          <w:rPr>
            <w:color w:val="0000FF"/>
            <w:u w:val="single"/>
          </w:rPr>
          <w:t>10.1126/sciadv.abm8475</w:t>
        </w:r>
      </w:hyperlink>
      <w:r w:rsidRPr="005D44E8">
        <w:t>.</w:t>
      </w:r>
    </w:p>
    <w:p w14:paraId="18CEC682" w14:textId="77777777" w:rsidR="005D44E8" w:rsidRPr="005D44E8" w:rsidRDefault="005D44E8" w:rsidP="00130C41">
      <w:pPr>
        <w:spacing w:line="480" w:lineRule="auto"/>
        <w:ind w:left="450" w:hanging="450"/>
      </w:pPr>
      <w:r w:rsidRPr="005D44E8">
        <w:t>van Kan Parker, M., Mason, P.R.D., and van Westrenen, W., 2011, Experimental study of trace element partitioning between lunar orthopyroxene and anhydrous silicate melt: Effects of lithium and iron: Chemical Geology, v. 285, p. 1–14, doi:</w:t>
      </w:r>
      <w:hyperlink r:id="rId385" w:history="1">
        <w:r w:rsidRPr="005D44E8">
          <w:rPr>
            <w:color w:val="0000FF"/>
            <w:u w:val="single"/>
          </w:rPr>
          <w:t>10.1016/j.chemgeo.2011.02.007</w:t>
        </w:r>
      </w:hyperlink>
      <w:r w:rsidRPr="005D44E8">
        <w:t>.</w:t>
      </w:r>
    </w:p>
    <w:p w14:paraId="4FA22372" w14:textId="77777777" w:rsidR="005D44E8" w:rsidRPr="005D44E8" w:rsidRDefault="005D44E8" w:rsidP="00130C41">
      <w:pPr>
        <w:spacing w:line="480" w:lineRule="auto"/>
        <w:ind w:left="450" w:hanging="450"/>
      </w:pPr>
      <w:r w:rsidRPr="005D44E8">
        <w:t>Katz, R.F., Spiegelman, M., and Langmuir, C.H., 2003, A new parameterization of hydrous mantle melting: Geochemistry, Geophysics, Geosystems, v. 4, doi:</w:t>
      </w:r>
      <w:hyperlink r:id="rId386" w:history="1">
        <w:r w:rsidRPr="005D44E8">
          <w:rPr>
            <w:color w:val="0000FF"/>
            <w:u w:val="single"/>
          </w:rPr>
          <w:t>10.1029/2002GC000433</w:t>
        </w:r>
      </w:hyperlink>
      <w:r w:rsidRPr="005D44E8">
        <w:t>.</w:t>
      </w:r>
    </w:p>
    <w:p w14:paraId="1A36AB6D" w14:textId="77777777" w:rsidR="005D44E8" w:rsidRPr="005D44E8" w:rsidRDefault="005D44E8" w:rsidP="00130C41">
      <w:pPr>
        <w:spacing w:line="480" w:lineRule="auto"/>
        <w:ind w:left="450" w:hanging="450"/>
      </w:pPr>
      <w:r w:rsidRPr="005D44E8">
        <w:t>Kent, J.J., Brandon, A.D., Joy, K.H., Peslier, A.H., Lapen, T.J., Irving, A.J., and Coleff, D.M., 2017, Mineralogy and petrogenesis of lunar magnesian granulitic meteorite Northwest Africa 5744: Meteoritics &amp; Planetary Science, v. 52, p. 1916–1940, doi:</w:t>
      </w:r>
      <w:hyperlink r:id="rId387" w:history="1">
        <w:r w:rsidRPr="005D44E8">
          <w:rPr>
            <w:color w:val="0000FF"/>
            <w:u w:val="single"/>
          </w:rPr>
          <w:t>10.1111/maps.12898</w:t>
        </w:r>
      </w:hyperlink>
      <w:r w:rsidRPr="005D44E8">
        <w:t>.</w:t>
      </w:r>
    </w:p>
    <w:p w14:paraId="3E5B345D" w14:textId="77777777" w:rsidR="005D44E8" w:rsidRPr="005D44E8" w:rsidRDefault="005D44E8" w:rsidP="00130C41">
      <w:pPr>
        <w:spacing w:line="480" w:lineRule="auto"/>
        <w:ind w:left="450" w:hanging="450"/>
      </w:pPr>
      <w:r w:rsidRPr="005D44E8">
        <w:t xml:space="preserve">Kirsten, T., and Horn, P., 1974, 39Ar-40Ar-Chronology of the Taurus-Littrow Region II: A 4.28 b.y. Old Troctolite and Ages of Basalts and Highland Breccias, </w:t>
      </w:r>
      <w:r w:rsidRPr="005D44E8">
        <w:rPr>
          <w:i/>
          <w:iCs/>
        </w:rPr>
        <w:t>in</w:t>
      </w:r>
      <w:r w:rsidRPr="005D44E8">
        <w:t xml:space="preserve"> Lunar and Planetary Science Conference, Lunar and Planetary Science Conference, v. 5, p. 419.</w:t>
      </w:r>
    </w:p>
    <w:p w14:paraId="4BF49D5D" w14:textId="77777777" w:rsidR="005D44E8" w:rsidRPr="005D44E8" w:rsidRDefault="005D44E8" w:rsidP="00130C41">
      <w:pPr>
        <w:spacing w:line="480" w:lineRule="auto"/>
        <w:ind w:left="450" w:hanging="450"/>
      </w:pPr>
      <w:r w:rsidRPr="005D44E8">
        <w:t>Kirsten, T., Horn, P., and Heymann, D., 1973, Chronology of the Taurus-Littrow region I: Ages of two major rock types from the Apollo 17-site: Earth and Planetary Science Letters, v. 20, p. 125–130, doi:</w:t>
      </w:r>
      <w:hyperlink r:id="rId388" w:history="1">
        <w:r w:rsidRPr="005D44E8">
          <w:rPr>
            <w:color w:val="0000FF"/>
            <w:u w:val="single"/>
          </w:rPr>
          <w:t>10.1016/0012-821X(73)90149-0</w:t>
        </w:r>
      </w:hyperlink>
      <w:r w:rsidRPr="005D44E8">
        <w:t>.</w:t>
      </w:r>
    </w:p>
    <w:p w14:paraId="0245E0DD" w14:textId="77777777" w:rsidR="005D44E8" w:rsidRPr="005D44E8" w:rsidRDefault="005D44E8" w:rsidP="00130C41">
      <w:pPr>
        <w:spacing w:line="480" w:lineRule="auto"/>
        <w:ind w:left="450" w:hanging="450"/>
      </w:pPr>
      <w:r w:rsidRPr="005D44E8">
        <w:lastRenderedPageBreak/>
        <w:t>Laneuville, M., Taylor, J., and Wieczorek, M., 2018, Distribution of radioactive heat sources and thermal history of the Moon: Journal of Geophysical Research: Planets, v. 123, p. 3144–3166, doi:</w:t>
      </w:r>
      <w:hyperlink r:id="rId389" w:history="1">
        <w:r w:rsidRPr="005D44E8">
          <w:rPr>
            <w:color w:val="0000FF"/>
            <w:u w:val="single"/>
          </w:rPr>
          <w:t>10.1029/2018JE005742</w:t>
        </w:r>
      </w:hyperlink>
      <w:r w:rsidRPr="005D44E8">
        <w:t>.</w:t>
      </w:r>
    </w:p>
    <w:p w14:paraId="4DD03D39" w14:textId="77777777" w:rsidR="005D44E8" w:rsidRPr="005D44E8" w:rsidRDefault="005D44E8" w:rsidP="00130C41">
      <w:pPr>
        <w:spacing w:line="480" w:lineRule="auto"/>
        <w:ind w:left="450" w:hanging="450"/>
      </w:pPr>
      <w:r w:rsidRPr="005D44E8">
        <w:t>Laneuville, M., Wieczorek, M.A., Breuer, D., Aubert, J., Morard, G., and Rückriemen, T., 2014, A long-lived lunar dynamo powered by core crystallization: Earth and Planetary Science Letters, v. 401, p. 251–260, doi:</w:t>
      </w:r>
      <w:hyperlink r:id="rId390" w:history="1">
        <w:r w:rsidRPr="005D44E8">
          <w:rPr>
            <w:color w:val="0000FF"/>
            <w:u w:val="single"/>
          </w:rPr>
          <w:t>10.1016/j.epsl.2014.05.057</w:t>
        </w:r>
      </w:hyperlink>
      <w:r w:rsidRPr="005D44E8">
        <w:t>.</w:t>
      </w:r>
    </w:p>
    <w:p w14:paraId="48C9A3BA" w14:textId="77777777" w:rsidR="005D44E8" w:rsidRPr="005D44E8" w:rsidRDefault="005D44E8" w:rsidP="00130C41">
      <w:pPr>
        <w:spacing w:line="480" w:lineRule="auto"/>
        <w:ind w:left="450" w:hanging="450"/>
      </w:pPr>
      <w:r w:rsidRPr="005D44E8">
        <w:t>Laneuville, M., Wieczorek, M., Breuer, D., and Tosi, N., 2013, Asymmetric thermal evolution of the Moon: Journal of Geophysical Research: Planets, v. 118, p. 1435–1452, doi:</w:t>
      </w:r>
      <w:hyperlink r:id="rId391" w:history="1">
        <w:r w:rsidRPr="005D44E8">
          <w:rPr>
            <w:color w:val="0000FF"/>
            <w:u w:val="single"/>
          </w:rPr>
          <w:t>10.1002/jgre.20103</w:t>
        </w:r>
      </w:hyperlink>
      <w:r w:rsidRPr="005D44E8">
        <w:t>.</w:t>
      </w:r>
    </w:p>
    <w:p w14:paraId="7A9AF640" w14:textId="77777777" w:rsidR="005D44E8" w:rsidRPr="005D44E8" w:rsidRDefault="005D44E8" w:rsidP="00130C41">
      <w:pPr>
        <w:spacing w:line="480" w:lineRule="auto"/>
        <w:ind w:left="450" w:hanging="450"/>
      </w:pPr>
      <w:r w:rsidRPr="005D44E8">
        <w:t>Leitzke, F.P., Fonseca, R.O.C., Michely, L.T., Sprung, P., Münker, C., Heuser, A., and Blanchard, H., 2016, The effect of titanium on the partitioning behavior of high-field strength elements between silicates, oxides and lunar basaltic melts with applications to the origin of mare basalts: Chemical Geology, v. 440, p. 219–238, doi:</w:t>
      </w:r>
      <w:hyperlink r:id="rId392" w:history="1">
        <w:r w:rsidRPr="005D44E8">
          <w:rPr>
            <w:color w:val="0000FF"/>
            <w:u w:val="single"/>
          </w:rPr>
          <w:t>10.1016/j.chemgeo.2016.07.011</w:t>
        </w:r>
      </w:hyperlink>
      <w:r w:rsidRPr="005D44E8">
        <w:t>.</w:t>
      </w:r>
    </w:p>
    <w:p w14:paraId="25E5F3BB" w14:textId="77777777" w:rsidR="005D44E8" w:rsidRPr="005D44E8" w:rsidRDefault="005D44E8" w:rsidP="00130C41">
      <w:pPr>
        <w:spacing w:line="480" w:lineRule="auto"/>
        <w:ind w:left="450" w:hanging="450"/>
      </w:pPr>
      <w:r w:rsidRPr="005D44E8">
        <w:t>Li, Q.-L. et al., 2021, Two-billion-year-old volcanism on the Moon from Chang’e-5 basalts: Nature, v. 600, p. 54–58, doi:</w:t>
      </w:r>
      <w:hyperlink r:id="rId393" w:history="1">
        <w:r w:rsidRPr="005D44E8">
          <w:rPr>
            <w:color w:val="0000FF"/>
            <w:u w:val="single"/>
          </w:rPr>
          <w:t>10.1038/s41586-021-04100-2</w:t>
        </w:r>
      </w:hyperlink>
      <w:r w:rsidRPr="005D44E8">
        <w:t>.</w:t>
      </w:r>
    </w:p>
    <w:p w14:paraId="01C417CB" w14:textId="77777777" w:rsidR="005D44E8" w:rsidRPr="005D44E8" w:rsidRDefault="005D44E8" w:rsidP="00130C41">
      <w:pPr>
        <w:spacing w:line="480" w:lineRule="auto"/>
        <w:ind w:left="450" w:hanging="450"/>
      </w:pPr>
      <w:r w:rsidRPr="005D44E8">
        <w:t>Li, M., Huang, S., Petaev, M.I., Zhu, Z., and Steffen, J.H., 2020, Dust condensation in evolving discs and the composition of planetary building blocks: Monthly Notices of the Royal Astronomical Society, v. 495, p. 2543–2553, doi:</w:t>
      </w:r>
      <w:hyperlink r:id="rId394" w:history="1">
        <w:r w:rsidRPr="005D44E8">
          <w:rPr>
            <w:color w:val="0000FF"/>
            <w:u w:val="single"/>
          </w:rPr>
          <w:t>10.1093/mnras/staa1149</w:t>
        </w:r>
      </w:hyperlink>
      <w:r w:rsidRPr="005D44E8">
        <w:t>.</w:t>
      </w:r>
    </w:p>
    <w:p w14:paraId="5AD16577" w14:textId="77777777" w:rsidR="005D44E8" w:rsidRPr="005D44E8" w:rsidRDefault="005D44E8" w:rsidP="00130C41">
      <w:pPr>
        <w:spacing w:line="480" w:lineRule="auto"/>
        <w:ind w:left="450" w:hanging="450"/>
      </w:pPr>
      <w:r w:rsidRPr="005D44E8">
        <w:t xml:space="preserve">Li, H., Zhang, N., Liang, Y., Wu, B., Dygert, N.J., Huang, J., and Parmentier, E.M., 2019, Lunar Cumulate Mantle Overturn: A Model Constrained by Ilmenite </w:t>
      </w:r>
      <w:r w:rsidRPr="005D44E8">
        <w:lastRenderedPageBreak/>
        <w:t>Rheology: Journal of Geophysical Research: Planets, v. 124, p. 1357–1378, doi:</w:t>
      </w:r>
      <w:hyperlink r:id="rId395" w:history="1">
        <w:r w:rsidRPr="005D44E8">
          <w:rPr>
            <w:color w:val="0000FF"/>
            <w:u w:val="single"/>
          </w:rPr>
          <w:t>10.1029/2018JE005905</w:t>
        </w:r>
      </w:hyperlink>
      <w:r w:rsidRPr="005D44E8">
        <w:t>.</w:t>
      </w:r>
    </w:p>
    <w:p w14:paraId="2E2E7235" w14:textId="77777777" w:rsidR="005D44E8" w:rsidRPr="005D44E8" w:rsidRDefault="005D44E8" w:rsidP="00130C41">
      <w:pPr>
        <w:spacing w:line="480" w:lineRule="auto"/>
        <w:ind w:left="450" w:hanging="450"/>
      </w:pPr>
      <w:r w:rsidRPr="005D44E8">
        <w:t>Lodders, K., 2003, Solar System Abundances and Condensation Temperatures of the Elements: The Astrophysical Journal, v. 591, p. 1220, doi:</w:t>
      </w:r>
      <w:hyperlink r:id="rId396" w:history="1">
        <w:r w:rsidRPr="005D44E8">
          <w:rPr>
            <w:color w:val="0000FF"/>
            <w:u w:val="single"/>
          </w:rPr>
          <w:t>10.1086/375492</w:t>
        </w:r>
      </w:hyperlink>
      <w:r w:rsidRPr="005D44E8">
        <w:t>.</w:t>
      </w:r>
    </w:p>
    <w:p w14:paraId="46E01BEB" w14:textId="77777777" w:rsidR="005D44E8" w:rsidRPr="005D44E8" w:rsidRDefault="005D44E8" w:rsidP="00130C41">
      <w:pPr>
        <w:spacing w:line="480" w:lineRule="auto"/>
        <w:ind w:left="450" w:hanging="450"/>
      </w:pPr>
      <w:r w:rsidRPr="005D44E8">
        <w:t xml:space="preserve">Lugmair, G.W., Kurtz, J.P., Marti, K., and Scheinin, N.B., 1976, The Low-Sm/Nd Region of the Moon: Evolution and History of a Troctolite and a KREEP Basalt, </w:t>
      </w:r>
      <w:r w:rsidRPr="005D44E8">
        <w:rPr>
          <w:i/>
          <w:iCs/>
        </w:rPr>
        <w:t>in</w:t>
      </w:r>
      <w:r w:rsidRPr="005D44E8">
        <w:t xml:space="preserve"> Lunar and Planetary Science Conference, Lunar and Planetary Science Conference, v. 7, p. 509.</w:t>
      </w:r>
    </w:p>
    <w:p w14:paraId="1E9BD6D9" w14:textId="77777777" w:rsidR="005D44E8" w:rsidRPr="005D44E8" w:rsidRDefault="005D44E8" w:rsidP="00130C41">
      <w:pPr>
        <w:spacing w:line="480" w:lineRule="auto"/>
        <w:ind w:left="450" w:hanging="450"/>
      </w:pPr>
      <w:r w:rsidRPr="005D44E8">
        <w:t xml:space="preserve">Lugmair, G.W., Scheinin, N.B., and Marti, K., 1975, Sm-Nd Age of Apollo 17 Basalt 75075: Two-Stage Igneous Processes in Mare Basalt Genesis, </w:t>
      </w:r>
      <w:r w:rsidRPr="005D44E8">
        <w:rPr>
          <w:i/>
          <w:iCs/>
        </w:rPr>
        <w:t>in</w:t>
      </w:r>
      <w:r w:rsidRPr="005D44E8">
        <w:t xml:space="preserve"> Lunar and Planetary Science Conference, Lunar and Planetary Science Conference, v. 6, p. 531.</w:t>
      </w:r>
    </w:p>
    <w:p w14:paraId="5B8DF974" w14:textId="77777777" w:rsidR="005D44E8" w:rsidRPr="005D44E8" w:rsidRDefault="005D44E8" w:rsidP="00130C41">
      <w:pPr>
        <w:spacing w:line="480" w:lineRule="auto"/>
        <w:ind w:left="450" w:hanging="450"/>
      </w:pPr>
      <w:r w:rsidRPr="005D44E8">
        <w:t>McDonough, W.F., and Sun, S. -s., 1995, The composition of the Earth: Chemical Evolution of the Mantle, v. 120, p. 223–253, doi:</w:t>
      </w:r>
      <w:hyperlink r:id="rId397" w:history="1">
        <w:r w:rsidRPr="005D44E8">
          <w:rPr>
            <w:color w:val="0000FF"/>
            <w:u w:val="single"/>
          </w:rPr>
          <w:t>10.1016/0009-2541(94)00140-4</w:t>
        </w:r>
      </w:hyperlink>
      <w:r w:rsidRPr="005D44E8">
        <w:t>.</w:t>
      </w:r>
    </w:p>
    <w:p w14:paraId="70A7C0F0" w14:textId="77777777" w:rsidR="005D44E8" w:rsidRPr="005D44E8" w:rsidRDefault="005D44E8" w:rsidP="00130C41">
      <w:pPr>
        <w:spacing w:line="480" w:lineRule="auto"/>
        <w:ind w:left="450" w:hanging="450"/>
      </w:pPr>
      <w:r w:rsidRPr="005D44E8">
        <w:t>McIntosh, E.C., Day, J.M.D., McCubbin, F.M., Vander Kaaden, K.E., Hattingh, R., and Porrachia, M., 2024, Revisiting the Petrogenesis of Pyroclastic Glass Bead Deposits at the Apollo 15 and 17 Sites: Journal of Petrology, v. 65, p. egae026, doi:</w:t>
      </w:r>
      <w:hyperlink r:id="rId398" w:history="1">
        <w:r w:rsidRPr="005D44E8">
          <w:rPr>
            <w:color w:val="0000FF"/>
            <w:u w:val="single"/>
          </w:rPr>
          <w:t>10.1093/petrology/egae026</w:t>
        </w:r>
      </w:hyperlink>
      <w:r w:rsidRPr="005D44E8">
        <w:t>.</w:t>
      </w:r>
    </w:p>
    <w:p w14:paraId="6EA1A34E" w14:textId="77777777" w:rsidR="005D44E8" w:rsidRPr="005D44E8" w:rsidRDefault="005D44E8" w:rsidP="00130C41">
      <w:pPr>
        <w:spacing w:line="480" w:lineRule="auto"/>
        <w:ind w:left="450" w:hanging="450"/>
      </w:pPr>
      <w:r w:rsidRPr="005D44E8">
        <w:t xml:space="preserve">Meyer, C., Williams, I.S., and Compston, W., 1989, </w:t>
      </w:r>
      <w:r w:rsidRPr="005D44E8">
        <w:rPr>
          <w:vertAlign w:val="superscript"/>
        </w:rPr>
        <w:t>207</w:t>
      </w:r>
      <w:r w:rsidRPr="005D44E8">
        <w:t>Pb/</w:t>
      </w:r>
      <w:r w:rsidRPr="005D44E8">
        <w:rPr>
          <w:vertAlign w:val="superscript"/>
        </w:rPr>
        <w:t>206</w:t>
      </w:r>
      <w:r w:rsidRPr="005D44E8">
        <w:t xml:space="preserve">Pb Ages of Zircon-containing Rock Fragments Indicate Continuous Magmatism in the Lunar Crust from 4350 to 3900 Million Years, </w:t>
      </w:r>
      <w:r w:rsidRPr="005D44E8">
        <w:rPr>
          <w:i/>
          <w:iCs/>
        </w:rPr>
        <w:t>in</w:t>
      </w:r>
      <w:r w:rsidRPr="005D44E8">
        <w:t xml:space="preserve"> LPI Editorial Board ed., 20th Lunar and Planetary Science Conference, LPI Contributions, v. 698, p. 73.</w:t>
      </w:r>
    </w:p>
    <w:p w14:paraId="4A02EBBC" w14:textId="77777777" w:rsidR="005D44E8" w:rsidRPr="005D44E8" w:rsidRDefault="005D44E8" w:rsidP="00130C41">
      <w:pPr>
        <w:spacing w:line="480" w:lineRule="auto"/>
        <w:ind w:left="450" w:hanging="450"/>
      </w:pPr>
      <w:r w:rsidRPr="005D44E8">
        <w:lastRenderedPageBreak/>
        <w:t>Moriarty III, D.P., Watkins, R.N., Valencia, S.N., Kendall, J.D., Evans, A.J., Dygert, N., and Petro, N.E., 2021, Evidence for a Stratified Upper Mantle Preserved Within the South Pole-Aitken Basin: Journal of Geophysical Research: Planets, v. 126, p. e2020JE006589, doi:</w:t>
      </w:r>
      <w:hyperlink r:id="rId399" w:history="1">
        <w:r w:rsidRPr="005D44E8">
          <w:rPr>
            <w:color w:val="0000FF"/>
            <w:u w:val="single"/>
          </w:rPr>
          <w:t>10.1029/2020JE006589</w:t>
        </w:r>
      </w:hyperlink>
      <w:r w:rsidRPr="005D44E8">
        <w:t>.</w:t>
      </w:r>
    </w:p>
    <w:p w14:paraId="6D1A63A3" w14:textId="77777777" w:rsidR="005D44E8" w:rsidRPr="005D44E8" w:rsidRDefault="005D44E8" w:rsidP="00130C41">
      <w:pPr>
        <w:spacing w:line="480" w:lineRule="auto"/>
        <w:ind w:left="450" w:hanging="450"/>
      </w:pPr>
      <w:r w:rsidRPr="005D44E8">
        <w:t>Morton, K.W., and Mayers, D.F., 2005, Numerical solution of partial differential equations: an introduction: Cambridge university press.</w:t>
      </w:r>
    </w:p>
    <w:p w14:paraId="286D43FA" w14:textId="77777777" w:rsidR="005D44E8" w:rsidRPr="005D44E8" w:rsidRDefault="005D44E8" w:rsidP="00130C41">
      <w:pPr>
        <w:spacing w:line="480" w:lineRule="auto"/>
        <w:ind w:left="450" w:hanging="450"/>
      </w:pPr>
      <w:r w:rsidRPr="005D44E8">
        <w:t>Murthy, V.R., and Coscio, Jr., M.R., 1976, Rb-Sr ages and isotopic systematics of some Serenitatis mare basalts.: Lunar and Planetary Science Conference Proceedings, v. 2, p. 1529–1544.</w:t>
      </w:r>
    </w:p>
    <w:p w14:paraId="02D586B2" w14:textId="77777777" w:rsidR="005D44E8" w:rsidRPr="005D44E8" w:rsidRDefault="005D44E8" w:rsidP="00130C41">
      <w:pPr>
        <w:spacing w:line="480" w:lineRule="auto"/>
        <w:ind w:left="450" w:hanging="450"/>
      </w:pPr>
      <w:r w:rsidRPr="005D44E8">
        <w:t>Nakamura, N., Tatsumoto, M., Nunes, P.D., Unruh, D.M., Schwab, A.P., and Wildeman, T.R., 1976, 4.4 b.y.-old clast in Boulder 7, Apollo 17: a comprehensive chronological study by U-Pb, Rb-Sr and Sm-Nd methods.: Lunar and Planetary Science Conference Proceedings, v. 2, p. 2309–2333.</w:t>
      </w:r>
    </w:p>
    <w:p w14:paraId="549D08F8" w14:textId="77777777" w:rsidR="005D44E8" w:rsidRPr="005D44E8" w:rsidRDefault="005D44E8" w:rsidP="00130C41">
      <w:pPr>
        <w:spacing w:line="480" w:lineRule="auto"/>
        <w:ind w:left="450" w:hanging="450"/>
      </w:pPr>
      <w:r w:rsidRPr="005D44E8">
        <w:t>Nash, W.P., and Crecraft, H.R., 1985, Partition coefficients for trace elements in silicic magmas: Geochimica et Cosmochimica Acta, v. 49, p. 2309–2322, doi:</w:t>
      </w:r>
      <w:hyperlink r:id="rId400" w:history="1">
        <w:r w:rsidRPr="005D44E8">
          <w:rPr>
            <w:color w:val="0000FF"/>
            <w:u w:val="single"/>
          </w:rPr>
          <w:t>10.1016/0016-7037(85)90231-5</w:t>
        </w:r>
      </w:hyperlink>
      <w:r w:rsidRPr="005D44E8">
        <w:t>.</w:t>
      </w:r>
    </w:p>
    <w:p w14:paraId="276DF5AD" w14:textId="77777777" w:rsidR="005D44E8" w:rsidRPr="005D44E8" w:rsidRDefault="005D44E8" w:rsidP="00130C41">
      <w:pPr>
        <w:spacing w:line="480" w:lineRule="auto"/>
        <w:ind w:left="450" w:hanging="450"/>
      </w:pPr>
      <w:r w:rsidRPr="005D44E8">
        <w:t xml:space="preserve">Neal, C.R., and Kramer, G.Y., 2003, The Composition of KREEP: A Detailed Study of KREEP Basalt 15386, </w:t>
      </w:r>
      <w:r w:rsidRPr="005D44E8">
        <w:rPr>
          <w:i/>
          <w:iCs/>
        </w:rPr>
        <w:t>in</w:t>
      </w:r>
      <w:r w:rsidRPr="005D44E8">
        <w:t xml:space="preserve"> Mackwell, S. and Stansbery, E. eds., Lunar and Planetary Science Conference, Lunar and Planetary Science Conference, p. 2023.</w:t>
      </w:r>
    </w:p>
    <w:p w14:paraId="4076C7B0" w14:textId="77777777" w:rsidR="005D44E8" w:rsidRPr="005D44E8" w:rsidRDefault="005D44E8" w:rsidP="00130C41">
      <w:pPr>
        <w:spacing w:line="480" w:lineRule="auto"/>
        <w:ind w:left="450" w:hanging="450"/>
      </w:pPr>
      <w:r w:rsidRPr="005D44E8">
        <w:t xml:space="preserve">Norman, M.D., Borg, L.E., Nyquist, L.E., and Bogard, D.D., 2003, Chronology, geochemistry, and petrology of a ferroan noritic anorthosite clast from Descartes breccia 67215: Clues to the age, origin, structure, and impact history of the lunar </w:t>
      </w:r>
      <w:r w:rsidRPr="005D44E8">
        <w:lastRenderedPageBreak/>
        <w:t>crust: Meteoritics &amp; Planetary Science, v. 38, p. 645–661, doi:</w:t>
      </w:r>
      <w:hyperlink r:id="rId401" w:history="1">
        <w:r w:rsidRPr="005D44E8">
          <w:rPr>
            <w:color w:val="0000FF"/>
            <w:u w:val="single"/>
          </w:rPr>
          <w:t>10.1111/j.1945-5100.2003.tb00031.x</w:t>
        </w:r>
      </w:hyperlink>
      <w:r w:rsidRPr="005D44E8">
        <w:t>.</w:t>
      </w:r>
    </w:p>
    <w:p w14:paraId="27D77C9C" w14:textId="77777777" w:rsidR="005D44E8" w:rsidRPr="005D44E8" w:rsidRDefault="005D44E8" w:rsidP="00130C41">
      <w:pPr>
        <w:spacing w:line="480" w:lineRule="auto"/>
        <w:ind w:left="450" w:hanging="450"/>
      </w:pPr>
      <w:r w:rsidRPr="005D44E8">
        <w:t>Norman, M.D., Duncan, R.A., and Huard, J.J., 2010, Imbrium provenance for the Apollo 16 Descartes terrain: Argon ages and geochemistry of lunar breccias 67016 and 67455: Geochimica et Cosmochimica Acta, v. 74, p. 763–783, doi:</w:t>
      </w:r>
      <w:hyperlink r:id="rId402" w:history="1">
        <w:r w:rsidRPr="005D44E8">
          <w:rPr>
            <w:color w:val="0000FF"/>
            <w:u w:val="single"/>
          </w:rPr>
          <w:t>10.1016/j.gca.2009.10.024</w:t>
        </w:r>
      </w:hyperlink>
      <w:r w:rsidRPr="005D44E8">
        <w:t>.</w:t>
      </w:r>
    </w:p>
    <w:p w14:paraId="10D44611" w14:textId="77777777" w:rsidR="005D44E8" w:rsidRPr="005D44E8" w:rsidRDefault="005D44E8" w:rsidP="00130C41">
      <w:pPr>
        <w:spacing w:line="480" w:lineRule="auto"/>
        <w:ind w:left="450" w:hanging="450"/>
      </w:pPr>
      <w:r w:rsidRPr="005D44E8">
        <w:t xml:space="preserve">Nyquist, L.E., 1982, Radiometric ages and isotopic systematics of pristine plutonic lunar rocks, </w:t>
      </w:r>
      <w:r w:rsidRPr="005D44E8">
        <w:rPr>
          <w:i/>
          <w:iCs/>
        </w:rPr>
        <w:t>in</w:t>
      </w:r>
      <w:r w:rsidRPr="005D44E8">
        <w:t xml:space="preserve"> Walker, D. and McCallum, I.S. eds., Magmatic Processes of Early Planetary Crusts: Magma Oceans and Stratiform Layered Intrusions, p. 114.</w:t>
      </w:r>
    </w:p>
    <w:p w14:paraId="3A90A20A" w14:textId="77777777" w:rsidR="005D44E8" w:rsidRPr="005D44E8" w:rsidRDefault="005D44E8" w:rsidP="00130C41">
      <w:pPr>
        <w:spacing w:line="480" w:lineRule="auto"/>
        <w:ind w:left="450" w:hanging="450"/>
      </w:pPr>
      <w:r w:rsidRPr="005D44E8">
        <w:t xml:space="preserve">Nyquist, L.E., Bansal, B.M., Wiesmann, H., and Jahn, B.M., 1974, Taurus-Littrow Chronology: Implications for Early Lunar Crustal Development, </w:t>
      </w:r>
      <w:r w:rsidRPr="005D44E8">
        <w:rPr>
          <w:i/>
          <w:iCs/>
        </w:rPr>
        <w:t>in</w:t>
      </w:r>
      <w:r w:rsidRPr="005D44E8">
        <w:t xml:space="preserve"> Lunar and Planetary Science Conference, Lunar and Planetary Science Conference, v. 5, p. 565.</w:t>
      </w:r>
    </w:p>
    <w:p w14:paraId="59A52562" w14:textId="77777777" w:rsidR="005D44E8" w:rsidRPr="005D44E8" w:rsidRDefault="005D44E8" w:rsidP="00130C41">
      <w:pPr>
        <w:spacing w:line="480" w:lineRule="auto"/>
        <w:ind w:left="450" w:hanging="450"/>
      </w:pPr>
      <w:r w:rsidRPr="005D44E8">
        <w:t>Nyquist, L., Bogard, D., Yamaguchi, A., Shih, C.-Y., Karouji, Y., Ebihara, M., Reese, Y., Garrison, D., McKay, G., and Takeda, H., 2006, Feldspathic clasts in Yamato-86032: Remnants of the lunar crust with implications for its formation and impact history: A Special Issue Dedicated to Larry A. Haskin, v. 70, p. 5990–6015, doi:</w:t>
      </w:r>
      <w:hyperlink r:id="rId403" w:history="1">
        <w:r w:rsidRPr="005D44E8">
          <w:rPr>
            <w:color w:val="0000FF"/>
            <w:u w:val="single"/>
          </w:rPr>
          <w:t>10.1016/j.gca.2006.07.042</w:t>
        </w:r>
      </w:hyperlink>
      <w:r w:rsidRPr="005D44E8">
        <w:t>.</w:t>
      </w:r>
    </w:p>
    <w:p w14:paraId="2F9812F2" w14:textId="77777777" w:rsidR="005D44E8" w:rsidRPr="005D44E8" w:rsidRDefault="005D44E8" w:rsidP="00130C41">
      <w:pPr>
        <w:spacing w:line="480" w:lineRule="auto"/>
        <w:ind w:left="450" w:hanging="450"/>
      </w:pPr>
      <w:r w:rsidRPr="005D44E8">
        <w:t xml:space="preserve">Oberli, F., McCulloch, M.T., Tera, F., Papanastassiou, D.A., and Wasserburg, G.J., 1978, Early Lunar Differentiation Constraints from U-Th Sm-Nd and Rb-Sr Model Age, </w:t>
      </w:r>
      <w:r w:rsidRPr="005D44E8">
        <w:rPr>
          <w:i/>
          <w:iCs/>
        </w:rPr>
        <w:t>in</w:t>
      </w:r>
      <w:r w:rsidRPr="005D44E8">
        <w:t xml:space="preserve"> Lunar and Planetary Science Conference, Lunar and Planetary Science Conference, p. 832–834.</w:t>
      </w:r>
    </w:p>
    <w:p w14:paraId="781B886E" w14:textId="77777777" w:rsidR="005D44E8" w:rsidRPr="005D44E8" w:rsidRDefault="005D44E8" w:rsidP="00130C41">
      <w:pPr>
        <w:spacing w:line="480" w:lineRule="auto"/>
        <w:ind w:left="450" w:hanging="450"/>
      </w:pPr>
      <w:r w:rsidRPr="005D44E8">
        <w:lastRenderedPageBreak/>
        <w:t xml:space="preserve">Özısık, M.N., 1993, Finite-difference Methods, </w:t>
      </w:r>
      <w:r w:rsidRPr="005D44E8">
        <w:rPr>
          <w:i/>
          <w:iCs/>
        </w:rPr>
        <w:t>in</w:t>
      </w:r>
      <w:r w:rsidRPr="005D44E8">
        <w:t xml:space="preserve"> Heat conduction, John Wiley &amp; Sons, p. 436–501.</w:t>
      </w:r>
    </w:p>
    <w:p w14:paraId="534DDED8" w14:textId="77777777" w:rsidR="005D44E8" w:rsidRPr="005D44E8" w:rsidRDefault="005D44E8" w:rsidP="00130C41">
      <w:pPr>
        <w:spacing w:line="480" w:lineRule="auto"/>
        <w:ind w:left="450" w:hanging="450"/>
      </w:pPr>
      <w:r w:rsidRPr="005D44E8">
        <w:t>Paces, J.B., Nakai, S., Neal, C.R., Taylor, L.A., Halliday, A.N., and Lee, D.-C., 1991, A strontium and neodymium isotopic study of Apollo 17 high-Ti mare basalts: Resolution of ages, evolution of magmas, and origins of source heterogeneities: Geochimica et Cosmochimica Acta, v. 55, p. 2025–2043, doi:</w:t>
      </w:r>
      <w:hyperlink r:id="rId404" w:history="1">
        <w:r w:rsidRPr="005D44E8">
          <w:rPr>
            <w:color w:val="0000FF"/>
            <w:u w:val="single"/>
          </w:rPr>
          <w:t>10.1016/0016-7037(91)90040-C</w:t>
        </w:r>
      </w:hyperlink>
      <w:r w:rsidRPr="005D44E8">
        <w:t>.</w:t>
      </w:r>
    </w:p>
    <w:p w14:paraId="6D6ADA1C" w14:textId="77777777" w:rsidR="005D44E8" w:rsidRPr="005D44E8" w:rsidRDefault="005D44E8" w:rsidP="00130C41">
      <w:pPr>
        <w:spacing w:line="480" w:lineRule="auto"/>
        <w:ind w:left="450" w:hanging="450"/>
      </w:pPr>
      <w:r w:rsidRPr="005D44E8">
        <w:t>Parmentier, E.M., Zhong, S., and Zuber, M.T., 2002, Gravitational differentiation due to initial chemical stratification: origin of lunar asymmetry by the creep of dense KREEP? Earth and Planetary Science Letters, v. 201, p. 473–480, doi:</w:t>
      </w:r>
      <w:hyperlink r:id="rId405" w:history="1">
        <w:r w:rsidRPr="005D44E8">
          <w:rPr>
            <w:color w:val="0000FF"/>
            <w:u w:val="single"/>
          </w:rPr>
          <w:t>10.1016/S0012-821X(02)00726-4</w:t>
        </w:r>
      </w:hyperlink>
      <w:r w:rsidRPr="005D44E8">
        <w:t>.</w:t>
      </w:r>
    </w:p>
    <w:p w14:paraId="373E559D" w14:textId="77777777" w:rsidR="005D44E8" w:rsidRPr="005D44E8" w:rsidRDefault="005D44E8" w:rsidP="00130C41">
      <w:pPr>
        <w:spacing w:line="480" w:lineRule="auto"/>
        <w:ind w:left="450" w:hanging="450"/>
      </w:pPr>
      <w:r w:rsidRPr="005D44E8">
        <w:t>Perera, V., Jackson, A.P., Elkins-Tanton, L.T., and Asphaug, E., 2018, Effect of Reimpacting Debris on the Solidification of the Lunar Magma Ocean: Journal of Geophysical Research: Planets, v. 123, p. 1168–1191, doi:</w:t>
      </w:r>
      <w:hyperlink r:id="rId406" w:history="1">
        <w:r w:rsidRPr="005D44E8">
          <w:rPr>
            <w:color w:val="0000FF"/>
            <w:u w:val="single"/>
          </w:rPr>
          <w:t>10.1029/2017JE005512</w:t>
        </w:r>
      </w:hyperlink>
      <w:r w:rsidRPr="005D44E8">
        <w:t>.</w:t>
      </w:r>
    </w:p>
    <w:p w14:paraId="6D67422C" w14:textId="77777777" w:rsidR="005D44E8" w:rsidRPr="005D44E8" w:rsidRDefault="005D44E8" w:rsidP="00130C41">
      <w:pPr>
        <w:spacing w:line="480" w:lineRule="auto"/>
        <w:ind w:left="450" w:hanging="450"/>
      </w:pPr>
      <w:r w:rsidRPr="005D44E8">
        <w:t>Ringwood, A.E., 1986, Terrestrial origin of the Moon: Nature, v. 322, p. 323–328, doi:</w:t>
      </w:r>
      <w:hyperlink r:id="rId407" w:history="1">
        <w:r w:rsidRPr="005D44E8">
          <w:rPr>
            <w:color w:val="0000FF"/>
            <w:u w:val="single"/>
          </w:rPr>
          <w:t>10.1038/322323a0</w:t>
        </w:r>
      </w:hyperlink>
      <w:r w:rsidRPr="005D44E8">
        <w:t>.</w:t>
      </w:r>
    </w:p>
    <w:p w14:paraId="2D627F88" w14:textId="77777777" w:rsidR="005D44E8" w:rsidRPr="005D44E8" w:rsidRDefault="005D44E8" w:rsidP="00130C41">
      <w:pPr>
        <w:spacing w:line="480" w:lineRule="auto"/>
        <w:ind w:left="450" w:hanging="450"/>
      </w:pPr>
      <w:r w:rsidRPr="005D44E8">
        <w:t>Ringwood, A.E., and Kesson, S.E., 1977, Basaltic magmatism and the bulk composition of the moon: The moon, v. 16, p. 425–464, doi:</w:t>
      </w:r>
      <w:hyperlink r:id="rId408" w:history="1">
        <w:r w:rsidRPr="005D44E8">
          <w:rPr>
            <w:color w:val="0000FF"/>
            <w:u w:val="single"/>
          </w:rPr>
          <w:t>10.1007/BF00577902</w:t>
        </w:r>
      </w:hyperlink>
      <w:r w:rsidRPr="005D44E8">
        <w:t>.</w:t>
      </w:r>
    </w:p>
    <w:p w14:paraId="36C34D76" w14:textId="77777777" w:rsidR="005D44E8" w:rsidRPr="005D44E8" w:rsidRDefault="005D44E8" w:rsidP="00130C41">
      <w:pPr>
        <w:spacing w:line="480" w:lineRule="auto"/>
        <w:ind w:left="450" w:hanging="450"/>
      </w:pPr>
      <w:r w:rsidRPr="005D44E8">
        <w:t>Rolf, T., Zhu, M.-H., Wünnemann, K., and Werner, S.C., 2017, The role of impact bombardment history in lunar evolution: Icarus, v. 286, p. 138–152, doi:</w:t>
      </w:r>
      <w:hyperlink r:id="rId409" w:history="1">
        <w:r w:rsidRPr="005D44E8">
          <w:rPr>
            <w:color w:val="0000FF"/>
            <w:u w:val="single"/>
          </w:rPr>
          <w:t>10.1016/j.icarus.2016.10.007</w:t>
        </w:r>
      </w:hyperlink>
      <w:r w:rsidRPr="005D44E8">
        <w:t>.</w:t>
      </w:r>
    </w:p>
    <w:p w14:paraId="7D7F8586" w14:textId="77777777" w:rsidR="005D44E8" w:rsidRPr="005D44E8" w:rsidRDefault="005D44E8" w:rsidP="00130C41">
      <w:pPr>
        <w:spacing w:line="480" w:lineRule="auto"/>
        <w:ind w:left="450" w:hanging="450"/>
      </w:pPr>
      <w:r w:rsidRPr="005D44E8">
        <w:lastRenderedPageBreak/>
        <w:t>Ruedas, T., 2017, Radioactive heat production of six geologically important nuclides: Geochemistry, Geophysics, Geosystems, v. 18, p. 3530–3541, doi:</w:t>
      </w:r>
      <w:hyperlink r:id="rId410" w:history="1">
        <w:r w:rsidRPr="005D44E8">
          <w:rPr>
            <w:color w:val="0000FF"/>
            <w:u w:val="single"/>
          </w:rPr>
          <w:t>10.1002/2017GC006997</w:t>
        </w:r>
      </w:hyperlink>
      <w:r w:rsidRPr="005D44E8">
        <w:t>.</w:t>
      </w:r>
    </w:p>
    <w:p w14:paraId="203267D5" w14:textId="77777777" w:rsidR="005D44E8" w:rsidRPr="005D44E8" w:rsidRDefault="005D44E8" w:rsidP="00130C41">
      <w:pPr>
        <w:spacing w:line="480" w:lineRule="auto"/>
        <w:ind w:left="450" w:hanging="450"/>
      </w:pPr>
      <w:r w:rsidRPr="005D44E8">
        <w:t>Ryder, G., and Schuraytz, B.C., 2001, Chemical variation of the large Apollo 15 olivine-normative mare basalt rock samples: Journal of Geophysical Research: Planets, v. 106, p. 1435–1451, doi:</w:t>
      </w:r>
      <w:hyperlink r:id="rId411" w:history="1">
        <w:r w:rsidRPr="005D44E8">
          <w:rPr>
            <w:color w:val="0000FF"/>
            <w:u w:val="single"/>
          </w:rPr>
          <w:t>10.1029/2000JE001368</w:t>
        </w:r>
      </w:hyperlink>
      <w:r w:rsidRPr="005D44E8">
        <w:t>.</w:t>
      </w:r>
    </w:p>
    <w:p w14:paraId="48C61D7C" w14:textId="77777777" w:rsidR="005D44E8" w:rsidRPr="005D44E8" w:rsidRDefault="005D44E8" w:rsidP="00130C41">
      <w:pPr>
        <w:spacing w:line="480" w:lineRule="auto"/>
        <w:ind w:left="450" w:hanging="450"/>
      </w:pPr>
      <w:r w:rsidRPr="005D44E8">
        <w:t>Schaeffer, O.A., Massey, H.S.W., Brown, G.M., Eglinton, G., Runcorn, S.K., and Urey, H.C., 1997, Lunar chronology as determined from the radiometric ages of returned lunar sample: Philosophical Transactions of the Royal Society of London. Series A, Mathematical and Physical Sciences, v. 285, p. 137–143, doi:</w:t>
      </w:r>
      <w:hyperlink r:id="rId412" w:history="1">
        <w:r w:rsidRPr="005D44E8">
          <w:rPr>
            <w:color w:val="0000FF"/>
            <w:u w:val="single"/>
          </w:rPr>
          <w:t>10.1098/rsta.1977.0049</w:t>
        </w:r>
      </w:hyperlink>
      <w:r w:rsidRPr="005D44E8">
        <w:t>.</w:t>
      </w:r>
    </w:p>
    <w:p w14:paraId="73660658" w14:textId="77777777" w:rsidR="005D44E8" w:rsidRPr="005D44E8" w:rsidRDefault="005D44E8" w:rsidP="00130C41">
      <w:pPr>
        <w:spacing w:line="480" w:lineRule="auto"/>
        <w:ind w:left="450" w:hanging="450"/>
      </w:pPr>
      <w:r w:rsidRPr="005D44E8">
        <w:t>Scholpp, J.L., and Dygert, N.J., in review, Tace Element and Isotopic Evolution of the Lunar Interior During Magma Ocean Solidification, Cumulate Overturn, and Subsequent Melting: Insights into Lunar Melt Sources: Journal of Geophysical Research: Planets,.</w:t>
      </w:r>
    </w:p>
    <w:p w14:paraId="2C0E582E" w14:textId="77777777" w:rsidR="005D44E8" w:rsidRPr="005D44E8" w:rsidRDefault="005D44E8" w:rsidP="00130C41">
      <w:pPr>
        <w:spacing w:line="480" w:lineRule="auto"/>
        <w:ind w:left="450" w:hanging="450"/>
      </w:pPr>
      <w:r w:rsidRPr="005D44E8">
        <w:t>Shearer, C.K., and Papike, J.J., 1993, Basaltic magmatism on the Moon: A perspective from volcanic picritic glass beads: Geochimica et Cosmochimica Acta, v. 57, p. 4785–4812, doi:</w:t>
      </w:r>
      <w:hyperlink r:id="rId413" w:history="1">
        <w:r w:rsidRPr="005D44E8">
          <w:rPr>
            <w:color w:val="0000FF"/>
            <w:u w:val="single"/>
          </w:rPr>
          <w:t>10.1016/0016-7037(93)90200-G</w:t>
        </w:r>
      </w:hyperlink>
      <w:r w:rsidRPr="005D44E8">
        <w:t>.</w:t>
      </w:r>
    </w:p>
    <w:p w14:paraId="3D599A14" w14:textId="77777777" w:rsidR="005D44E8" w:rsidRPr="005D44E8" w:rsidRDefault="005D44E8" w:rsidP="00130C41">
      <w:pPr>
        <w:spacing w:line="480" w:lineRule="auto"/>
        <w:ind w:left="450" w:hanging="450"/>
      </w:pPr>
      <w:r w:rsidRPr="005D44E8">
        <w:t>Shearer, C.K., Papike, J.J., Galbreath, K.C., and Shimizu, N., 1991, Exploring the lunar mantle with secondary ion mass spectrometry: a comparison of lunar picritic glass beads from the Apollo 14 and Apollo 17 sites: Earth and Planetary Science Letters, v. 102, p. 134–147, doi:</w:t>
      </w:r>
      <w:hyperlink r:id="rId414" w:history="1">
        <w:r w:rsidRPr="005D44E8">
          <w:rPr>
            <w:color w:val="0000FF"/>
            <w:u w:val="single"/>
          </w:rPr>
          <w:t>10.1016/0012-821X(91)90003-Z</w:t>
        </w:r>
      </w:hyperlink>
      <w:r w:rsidRPr="005D44E8">
        <w:t>.</w:t>
      </w:r>
    </w:p>
    <w:p w14:paraId="3178C20A" w14:textId="77777777" w:rsidR="005D44E8" w:rsidRPr="005D44E8" w:rsidRDefault="005D44E8" w:rsidP="00130C41">
      <w:pPr>
        <w:spacing w:line="480" w:lineRule="auto"/>
        <w:ind w:left="450" w:hanging="450"/>
      </w:pPr>
      <w:r w:rsidRPr="005D44E8">
        <w:lastRenderedPageBreak/>
        <w:t>Shih, C.-Y., Nyquist, L.E., Dasch, E.J., Bogard, D.D., Bansal, B.M., and Wiesmann, H., 1993, Ages of pristine noritic clasts from lunar breccias 15445 and 15455: Geochimica et Cosmochimica Acta, v. 57, p. 915–931, doi:</w:t>
      </w:r>
      <w:hyperlink r:id="rId415" w:history="1">
        <w:r w:rsidRPr="005D44E8">
          <w:rPr>
            <w:color w:val="0000FF"/>
            <w:u w:val="single"/>
          </w:rPr>
          <w:t>10.1016/0016-7037(93)90178-Y</w:t>
        </w:r>
      </w:hyperlink>
      <w:r w:rsidRPr="005D44E8">
        <w:t>.</w:t>
      </w:r>
    </w:p>
    <w:p w14:paraId="00B8CC22" w14:textId="77777777" w:rsidR="005D44E8" w:rsidRPr="005D44E8" w:rsidRDefault="005D44E8" w:rsidP="00130C41">
      <w:pPr>
        <w:spacing w:line="480" w:lineRule="auto"/>
        <w:ind w:left="450" w:hanging="450"/>
      </w:pPr>
      <w:r w:rsidRPr="005D44E8">
        <w:t>Siegler, M.A., and Smrekar, S.E., 2014, Lunar heat flow: Regional prospective of the Apollo landing sites: Journal of Geophysical Research: Planets, v. 119, p. 47–63, doi:</w:t>
      </w:r>
      <w:hyperlink r:id="rId416" w:history="1">
        <w:r w:rsidRPr="005D44E8">
          <w:rPr>
            <w:color w:val="0000FF"/>
            <w:u w:val="single"/>
          </w:rPr>
          <w:t>10.1002/2013JE004453</w:t>
        </w:r>
      </w:hyperlink>
      <w:r w:rsidRPr="005D44E8">
        <w:t>.</w:t>
      </w:r>
    </w:p>
    <w:p w14:paraId="4C7BE74D" w14:textId="77777777" w:rsidR="005D44E8" w:rsidRPr="005D44E8" w:rsidRDefault="005D44E8" w:rsidP="00130C41">
      <w:pPr>
        <w:spacing w:line="480" w:lineRule="auto"/>
        <w:ind w:left="450" w:hanging="450"/>
      </w:pPr>
      <w:r w:rsidRPr="005D44E8">
        <w:t>Siegler, M., Warren, P., Franco, K.L., Paige, D., Feng, J., and White, M., 2022, Lunar Heat Flow: Global Predictions and Reduced Heat Flux: Journal of Geophysical Research: Planets, v. 127, p. e2022JE007182, doi:</w:t>
      </w:r>
      <w:hyperlink r:id="rId417" w:history="1">
        <w:r w:rsidRPr="005D44E8">
          <w:rPr>
            <w:color w:val="0000FF"/>
            <w:u w:val="single"/>
          </w:rPr>
          <w:t>10.1029/2022JE007182</w:t>
        </w:r>
      </w:hyperlink>
      <w:r w:rsidRPr="005D44E8">
        <w:t>.</w:t>
      </w:r>
    </w:p>
    <w:p w14:paraId="48656298" w14:textId="77777777" w:rsidR="005D44E8" w:rsidRPr="005D44E8" w:rsidRDefault="005D44E8" w:rsidP="00130C41">
      <w:pPr>
        <w:spacing w:line="480" w:lineRule="auto"/>
        <w:ind w:left="450" w:hanging="450"/>
      </w:pPr>
      <w:r w:rsidRPr="005D44E8">
        <w:t>Sio, C.K., Borg, L.E., and Cassata, W.S., 2020, The timing of lunar solidification and mantle overturn recorded in ferroan anorthosite 62237: Earth and Planetary Science Letters, v. 538, p. 116219, doi:</w:t>
      </w:r>
      <w:hyperlink r:id="rId418" w:history="1">
        <w:r w:rsidRPr="005D44E8">
          <w:rPr>
            <w:color w:val="0000FF"/>
            <w:u w:val="single"/>
          </w:rPr>
          <w:t>10.1016/j.epsl.2020.116219</w:t>
        </w:r>
      </w:hyperlink>
      <w:r w:rsidRPr="005D44E8">
        <w:t>.</w:t>
      </w:r>
    </w:p>
    <w:p w14:paraId="74843C8E" w14:textId="77777777" w:rsidR="005D44E8" w:rsidRPr="005D44E8" w:rsidRDefault="005D44E8" w:rsidP="00130C41">
      <w:pPr>
        <w:spacing w:line="480" w:lineRule="auto"/>
        <w:ind w:left="450" w:hanging="450"/>
      </w:pPr>
      <w:r w:rsidRPr="005D44E8">
        <w:t>Smoluchowski, R., 1981, Amorphous ice and the behavior of cometary nuclei: \apjl, v. 244, p. L31–L34, doi:</w:t>
      </w:r>
      <w:hyperlink r:id="rId419" w:history="1">
        <w:r w:rsidRPr="005D44E8">
          <w:rPr>
            <w:color w:val="0000FF"/>
            <w:u w:val="single"/>
          </w:rPr>
          <w:t>10.1086/183473</w:t>
        </w:r>
      </w:hyperlink>
      <w:r w:rsidRPr="005D44E8">
        <w:t>.</w:t>
      </w:r>
    </w:p>
    <w:p w14:paraId="1013FD8A" w14:textId="77777777" w:rsidR="005D44E8" w:rsidRPr="005D44E8" w:rsidRDefault="005D44E8" w:rsidP="00130C41">
      <w:pPr>
        <w:spacing w:line="480" w:lineRule="auto"/>
        <w:ind w:left="450" w:hanging="450"/>
      </w:pPr>
      <w:r w:rsidRPr="005D44E8">
        <w:t>Snape, J.F., Nemchin, A.A., Johnson, T., Luginbühl, S., Berndt, J., Klemme, S., Morrissey, L.J., and van Westrenen, W., 2022, Experimental constraints on the long-lived radiogenic isotope evolution of the Moon: Geochimica et Cosmochimica Acta, v. 326, p. 119–148, doi:</w:t>
      </w:r>
      <w:hyperlink r:id="rId420" w:history="1">
        <w:r w:rsidRPr="005D44E8">
          <w:rPr>
            <w:color w:val="0000FF"/>
            <w:u w:val="single"/>
          </w:rPr>
          <w:t>10.1016/j.gca.2022.04.008</w:t>
        </w:r>
      </w:hyperlink>
      <w:r w:rsidRPr="005D44E8">
        <w:t>.</w:t>
      </w:r>
    </w:p>
    <w:p w14:paraId="69F2449D" w14:textId="77777777" w:rsidR="005D44E8" w:rsidRPr="005D44E8" w:rsidRDefault="005D44E8" w:rsidP="00130C41">
      <w:pPr>
        <w:spacing w:line="480" w:lineRule="auto"/>
        <w:ind w:left="450" w:hanging="450"/>
      </w:pPr>
      <w:r w:rsidRPr="005D44E8">
        <w:t xml:space="preserve">Snyder, G.A., Taylor, L.A., and Neal, C.R., 1992, Combined equilibrium and fractional crystallization of a magma ocean and formation of the upper mantle of the Moon, </w:t>
      </w:r>
      <w:r w:rsidRPr="005D44E8">
        <w:rPr>
          <w:i/>
          <w:iCs/>
        </w:rPr>
        <w:t>in</w:t>
      </w:r>
      <w:r w:rsidRPr="005D44E8">
        <w:t xml:space="preserve"> Lunar and Planetary Science Conference, v. 23.</w:t>
      </w:r>
    </w:p>
    <w:p w14:paraId="0E3F1EB1" w14:textId="77777777" w:rsidR="005D44E8" w:rsidRPr="005D44E8" w:rsidRDefault="005D44E8" w:rsidP="00130C41">
      <w:pPr>
        <w:spacing w:line="480" w:lineRule="auto"/>
        <w:ind w:left="450" w:hanging="450"/>
      </w:pPr>
      <w:r w:rsidRPr="005D44E8">
        <w:lastRenderedPageBreak/>
        <w:t>Sprung, P., Kleine, T., and Scherer, E.E., 2013, Isotopic evidence for chondritic Lu/Hf and Sm/Nd of the Moon: Earth and Planetary Science Letters, v. 380, p. 77–87, doi:</w:t>
      </w:r>
      <w:hyperlink r:id="rId421" w:history="1">
        <w:r w:rsidRPr="005D44E8">
          <w:rPr>
            <w:color w:val="0000FF"/>
            <w:u w:val="single"/>
          </w:rPr>
          <w:t>10.1016/j.epsl.2013.08.018</w:t>
        </w:r>
      </w:hyperlink>
      <w:r w:rsidRPr="005D44E8">
        <w:t>.</w:t>
      </w:r>
    </w:p>
    <w:p w14:paraId="2689361B" w14:textId="77777777" w:rsidR="005D44E8" w:rsidRPr="005D44E8" w:rsidRDefault="005D44E8" w:rsidP="00130C41">
      <w:pPr>
        <w:spacing w:line="480" w:lineRule="auto"/>
        <w:ind w:left="450" w:hanging="450"/>
      </w:pPr>
      <w:r w:rsidRPr="005D44E8">
        <w:t>Steenstra, E.S., Agmon, N., Berndt, J., Klemme, S., Matveev, S., and van Westrenen, W., 2018, Depletion of potassium and sodium in mantles of Mars, Moon and Vesta by core formation: Scientific Reports, v. 8, p. 7053, doi:</w:t>
      </w:r>
      <w:hyperlink r:id="rId422" w:history="1">
        <w:r w:rsidRPr="005D44E8">
          <w:rPr>
            <w:color w:val="0000FF"/>
            <w:u w:val="single"/>
          </w:rPr>
          <w:t>10.1038/s41598-018-25505-6</w:t>
        </w:r>
      </w:hyperlink>
      <w:r w:rsidRPr="005D44E8">
        <w:t>.</w:t>
      </w:r>
    </w:p>
    <w:p w14:paraId="78ED806C" w14:textId="77777777" w:rsidR="005D44E8" w:rsidRPr="005D44E8" w:rsidRDefault="005D44E8" w:rsidP="00130C41">
      <w:pPr>
        <w:spacing w:line="480" w:lineRule="auto"/>
        <w:ind w:left="450" w:hanging="450"/>
      </w:pPr>
      <w:r w:rsidRPr="005D44E8">
        <w:t>Sun, C., Graff, M., and Liang, Y., 2017, Trace element partitioning between plagioclase and silicate melt: The importance of temperature and plagioclase composition, with implications for terrestrial and lunar magmatism: Geochimica et Cosmochimica Acta, v. 206, p. 273–295, doi:</w:t>
      </w:r>
      <w:hyperlink r:id="rId423" w:history="1">
        <w:r w:rsidRPr="005D44E8">
          <w:rPr>
            <w:color w:val="0000FF"/>
            <w:u w:val="single"/>
          </w:rPr>
          <w:t>10.1016/j.gca.2017.03.003</w:t>
        </w:r>
      </w:hyperlink>
      <w:r w:rsidRPr="005D44E8">
        <w:t>.</w:t>
      </w:r>
    </w:p>
    <w:p w14:paraId="4A64AE8A" w14:textId="77777777" w:rsidR="005D44E8" w:rsidRPr="005D44E8" w:rsidRDefault="005D44E8" w:rsidP="00130C41">
      <w:pPr>
        <w:spacing w:line="480" w:lineRule="auto"/>
        <w:ind w:left="450" w:hanging="450"/>
      </w:pPr>
      <w:r w:rsidRPr="005D44E8">
        <w:t>Taylor, S.R., Kaye, M., Muir, P., Nance, W., Rudowski, R., and Ware, N., 1972, Composition of the lunar uplands: Chemistry of Apollo 14 samples from Fra Mauro: Lunar and Planetary Science Conference Proceedings, v. 3, p. 1231.</w:t>
      </w:r>
    </w:p>
    <w:p w14:paraId="1388AEFD" w14:textId="77777777" w:rsidR="005D44E8" w:rsidRPr="005D44E8" w:rsidRDefault="005D44E8" w:rsidP="00130C41">
      <w:pPr>
        <w:spacing w:line="480" w:lineRule="auto"/>
        <w:ind w:left="450" w:hanging="450"/>
      </w:pPr>
      <w:r w:rsidRPr="005D44E8">
        <w:t>Taylor, S.R., Taylor, G.J., and Taylor, L.A., 2006, The Moon: A Taylor perspective: A Special Issue Dedicated to Larry A. Haskin, v. 70, p. 5904–5918, doi:</w:t>
      </w:r>
      <w:hyperlink r:id="rId424" w:history="1">
        <w:r w:rsidRPr="005D44E8">
          <w:rPr>
            <w:color w:val="0000FF"/>
            <w:u w:val="single"/>
          </w:rPr>
          <w:t>10.1016/j.gca.2006.06.262</w:t>
        </w:r>
      </w:hyperlink>
      <w:r w:rsidRPr="005D44E8">
        <w:t>.</w:t>
      </w:r>
    </w:p>
    <w:p w14:paraId="7DADE4FE" w14:textId="77777777" w:rsidR="005D44E8" w:rsidRPr="005D44E8" w:rsidRDefault="005D44E8" w:rsidP="00130C41">
      <w:pPr>
        <w:spacing w:line="480" w:lineRule="auto"/>
        <w:ind w:left="450" w:hanging="450"/>
      </w:pPr>
      <w:r w:rsidRPr="005D44E8">
        <w:t>Taylor, G.J., and Wieczorek, M.A., 2014, Lunar bulk chemical composition: a post-Gravity Recovery and Interior Laboratory reassessment: Philosophical Transactions of the Royal Society A: Mathematical, Physical and Engineering Sciences, v. 372, p. 20130242, doi:</w:t>
      </w:r>
      <w:hyperlink r:id="rId425" w:history="1">
        <w:r w:rsidRPr="005D44E8">
          <w:rPr>
            <w:color w:val="0000FF"/>
            <w:u w:val="single"/>
          </w:rPr>
          <w:t>10.1098/rsta.2013.0242</w:t>
        </w:r>
      </w:hyperlink>
      <w:r w:rsidRPr="005D44E8">
        <w:t>.</w:t>
      </w:r>
    </w:p>
    <w:p w14:paraId="1336D040" w14:textId="77777777" w:rsidR="005D44E8" w:rsidRPr="005D44E8" w:rsidRDefault="005D44E8" w:rsidP="00130C41">
      <w:pPr>
        <w:spacing w:line="480" w:lineRule="auto"/>
        <w:ind w:left="450" w:hanging="450"/>
      </w:pPr>
      <w:r w:rsidRPr="005D44E8">
        <w:lastRenderedPageBreak/>
        <w:t>Tera, F., Papanastassiou, D.A., and Wasserburg, G.J., 1974, Isotopic evidence for a terminal lunar cataclysm: Earth and Planetary Science Letters, v. 22, p. 1–21, doi:</w:t>
      </w:r>
      <w:hyperlink r:id="rId426" w:history="1">
        <w:r w:rsidRPr="005D44E8">
          <w:rPr>
            <w:color w:val="0000FF"/>
            <w:u w:val="single"/>
          </w:rPr>
          <w:t>10.1016/0012-821X(74)90059-4</w:t>
        </w:r>
      </w:hyperlink>
      <w:r w:rsidRPr="005D44E8">
        <w:t>.</w:t>
      </w:r>
    </w:p>
    <w:p w14:paraId="38DFD0FC" w14:textId="77777777" w:rsidR="005D44E8" w:rsidRPr="005D44E8" w:rsidRDefault="005D44E8" w:rsidP="00130C41">
      <w:pPr>
        <w:spacing w:line="480" w:lineRule="auto"/>
        <w:ind w:left="450" w:hanging="450"/>
      </w:pPr>
      <w:r w:rsidRPr="005D44E8">
        <w:t>Toksöz, M.N., Hsui, A.T., and Johnston, D.J., 1978, Thermal evolutions of the terrestrial planets: The moon and the planets, v. 18, p. 281–320, doi:</w:t>
      </w:r>
      <w:hyperlink r:id="rId427" w:history="1">
        <w:r w:rsidRPr="005D44E8">
          <w:rPr>
            <w:color w:val="0000FF"/>
            <w:u w:val="single"/>
          </w:rPr>
          <w:t>10.1007/BF00896484</w:t>
        </w:r>
      </w:hyperlink>
      <w:r w:rsidRPr="005D44E8">
        <w:t>.</w:t>
      </w:r>
    </w:p>
    <w:p w14:paraId="7D61340D" w14:textId="77777777" w:rsidR="005D44E8" w:rsidRPr="005D44E8" w:rsidRDefault="005D44E8" w:rsidP="00130C41">
      <w:pPr>
        <w:spacing w:line="480" w:lineRule="auto"/>
        <w:ind w:left="450" w:hanging="450"/>
      </w:pPr>
      <w:r w:rsidRPr="005D44E8">
        <w:t>Turcotte, D.L., and Schubert, G., 2002, Geodynamics: Cambridge university press.</w:t>
      </w:r>
    </w:p>
    <w:p w14:paraId="1516D521" w14:textId="77777777" w:rsidR="005D44E8" w:rsidRPr="005D44E8" w:rsidRDefault="005D44E8" w:rsidP="00130C41">
      <w:pPr>
        <w:spacing w:line="480" w:lineRule="auto"/>
        <w:ind w:left="450" w:hanging="450"/>
      </w:pPr>
      <w:r w:rsidRPr="005D44E8">
        <w:t xml:space="preserve">Turner, G., and Cadogan, P.H., 1975, The history of lunar bombardment inferred from </w:t>
      </w:r>
      <w:r w:rsidRPr="005D44E8">
        <w:rPr>
          <w:vertAlign w:val="superscript"/>
        </w:rPr>
        <w:t>40</w:t>
      </w:r>
      <w:r w:rsidRPr="005D44E8">
        <w:t>Ar-</w:t>
      </w:r>
      <w:r w:rsidRPr="005D44E8">
        <w:rPr>
          <w:vertAlign w:val="superscript"/>
        </w:rPr>
        <w:t>39</w:t>
      </w:r>
      <w:r w:rsidRPr="005D44E8">
        <w:t>Ar dating of highland rocks.: Lunar and Planetary Science Conference Proceedings, v. 2, p. 1509–1538.</w:t>
      </w:r>
    </w:p>
    <w:p w14:paraId="27FB16F3" w14:textId="77777777" w:rsidR="005D44E8" w:rsidRPr="005D44E8" w:rsidRDefault="005D44E8" w:rsidP="00130C41">
      <w:pPr>
        <w:spacing w:line="480" w:lineRule="auto"/>
        <w:ind w:left="450" w:hanging="450"/>
      </w:pPr>
      <w:r w:rsidRPr="005D44E8">
        <w:t>Unruh, D.M., Stille, P., Patchett, P.J., and Tatsumoto, M., 1984, Lu-Hf and Sm-Nd evolution in lunar mare basalts: Journal of Geophysical Research: Solid Earth, v. 89, p. B459–B477, doi:</w:t>
      </w:r>
      <w:hyperlink r:id="rId428" w:history="1">
        <w:r w:rsidRPr="005D44E8">
          <w:rPr>
            <w:color w:val="0000FF"/>
            <w:u w:val="single"/>
          </w:rPr>
          <w:t>10.1029/JB089iS02p0B459</w:t>
        </w:r>
      </w:hyperlink>
      <w:r w:rsidRPr="005D44E8">
        <w:t>.</w:t>
      </w:r>
    </w:p>
    <w:p w14:paraId="66AC3873" w14:textId="77777777" w:rsidR="005D44E8" w:rsidRPr="005D44E8" w:rsidRDefault="005D44E8" w:rsidP="00130C41">
      <w:pPr>
        <w:spacing w:line="480" w:lineRule="auto"/>
        <w:ind w:left="450" w:hanging="450"/>
      </w:pPr>
      <w:r w:rsidRPr="005D44E8">
        <w:t>Wagner, T.P., and Grove, T.L., 1997, Experimental constraints on the origin of lunar high-Ti ultramafic glasses: Geochimica et Cosmochimica Acta, v. 61, p. 1315–1327, doi:</w:t>
      </w:r>
      <w:hyperlink r:id="rId429" w:history="1">
        <w:r w:rsidRPr="005D44E8">
          <w:rPr>
            <w:color w:val="0000FF"/>
            <w:u w:val="single"/>
          </w:rPr>
          <w:t>10.1016/S0016-7037(96)00387-0</w:t>
        </w:r>
      </w:hyperlink>
      <w:r w:rsidRPr="005D44E8">
        <w:t>.</w:t>
      </w:r>
    </w:p>
    <w:p w14:paraId="77FE7B40" w14:textId="77777777" w:rsidR="005D44E8" w:rsidRPr="005D44E8" w:rsidRDefault="005D44E8" w:rsidP="00130C41">
      <w:pPr>
        <w:spacing w:line="480" w:lineRule="auto"/>
        <w:ind w:left="450" w:hanging="450"/>
      </w:pPr>
      <w:r w:rsidRPr="005D44E8">
        <w:t>Wang, K., and Jacobsen, S.B., 2016a, An estimate of the Bulk Silicate Earth potassium isotopic composition based on MC-ICPMS measurements of basalts: Geochimica et Cosmochimica Acta, v. 178, p. 223–232, doi:</w:t>
      </w:r>
      <w:hyperlink r:id="rId430" w:history="1">
        <w:r w:rsidRPr="005D44E8">
          <w:rPr>
            <w:color w:val="0000FF"/>
            <w:u w:val="single"/>
          </w:rPr>
          <w:t>10.1016/j.gca.2015.12.039</w:t>
        </w:r>
      </w:hyperlink>
      <w:r w:rsidRPr="005D44E8">
        <w:t>.</w:t>
      </w:r>
    </w:p>
    <w:p w14:paraId="78CB4088" w14:textId="77777777" w:rsidR="005D44E8" w:rsidRPr="005D44E8" w:rsidRDefault="005D44E8" w:rsidP="00130C41">
      <w:pPr>
        <w:spacing w:line="480" w:lineRule="auto"/>
        <w:ind w:left="450" w:hanging="450"/>
      </w:pPr>
      <w:r w:rsidRPr="005D44E8">
        <w:t>Wang, K., and Jacobsen, S.B., 2016b, Potassium isotopic evidence for a high-energy giant impact origin of the Moon: Nature, v. 538, p. 487–490, doi:</w:t>
      </w:r>
      <w:hyperlink r:id="rId431" w:history="1">
        <w:r w:rsidRPr="005D44E8">
          <w:rPr>
            <w:color w:val="0000FF"/>
            <w:u w:val="single"/>
          </w:rPr>
          <w:t>10.1038/nature19341</w:t>
        </w:r>
      </w:hyperlink>
      <w:r w:rsidRPr="005D44E8">
        <w:t>.</w:t>
      </w:r>
    </w:p>
    <w:p w14:paraId="28778C08" w14:textId="77777777" w:rsidR="005D44E8" w:rsidRPr="005D44E8" w:rsidRDefault="005D44E8" w:rsidP="00130C41">
      <w:pPr>
        <w:spacing w:line="480" w:lineRule="auto"/>
        <w:ind w:left="450" w:hanging="450"/>
      </w:pPr>
      <w:r w:rsidRPr="005D44E8">
        <w:lastRenderedPageBreak/>
        <w:t>Waples, D.W., and Waples, J.S., 2004, A review and evaluation of specific heat capacities of rocks, minerals, and subsurface fluids. Part 1: Minerals and nonporous rocks: Natural resources research, v. 13, p. 97–122.</w:t>
      </w:r>
    </w:p>
    <w:p w14:paraId="0D43D4AB" w14:textId="77777777" w:rsidR="005D44E8" w:rsidRPr="005D44E8" w:rsidRDefault="005D44E8" w:rsidP="00130C41">
      <w:pPr>
        <w:spacing w:line="480" w:lineRule="auto"/>
        <w:ind w:left="450" w:hanging="450"/>
      </w:pPr>
      <w:r w:rsidRPr="005D44E8">
        <w:t>Weber, R.C., Lin, P.-Y., Garnero, E.J., Williams, Q., and Lognonné, P., 2011, Seismic Detection of the Lunar Core: Science, v. 331, p. 309–312, doi:</w:t>
      </w:r>
      <w:hyperlink r:id="rId432" w:history="1">
        <w:r w:rsidRPr="005D44E8">
          <w:rPr>
            <w:color w:val="0000FF"/>
            <w:u w:val="single"/>
          </w:rPr>
          <w:t>10.1126/science.1199375</w:t>
        </w:r>
      </w:hyperlink>
      <w:r w:rsidRPr="005D44E8">
        <w:t>.</w:t>
      </w:r>
    </w:p>
    <w:p w14:paraId="7E425BB7" w14:textId="77777777" w:rsidR="005D44E8" w:rsidRPr="005D44E8" w:rsidRDefault="005D44E8" w:rsidP="00130C41">
      <w:pPr>
        <w:spacing w:line="480" w:lineRule="auto"/>
        <w:ind w:left="450" w:hanging="450"/>
      </w:pPr>
      <w:r w:rsidRPr="005D44E8">
        <w:t>Wieczorek, M.A. et al., 2006, The Constitution and Structure of the Lunar Interior: Reviews in Mineralogy and Geochemistry, v. 60, p. 221–364, doi:</w:t>
      </w:r>
      <w:hyperlink r:id="rId433" w:history="1">
        <w:r w:rsidRPr="005D44E8">
          <w:rPr>
            <w:color w:val="0000FF"/>
            <w:u w:val="single"/>
          </w:rPr>
          <w:t>10.2138/rmg.2006.60.3</w:t>
        </w:r>
      </w:hyperlink>
      <w:r w:rsidRPr="005D44E8">
        <w:t>.</w:t>
      </w:r>
    </w:p>
    <w:p w14:paraId="52C57324" w14:textId="77777777" w:rsidR="005D44E8" w:rsidRPr="005D44E8" w:rsidRDefault="005D44E8" w:rsidP="00130C41">
      <w:pPr>
        <w:spacing w:line="480" w:lineRule="auto"/>
        <w:ind w:left="450" w:hanging="450"/>
      </w:pPr>
      <w:r w:rsidRPr="005D44E8">
        <w:t>Wieczorek, M.A. et al., 2013, The Crust of the Moon as Seen by GRAIL: Science, v. 339, p. 671–675, doi:</w:t>
      </w:r>
      <w:hyperlink r:id="rId434" w:history="1">
        <w:r w:rsidRPr="005D44E8">
          <w:rPr>
            <w:color w:val="0000FF"/>
            <w:u w:val="single"/>
          </w:rPr>
          <w:t>10.1126/science.1231530</w:t>
        </w:r>
      </w:hyperlink>
      <w:r w:rsidRPr="005D44E8">
        <w:t>.</w:t>
      </w:r>
    </w:p>
    <w:p w14:paraId="7BDF0910" w14:textId="77777777" w:rsidR="005D44E8" w:rsidRPr="005D44E8" w:rsidRDefault="005D44E8" w:rsidP="00130C41">
      <w:pPr>
        <w:spacing w:line="480" w:lineRule="auto"/>
        <w:ind w:left="450" w:hanging="450"/>
      </w:pPr>
      <w:r w:rsidRPr="005D44E8">
        <w:t>Zeigler, R.A., Korotev, R.L., Jolliff, B.L., and Haskin, L.A., 2005, Petrography and geochemistry of the LaPaz Icefield basaltic lunar meteorite and source crater pairing with Northwest Africa 032: Meteoritics &amp; Planetary Science, v. 40, p. 1073–1101, doi:</w:t>
      </w:r>
      <w:hyperlink r:id="rId435" w:history="1">
        <w:r w:rsidRPr="005D44E8">
          <w:rPr>
            <w:color w:val="0000FF"/>
            <w:u w:val="single"/>
          </w:rPr>
          <w:t>10.1111/j.1945-5100.2005.tb00174.x</w:t>
        </w:r>
      </w:hyperlink>
      <w:r w:rsidRPr="005D44E8">
        <w:t>.</w:t>
      </w:r>
    </w:p>
    <w:p w14:paraId="366B949D" w14:textId="77777777" w:rsidR="005D44E8" w:rsidRPr="005D44E8" w:rsidRDefault="005D44E8" w:rsidP="00130C41">
      <w:pPr>
        <w:spacing w:line="480" w:lineRule="auto"/>
        <w:ind w:left="450" w:hanging="450"/>
      </w:pPr>
      <w:r w:rsidRPr="005D44E8">
        <w:t>Zhang, Q.W.L. et al., 2024, Lunar farside volcanism 2.8 billion years ago from Chang’e-6 basalts: Nature, doi:</w:t>
      </w:r>
      <w:hyperlink r:id="rId436" w:history="1">
        <w:r w:rsidRPr="005D44E8">
          <w:rPr>
            <w:color w:val="0000FF"/>
            <w:u w:val="single"/>
          </w:rPr>
          <w:t>10.1038/s41586-024-08382-0</w:t>
        </w:r>
      </w:hyperlink>
      <w:r w:rsidRPr="005D44E8">
        <w:t>.</w:t>
      </w:r>
    </w:p>
    <w:p w14:paraId="583110CB" w14:textId="77777777" w:rsidR="005D44E8" w:rsidRPr="005D44E8" w:rsidRDefault="005D44E8" w:rsidP="00130C41">
      <w:pPr>
        <w:spacing w:line="480" w:lineRule="auto"/>
        <w:ind w:left="450" w:hanging="450"/>
      </w:pPr>
      <w:r w:rsidRPr="005D44E8">
        <w:t>Zhang, N., Ding, M., Zhu, M.-H., Li, H., Li, H., and Yue, Z., 2022a, Lunar compositional asymmetry explained by mantle overturn following the South Pole–Aitken impact: Nature Geoscience, v. 15, p. 37–41, doi:</w:t>
      </w:r>
      <w:hyperlink r:id="rId437" w:history="1">
        <w:r w:rsidRPr="005D44E8">
          <w:rPr>
            <w:color w:val="0000FF"/>
            <w:u w:val="single"/>
          </w:rPr>
          <w:t>10.1038/s41561-021-00872-4</w:t>
        </w:r>
      </w:hyperlink>
      <w:r w:rsidRPr="005D44E8">
        <w:t>.</w:t>
      </w:r>
    </w:p>
    <w:p w14:paraId="6D5E19B4" w14:textId="77777777" w:rsidR="005D44E8" w:rsidRPr="005D44E8" w:rsidRDefault="005D44E8" w:rsidP="00130C41">
      <w:pPr>
        <w:spacing w:line="480" w:lineRule="auto"/>
        <w:ind w:left="450" w:hanging="450"/>
      </w:pPr>
      <w:r w:rsidRPr="005D44E8">
        <w:lastRenderedPageBreak/>
        <w:t>Zhang, N., Dygert, N., Liang, Y., and Parmentier, E.M., 2017, The effect of ilmenite viscosity on the dynamics and evolution of an overturned lunar cumulate mantle: Geophysical Research Letters, v. 44, p. 6543–6552, doi:</w:t>
      </w:r>
      <w:hyperlink r:id="rId438" w:history="1">
        <w:r w:rsidRPr="005D44E8">
          <w:rPr>
            <w:color w:val="0000FF"/>
            <w:u w:val="single"/>
          </w:rPr>
          <w:t>10.1002/2017GL073702</w:t>
        </w:r>
      </w:hyperlink>
      <w:r w:rsidRPr="005D44E8">
        <w:t>.</w:t>
      </w:r>
    </w:p>
    <w:p w14:paraId="4E0D060D" w14:textId="77777777" w:rsidR="005D44E8" w:rsidRPr="005D44E8" w:rsidRDefault="005D44E8" w:rsidP="00130C41">
      <w:pPr>
        <w:spacing w:line="480" w:lineRule="auto"/>
        <w:ind w:left="450" w:hanging="450"/>
      </w:pPr>
      <w:r w:rsidRPr="005D44E8">
        <w:t>Zhang, N., Parmentier, E.M., and Liang, Y., 2013, A 3-D numerical study of the thermal evolution of the Moon after cumulate mantle overturn: The importance of rheology and core solidification: Journal of Geophysical Research: Planets, v. 118, p. 1789–1804, doi:</w:t>
      </w:r>
      <w:hyperlink r:id="rId439" w:history="1">
        <w:r w:rsidRPr="005D44E8">
          <w:rPr>
            <w:color w:val="0000FF"/>
            <w:u w:val="single"/>
          </w:rPr>
          <w:t>10.1002/jgre.20121</w:t>
        </w:r>
      </w:hyperlink>
      <w:r w:rsidRPr="005D44E8">
        <w:t>.</w:t>
      </w:r>
    </w:p>
    <w:p w14:paraId="64ADFDB5" w14:textId="77777777" w:rsidR="005D44E8" w:rsidRPr="005D44E8" w:rsidRDefault="005D44E8" w:rsidP="00130C41">
      <w:pPr>
        <w:spacing w:line="480" w:lineRule="auto"/>
        <w:ind w:left="450" w:hanging="450"/>
      </w:pPr>
      <w:r w:rsidRPr="005D44E8">
        <w:t>Zhang, W., Zhang, N., and Li, H., 2022b, Abundances of lunar heat-producing elements constrained by a 3-D numerical model of titanium-rich basaltic eruption: Chin. J. Geophys, v. 65, p. 119–136.</w:t>
      </w:r>
    </w:p>
    <w:p w14:paraId="01EAF28F" w14:textId="77777777" w:rsidR="005D44E8" w:rsidRPr="005D44E8" w:rsidRDefault="005D44E8" w:rsidP="00130C41">
      <w:pPr>
        <w:spacing w:line="480" w:lineRule="auto"/>
        <w:ind w:left="450" w:hanging="450"/>
      </w:pPr>
      <w:r w:rsidRPr="005D44E8">
        <w:t>Zhao, Y., de Vries, J., van den Berg, A.P., Jacobs, M.H.G., and van Westrenen, W., 2019, The participation of ilmenite-bearing cumulates in lunar mantle overturn: Earth and Planetary Science Letters, v. 511, p. 1–11, doi:</w:t>
      </w:r>
      <w:hyperlink r:id="rId440" w:history="1">
        <w:r w:rsidRPr="005D44E8">
          <w:rPr>
            <w:color w:val="0000FF"/>
            <w:u w:val="single"/>
          </w:rPr>
          <w:t>10.1016/j.epsl.2019.01.022</w:t>
        </w:r>
      </w:hyperlink>
      <w:r w:rsidRPr="005D44E8">
        <w:t>.</w:t>
      </w:r>
    </w:p>
    <w:p w14:paraId="2D67F758" w14:textId="77777777" w:rsidR="005D44E8" w:rsidRPr="005D44E8" w:rsidRDefault="005D44E8" w:rsidP="00130C41">
      <w:pPr>
        <w:spacing w:line="480" w:lineRule="auto"/>
        <w:ind w:left="450" w:hanging="450"/>
      </w:pPr>
      <w:r w:rsidRPr="005D44E8">
        <w:t>Zhong, S., Parmentier, E.M., and Zuber, M.T., 2000, A dynamic origin for the global asymmetry of lunar mare basalts: Earth and Planetary Science Letters, v. 177, p. 131–140, doi:</w:t>
      </w:r>
      <w:hyperlink r:id="rId441" w:history="1">
        <w:r w:rsidRPr="005D44E8">
          <w:rPr>
            <w:color w:val="0000FF"/>
            <w:u w:val="single"/>
          </w:rPr>
          <w:t>10.1016/S0012-821X(00)00041-8</w:t>
        </w:r>
      </w:hyperlink>
      <w:r w:rsidRPr="005D44E8">
        <w:t>.</w:t>
      </w:r>
    </w:p>
    <w:p w14:paraId="5A45B7F6" w14:textId="403715F2" w:rsidR="008D43E9" w:rsidRPr="008D43E9" w:rsidRDefault="008D43E9" w:rsidP="00663E57">
      <w:pPr>
        <w:ind w:left="450" w:hanging="450"/>
      </w:pPr>
    </w:p>
    <w:p w14:paraId="5AE781ED" w14:textId="77777777" w:rsidR="001737E5" w:rsidRDefault="001737E5">
      <w:pPr>
        <w:rPr>
          <w:b/>
          <w:bCs/>
        </w:rPr>
      </w:pPr>
      <w:r>
        <w:br w:type="page"/>
      </w:r>
    </w:p>
    <w:p w14:paraId="64348C15" w14:textId="5FCAFC01" w:rsidR="00F253FB" w:rsidRPr="00CF18AE" w:rsidRDefault="00217A7B" w:rsidP="0018242F">
      <w:pPr>
        <w:pStyle w:val="NonNumberedHeading2"/>
        <w:spacing w:line="480" w:lineRule="auto"/>
      </w:pPr>
      <w:bookmarkStart w:id="500" w:name="_Toc185325691"/>
      <w:r w:rsidRPr="00CF18AE">
        <w:lastRenderedPageBreak/>
        <w:t>Appendix C</w:t>
      </w:r>
      <w:bookmarkEnd w:id="500"/>
    </w:p>
    <w:p w14:paraId="1C0D81E8" w14:textId="77777777" w:rsidR="003D68E9" w:rsidRPr="003D68E9" w:rsidRDefault="003D68E9" w:rsidP="003D68E9">
      <w:pPr>
        <w:spacing w:line="480" w:lineRule="auto"/>
        <w:rPr>
          <w:b/>
          <w:bCs/>
          <w:color w:val="000000" w:themeColor="text1"/>
        </w:rPr>
      </w:pPr>
      <w:r w:rsidRPr="003D68E9">
        <w:rPr>
          <w:b/>
          <w:bCs/>
          <w:color w:val="000000" w:themeColor="text1"/>
        </w:rPr>
        <w:t xml:space="preserve">Geochemical Models for Magma Ocean Solidification and Cumulate Partial Melting </w:t>
      </w:r>
    </w:p>
    <w:p w14:paraId="06D50772" w14:textId="2A894F6A" w:rsidR="003D68E9" w:rsidRPr="005F2112" w:rsidRDefault="003D68E9" w:rsidP="003D68E9">
      <w:pPr>
        <w:spacing w:line="480" w:lineRule="auto"/>
        <w:ind w:firstLine="720"/>
        <w:rPr>
          <w:color w:val="000000" w:themeColor="text1"/>
        </w:rPr>
      </w:pPr>
      <w:r w:rsidRPr="005F2112">
        <w:rPr>
          <w:color w:val="000000" w:themeColor="text1"/>
        </w:rPr>
        <w:t>Trace element fractionation during LMO crystallization was modeled assuming Rayleigh fractionation using Eq.</w:t>
      </w:r>
      <w:r>
        <w:rPr>
          <w:color w:val="000000" w:themeColor="text1"/>
        </w:rPr>
        <w:t>’</w:t>
      </w:r>
      <w:r w:rsidRPr="005F2112">
        <w:rPr>
          <w:color w:val="000000" w:themeColor="text1"/>
        </w:rPr>
        <w:t xml:space="preserve">s </w:t>
      </w:r>
      <w:r>
        <w:rPr>
          <w:color w:val="000000" w:themeColor="text1"/>
        </w:rPr>
        <w:t>C</w:t>
      </w:r>
      <w:r w:rsidRPr="005F2112">
        <w:rPr>
          <w:color w:val="000000" w:themeColor="text1"/>
        </w:rPr>
        <w:t xml:space="preserve">1 and </w:t>
      </w:r>
      <w:r>
        <w:rPr>
          <w:color w:val="000000" w:themeColor="text1"/>
        </w:rPr>
        <w:t>C2</w:t>
      </w:r>
      <w:r w:rsidRPr="005F2112">
        <w:rPr>
          <w:color w:val="000000" w:themeColor="text1"/>
        </w:rPr>
        <w:t>:</w:t>
      </w:r>
    </w:p>
    <w:p w14:paraId="358B49A0" w14:textId="4963F726" w:rsidR="003D68E9" w:rsidRPr="005F2112" w:rsidRDefault="00000000" w:rsidP="003D68E9">
      <w:pPr>
        <w:spacing w:line="480" w:lineRule="auto"/>
        <w:ind w:firstLine="720"/>
        <w:jc w:val="right"/>
        <w:rPr>
          <w:rFonts w:eastAsiaTheme="minorEastAsia"/>
          <w:color w:val="000000" w:themeColor="text1"/>
        </w:rPr>
      </w:pPr>
      <m:oMath>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L</m:t>
            </m:r>
          </m:sub>
          <m:sup>
            <m:r>
              <w:rPr>
                <w:rFonts w:ascii="Cambria Math" w:hAnsi="Cambria Math"/>
                <w:color w:val="000000" w:themeColor="text1"/>
              </w:rPr>
              <m:t>i</m:t>
            </m:r>
          </m:sup>
        </m:sSubSup>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C</m:t>
            </m:r>
          </m:e>
          <m:sub>
            <m:sSub>
              <m:sSubPr>
                <m:ctrlPr>
                  <w:rPr>
                    <w:rFonts w:ascii="Cambria Math" w:hAnsi="Cambria Math"/>
                    <w:color w:val="000000" w:themeColor="text1"/>
                  </w:rPr>
                </m:ctrlPr>
              </m:sSubPr>
              <m:e>
                <m:r>
                  <w:rPr>
                    <w:rFonts w:ascii="Cambria Math" w:hAnsi="Cambria Math"/>
                    <w:color w:val="000000" w:themeColor="text1"/>
                  </w:rPr>
                  <m:t>L</m:t>
                </m:r>
              </m:e>
              <m:sub>
                <m:r>
                  <m:rPr>
                    <m:sty m:val="p"/>
                  </m:rPr>
                  <w:rPr>
                    <w:rFonts w:ascii="Cambria Math" w:hAnsi="Cambria Math"/>
                    <w:color w:val="000000" w:themeColor="text1"/>
                  </w:rPr>
                  <m:t>0</m:t>
                </m:r>
              </m:sub>
            </m:sSub>
          </m:sub>
          <m:sup>
            <m:r>
              <w:rPr>
                <w:rFonts w:ascii="Cambria Math" w:hAnsi="Cambria Math"/>
                <w:color w:val="000000" w:themeColor="text1"/>
              </w:rPr>
              <m:t>i</m:t>
            </m:r>
          </m:sup>
        </m:sSubSup>
        <m:sSup>
          <m:sSupPr>
            <m:ctrlPr>
              <w:rPr>
                <w:rFonts w:ascii="Cambria Math" w:hAnsi="Cambria Math"/>
                <w:color w:val="000000" w:themeColor="text1"/>
              </w:rPr>
            </m:ctrlPr>
          </m:sSupPr>
          <m:e>
            <m:r>
              <w:rPr>
                <w:rFonts w:ascii="Cambria Math" w:hAnsi="Cambria Math"/>
                <w:color w:val="000000" w:themeColor="text1"/>
              </w:rPr>
              <m:t>F</m:t>
            </m:r>
          </m:e>
          <m:sup>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r>
              <m:rPr>
                <m:sty m:val="p"/>
              </m:rPr>
              <w:rPr>
                <w:rFonts w:ascii="Cambria Math" w:hAnsi="Cambria Math"/>
                <w:color w:val="000000" w:themeColor="text1"/>
              </w:rPr>
              <m:t>-1)</m:t>
            </m:r>
          </m:sup>
        </m:sSup>
      </m:oMath>
      <w:r w:rsidR="003D68E9" w:rsidRPr="005F2112">
        <w:rPr>
          <w:rFonts w:eastAsiaTheme="minorEastAsia"/>
          <w:color w:val="000000" w:themeColor="text1"/>
        </w:rPr>
        <w:t xml:space="preserve"> ,</w:t>
      </w:r>
      <w:r w:rsidR="003D68E9" w:rsidRPr="005F2112">
        <w:rPr>
          <w:rFonts w:eastAsiaTheme="minorEastAsia"/>
          <w:color w:val="000000" w:themeColor="text1"/>
        </w:rPr>
        <w:tab/>
      </w:r>
      <w:r w:rsidR="003D68E9">
        <w:rPr>
          <w:rFonts w:eastAsiaTheme="minorEastAsia"/>
          <w:color w:val="000000" w:themeColor="text1"/>
        </w:rPr>
        <w:tab/>
      </w:r>
      <w:r w:rsidR="003D68E9">
        <w:rPr>
          <w:color w:val="000000" w:themeColor="text1"/>
        </w:rPr>
        <w:tab/>
      </w:r>
      <w:r w:rsidR="003D68E9" w:rsidRPr="005F2112">
        <w:rPr>
          <w:rFonts w:eastAsiaTheme="minorEastAsia"/>
          <w:color w:val="000000" w:themeColor="text1"/>
        </w:rPr>
        <w:tab/>
      </w:r>
      <w:r w:rsidR="003D68E9" w:rsidRPr="005F2112">
        <w:rPr>
          <w:rFonts w:eastAsiaTheme="minorEastAsia"/>
          <w:color w:val="000000" w:themeColor="text1"/>
        </w:rPr>
        <w:tab/>
        <w:t>(</w:t>
      </w:r>
      <w:r w:rsidR="003D68E9">
        <w:rPr>
          <w:color w:val="000000" w:themeColor="text1"/>
        </w:rPr>
        <w:t>C1</w:t>
      </w:r>
      <w:r w:rsidR="003D68E9" w:rsidRPr="005F2112">
        <w:rPr>
          <w:rFonts w:eastAsiaTheme="minorEastAsia"/>
          <w:color w:val="000000" w:themeColor="text1"/>
        </w:rPr>
        <w:t>)</w:t>
      </w:r>
    </w:p>
    <w:p w14:paraId="3B945538" w14:textId="619FC561" w:rsidR="003D68E9" w:rsidRPr="005F2112" w:rsidRDefault="00000000" w:rsidP="003D68E9">
      <w:pPr>
        <w:spacing w:line="480" w:lineRule="auto"/>
        <w:ind w:firstLine="720"/>
        <w:jc w:val="right"/>
        <w:rPr>
          <w:rFonts w:eastAsiaTheme="minorEastAsia"/>
          <w:color w:val="000000" w:themeColor="text1"/>
        </w:rPr>
      </w:pPr>
      <m:oMath>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S</m:t>
            </m:r>
          </m:sub>
          <m:sup>
            <m:r>
              <w:rPr>
                <w:rFonts w:ascii="Cambria Math" w:hAnsi="Cambria Math"/>
                <w:color w:val="000000" w:themeColor="text1"/>
              </w:rPr>
              <m:t>i</m:t>
            </m:r>
          </m:sup>
        </m:sSubSup>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L</m:t>
            </m:r>
          </m:sub>
          <m:sup>
            <m:r>
              <w:rPr>
                <w:rFonts w:ascii="Cambria Math" w:hAnsi="Cambria Math"/>
                <w:color w:val="000000" w:themeColor="text1"/>
              </w:rPr>
              <m:t>i</m:t>
            </m:r>
          </m:sup>
        </m:sSubSup>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oMath>
      <w:r w:rsidR="003D68E9" w:rsidRPr="005F2112">
        <w:rPr>
          <w:rFonts w:eastAsiaTheme="minorEastAsia"/>
          <w:color w:val="000000" w:themeColor="text1"/>
        </w:rPr>
        <w:t xml:space="preserve"> ,</w:t>
      </w:r>
      <w:r w:rsidR="003D68E9" w:rsidRPr="005F2112">
        <w:rPr>
          <w:rFonts w:eastAsiaTheme="minorEastAsia"/>
          <w:color w:val="000000" w:themeColor="text1"/>
        </w:rPr>
        <w:tab/>
      </w:r>
      <w:r w:rsidR="003D68E9">
        <w:rPr>
          <w:rFonts w:eastAsiaTheme="minorEastAsia"/>
          <w:color w:val="000000" w:themeColor="text1"/>
        </w:rPr>
        <w:tab/>
      </w:r>
      <w:r w:rsidR="003D68E9" w:rsidRPr="005F2112">
        <w:rPr>
          <w:rFonts w:eastAsiaTheme="minorEastAsia"/>
          <w:color w:val="000000" w:themeColor="text1"/>
        </w:rPr>
        <w:tab/>
      </w:r>
      <w:r w:rsidR="003D68E9">
        <w:rPr>
          <w:color w:val="000000" w:themeColor="text1"/>
        </w:rPr>
        <w:tab/>
      </w:r>
      <w:r w:rsidR="003D68E9" w:rsidRPr="005F2112">
        <w:rPr>
          <w:rFonts w:eastAsiaTheme="minorEastAsia"/>
          <w:color w:val="000000" w:themeColor="text1"/>
        </w:rPr>
        <w:tab/>
        <w:t>(</w:t>
      </w:r>
      <w:r w:rsidR="003D68E9">
        <w:rPr>
          <w:color w:val="000000" w:themeColor="text1"/>
        </w:rPr>
        <w:t>C2</w:t>
      </w:r>
      <w:r w:rsidR="003D68E9" w:rsidRPr="005F2112">
        <w:rPr>
          <w:rFonts w:eastAsiaTheme="minorEastAsia"/>
          <w:color w:val="000000" w:themeColor="text1"/>
        </w:rPr>
        <w:t>)</w:t>
      </w:r>
    </w:p>
    <w:p w14:paraId="449613DE" w14:textId="77777777" w:rsidR="003D68E9" w:rsidRPr="005F2112" w:rsidRDefault="003D68E9" w:rsidP="003D68E9">
      <w:pPr>
        <w:spacing w:line="480" w:lineRule="auto"/>
        <w:rPr>
          <w:color w:val="000000" w:themeColor="text1"/>
        </w:rPr>
      </w:pPr>
      <w:r w:rsidRPr="005F2112">
        <w:rPr>
          <w:color w:val="000000" w:themeColor="text1"/>
        </w:rPr>
        <w:t xml:space="preserve">where </w:t>
      </w:r>
      <m:oMath>
        <m:sSubSup>
          <m:sSubSupPr>
            <m:ctrlPr>
              <w:rPr>
                <w:rFonts w:ascii="Cambria Math" w:hAnsi="Cambria Math"/>
                <w:i/>
                <w:color w:val="000000" w:themeColor="text1"/>
              </w:rPr>
            </m:ctrlPr>
          </m:sSubSupPr>
          <m:e>
            <m:r>
              <w:rPr>
                <w:rFonts w:ascii="Cambria Math" w:hAnsi="Cambria Math"/>
                <w:color w:val="000000" w:themeColor="text1"/>
              </w:rPr>
              <m:t>C</m:t>
            </m:r>
          </m:e>
          <m:sub>
            <m:r>
              <w:rPr>
                <w:rFonts w:ascii="Cambria Math" w:hAnsi="Cambria Math"/>
                <w:color w:val="000000" w:themeColor="text1"/>
              </w:rPr>
              <m:t>L</m:t>
            </m:r>
          </m:sub>
          <m:sup>
            <m:r>
              <w:rPr>
                <w:rFonts w:ascii="Cambria Math" w:hAnsi="Cambria Math"/>
                <w:color w:val="000000" w:themeColor="text1"/>
              </w:rPr>
              <m:t>i</m:t>
            </m:r>
          </m:sup>
        </m:sSubSup>
      </m:oMath>
      <w:r w:rsidRPr="005F2112">
        <w:rPr>
          <w:color w:val="000000" w:themeColor="text1"/>
        </w:rPr>
        <w:t xml:space="preserve"> represents the concentration of element </w:t>
      </w:r>
      <m:oMath>
        <m:r>
          <w:rPr>
            <w:rFonts w:ascii="Cambria Math" w:hAnsi="Cambria Math"/>
            <w:color w:val="000000" w:themeColor="text1"/>
          </w:rPr>
          <m:t>i</m:t>
        </m:r>
      </m:oMath>
      <w:r w:rsidRPr="005F2112">
        <w:rPr>
          <w:color w:val="000000" w:themeColor="text1"/>
        </w:rPr>
        <w:t xml:space="preserve">, </w:t>
      </w:r>
      <m:oMath>
        <m:sSubSup>
          <m:sSubSupPr>
            <m:ctrlPr>
              <w:rPr>
                <w:rFonts w:ascii="Cambria Math" w:hAnsi="Cambria Math"/>
                <w:i/>
                <w:color w:val="000000" w:themeColor="text1"/>
              </w:rPr>
            </m:ctrlPr>
          </m:sSubSupPr>
          <m:e>
            <m:r>
              <w:rPr>
                <w:rFonts w:ascii="Cambria Math" w:hAnsi="Cambria Math"/>
                <w:color w:val="000000" w:themeColor="text1"/>
              </w:rPr>
              <m:t>C</m:t>
            </m:r>
          </m:e>
          <m:sub>
            <m:sSub>
              <m:sSubPr>
                <m:ctrlPr>
                  <w:rPr>
                    <w:rFonts w:ascii="Cambria Math" w:hAnsi="Cambria Math"/>
                    <w:i/>
                    <w:color w:val="000000" w:themeColor="text1"/>
                  </w:rPr>
                </m:ctrlPr>
              </m:sSubPr>
              <m:e>
                <m:r>
                  <w:rPr>
                    <w:rFonts w:ascii="Cambria Math" w:hAnsi="Cambria Math"/>
                    <w:color w:val="000000" w:themeColor="text1"/>
                  </w:rPr>
                  <m:t>L</m:t>
                </m:r>
              </m:e>
              <m:sub>
                <m:r>
                  <w:rPr>
                    <w:rFonts w:ascii="Cambria Math" w:hAnsi="Cambria Math"/>
                    <w:color w:val="000000" w:themeColor="text1"/>
                  </w:rPr>
                  <m:t>0</m:t>
                </m:r>
              </m:sub>
            </m:sSub>
          </m:sub>
          <m:sup>
            <m:r>
              <w:rPr>
                <w:rFonts w:ascii="Cambria Math" w:hAnsi="Cambria Math"/>
                <w:color w:val="000000" w:themeColor="text1"/>
              </w:rPr>
              <m:t>i</m:t>
            </m:r>
          </m:sup>
        </m:sSubSup>
      </m:oMath>
      <w:r w:rsidRPr="005F2112">
        <w:rPr>
          <w:color w:val="000000" w:themeColor="text1"/>
        </w:rPr>
        <w:t xml:space="preserve"> is the composition of the initial liquid, </w:t>
      </w:r>
      <m:oMath>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S</m:t>
            </m:r>
          </m:sub>
          <m:sup>
            <m:r>
              <w:rPr>
                <w:rFonts w:ascii="Cambria Math" w:hAnsi="Cambria Math"/>
                <w:color w:val="000000" w:themeColor="text1"/>
              </w:rPr>
              <m:t>i</m:t>
            </m:r>
          </m:sup>
        </m:sSubSup>
      </m:oMath>
      <w:r w:rsidRPr="005F2112">
        <w:rPr>
          <w:color w:val="000000" w:themeColor="text1"/>
        </w:rPr>
        <w:t xml:space="preserve"> represents the concentration in the solid, </w:t>
      </w:r>
      <m:oMath>
        <m:r>
          <w:rPr>
            <w:rFonts w:ascii="Cambria Math" w:hAnsi="Cambria Math"/>
            <w:color w:val="000000" w:themeColor="text1"/>
          </w:rPr>
          <m:t>F</m:t>
        </m:r>
      </m:oMath>
      <w:r w:rsidRPr="005F2112">
        <w:rPr>
          <w:color w:val="000000" w:themeColor="text1"/>
        </w:rPr>
        <w:t xml:space="preserve"> is the fraction of melt remaining, and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oMath>
      <w:r w:rsidRPr="005F2112">
        <w:rPr>
          <w:color w:val="000000" w:themeColor="text1"/>
        </w:rPr>
        <w:t xml:space="preserve"> is the bulk partition coefficient between crystals and liquid. For an assemblage of phases, </w:t>
      </w:r>
      <m:oMath>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oMath>
      <w:r w:rsidRPr="005F2112">
        <w:rPr>
          <w:rFonts w:eastAsiaTheme="minorEastAsia"/>
          <w:color w:val="000000" w:themeColor="text1"/>
        </w:rPr>
        <w:t xml:space="preserve"> </w:t>
      </w:r>
      <w:r w:rsidRPr="005F2112">
        <w:rPr>
          <w:color w:val="000000" w:themeColor="text1"/>
        </w:rPr>
        <w:t xml:space="preserve">can be calculated with Eq. </w:t>
      </w:r>
      <w:r>
        <w:rPr>
          <w:color w:val="000000" w:themeColor="text1"/>
        </w:rPr>
        <w:t>C3</w:t>
      </w:r>
      <w:r w:rsidRPr="005F2112">
        <w:rPr>
          <w:color w:val="000000" w:themeColor="text1"/>
        </w:rPr>
        <w:t>:</w:t>
      </w:r>
    </w:p>
    <w:p w14:paraId="4C851346" w14:textId="7F6E179F" w:rsidR="003D68E9" w:rsidRPr="005F2112" w:rsidRDefault="00000000" w:rsidP="003D68E9">
      <w:pPr>
        <w:spacing w:line="480" w:lineRule="auto"/>
        <w:ind w:firstLine="720"/>
        <w:jc w:val="right"/>
        <w:rPr>
          <w:color w:val="000000" w:themeColor="text1"/>
        </w:rPr>
      </w:pP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r>
          <w:rPr>
            <w:rFonts w:ascii="Cambria Math" w:hAnsi="Cambria Math"/>
            <w:color w:val="000000" w:themeColor="text1"/>
          </w:rPr>
          <m:t>=</m:t>
        </m:r>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α</m:t>
            </m:r>
          </m:sub>
          <m:sup>
            <m:r>
              <w:rPr>
                <w:rFonts w:ascii="Cambria Math" w:hAnsi="Cambria Math"/>
                <w:color w:val="000000" w:themeColor="text1"/>
              </w:rPr>
              <m:t>i</m:t>
            </m:r>
          </m:sup>
        </m:sSubSup>
        <m:d>
          <m:dPr>
            <m:ctrlPr>
              <w:rPr>
                <w:rFonts w:ascii="Cambria Math" w:hAnsi="Cambria Math"/>
                <w:i/>
                <w:color w:val="000000" w:themeColor="text1"/>
              </w:rPr>
            </m:ctrlPr>
          </m:dPr>
          <m:e>
            <m:sSub>
              <m:sSubPr>
                <m:ctrlPr>
                  <w:rPr>
                    <w:rFonts w:ascii="Cambria Math" w:hAnsi="Cambria Math"/>
                    <w:i/>
                    <w:color w:val="000000" w:themeColor="text1"/>
                  </w:rPr>
                </m:ctrlPr>
              </m:sSubPr>
              <m:e>
                <m:r>
                  <w:rPr>
                    <w:rFonts w:ascii="Cambria Math" w:hAnsi="Cambria Math"/>
                    <w:color w:val="000000" w:themeColor="text1"/>
                  </w:rPr>
                  <m:t>X</m:t>
                </m:r>
              </m:e>
              <m:sub>
                <m:r>
                  <w:rPr>
                    <w:rFonts w:ascii="Cambria Math" w:hAnsi="Cambria Math"/>
                    <w:color w:val="000000" w:themeColor="text1"/>
                  </w:rPr>
                  <m:t>α</m:t>
                </m:r>
              </m:sub>
            </m:sSub>
          </m:e>
        </m:d>
        <m:r>
          <w:rPr>
            <w:rFonts w:ascii="Cambria Math" w:hAnsi="Cambria Math"/>
            <w:color w:val="000000" w:themeColor="text1"/>
          </w:rPr>
          <m:t>+</m:t>
        </m:r>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β</m:t>
            </m:r>
          </m:sub>
          <m:sup>
            <m:r>
              <w:rPr>
                <w:rFonts w:ascii="Cambria Math" w:hAnsi="Cambria Math"/>
                <w:color w:val="000000" w:themeColor="text1"/>
              </w:rPr>
              <m:t>i</m:t>
            </m:r>
          </m:sup>
        </m:sSubSup>
        <m:d>
          <m:dPr>
            <m:ctrlPr>
              <w:rPr>
                <w:rFonts w:ascii="Cambria Math" w:hAnsi="Cambria Math"/>
                <w:i/>
                <w:color w:val="000000" w:themeColor="text1"/>
              </w:rPr>
            </m:ctrlPr>
          </m:dPr>
          <m:e>
            <m:sSub>
              <m:sSubPr>
                <m:ctrlPr>
                  <w:rPr>
                    <w:rFonts w:ascii="Cambria Math" w:hAnsi="Cambria Math"/>
                    <w:i/>
                    <w:color w:val="000000" w:themeColor="text1"/>
                  </w:rPr>
                </m:ctrlPr>
              </m:sSubPr>
              <m:e>
                <m:r>
                  <w:rPr>
                    <w:rFonts w:ascii="Cambria Math" w:hAnsi="Cambria Math"/>
                    <w:color w:val="000000" w:themeColor="text1"/>
                  </w:rPr>
                  <m:t>X</m:t>
                </m:r>
              </m:e>
              <m:sub>
                <m:r>
                  <w:rPr>
                    <w:rFonts w:ascii="Cambria Math" w:hAnsi="Cambria Math"/>
                    <w:color w:val="000000" w:themeColor="text1"/>
                  </w:rPr>
                  <m:t>β</m:t>
                </m:r>
              </m:sub>
            </m:sSub>
          </m:e>
        </m:d>
        <m:r>
          <w:rPr>
            <w:rFonts w:ascii="Cambria Math" w:hAnsi="Cambria Math"/>
            <w:color w:val="000000" w:themeColor="text1"/>
          </w:rPr>
          <m:t>+</m:t>
        </m:r>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γ</m:t>
            </m:r>
          </m:sub>
          <m:sup>
            <m:r>
              <w:rPr>
                <w:rFonts w:ascii="Cambria Math" w:hAnsi="Cambria Math"/>
                <w:color w:val="000000" w:themeColor="text1"/>
              </w:rPr>
              <m:t>i</m:t>
            </m:r>
          </m:sup>
        </m:sSubSup>
        <m:d>
          <m:dPr>
            <m:ctrlPr>
              <w:rPr>
                <w:rFonts w:ascii="Cambria Math" w:hAnsi="Cambria Math"/>
                <w:i/>
                <w:color w:val="000000" w:themeColor="text1"/>
              </w:rPr>
            </m:ctrlPr>
          </m:dPr>
          <m:e>
            <m:sSub>
              <m:sSubPr>
                <m:ctrlPr>
                  <w:rPr>
                    <w:rFonts w:ascii="Cambria Math" w:hAnsi="Cambria Math"/>
                    <w:i/>
                    <w:color w:val="000000" w:themeColor="text1"/>
                  </w:rPr>
                </m:ctrlPr>
              </m:sSubPr>
              <m:e>
                <m:r>
                  <w:rPr>
                    <w:rFonts w:ascii="Cambria Math" w:hAnsi="Cambria Math"/>
                    <w:color w:val="000000" w:themeColor="text1"/>
                  </w:rPr>
                  <m:t>X</m:t>
                </m:r>
              </m:e>
              <m:sub>
                <m:r>
                  <w:rPr>
                    <w:rFonts w:ascii="Cambria Math" w:hAnsi="Cambria Math"/>
                    <w:color w:val="000000" w:themeColor="text1"/>
                  </w:rPr>
                  <m:t>γ</m:t>
                </m:r>
              </m:sub>
            </m:sSub>
          </m:e>
        </m:d>
        <m:r>
          <w:rPr>
            <w:rFonts w:ascii="Cambria Math" w:hAnsi="Cambria Math"/>
            <w:color w:val="000000" w:themeColor="text1"/>
          </w:rPr>
          <m:t>+</m:t>
        </m:r>
        <m:r>
          <m:rPr>
            <m:nor/>
          </m:rPr>
          <w:rPr>
            <w:color w:val="000000" w:themeColor="text1"/>
          </w:rPr>
          <m:t>…</m:t>
        </m:r>
      </m:oMath>
      <w:r w:rsidR="003D68E9" w:rsidRPr="005F2112">
        <w:rPr>
          <w:rFonts w:eastAsiaTheme="minorEastAsia"/>
          <w:color w:val="000000" w:themeColor="text1"/>
        </w:rPr>
        <w:t>,</w:t>
      </w:r>
      <w:r w:rsidR="003D68E9" w:rsidRPr="005F2112">
        <w:rPr>
          <w:rFonts w:eastAsiaTheme="minorEastAsia"/>
          <w:color w:val="000000" w:themeColor="text1"/>
        </w:rPr>
        <w:tab/>
      </w:r>
      <w:r w:rsidR="003D68E9" w:rsidRPr="005F2112">
        <w:rPr>
          <w:rFonts w:eastAsiaTheme="minorEastAsia"/>
          <w:color w:val="000000" w:themeColor="text1"/>
        </w:rPr>
        <w:tab/>
      </w:r>
      <w:r w:rsidR="003D68E9" w:rsidRPr="005F2112">
        <w:rPr>
          <w:rFonts w:eastAsiaTheme="minorEastAsia"/>
          <w:color w:val="000000" w:themeColor="text1"/>
        </w:rPr>
        <w:tab/>
        <w:t>(</w:t>
      </w:r>
      <w:r w:rsidR="003D68E9">
        <w:rPr>
          <w:color w:val="000000" w:themeColor="text1"/>
        </w:rPr>
        <w:t>C3</w:t>
      </w:r>
      <w:r w:rsidR="003D68E9" w:rsidRPr="005F2112">
        <w:rPr>
          <w:rFonts w:eastAsiaTheme="minorEastAsia"/>
          <w:color w:val="000000" w:themeColor="text1"/>
        </w:rPr>
        <w:t>)</w:t>
      </w:r>
    </w:p>
    <w:p w14:paraId="2841464A" w14:textId="77777777" w:rsidR="003D68E9" w:rsidRPr="005F2112" w:rsidRDefault="003D68E9" w:rsidP="003D68E9">
      <w:pPr>
        <w:spacing w:line="480" w:lineRule="auto"/>
        <w:rPr>
          <w:color w:val="000000" w:themeColor="text1"/>
        </w:rPr>
      </w:pPr>
      <w:r w:rsidRPr="005F2112">
        <w:rPr>
          <w:color w:val="000000" w:themeColor="text1"/>
        </w:rPr>
        <w:t xml:space="preserve">where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α</m:t>
            </m:r>
          </m:sub>
          <m:sup>
            <m:r>
              <w:rPr>
                <w:rFonts w:ascii="Cambria Math" w:hAnsi="Cambria Math"/>
                <w:color w:val="000000" w:themeColor="text1"/>
              </w:rPr>
              <m:t>i</m:t>
            </m:r>
          </m:sup>
        </m:sSubSup>
      </m:oMath>
      <w:r w:rsidRPr="005F2112">
        <w:rPr>
          <w:color w:val="000000" w:themeColor="text1"/>
        </w:rPr>
        <w:t xml:space="preserve"> is the partition coefficient for element </w:t>
      </w:r>
      <m:oMath>
        <m:r>
          <w:rPr>
            <w:rFonts w:ascii="Cambria Math" w:hAnsi="Cambria Math"/>
            <w:color w:val="000000" w:themeColor="text1"/>
          </w:rPr>
          <m:t>i</m:t>
        </m:r>
      </m:oMath>
      <w:r w:rsidRPr="005F2112">
        <w:rPr>
          <w:color w:val="000000" w:themeColor="text1"/>
        </w:rPr>
        <w:t xml:space="preserve"> in phase </w:t>
      </w:r>
      <m:oMath>
        <m:r>
          <w:rPr>
            <w:rFonts w:ascii="Cambria Math" w:hAnsi="Cambria Math"/>
            <w:color w:val="000000" w:themeColor="text1"/>
          </w:rPr>
          <m:t>α</m:t>
        </m:r>
      </m:oMath>
      <w:r w:rsidRPr="005F2112">
        <w:rPr>
          <w:color w:val="000000" w:themeColor="text1"/>
        </w:rPr>
        <w:t xml:space="preserve">, </w:t>
      </w:r>
      <m:oMath>
        <m:sSub>
          <m:sSubPr>
            <m:ctrlPr>
              <w:rPr>
                <w:rFonts w:ascii="Cambria Math" w:hAnsi="Cambria Math"/>
                <w:color w:val="000000" w:themeColor="text1"/>
              </w:rPr>
            </m:ctrlPr>
          </m:sSubPr>
          <m:e>
            <m:r>
              <w:rPr>
                <w:rFonts w:ascii="Cambria Math" w:hAnsi="Cambria Math"/>
                <w:color w:val="000000" w:themeColor="text1"/>
              </w:rPr>
              <m:t>X</m:t>
            </m:r>
          </m:e>
          <m:sub>
            <m:r>
              <w:rPr>
                <w:rFonts w:ascii="Cambria Math" w:hAnsi="Cambria Math"/>
                <w:color w:val="000000" w:themeColor="text1"/>
              </w:rPr>
              <m:t>α</m:t>
            </m:r>
          </m:sub>
        </m:sSub>
      </m:oMath>
      <w:r w:rsidRPr="005F2112">
        <w:rPr>
          <w:color w:val="000000" w:themeColor="text1"/>
        </w:rPr>
        <w:t xml:space="preserve"> is the modal proportion of phase </w:t>
      </w:r>
      <m:oMath>
        <m:r>
          <w:rPr>
            <w:rFonts w:ascii="Cambria Math" w:hAnsi="Cambria Math"/>
            <w:color w:val="000000" w:themeColor="text1"/>
          </w:rPr>
          <m:t>a</m:t>
        </m:r>
      </m:oMath>
      <w:r w:rsidRPr="005F2112">
        <w:rPr>
          <w:color w:val="000000" w:themeColor="text1"/>
        </w:rPr>
        <w:t xml:space="preserve"> in the group of crystallizing phases. Fractional crystallization assumes that crystals form within the LMO and settle out to form cumulates at the base of the magma ocean. By definition, in a fractional crystallization scenario, crystals in the cumulate pile are not in equilibrium with the magma ocean residual liquid except at the moment they form. To conserve mass,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oMath>
      <w:r w:rsidRPr="005F2112">
        <w:rPr>
          <w:color w:val="000000" w:themeColor="text1"/>
        </w:rPr>
        <w:t xml:space="preserve"> in this model must account for previously removed crystallizing phases as the magma ocean evolves. Recalculating the </w:t>
      </w:r>
      <m:oMath>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oMath>
      <w:r w:rsidRPr="005F2112">
        <w:rPr>
          <w:color w:val="000000" w:themeColor="text1"/>
        </w:rPr>
        <w:t xml:space="preserve"> at intervals </w:t>
      </w:r>
      <m:oMath>
        <m:r>
          <w:rPr>
            <w:rFonts w:ascii="Cambria Math" w:hAnsi="Cambria Math"/>
            <w:color w:val="000000" w:themeColor="text1"/>
          </w:rPr>
          <m:t>j</m:t>
        </m:r>
      </m:oMath>
      <w:r w:rsidRPr="005F2112">
        <w:rPr>
          <w:color w:val="000000" w:themeColor="text1"/>
        </w:rPr>
        <w:t xml:space="preserve"> after a first interval a:</w:t>
      </w:r>
    </w:p>
    <w:p w14:paraId="6B3240E6" w14:textId="54D4B69A" w:rsidR="003D68E9" w:rsidRPr="005F2112" w:rsidRDefault="00000000" w:rsidP="003D68E9">
      <w:pPr>
        <w:spacing w:line="480" w:lineRule="auto"/>
        <w:ind w:firstLine="720"/>
        <w:jc w:val="right"/>
        <w:rPr>
          <w:rFonts w:eastAsiaTheme="minorEastAsia"/>
          <w:color w:val="000000" w:themeColor="text1"/>
        </w:rPr>
      </w:pPr>
      <m:oMath>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Comb</m:t>
            </m:r>
          </m:sub>
          <m:sup>
            <m:r>
              <w:rPr>
                <w:rFonts w:ascii="Cambria Math" w:hAnsi="Cambria Math"/>
                <w:color w:val="000000" w:themeColor="text1"/>
              </w:rPr>
              <m:t>i,ab</m:t>
            </m:r>
          </m:sup>
        </m:sSubSup>
        <m:r>
          <m:rPr>
            <m:sty m:val="p"/>
          </m:rPr>
          <w:rPr>
            <w:rFonts w:ascii="Cambria Math" w:hAnsi="Cambria Math"/>
            <w:color w:val="000000" w:themeColor="text1"/>
          </w:rPr>
          <m:t>=</m:t>
        </m:r>
        <m:f>
          <m:fPr>
            <m:ctrlPr>
              <w:rPr>
                <w:rFonts w:ascii="Cambria Math" w:hAnsi="Cambria Math"/>
                <w:color w:val="000000" w:themeColor="text1"/>
              </w:rPr>
            </m:ctrlPr>
          </m:fPr>
          <m:num>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i,a</m:t>
                </m:r>
              </m:sup>
            </m:sSubSup>
            <m:d>
              <m:dPr>
                <m:ctrlPr>
                  <w:rPr>
                    <w:rFonts w:ascii="Cambria Math" w:hAnsi="Cambria Math"/>
                    <w:color w:val="000000" w:themeColor="text1"/>
                  </w:rPr>
                </m:ctrlPr>
              </m:dPr>
              <m:e>
                <m:r>
                  <m:rPr>
                    <m:sty m:val="p"/>
                  </m:rPr>
                  <w:rPr>
                    <w:rFonts w:ascii="Cambria Math" w:hAnsi="Cambria Math"/>
                    <w:color w:val="000000" w:themeColor="text1"/>
                  </w:rPr>
                  <m:t>1-</m:t>
                </m:r>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e>
            </m:d>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i,b</m:t>
                </m:r>
              </m:sup>
            </m:sSubSup>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r>
                  <m:rPr>
                    <m:sty m:val="p"/>
                  </m:rPr>
                  <w:rPr>
                    <w:rFonts w:ascii="Cambria Math" w:hAnsi="Cambria Math"/>
                    <w:color w:val="000000" w:themeColor="text1"/>
                  </w:rPr>
                  <m:t>-</m:t>
                </m:r>
                <m:r>
                  <w:rPr>
                    <w:rFonts w:ascii="Cambria Math" w:hAnsi="Cambria Math"/>
                    <w:color w:val="000000" w:themeColor="text1"/>
                  </w:rPr>
                  <m:t>F</m:t>
                </m:r>
              </m:e>
            </m:d>
          </m:num>
          <m:den>
            <m:r>
              <m:rPr>
                <m:sty m:val="p"/>
              </m:rPr>
              <w:rPr>
                <w:rFonts w:ascii="Cambria Math" w:hAnsi="Cambria Math"/>
                <w:color w:val="000000" w:themeColor="text1"/>
              </w:rPr>
              <m:t>(1-</m:t>
            </m:r>
            <m:r>
              <w:rPr>
                <w:rFonts w:ascii="Cambria Math" w:hAnsi="Cambria Math"/>
                <w:color w:val="000000" w:themeColor="text1"/>
              </w:rPr>
              <m:t>F</m:t>
            </m:r>
            <m:r>
              <m:rPr>
                <m:sty m:val="p"/>
              </m:rPr>
              <w:rPr>
                <w:rFonts w:ascii="Cambria Math" w:hAnsi="Cambria Math"/>
                <w:color w:val="000000" w:themeColor="text1"/>
              </w:rPr>
              <m:t>)</m:t>
            </m:r>
          </m:den>
        </m:f>
      </m:oMath>
      <w:r w:rsidR="003D68E9" w:rsidRPr="005F2112">
        <w:rPr>
          <w:rFonts w:eastAsiaTheme="minorEastAsia"/>
          <w:color w:val="000000" w:themeColor="text1"/>
        </w:rPr>
        <w:t>,</w:t>
      </w:r>
      <w:r w:rsidR="003D68E9" w:rsidRPr="005F2112">
        <w:rPr>
          <w:rFonts w:eastAsiaTheme="minorEastAsia"/>
          <w:color w:val="000000" w:themeColor="text1"/>
        </w:rPr>
        <w:tab/>
      </w:r>
      <w:r w:rsidR="003D68E9">
        <w:rPr>
          <w:color w:val="000000" w:themeColor="text1"/>
        </w:rPr>
        <w:tab/>
      </w:r>
      <w:r w:rsidR="003D68E9" w:rsidRPr="005F2112">
        <w:rPr>
          <w:rFonts w:eastAsiaTheme="minorEastAsia"/>
          <w:color w:val="000000" w:themeColor="text1"/>
        </w:rPr>
        <w:tab/>
      </w:r>
      <w:r w:rsidR="003D68E9" w:rsidRPr="005F2112">
        <w:rPr>
          <w:rFonts w:eastAsiaTheme="minorEastAsia"/>
          <w:color w:val="000000" w:themeColor="text1"/>
        </w:rPr>
        <w:tab/>
        <w:t>(</w:t>
      </w:r>
      <w:r w:rsidR="003D68E9">
        <w:rPr>
          <w:color w:val="000000" w:themeColor="text1"/>
        </w:rPr>
        <w:t>C4</w:t>
      </w:r>
      <w:r w:rsidR="003D68E9" w:rsidRPr="005F2112">
        <w:rPr>
          <w:rFonts w:eastAsiaTheme="minorEastAsia"/>
          <w:color w:val="000000" w:themeColor="text1"/>
        </w:rPr>
        <w:t>)</w:t>
      </w:r>
    </w:p>
    <w:p w14:paraId="01F0A45B" w14:textId="42FBE6DE" w:rsidR="003D68E9" w:rsidRPr="005F2112" w:rsidRDefault="00000000" w:rsidP="003D68E9">
      <w:pPr>
        <w:spacing w:line="480" w:lineRule="auto"/>
        <w:ind w:firstLine="720"/>
        <w:jc w:val="right"/>
        <w:rPr>
          <w:color w:val="000000" w:themeColor="text1"/>
        </w:rPr>
      </w:pPr>
      <m:oMath>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Comb</m:t>
            </m:r>
          </m:sub>
          <m:sup>
            <m:r>
              <w:rPr>
                <w:rFonts w:ascii="Cambria Math" w:hAnsi="Cambria Math"/>
                <w:color w:val="000000" w:themeColor="text1"/>
              </w:rPr>
              <m:t>i,abc</m:t>
            </m:r>
          </m:sup>
        </m:sSubSup>
        <m:r>
          <m:rPr>
            <m:sty m:val="p"/>
          </m:rPr>
          <w:rPr>
            <w:rFonts w:ascii="Cambria Math" w:hAnsi="Cambria Math"/>
            <w:color w:val="000000" w:themeColor="text1"/>
          </w:rPr>
          <m:t>=</m:t>
        </m:r>
        <m:f>
          <m:fPr>
            <m:ctrlPr>
              <w:rPr>
                <w:rFonts w:ascii="Cambria Math" w:hAnsi="Cambria Math"/>
                <w:color w:val="000000" w:themeColor="text1"/>
              </w:rPr>
            </m:ctrlPr>
          </m:fPr>
          <m:num>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i,a</m:t>
                </m:r>
              </m:sup>
            </m:sSubSup>
            <m:d>
              <m:dPr>
                <m:ctrlPr>
                  <w:rPr>
                    <w:rFonts w:ascii="Cambria Math" w:hAnsi="Cambria Math"/>
                    <w:color w:val="000000" w:themeColor="text1"/>
                  </w:rPr>
                </m:ctrlPr>
              </m:dPr>
              <m:e>
                <m:r>
                  <m:rPr>
                    <m:sty m:val="p"/>
                  </m:rPr>
                  <w:rPr>
                    <w:rFonts w:ascii="Cambria Math" w:hAnsi="Cambria Math"/>
                    <w:color w:val="000000" w:themeColor="text1"/>
                  </w:rPr>
                  <m:t>1-</m:t>
                </m:r>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e>
            </m:d>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i,b</m:t>
                </m:r>
              </m:sup>
            </m:sSubSup>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b</m:t>
                    </m:r>
                  </m:sub>
                </m:sSub>
              </m:e>
            </m:d>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i,c</m:t>
                </m:r>
              </m:sup>
            </m:sSubSup>
            <m:d>
              <m:dPr>
                <m:ctrlPr>
                  <w:rPr>
                    <w:rFonts w:ascii="Cambria Math" w:hAnsi="Cambria Math"/>
                    <w:color w:val="000000" w:themeColor="text1"/>
                  </w:rPr>
                </m:ctrlPr>
              </m:dPr>
              <m:e>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b</m:t>
                    </m:r>
                  </m:sub>
                </m:sSub>
                <m:r>
                  <m:rPr>
                    <m:sty m:val="p"/>
                  </m:rPr>
                  <w:rPr>
                    <w:rFonts w:ascii="Cambria Math" w:hAnsi="Cambria Math"/>
                    <w:color w:val="000000" w:themeColor="text1"/>
                  </w:rPr>
                  <m:t>-</m:t>
                </m:r>
                <m:r>
                  <w:rPr>
                    <w:rFonts w:ascii="Cambria Math" w:hAnsi="Cambria Math"/>
                    <w:color w:val="000000" w:themeColor="text1"/>
                  </w:rPr>
                  <m:t>F</m:t>
                </m:r>
              </m:e>
            </m:d>
          </m:num>
          <m:den>
            <m:r>
              <m:rPr>
                <m:sty m:val="p"/>
              </m:rPr>
              <w:rPr>
                <w:rFonts w:ascii="Cambria Math" w:hAnsi="Cambria Math"/>
                <w:color w:val="000000" w:themeColor="text1"/>
              </w:rPr>
              <m:t>(1-</m:t>
            </m:r>
            <m:r>
              <w:rPr>
                <w:rFonts w:ascii="Cambria Math" w:hAnsi="Cambria Math"/>
                <w:color w:val="000000" w:themeColor="text1"/>
              </w:rPr>
              <m:t>F</m:t>
            </m:r>
            <m:r>
              <m:rPr>
                <m:sty m:val="p"/>
              </m:rPr>
              <w:rPr>
                <w:rFonts w:ascii="Cambria Math" w:hAnsi="Cambria Math"/>
                <w:color w:val="000000" w:themeColor="text1"/>
              </w:rPr>
              <m:t>)</m:t>
            </m:r>
          </m:den>
        </m:f>
      </m:oMath>
      <w:r w:rsidR="003D68E9" w:rsidRPr="005F2112">
        <w:rPr>
          <w:rFonts w:eastAsiaTheme="minorEastAsia"/>
          <w:color w:val="000000" w:themeColor="text1"/>
        </w:rPr>
        <w:t>,</w:t>
      </w:r>
      <w:r w:rsidR="003D68E9">
        <w:rPr>
          <w:color w:val="000000" w:themeColor="text1"/>
        </w:rPr>
        <w:tab/>
      </w:r>
      <w:r w:rsidR="003D68E9" w:rsidRPr="005F2112">
        <w:rPr>
          <w:rFonts w:eastAsiaTheme="minorEastAsia"/>
          <w:color w:val="000000" w:themeColor="text1"/>
        </w:rPr>
        <w:tab/>
      </w:r>
      <w:r w:rsidR="003D68E9" w:rsidRPr="005F2112">
        <w:rPr>
          <w:rFonts w:eastAsiaTheme="minorEastAsia"/>
          <w:color w:val="000000" w:themeColor="text1"/>
        </w:rPr>
        <w:tab/>
        <w:t>(</w:t>
      </w:r>
      <w:r w:rsidR="003D68E9">
        <w:rPr>
          <w:color w:val="000000" w:themeColor="text1"/>
        </w:rPr>
        <w:t>C5</w:t>
      </w:r>
      <w:r w:rsidR="003D68E9" w:rsidRPr="005F2112">
        <w:rPr>
          <w:rFonts w:eastAsiaTheme="minorEastAsia"/>
          <w:color w:val="000000" w:themeColor="text1"/>
        </w:rPr>
        <w:t>)</w:t>
      </w:r>
    </w:p>
    <w:p w14:paraId="07DDE0A6" w14:textId="77777777" w:rsidR="003D68E9" w:rsidRDefault="003D68E9" w:rsidP="003D68E9">
      <w:pPr>
        <w:spacing w:line="480" w:lineRule="auto"/>
        <w:rPr>
          <w:color w:val="000000" w:themeColor="text1"/>
        </w:rPr>
      </w:pPr>
      <w:r w:rsidRPr="005F2112">
        <w:rPr>
          <w:color w:val="000000" w:themeColor="text1"/>
        </w:rPr>
        <w:lastRenderedPageBreak/>
        <w:t xml:space="preserve">and so forth, where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i,j</m:t>
            </m:r>
          </m:sup>
        </m:sSubSup>
      </m:oMath>
      <w:r w:rsidRPr="005F2112">
        <w:rPr>
          <w:color w:val="000000" w:themeColor="text1"/>
        </w:rPr>
        <w:t xml:space="preserve"> is the bulk partition coefficient for a given element during a part of the crystallization sequence at an extent of melt </w:t>
      </w:r>
      <m:oMath>
        <m:r>
          <w:rPr>
            <w:rFonts w:ascii="Cambria Math" w:hAnsi="Cambria Math"/>
            <w:color w:val="000000" w:themeColor="text1"/>
          </w:rPr>
          <m:t>F</m:t>
        </m:r>
      </m:oMath>
      <w:r w:rsidRPr="005F2112">
        <w:rPr>
          <w:color w:val="000000" w:themeColor="text1"/>
        </w:rPr>
        <w:t xml:space="preserve">. For the first interval </w:t>
      </w:r>
      <m:oMath>
        <m:r>
          <w:rPr>
            <w:rFonts w:ascii="Cambria Math" w:hAnsi="Cambria Math"/>
            <w:color w:val="000000" w:themeColor="text1"/>
          </w:rPr>
          <m:t>a</m:t>
        </m:r>
      </m:oMath>
      <w:r w:rsidRPr="005F2112">
        <w:rPr>
          <w:color w:val="000000" w:themeColor="text1"/>
        </w:rPr>
        <w:t xml:space="preserve">, the melt fraction at which crystallization interval </w:t>
      </w:r>
      <m:oMath>
        <m:r>
          <w:rPr>
            <w:rFonts w:ascii="Cambria Math" w:hAnsi="Cambria Math"/>
            <w:color w:val="000000" w:themeColor="text1"/>
          </w:rPr>
          <m:t>a</m:t>
        </m:r>
      </m:oMath>
      <w:r w:rsidRPr="005F2112">
        <w:rPr>
          <w:rFonts w:eastAsiaTheme="minorEastAsia"/>
          <w:color w:val="000000" w:themeColor="text1"/>
        </w:rPr>
        <w:t xml:space="preserve"> </w:t>
      </w:r>
      <w:r w:rsidRPr="005F2112">
        <w:rPr>
          <w:color w:val="000000" w:themeColor="text1"/>
        </w:rPr>
        <w:t xml:space="preserve">ends is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oMath>
      <w:r w:rsidRPr="005F2112">
        <w:rPr>
          <w:color w:val="000000" w:themeColor="text1"/>
        </w:rPr>
        <w:t xml:space="preserve">.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Comb</m:t>
            </m:r>
          </m:sub>
          <m:sup>
            <m:r>
              <w:rPr>
                <w:rFonts w:ascii="Cambria Math" w:hAnsi="Cambria Math"/>
                <w:color w:val="000000" w:themeColor="text1"/>
              </w:rPr>
              <m:t>i,ab</m:t>
            </m:r>
          </m:sup>
        </m:sSubSup>
      </m:oMath>
      <w:r w:rsidRPr="005F2112">
        <w:rPr>
          <w:color w:val="000000" w:themeColor="text1"/>
        </w:rPr>
        <w:t xml:space="preserve"> represents the combined bulk partition coefficient for a second crystallization interval </w:t>
      </w:r>
      <m:oMath>
        <m:r>
          <w:rPr>
            <w:rFonts w:ascii="Cambria Math" w:hAnsi="Cambria Math"/>
            <w:color w:val="000000" w:themeColor="text1"/>
          </w:rPr>
          <m:t>b</m:t>
        </m:r>
      </m:oMath>
      <w:r w:rsidRPr="005F2112">
        <w:rPr>
          <w:color w:val="000000" w:themeColor="text1"/>
        </w:rPr>
        <w:t xml:space="preserve">, crystallization sequence </w:t>
      </w:r>
      <m:oMath>
        <m:r>
          <w:rPr>
            <w:rFonts w:ascii="Cambria Math" w:hAnsi="Cambria Math"/>
            <w:color w:val="000000" w:themeColor="text1"/>
          </w:rPr>
          <m:t>b</m:t>
        </m:r>
      </m:oMath>
      <w:r w:rsidRPr="005F2112">
        <w:rPr>
          <w:i/>
          <w:iCs/>
          <w:color w:val="000000" w:themeColor="text1"/>
        </w:rPr>
        <w:t xml:space="preserve"> </w:t>
      </w:r>
      <w:r w:rsidRPr="005F2112">
        <w:rPr>
          <w:color w:val="000000" w:themeColor="text1"/>
        </w:rPr>
        <w:t xml:space="preserve">occurs for melt fractions between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a</m:t>
            </m:r>
          </m:sub>
        </m:sSub>
      </m:oMath>
      <w:r w:rsidRPr="005F2112">
        <w:rPr>
          <w:color w:val="000000" w:themeColor="text1"/>
        </w:rPr>
        <w:t xml:space="preserve"> and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b</m:t>
            </m:r>
          </m:sub>
        </m:sSub>
      </m:oMath>
      <w:r w:rsidRPr="005F2112">
        <w:rPr>
          <w:color w:val="000000" w:themeColor="text1"/>
        </w:rPr>
        <w:t xml:space="preserve">. </w:t>
      </w:r>
      <m:oMath>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Comb</m:t>
            </m:r>
          </m:sub>
          <m:sup>
            <m:r>
              <w:rPr>
                <w:rFonts w:ascii="Cambria Math" w:hAnsi="Cambria Math"/>
                <w:color w:val="000000" w:themeColor="text1"/>
              </w:rPr>
              <m:t>i,abc</m:t>
            </m:r>
          </m:sup>
        </m:sSubSup>
      </m:oMath>
      <w:r w:rsidRPr="005F2112">
        <w:rPr>
          <w:color w:val="000000" w:themeColor="text1"/>
        </w:rPr>
        <w:t xml:space="preserve"> represents the combined bulk partition coefficient for a third crystallization interval </w:t>
      </w:r>
      <m:oMath>
        <m:r>
          <w:rPr>
            <w:rFonts w:ascii="Cambria Math" w:hAnsi="Cambria Math"/>
            <w:color w:val="000000" w:themeColor="text1"/>
          </w:rPr>
          <m:t>c</m:t>
        </m:r>
      </m:oMath>
      <w:r w:rsidRPr="005F2112">
        <w:rPr>
          <w:color w:val="000000" w:themeColor="text1"/>
        </w:rPr>
        <w:t xml:space="preserve">, crystallization interval </w:t>
      </w:r>
      <m:oMath>
        <m:r>
          <w:rPr>
            <w:rFonts w:ascii="Cambria Math" w:hAnsi="Cambria Math"/>
            <w:color w:val="000000" w:themeColor="text1"/>
          </w:rPr>
          <m:t>c</m:t>
        </m:r>
      </m:oMath>
      <w:r w:rsidRPr="005F2112">
        <w:rPr>
          <w:i/>
          <w:iCs/>
          <w:color w:val="000000" w:themeColor="text1"/>
        </w:rPr>
        <w:t xml:space="preserve"> </w:t>
      </w:r>
      <w:r w:rsidRPr="005F2112">
        <w:rPr>
          <w:color w:val="000000" w:themeColor="text1"/>
        </w:rPr>
        <w:t xml:space="preserve">occurs for melt fractions between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 xml:space="preserve">b </m:t>
            </m:r>
          </m:sub>
        </m:sSub>
      </m:oMath>
      <w:r w:rsidRPr="005F2112">
        <w:rPr>
          <w:rFonts w:eastAsiaTheme="minorEastAsia"/>
          <w:color w:val="000000" w:themeColor="text1"/>
        </w:rPr>
        <w:t xml:space="preserve">and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c</m:t>
            </m:r>
          </m:sub>
        </m:sSub>
      </m:oMath>
      <w:r w:rsidRPr="005F2112">
        <w:rPr>
          <w:color w:val="000000" w:themeColor="text1"/>
        </w:rPr>
        <w:t>.</w:t>
      </w:r>
    </w:p>
    <w:p w14:paraId="65FFEC83" w14:textId="77777777" w:rsidR="003D68E9" w:rsidRPr="005F2112" w:rsidRDefault="003D68E9" w:rsidP="003D68E9">
      <w:pPr>
        <w:spacing w:line="480" w:lineRule="auto"/>
        <w:ind w:firstLine="720"/>
        <w:rPr>
          <w:rFonts w:eastAsiaTheme="minorEastAsia"/>
          <w:color w:val="000000" w:themeColor="text1"/>
        </w:rPr>
      </w:pPr>
      <w:r w:rsidRPr="005F2112">
        <w:rPr>
          <w:color w:val="000000" w:themeColor="text1"/>
        </w:rPr>
        <w:t xml:space="preserve">To model the effect of partial melting on LMO cumulates and hybridized mantle sources, we use an aggregated fractional melting model Eq. </w:t>
      </w:r>
      <w:r>
        <w:rPr>
          <w:color w:val="000000" w:themeColor="text1"/>
        </w:rPr>
        <w:t>C6</w:t>
      </w:r>
      <w:r w:rsidRPr="005F2112">
        <w:rPr>
          <w:color w:val="000000" w:themeColor="text1"/>
        </w:rPr>
        <w:t>:</w:t>
      </w:r>
    </w:p>
    <w:p w14:paraId="262154DE" w14:textId="77777777" w:rsidR="003D68E9" w:rsidRPr="005F2112" w:rsidRDefault="00000000" w:rsidP="003D68E9">
      <w:pPr>
        <w:spacing w:line="480" w:lineRule="auto"/>
        <w:jc w:val="right"/>
        <w:rPr>
          <w:color w:val="000000" w:themeColor="text1"/>
        </w:rPr>
      </w:pPr>
      <m:oMath>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l</m:t>
            </m:r>
          </m:sub>
          <m:sup>
            <m:r>
              <w:rPr>
                <w:rFonts w:ascii="Cambria Math" w:hAnsi="Cambria Math"/>
                <w:color w:val="000000" w:themeColor="text1"/>
              </w:rPr>
              <m:t>i</m:t>
            </m:r>
          </m:sup>
        </m:sSubSup>
        <m:r>
          <m:rPr>
            <m:sty m:val="p"/>
          </m:rPr>
          <w:rPr>
            <w:rFonts w:ascii="Cambria Math" w:hAnsi="Cambria Math"/>
            <w:color w:val="000000" w:themeColor="text1"/>
          </w:rPr>
          <m:t>=</m:t>
        </m:r>
        <m:sSubSup>
          <m:sSubSupPr>
            <m:ctrlPr>
              <w:rPr>
                <w:rFonts w:ascii="Cambria Math" w:hAnsi="Cambria Math"/>
                <w:color w:val="000000" w:themeColor="text1"/>
              </w:rPr>
            </m:ctrlPr>
          </m:sSubSupPr>
          <m:e>
            <m:r>
              <w:rPr>
                <w:rFonts w:ascii="Cambria Math" w:hAnsi="Cambria Math"/>
                <w:color w:val="000000" w:themeColor="text1"/>
              </w:rPr>
              <m:t>C</m:t>
            </m:r>
          </m:e>
          <m:sub>
            <m:sSub>
              <m:sSubPr>
                <m:ctrlPr>
                  <w:rPr>
                    <w:rFonts w:ascii="Cambria Math" w:hAnsi="Cambria Math"/>
                    <w:i/>
                    <w:color w:val="000000" w:themeColor="text1"/>
                  </w:rPr>
                </m:ctrlPr>
              </m:sSubPr>
              <m:e>
                <m:r>
                  <w:rPr>
                    <w:rFonts w:ascii="Cambria Math" w:hAnsi="Cambria Math"/>
                    <w:color w:val="000000" w:themeColor="text1"/>
                  </w:rPr>
                  <m:t>S</m:t>
                </m:r>
              </m:e>
              <m:sub>
                <m:r>
                  <w:rPr>
                    <w:rFonts w:ascii="Cambria Math" w:hAnsi="Cambria Math"/>
                    <w:color w:val="000000" w:themeColor="text1"/>
                  </w:rPr>
                  <m:t>0</m:t>
                </m:r>
              </m:sub>
            </m:sSub>
          </m:sub>
          <m:sup>
            <m:r>
              <w:rPr>
                <w:rFonts w:ascii="Cambria Math" w:hAnsi="Cambria Math"/>
                <w:color w:val="000000" w:themeColor="text1"/>
              </w:rPr>
              <m:t>i</m:t>
            </m:r>
          </m:sup>
        </m:sSubSup>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m:t>
            </m:r>
            <m:sSup>
              <m:sSupPr>
                <m:ctrlPr>
                  <w:rPr>
                    <w:rFonts w:ascii="Cambria Math" w:hAnsi="Cambria Math"/>
                    <w:color w:val="000000" w:themeColor="text1"/>
                  </w:rPr>
                </m:ctrlPr>
              </m:sSupPr>
              <m:e>
                <m:r>
                  <m:rPr>
                    <m:sty m:val="p"/>
                  </m:rPr>
                  <w:rPr>
                    <w:rFonts w:ascii="Cambria Math" w:hAnsi="Cambria Math"/>
                    <w:color w:val="000000" w:themeColor="text1"/>
                  </w:rPr>
                  <m:t>(1-</m:t>
                </m:r>
                <m:r>
                  <w:rPr>
                    <w:rFonts w:ascii="Cambria Math" w:hAnsi="Cambria Math"/>
                    <w:color w:val="000000" w:themeColor="text1"/>
                  </w:rPr>
                  <m:t>F</m:t>
                </m:r>
                <m:r>
                  <m:rPr>
                    <m:sty m:val="p"/>
                  </m:rPr>
                  <w:rPr>
                    <w:rFonts w:ascii="Cambria Math" w:hAnsi="Cambria Math"/>
                    <w:color w:val="000000" w:themeColor="text1"/>
                  </w:rPr>
                  <m:t>)</m:t>
                </m:r>
              </m:e>
              <m:sup>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m:t>
                    </m:r>
                  </m:num>
                  <m:den>
                    <m:sSubSup>
                      <m:sSubSupPr>
                        <m:ctrlPr>
                          <w:rPr>
                            <w:rFonts w:ascii="Cambria Math" w:hAnsi="Cambria Math"/>
                            <w:color w:val="000000" w:themeColor="text1"/>
                          </w:rPr>
                        </m:ctrlPr>
                      </m:sSubSupPr>
                      <m:e>
                        <m:r>
                          <w:rPr>
                            <w:rFonts w:ascii="Cambria Math" w:hAnsi="Cambria Math"/>
                            <w:color w:val="000000" w:themeColor="text1"/>
                          </w:rPr>
                          <m:t>D</m:t>
                        </m:r>
                      </m:e>
                      <m:sub>
                        <m:r>
                          <w:rPr>
                            <w:rFonts w:ascii="Cambria Math" w:hAnsi="Cambria Math"/>
                            <w:color w:val="000000" w:themeColor="text1"/>
                          </w:rPr>
                          <m:t>Bulk</m:t>
                        </m:r>
                      </m:sub>
                      <m:sup>
                        <m:r>
                          <w:rPr>
                            <w:rFonts w:ascii="Cambria Math" w:hAnsi="Cambria Math"/>
                            <w:color w:val="000000" w:themeColor="text1"/>
                          </w:rPr>
                          <m:t>i</m:t>
                        </m:r>
                      </m:sup>
                    </m:sSubSup>
                  </m:den>
                </m:f>
                <m:r>
                  <m:rPr>
                    <m:sty m:val="p"/>
                  </m:rPr>
                  <w:rPr>
                    <w:rFonts w:ascii="Cambria Math" w:hAnsi="Cambria Math"/>
                    <w:color w:val="000000" w:themeColor="text1"/>
                  </w:rPr>
                  <m:t>)</m:t>
                </m:r>
              </m:sup>
            </m:sSup>
          </m:num>
          <m:den>
            <m:r>
              <w:rPr>
                <w:rFonts w:ascii="Cambria Math" w:hAnsi="Cambria Math"/>
                <w:color w:val="000000" w:themeColor="text1"/>
              </w:rPr>
              <m:t>F</m:t>
            </m:r>
          </m:den>
        </m:f>
        <m:r>
          <m:rPr>
            <m:sty m:val="p"/>
          </m:rPr>
          <w:rPr>
            <w:rFonts w:ascii="Cambria Math" w:hAnsi="Cambria Math"/>
            <w:color w:val="000000" w:themeColor="text1"/>
          </w:rPr>
          <m:t>)</m:t>
        </m:r>
      </m:oMath>
      <w:r w:rsidR="003D68E9" w:rsidRPr="005F2112">
        <w:rPr>
          <w:rFonts w:eastAsiaTheme="minorEastAsia"/>
          <w:color w:val="000000" w:themeColor="text1"/>
        </w:rPr>
        <w:t>,</w:t>
      </w:r>
      <w:r w:rsidR="003D68E9" w:rsidRPr="005F2112">
        <w:rPr>
          <w:rFonts w:eastAsiaTheme="minorEastAsia"/>
          <w:color w:val="000000" w:themeColor="text1"/>
        </w:rPr>
        <w:tab/>
      </w:r>
      <w:r w:rsidR="003D68E9" w:rsidRPr="005F2112">
        <w:rPr>
          <w:rFonts w:eastAsiaTheme="minorEastAsia"/>
          <w:color w:val="000000" w:themeColor="text1"/>
        </w:rPr>
        <w:tab/>
      </w:r>
      <w:r w:rsidR="003D68E9">
        <w:rPr>
          <w:color w:val="000000" w:themeColor="text1"/>
        </w:rPr>
        <w:tab/>
      </w:r>
      <w:r w:rsidR="003D68E9" w:rsidRPr="005F2112">
        <w:rPr>
          <w:rFonts w:eastAsiaTheme="minorEastAsia"/>
          <w:color w:val="000000" w:themeColor="text1"/>
        </w:rPr>
        <w:tab/>
      </w:r>
      <w:r w:rsidR="003D68E9" w:rsidRPr="005F2112">
        <w:rPr>
          <w:rFonts w:eastAsiaTheme="minorEastAsia"/>
          <w:color w:val="000000" w:themeColor="text1"/>
        </w:rPr>
        <w:tab/>
        <w:t>(</w:t>
      </w:r>
      <w:r w:rsidR="003D68E9">
        <w:rPr>
          <w:color w:val="000000" w:themeColor="text1"/>
        </w:rPr>
        <w:t>C6</w:t>
      </w:r>
      <w:r w:rsidR="003D68E9" w:rsidRPr="005F2112">
        <w:rPr>
          <w:rFonts w:eastAsiaTheme="minorEastAsia"/>
          <w:color w:val="000000" w:themeColor="text1"/>
        </w:rPr>
        <w:t>)</w:t>
      </w:r>
    </w:p>
    <w:p w14:paraId="0C257912" w14:textId="5227267A" w:rsidR="00EE54ED" w:rsidRDefault="003D68E9" w:rsidP="00EE54ED">
      <w:pPr>
        <w:spacing w:line="480" w:lineRule="auto"/>
        <w:rPr>
          <w:color w:val="000000" w:themeColor="text1"/>
        </w:rPr>
      </w:pPr>
      <w:r w:rsidRPr="005F2112">
        <w:rPr>
          <w:color w:val="000000" w:themeColor="text1"/>
        </w:rPr>
        <w:t xml:space="preserve">where </w:t>
      </w:r>
      <m:oMath>
        <m:sSubSup>
          <m:sSubSupPr>
            <m:ctrlPr>
              <w:rPr>
                <w:rFonts w:ascii="Cambria Math" w:hAnsi="Cambria Math"/>
                <w:color w:val="000000" w:themeColor="text1"/>
              </w:rPr>
            </m:ctrlPr>
          </m:sSubSupPr>
          <m:e>
            <m:r>
              <w:rPr>
                <w:rFonts w:ascii="Cambria Math" w:hAnsi="Cambria Math"/>
                <w:color w:val="000000" w:themeColor="text1"/>
              </w:rPr>
              <m:t>C</m:t>
            </m:r>
          </m:e>
          <m:sub>
            <m:sSub>
              <m:sSubPr>
                <m:ctrlPr>
                  <w:rPr>
                    <w:rFonts w:ascii="Cambria Math" w:hAnsi="Cambria Math"/>
                    <w:i/>
                    <w:color w:val="000000" w:themeColor="text1"/>
                  </w:rPr>
                </m:ctrlPr>
              </m:sSubPr>
              <m:e>
                <m:r>
                  <w:rPr>
                    <w:rFonts w:ascii="Cambria Math" w:hAnsi="Cambria Math"/>
                    <w:color w:val="000000" w:themeColor="text1"/>
                  </w:rPr>
                  <m:t>S</m:t>
                </m:r>
              </m:e>
              <m:sub>
                <m:r>
                  <w:rPr>
                    <w:rFonts w:ascii="Cambria Math" w:hAnsi="Cambria Math"/>
                    <w:color w:val="000000" w:themeColor="text1"/>
                  </w:rPr>
                  <m:t>0</m:t>
                </m:r>
              </m:sub>
            </m:sSub>
          </m:sub>
          <m:sup>
            <m:r>
              <w:rPr>
                <w:rFonts w:ascii="Cambria Math" w:hAnsi="Cambria Math"/>
                <w:color w:val="000000" w:themeColor="text1"/>
              </w:rPr>
              <m:t>i</m:t>
            </m:r>
          </m:sup>
        </m:sSubSup>
      </m:oMath>
      <w:r w:rsidRPr="005F2112">
        <w:rPr>
          <w:color w:val="000000" w:themeColor="text1"/>
        </w:rPr>
        <w:t xml:space="preserve"> represents concentration of a given element </w:t>
      </w:r>
      <m:oMath>
        <m:r>
          <w:rPr>
            <w:rFonts w:ascii="Cambria Math" w:hAnsi="Cambria Math"/>
            <w:color w:val="000000" w:themeColor="text1"/>
          </w:rPr>
          <m:t>i</m:t>
        </m:r>
      </m:oMath>
      <w:r w:rsidRPr="005F2112">
        <w:rPr>
          <w:color w:val="000000" w:themeColor="text1"/>
        </w:rPr>
        <w:t xml:space="preserve"> in the initial cumulate, </w:t>
      </w:r>
      <m:oMath>
        <m:sSubSup>
          <m:sSubSupPr>
            <m:ctrlPr>
              <w:rPr>
                <w:rFonts w:ascii="Cambria Math" w:hAnsi="Cambria Math"/>
                <w:color w:val="000000" w:themeColor="text1"/>
              </w:rPr>
            </m:ctrlPr>
          </m:sSubSupPr>
          <m:e>
            <m:r>
              <w:rPr>
                <w:rFonts w:ascii="Cambria Math" w:hAnsi="Cambria Math"/>
                <w:color w:val="000000" w:themeColor="text1"/>
              </w:rPr>
              <m:t>C</m:t>
            </m:r>
          </m:e>
          <m:sub>
            <m:r>
              <w:rPr>
                <w:rFonts w:ascii="Cambria Math" w:hAnsi="Cambria Math"/>
                <w:color w:val="000000" w:themeColor="text1"/>
              </w:rPr>
              <m:t>l</m:t>
            </m:r>
          </m:sub>
          <m:sup>
            <m:r>
              <w:rPr>
                <w:rFonts w:ascii="Cambria Math" w:hAnsi="Cambria Math"/>
                <w:color w:val="000000" w:themeColor="text1"/>
              </w:rPr>
              <m:t>i</m:t>
            </m:r>
          </m:sup>
        </m:sSubSup>
      </m:oMath>
      <w:r w:rsidRPr="005F2112">
        <w:rPr>
          <w:color w:val="000000" w:themeColor="text1"/>
        </w:rPr>
        <w:t xml:space="preserve"> is the concentration in the melt that forms, and </w:t>
      </w:r>
      <m:oMath>
        <m:r>
          <w:rPr>
            <w:rFonts w:ascii="Cambria Math" w:hAnsi="Cambria Math"/>
            <w:color w:val="000000" w:themeColor="text1"/>
          </w:rPr>
          <m:t>F</m:t>
        </m:r>
      </m:oMath>
      <w:r w:rsidRPr="005F2112">
        <w:rPr>
          <w:color w:val="000000" w:themeColor="text1"/>
        </w:rPr>
        <w:t xml:space="preserve"> is the melt fraction. Given the current lack of information on source mineralogy and non-modal melting behavior, we assume modal melting for all partial melting calculations in this study</w:t>
      </w:r>
      <w:r>
        <w:rPr>
          <w:color w:val="000000" w:themeColor="text1"/>
        </w:rPr>
        <w:t>.</w:t>
      </w:r>
    </w:p>
    <w:p w14:paraId="69037BAB" w14:textId="42107356" w:rsidR="00EE54ED" w:rsidRPr="00EE54ED" w:rsidRDefault="00EE54ED" w:rsidP="00EE54ED">
      <w:pPr>
        <w:spacing w:line="480" w:lineRule="auto"/>
        <w:rPr>
          <w:b/>
          <w:bCs/>
          <w:color w:val="000000" w:themeColor="text1"/>
        </w:rPr>
      </w:pPr>
      <w:r w:rsidRPr="00EE54ED">
        <w:rPr>
          <w:b/>
          <w:bCs/>
          <w:color w:val="000000" w:themeColor="text1"/>
        </w:rPr>
        <w:t>Mineral-Melt Partitioning</w:t>
      </w:r>
    </w:p>
    <w:p w14:paraId="3208A948" w14:textId="58FFD10B" w:rsidR="00F253FB" w:rsidRPr="003D327C" w:rsidRDefault="00BF748F" w:rsidP="00B66C15">
      <w:pPr>
        <w:spacing w:line="480" w:lineRule="auto"/>
        <w:ind w:firstLine="720"/>
        <w:rPr>
          <w:color w:val="000000" w:themeColor="text1"/>
        </w:rPr>
      </w:pPr>
      <w:r w:rsidRPr="00487150">
        <w:rPr>
          <w:color w:val="000000" w:themeColor="text1"/>
        </w:rPr>
        <w:t xml:space="preserve">K partitioning between olivine and melt was estimated using a lattice strain-based partitioning model to fit Li and Na partitioning data. This was done because the abundance of K is often at or below the detection limit (i.e., the measured concentrations of K are within error of zero) in olivine grains from previous mineral-melt partitioning studies. In addition, the partitioning behavior of Li and Na (i.e., other 1+ elements) exhibit systematic partitioning trends with respect to pressure and temperature across </w:t>
      </w:r>
      <w:r w:rsidRPr="00487150">
        <w:rPr>
          <w:color w:val="000000" w:themeColor="text1"/>
        </w:rPr>
        <w:lastRenderedPageBreak/>
        <w:t>multiple studies, and the abundance of these elements is often above their respective detection limits.</w:t>
      </w:r>
      <w:r>
        <w:rPr>
          <w:color w:val="000000" w:themeColor="text1"/>
        </w:rPr>
        <w:t xml:space="preserve"> </w:t>
      </w:r>
      <w:r w:rsidRPr="003D327C">
        <w:rPr>
          <w:color w:val="000000" w:themeColor="text1"/>
        </w:rPr>
        <w:t>The partitioning behavior of K in olivine was approximated using the lattice strain model (Brice, 1975; Blundy and Wood, 1994; Wood and Blundy, 1997</w:t>
      </w:r>
      <w:r w:rsidR="00F253FB" w:rsidRPr="003D327C">
        <w:rPr>
          <w:color w:val="000000" w:themeColor="text1"/>
        </w:rPr>
        <w:t>):</w:t>
      </w:r>
    </w:p>
    <w:p w14:paraId="11530DDE" w14:textId="6AB4C79E" w:rsidR="00F253FB" w:rsidRPr="003D327C" w:rsidRDefault="00000000" w:rsidP="00266281">
      <w:pPr>
        <w:spacing w:line="480" w:lineRule="auto"/>
        <w:jc w:val="right"/>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j</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0</m:t>
            </m:r>
          </m:sub>
        </m:sSub>
        <m:r>
          <m:rPr>
            <m:sty m:val="p"/>
          </m:rPr>
          <w:rPr>
            <w:rFonts w:ascii="Cambria Math" w:hAnsi="Cambria Math"/>
            <w:color w:val="000000" w:themeColor="text1"/>
          </w:rPr>
          <m:t>exp⁡</m:t>
        </m:r>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-4πE</m:t>
            </m:r>
            <m:sSub>
              <m:sSubPr>
                <m:ctrlPr>
                  <w:rPr>
                    <w:rFonts w:ascii="Cambria Math" w:hAnsi="Cambria Math"/>
                    <w:i/>
                    <w:color w:val="000000" w:themeColor="text1"/>
                  </w:rPr>
                </m:ctrlPr>
              </m:sSubPr>
              <m:e>
                <m:r>
                  <w:rPr>
                    <w:rFonts w:ascii="Cambria Math" w:hAnsi="Cambria Math"/>
                    <w:color w:val="000000" w:themeColor="text1"/>
                  </w:rPr>
                  <m:t>N</m:t>
                </m:r>
              </m:e>
              <m:sub>
                <m:r>
                  <w:rPr>
                    <w:rFonts w:ascii="Cambria Math" w:hAnsi="Cambria Math"/>
                    <w:color w:val="000000" w:themeColor="text1"/>
                  </w:rPr>
                  <m:t>A</m:t>
                </m:r>
              </m:sub>
            </m:sSub>
          </m:num>
          <m:den>
            <m:r>
              <w:rPr>
                <w:rFonts w:ascii="Cambria Math" w:hAnsi="Cambria Math"/>
                <w:color w:val="000000" w:themeColor="text1"/>
              </w:rPr>
              <m:t>RT</m:t>
            </m:r>
          </m:den>
        </m:f>
        <m:d>
          <m:dPr>
            <m:ctrlPr>
              <w:rPr>
                <w:rFonts w:ascii="Cambria Math" w:hAnsi="Cambria Math"/>
                <w:i/>
                <w:color w:val="000000" w:themeColor="text1"/>
              </w:rPr>
            </m:ctrlPr>
          </m:dPr>
          <m:e>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num>
              <m:den>
                <m:r>
                  <w:rPr>
                    <w:rFonts w:ascii="Cambria Math" w:hAnsi="Cambria Math"/>
                    <w:color w:val="000000" w:themeColor="text1"/>
                  </w:rPr>
                  <m:t>2</m:t>
                </m:r>
              </m:den>
            </m:f>
            <m:sSup>
              <m:sSupPr>
                <m:ctrlPr>
                  <w:rPr>
                    <w:rFonts w:ascii="Cambria Math" w:hAnsi="Cambria Math"/>
                    <w:i/>
                    <w:color w:val="000000" w:themeColor="text1"/>
                  </w:rPr>
                </m:ctrlPr>
              </m:sSupPr>
              <m:e>
                <m:d>
                  <m:dPr>
                    <m:ctrlPr>
                      <w:rPr>
                        <w:rFonts w:ascii="Cambria Math" w:hAnsi="Cambria Math"/>
                        <w:i/>
                        <w:color w:val="000000" w:themeColor="text1"/>
                      </w:rPr>
                    </m:ctrlPr>
                  </m:dPr>
                  <m:e>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j</m:t>
                        </m:r>
                      </m:sub>
                    </m:sSub>
                  </m:e>
                </m:d>
              </m:e>
              <m:sup>
                <m:r>
                  <w:rPr>
                    <w:rFonts w:ascii="Cambria Math" w:hAnsi="Cambria Math"/>
                    <w:color w:val="000000" w:themeColor="text1"/>
                  </w:rPr>
                  <m:t>2</m:t>
                </m:r>
              </m:sup>
            </m:sSup>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3</m:t>
                </m:r>
              </m:den>
            </m:f>
            <m:sSup>
              <m:sSupPr>
                <m:ctrlPr>
                  <w:rPr>
                    <w:rFonts w:ascii="Cambria Math" w:hAnsi="Cambria Math"/>
                    <w:i/>
                    <w:color w:val="000000" w:themeColor="text1"/>
                  </w:rPr>
                </m:ctrlPr>
              </m:sSupPr>
              <m:e>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j</m:t>
                    </m:r>
                  </m:sub>
                </m:sSub>
                <m:r>
                  <w:rPr>
                    <w:rFonts w:ascii="Cambria Math" w:hAnsi="Cambria Math"/>
                    <w:color w:val="000000" w:themeColor="text1"/>
                  </w:rPr>
                  <m:t>)</m:t>
                </m:r>
              </m:e>
              <m:sup>
                <m:r>
                  <w:rPr>
                    <w:rFonts w:ascii="Cambria Math" w:hAnsi="Cambria Math"/>
                    <w:color w:val="000000" w:themeColor="text1"/>
                  </w:rPr>
                  <m:t>3</m:t>
                </m:r>
              </m:sup>
            </m:sSup>
          </m:e>
        </m:d>
        <m:r>
          <w:rPr>
            <w:rFonts w:ascii="Cambria Math" w:hAnsi="Cambria Math"/>
            <w:color w:val="000000" w:themeColor="text1"/>
          </w:rPr>
          <m:t>)</m:t>
        </m:r>
      </m:oMath>
      <w:r w:rsidR="00F253FB" w:rsidRPr="003D327C">
        <w:rPr>
          <w:rFonts w:eastAsiaTheme="minorEastAsia"/>
          <w:color w:val="000000" w:themeColor="text1"/>
        </w:rPr>
        <w:tab/>
      </w:r>
      <w:r w:rsidR="00F253FB" w:rsidRPr="003D327C">
        <w:rPr>
          <w:rFonts w:eastAsiaTheme="minorEastAsia"/>
          <w:color w:val="000000" w:themeColor="text1"/>
        </w:rPr>
        <w:tab/>
      </w:r>
      <w:r w:rsidR="00266281" w:rsidRPr="003D327C">
        <w:rPr>
          <w:rFonts w:eastAsiaTheme="minorEastAsia"/>
          <w:color w:val="000000" w:themeColor="text1"/>
        </w:rPr>
        <w:tab/>
      </w:r>
      <w:r w:rsidR="00F253FB" w:rsidRPr="003D327C">
        <w:rPr>
          <w:rFonts w:eastAsiaTheme="minorEastAsia"/>
          <w:color w:val="000000" w:themeColor="text1"/>
        </w:rPr>
        <w:t>(C</w:t>
      </w:r>
      <w:r w:rsidR="003D68E9">
        <w:rPr>
          <w:rFonts w:eastAsiaTheme="minorEastAsia"/>
          <w:color w:val="000000" w:themeColor="text1"/>
        </w:rPr>
        <w:t>7</w:t>
      </w:r>
      <w:r w:rsidR="00F253FB" w:rsidRPr="003D327C">
        <w:rPr>
          <w:rFonts w:eastAsiaTheme="minorEastAsia"/>
          <w:color w:val="000000" w:themeColor="text1"/>
        </w:rPr>
        <w:t>)</w:t>
      </w:r>
    </w:p>
    <w:p w14:paraId="65A0F68E" w14:textId="214ABA42" w:rsidR="00C02DCF" w:rsidRPr="003D327C" w:rsidRDefault="008C0BD4" w:rsidP="00B66C15">
      <w:pPr>
        <w:spacing w:line="480" w:lineRule="auto"/>
        <w:rPr>
          <w:rFonts w:eastAsiaTheme="minorEastAsia"/>
          <w:color w:val="000000" w:themeColor="text1"/>
        </w:rPr>
      </w:pPr>
      <w:r w:rsidRPr="003D327C">
        <w:rPr>
          <w:color w:val="000000" w:themeColor="text1"/>
        </w:rPr>
        <w:t xml:space="preserve">where </w:t>
      </w: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j</m:t>
            </m:r>
          </m:sub>
        </m:sSub>
        <m:r>
          <w:rPr>
            <w:rFonts w:ascii="Cambria Math" w:hAnsi="Cambria Math"/>
            <w:color w:val="000000" w:themeColor="text1"/>
          </w:rPr>
          <m:t xml:space="preserve"> </m:t>
        </m:r>
      </m:oMath>
      <w:r w:rsidRPr="003D327C">
        <w:rPr>
          <w:rFonts w:eastAsiaTheme="minorEastAsia"/>
          <w:color w:val="000000" w:themeColor="text1"/>
        </w:rPr>
        <w:t xml:space="preserve">is the mineral-melt partition coefficient of element </w:t>
      </w:r>
      <m:oMath>
        <m:r>
          <w:rPr>
            <w:rFonts w:ascii="Cambria Math" w:eastAsiaTheme="minorEastAsia" w:hAnsi="Cambria Math"/>
            <w:color w:val="000000" w:themeColor="text1"/>
          </w:rPr>
          <m:t>j</m:t>
        </m:r>
      </m:oMath>
      <w:r w:rsidRPr="003D327C">
        <w:rPr>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0</m:t>
            </m:r>
          </m:sub>
        </m:sSub>
      </m:oMath>
      <w:r w:rsidRPr="003D327C">
        <w:rPr>
          <w:rFonts w:eastAsiaTheme="minorEastAsia"/>
          <w:color w:val="000000" w:themeColor="text1"/>
        </w:rPr>
        <w:t xml:space="preserve"> is the partition coefficient for a strain-free substitution;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oMath>
      <w:r w:rsidRPr="003D327C">
        <w:rPr>
          <w:rFonts w:eastAsiaTheme="minorEastAsia"/>
          <w:color w:val="000000" w:themeColor="text1"/>
        </w:rPr>
        <w:t xml:space="preserve"> is the ideal ionic radius for the lattice site;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j</m:t>
            </m:r>
          </m:sub>
        </m:sSub>
      </m:oMath>
      <w:r w:rsidRPr="003D327C">
        <w:rPr>
          <w:rFonts w:eastAsiaTheme="minorEastAsia"/>
          <w:color w:val="000000" w:themeColor="text1"/>
        </w:rPr>
        <w:t xml:space="preserve"> is the ionic radius of the given element (</w:t>
      </w:r>
      <w:r>
        <w:rPr>
          <w:rFonts w:eastAsiaTheme="minorEastAsia"/>
          <w:color w:val="000000" w:themeColor="text1"/>
        </w:rPr>
        <w:t>e.g</w:t>
      </w:r>
      <w:r w:rsidRPr="003D327C">
        <w:rPr>
          <w:rFonts w:eastAsiaTheme="minorEastAsia"/>
          <w:color w:val="000000" w:themeColor="text1"/>
        </w:rPr>
        <w:t xml:space="preserve">., Li, Na, K, Rb, Cs); </w:t>
      </w:r>
      <m:oMath>
        <m:r>
          <w:rPr>
            <w:rFonts w:ascii="Cambria Math" w:hAnsi="Cambria Math"/>
            <w:color w:val="000000" w:themeColor="text1"/>
          </w:rPr>
          <m:t>E</m:t>
        </m:r>
      </m:oMath>
      <w:r w:rsidRPr="003D327C">
        <w:rPr>
          <w:rFonts w:eastAsiaTheme="minorEastAsia"/>
          <w:color w:val="000000" w:themeColor="text1"/>
        </w:rPr>
        <w:t xml:space="preserve"> is the effective Young’s modulus of the lattice site; </w:t>
      </w:r>
      <m:oMath>
        <m:sSub>
          <m:sSubPr>
            <m:ctrlPr>
              <w:rPr>
                <w:rFonts w:ascii="Cambria Math" w:hAnsi="Cambria Math"/>
                <w:i/>
                <w:color w:val="000000" w:themeColor="text1"/>
              </w:rPr>
            </m:ctrlPr>
          </m:sSubPr>
          <m:e>
            <m:r>
              <w:rPr>
                <w:rFonts w:ascii="Cambria Math" w:hAnsi="Cambria Math"/>
                <w:color w:val="000000" w:themeColor="text1"/>
              </w:rPr>
              <m:t>N</m:t>
            </m:r>
          </m:e>
          <m:sub>
            <m:r>
              <w:rPr>
                <w:rFonts w:ascii="Cambria Math" w:hAnsi="Cambria Math"/>
                <w:color w:val="000000" w:themeColor="text1"/>
              </w:rPr>
              <m:t>A</m:t>
            </m:r>
          </m:sub>
        </m:sSub>
      </m:oMath>
      <w:r w:rsidRPr="003D327C">
        <w:rPr>
          <w:rFonts w:eastAsiaTheme="minorEastAsia"/>
          <w:color w:val="000000" w:themeColor="text1"/>
        </w:rPr>
        <w:t xml:space="preserve"> is Avogadro’s number; </w:t>
      </w:r>
      <m:oMath>
        <m:r>
          <w:rPr>
            <w:rFonts w:ascii="Cambria Math" w:hAnsi="Cambria Math"/>
            <w:color w:val="000000" w:themeColor="text1"/>
          </w:rPr>
          <m:t>R</m:t>
        </m:r>
      </m:oMath>
      <w:r w:rsidRPr="003D327C">
        <w:rPr>
          <w:rFonts w:eastAsiaTheme="minorEastAsia"/>
          <w:color w:val="000000" w:themeColor="text1"/>
        </w:rPr>
        <w:t xml:space="preserve"> is the gas constant; and </w:t>
      </w:r>
      <m:oMath>
        <m:r>
          <w:rPr>
            <w:rFonts w:ascii="Cambria Math" w:eastAsiaTheme="minorEastAsia" w:hAnsi="Cambria Math"/>
            <w:color w:val="000000" w:themeColor="text1"/>
          </w:rPr>
          <m:t>T</m:t>
        </m:r>
      </m:oMath>
      <w:r w:rsidRPr="003D327C">
        <w:rPr>
          <w:rFonts w:eastAsiaTheme="minorEastAsia"/>
          <w:color w:val="000000" w:themeColor="text1"/>
        </w:rPr>
        <w:t xml:space="preserve"> is the temperature (Kelvin). We use the sixfold ionic radius for monovalent ions (Shannon, 1976). To develop the monovalent element partitioning model for olivine, we used methods similar to those of Sun and Liang (2013) and compiled a large dataset of experimentally determined partitioning data (</w:t>
      </w:r>
      <w:r w:rsidRPr="003D327C">
        <w:rPr>
          <w:rFonts w:eastAsiaTheme="minorEastAsia"/>
          <w:b/>
          <w:bCs/>
          <w:color w:val="000000" w:themeColor="text1"/>
        </w:rPr>
        <w:t>Figure C1</w:t>
      </w:r>
      <w:r w:rsidRPr="003D327C">
        <w:rPr>
          <w:rFonts w:eastAsiaTheme="minorEastAsia"/>
          <w:color w:val="000000" w:themeColor="text1"/>
        </w:rPr>
        <w:t>). Eq. C</w:t>
      </w:r>
      <w:r w:rsidR="003D68E9">
        <w:rPr>
          <w:rFonts w:eastAsiaTheme="minorEastAsia"/>
          <w:color w:val="000000" w:themeColor="text1"/>
        </w:rPr>
        <w:t>7</w:t>
      </w:r>
      <w:r w:rsidRPr="003D327C">
        <w:rPr>
          <w:rFonts w:eastAsiaTheme="minorEastAsia"/>
          <w:color w:val="000000" w:themeColor="text1"/>
        </w:rPr>
        <w:t xml:space="preserve"> </w:t>
      </w:r>
      <w:r>
        <w:rPr>
          <w:rFonts w:eastAsiaTheme="minorEastAsia"/>
          <w:color w:val="000000" w:themeColor="text1"/>
        </w:rPr>
        <w:t xml:space="preserve">was fit </w:t>
      </w:r>
      <w:r w:rsidRPr="003D327C">
        <w:rPr>
          <w:rFonts w:eastAsiaTheme="minorEastAsia"/>
          <w:color w:val="000000" w:themeColor="text1"/>
        </w:rPr>
        <w:t xml:space="preserve">simultaneously through a global inversion of 87 </w:t>
      </w:r>
      <w:r>
        <w:rPr>
          <w:rFonts w:eastAsiaTheme="minorEastAsia"/>
          <w:color w:val="000000" w:themeColor="text1"/>
        </w:rPr>
        <w:t>experimentally determined observations</w:t>
      </w:r>
      <w:r w:rsidRPr="003D327C">
        <w:rPr>
          <w:rFonts w:eastAsiaTheme="minorEastAsia"/>
          <w:color w:val="000000" w:themeColor="text1"/>
        </w:rPr>
        <w:t xml:space="preserve"> for olivine </w:t>
      </w:r>
      <w:r>
        <w:rPr>
          <w:rFonts w:eastAsiaTheme="minorEastAsia"/>
          <w:color w:val="000000" w:themeColor="text1"/>
        </w:rPr>
        <w:t xml:space="preserve">to </w:t>
      </w:r>
      <w:r w:rsidRPr="003D327C">
        <w:rPr>
          <w:rFonts w:eastAsiaTheme="minorEastAsia"/>
          <w:color w:val="000000" w:themeColor="text1"/>
        </w:rPr>
        <w:t xml:space="preserve">obtain </w:t>
      </w:r>
      <w:r>
        <w:rPr>
          <w:rFonts w:eastAsiaTheme="minorEastAsia"/>
          <w:color w:val="000000" w:themeColor="text1"/>
        </w:rPr>
        <w:t>expressions for</w:t>
      </w:r>
      <w:r w:rsidRPr="003D327C">
        <w:rPr>
          <w:rFonts w:eastAsiaTheme="minorEastAsia"/>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0</m:t>
            </m:r>
          </m:sub>
        </m:sSub>
      </m:oMath>
      <w:r w:rsidRPr="003D327C">
        <w:rPr>
          <w:rFonts w:eastAsiaTheme="minorEastAsia"/>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oMath>
      <w:r w:rsidRPr="003D327C">
        <w:rPr>
          <w:rFonts w:eastAsiaTheme="minorEastAsia"/>
          <w:color w:val="000000" w:themeColor="text1"/>
        </w:rPr>
        <w:t xml:space="preserve">, and </w:t>
      </w:r>
      <m:oMath>
        <m:r>
          <w:rPr>
            <w:rFonts w:ascii="Cambria Math" w:hAnsi="Cambria Math"/>
            <w:color w:val="000000" w:themeColor="text1"/>
          </w:rPr>
          <m:t>E</m:t>
        </m:r>
      </m:oMath>
      <w:r>
        <w:rPr>
          <w:rFonts w:eastAsiaTheme="minorEastAsia"/>
          <w:color w:val="000000" w:themeColor="text1"/>
        </w:rPr>
        <w:t>.</w:t>
      </w:r>
      <w:r w:rsidRPr="003D327C">
        <w:rPr>
          <w:rFonts w:eastAsiaTheme="minorEastAsia"/>
          <w:color w:val="000000" w:themeColor="text1"/>
        </w:rPr>
        <w:t xml:space="preserve"> </w:t>
      </w:r>
      <w:r>
        <w:rPr>
          <w:rFonts w:eastAsiaTheme="minorEastAsia"/>
          <w:color w:val="000000" w:themeColor="text1"/>
        </w:rPr>
        <w:t>A</w:t>
      </w:r>
      <w:r w:rsidRPr="003D327C">
        <w:rPr>
          <w:rFonts w:eastAsiaTheme="minorEastAsia"/>
          <w:color w:val="000000" w:themeColor="text1"/>
        </w:rPr>
        <w:t xml:space="preserve"> nonlinear least squares method </w:t>
      </w:r>
      <w:r>
        <w:rPr>
          <w:rFonts w:eastAsiaTheme="minorEastAsia"/>
          <w:color w:val="000000" w:themeColor="text1"/>
        </w:rPr>
        <w:t xml:space="preserve">was utilized </w:t>
      </w:r>
      <w:r w:rsidRPr="003D327C">
        <w:rPr>
          <w:rFonts w:eastAsiaTheme="minorEastAsia"/>
          <w:color w:val="000000" w:themeColor="text1"/>
        </w:rPr>
        <w:t>minimiz</w:t>
      </w:r>
      <w:r>
        <w:rPr>
          <w:rFonts w:eastAsiaTheme="minorEastAsia"/>
          <w:color w:val="000000" w:themeColor="text1"/>
        </w:rPr>
        <w:t>ing</w:t>
      </w:r>
      <w:r w:rsidRPr="003D327C">
        <w:rPr>
          <w:rFonts w:eastAsiaTheme="minorEastAsia"/>
          <w:color w:val="000000" w:themeColor="text1"/>
        </w:rPr>
        <w:t xml:space="preserve"> the Pearson’s Chi-square (</w:t>
      </w:r>
      <m:oMath>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χ</m:t>
            </m:r>
          </m:e>
          <m:sup>
            <m:r>
              <w:rPr>
                <w:rFonts w:ascii="Cambria Math" w:eastAsiaTheme="minorEastAsia" w:hAnsi="Cambria Math"/>
                <w:color w:val="000000" w:themeColor="text1"/>
              </w:rPr>
              <m:t>2</m:t>
            </m:r>
          </m:sup>
        </m:sSup>
      </m:oMath>
      <w:r w:rsidRPr="003D327C">
        <w:rPr>
          <w:rFonts w:eastAsiaTheme="minorEastAsia"/>
          <w:color w:val="000000" w:themeColor="text1"/>
        </w:rPr>
        <w:t>) defined below</w:t>
      </w:r>
      <w:r w:rsidR="00C02DCF" w:rsidRPr="003D327C">
        <w:rPr>
          <w:rFonts w:eastAsiaTheme="minorEastAsia"/>
          <w:color w:val="000000" w:themeColor="text1"/>
        </w:rPr>
        <w:t>.</w:t>
      </w:r>
    </w:p>
    <w:p w14:paraId="6B1FA257" w14:textId="62DA8BE1" w:rsidR="00C02DCF" w:rsidRPr="003D327C" w:rsidRDefault="00000000" w:rsidP="00266281">
      <w:pPr>
        <w:spacing w:line="480" w:lineRule="auto"/>
        <w:jc w:val="right"/>
        <w:rPr>
          <w:rFonts w:eastAsiaTheme="minorEastAsia"/>
          <w:color w:val="000000" w:themeColor="text1"/>
        </w:rPr>
      </w:pPr>
      <m:oMath>
        <m:sSubSup>
          <m:sSubSupPr>
            <m:ctrlPr>
              <w:rPr>
                <w:rFonts w:ascii="Cambria Math" w:hAnsi="Cambria Math"/>
                <w:i/>
                <w:color w:val="000000" w:themeColor="text1"/>
              </w:rPr>
            </m:ctrlPr>
          </m:sSubSupPr>
          <m:e>
            <m:r>
              <w:rPr>
                <w:rFonts w:ascii="Cambria Math" w:hAnsi="Cambria Math"/>
                <w:color w:val="000000" w:themeColor="text1"/>
              </w:rPr>
              <m:t>χ</m:t>
            </m:r>
          </m:e>
          <m:sub>
            <m:r>
              <w:rPr>
                <w:rFonts w:ascii="Cambria Math" w:hAnsi="Cambria Math"/>
                <w:color w:val="000000" w:themeColor="text1"/>
              </w:rPr>
              <m:t>P</m:t>
            </m:r>
          </m:sub>
          <m:sup>
            <m:r>
              <w:rPr>
                <w:rFonts w:ascii="Cambria Math" w:hAnsi="Cambria Math"/>
                <w:color w:val="000000" w:themeColor="text1"/>
              </w:rPr>
              <m:t>2</m:t>
            </m:r>
          </m:sup>
        </m:sSubSup>
        <m:r>
          <w:rPr>
            <w:rFonts w:ascii="Cambria Math" w:hAnsi="Cambria Math"/>
            <w:color w:val="000000" w:themeColor="text1"/>
          </w:rPr>
          <m:t>=</m:t>
        </m:r>
        <m:nary>
          <m:naryPr>
            <m:chr m:val="∑"/>
            <m:limLoc m:val="undOvr"/>
            <m:ctrlPr>
              <w:rPr>
                <w:rFonts w:ascii="Cambria Math" w:hAnsi="Cambria Math"/>
                <w:i/>
                <w:color w:val="000000" w:themeColor="text1"/>
              </w:rPr>
            </m:ctrlPr>
          </m:naryPr>
          <m:sub>
            <m:r>
              <w:rPr>
                <w:rFonts w:ascii="Cambria Math" w:hAnsi="Cambria Math"/>
                <w:color w:val="000000" w:themeColor="text1"/>
              </w:rPr>
              <m:t>j=1</m:t>
            </m:r>
          </m:sub>
          <m:sup>
            <m:r>
              <w:rPr>
                <w:rFonts w:ascii="Cambria Math" w:hAnsi="Cambria Math"/>
                <w:color w:val="000000" w:themeColor="text1"/>
              </w:rPr>
              <m:t>N</m:t>
            </m:r>
          </m:sup>
          <m:e>
            <m:f>
              <m:fPr>
                <m:ctrlPr>
                  <w:rPr>
                    <w:rFonts w:ascii="Cambria Math" w:hAnsi="Cambria Math"/>
                    <w:i/>
                    <w:color w:val="000000" w:themeColor="text1"/>
                  </w:rPr>
                </m:ctrlPr>
              </m:fPr>
              <m:num>
                <m:sSup>
                  <m:sSupPr>
                    <m:ctrlPr>
                      <w:rPr>
                        <w:rFonts w:ascii="Cambria Math" w:hAnsi="Cambria Math"/>
                        <w:i/>
                        <w:color w:val="000000" w:themeColor="text1"/>
                      </w:rPr>
                    </m:ctrlPr>
                  </m:sSupPr>
                  <m:e>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j</m:t>
                        </m:r>
                      </m:sub>
                    </m:sSub>
                    <m:r>
                      <w:rPr>
                        <w:rFonts w:ascii="Cambria Math" w:hAnsi="Cambria Math"/>
                        <w:color w:val="000000" w:themeColor="text1"/>
                      </w:rPr>
                      <m:t>-</m:t>
                    </m:r>
                    <m:sSubSup>
                      <m:sSubSupPr>
                        <m:ctrlPr>
                          <w:rPr>
                            <w:rFonts w:ascii="Cambria Math" w:hAnsi="Cambria Math"/>
                            <w:i/>
                            <w:color w:val="000000" w:themeColor="text1"/>
                          </w:rPr>
                        </m:ctrlPr>
                      </m:sSubSupPr>
                      <m:e>
                        <m:r>
                          <w:rPr>
                            <w:rFonts w:ascii="Cambria Math" w:hAnsi="Cambria Math"/>
                            <w:color w:val="000000" w:themeColor="text1"/>
                          </w:rPr>
                          <m:t>D</m:t>
                        </m:r>
                      </m:e>
                      <m:sub>
                        <m:r>
                          <w:rPr>
                            <w:rFonts w:ascii="Cambria Math" w:hAnsi="Cambria Math"/>
                            <w:color w:val="000000" w:themeColor="text1"/>
                          </w:rPr>
                          <m:t>j</m:t>
                        </m:r>
                      </m:sub>
                      <m:sup>
                        <m:r>
                          <w:rPr>
                            <w:rFonts w:ascii="Cambria Math" w:hAnsi="Cambria Math"/>
                            <w:color w:val="000000" w:themeColor="text1"/>
                          </w:rPr>
                          <m:t>m</m:t>
                        </m:r>
                      </m:sup>
                    </m:sSubSup>
                    <m:r>
                      <w:rPr>
                        <w:rFonts w:ascii="Cambria Math" w:hAnsi="Cambria Math"/>
                        <w:color w:val="000000" w:themeColor="text1"/>
                      </w:rPr>
                      <m:t>)</m:t>
                    </m:r>
                  </m:e>
                  <m:sup>
                    <m:r>
                      <w:rPr>
                        <w:rFonts w:ascii="Cambria Math" w:hAnsi="Cambria Math"/>
                        <w:color w:val="000000" w:themeColor="text1"/>
                      </w:rPr>
                      <m:t>2</m:t>
                    </m:r>
                  </m:sup>
                </m:sSup>
              </m:num>
              <m:den>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j</m:t>
                    </m:r>
                  </m:sub>
                </m:sSub>
              </m:den>
            </m:f>
          </m:e>
        </m:nary>
      </m:oMath>
      <w:r w:rsidR="00254374" w:rsidRPr="003D327C">
        <w:rPr>
          <w:rFonts w:eastAsiaTheme="minorEastAsia"/>
          <w:color w:val="000000" w:themeColor="text1"/>
        </w:rPr>
        <w:t>,</w:t>
      </w:r>
      <w:r w:rsidR="00C02DCF" w:rsidRPr="003D327C">
        <w:rPr>
          <w:rFonts w:eastAsiaTheme="minorEastAsia"/>
          <w:color w:val="000000" w:themeColor="text1"/>
        </w:rPr>
        <w:tab/>
      </w:r>
      <w:r w:rsidR="00C02DCF" w:rsidRPr="003D327C">
        <w:rPr>
          <w:rFonts w:eastAsiaTheme="minorEastAsia"/>
          <w:color w:val="000000" w:themeColor="text1"/>
        </w:rPr>
        <w:tab/>
      </w:r>
      <w:r w:rsidR="00266281" w:rsidRPr="003D327C">
        <w:rPr>
          <w:rFonts w:eastAsiaTheme="minorEastAsia"/>
          <w:color w:val="000000" w:themeColor="text1"/>
        </w:rPr>
        <w:tab/>
      </w:r>
      <w:r w:rsidR="00266281" w:rsidRPr="003D327C">
        <w:rPr>
          <w:rFonts w:eastAsiaTheme="minorEastAsia"/>
          <w:color w:val="000000" w:themeColor="text1"/>
        </w:rPr>
        <w:tab/>
      </w:r>
      <w:r w:rsidR="00266281" w:rsidRPr="003D327C">
        <w:rPr>
          <w:rFonts w:eastAsiaTheme="minorEastAsia"/>
          <w:color w:val="000000" w:themeColor="text1"/>
        </w:rPr>
        <w:tab/>
      </w:r>
      <w:r w:rsidR="00C02DCF" w:rsidRPr="003D327C">
        <w:rPr>
          <w:rFonts w:eastAsiaTheme="minorEastAsia"/>
          <w:color w:val="000000" w:themeColor="text1"/>
        </w:rPr>
        <w:t>(</w:t>
      </w:r>
      <w:r w:rsidR="0053085B" w:rsidRPr="003D327C">
        <w:rPr>
          <w:rFonts w:eastAsiaTheme="minorEastAsia"/>
          <w:color w:val="000000" w:themeColor="text1"/>
        </w:rPr>
        <w:t>C</w:t>
      </w:r>
      <w:r w:rsidR="003D68E9">
        <w:rPr>
          <w:rFonts w:eastAsiaTheme="minorEastAsia"/>
          <w:color w:val="000000" w:themeColor="text1"/>
        </w:rPr>
        <w:t>8</w:t>
      </w:r>
      <w:r w:rsidR="00C02DCF" w:rsidRPr="003D327C">
        <w:rPr>
          <w:rFonts w:eastAsiaTheme="minorEastAsia"/>
          <w:color w:val="000000" w:themeColor="text1"/>
        </w:rPr>
        <w:t>)</w:t>
      </w:r>
    </w:p>
    <w:p w14:paraId="2222D382" w14:textId="16B27811" w:rsidR="00C02DCF" w:rsidRPr="003D327C" w:rsidRDefault="009F53B1" w:rsidP="00B66C15">
      <w:pPr>
        <w:spacing w:line="480" w:lineRule="auto"/>
        <w:rPr>
          <w:rFonts w:eastAsiaTheme="minorEastAsia"/>
          <w:color w:val="000000" w:themeColor="text1"/>
        </w:rPr>
      </w:pPr>
      <w:r w:rsidRPr="003D327C">
        <w:rPr>
          <w:rFonts w:eastAsiaTheme="minorEastAsia"/>
          <w:color w:val="000000" w:themeColor="text1"/>
        </w:rPr>
        <w:t xml:space="preserve">where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D</m:t>
            </m:r>
          </m:e>
          <m:sub>
            <m:r>
              <w:rPr>
                <w:rFonts w:ascii="Cambria Math" w:eastAsiaTheme="minorEastAsia" w:hAnsi="Cambria Math"/>
                <w:color w:val="000000" w:themeColor="text1"/>
              </w:rPr>
              <m:t>j</m:t>
            </m:r>
          </m:sub>
        </m:sSub>
      </m:oMath>
      <w:r w:rsidRPr="003D327C">
        <w:rPr>
          <w:rFonts w:eastAsiaTheme="minorEastAsia"/>
          <w:color w:val="000000" w:themeColor="text1"/>
        </w:rPr>
        <w:t xml:space="preserve"> is </w:t>
      </w:r>
      <w:r>
        <w:rPr>
          <w:rFonts w:eastAsiaTheme="minorEastAsia"/>
          <w:color w:val="000000" w:themeColor="text1"/>
        </w:rPr>
        <w:t xml:space="preserve">the predicted partition coefficient </w:t>
      </w:r>
      <w:r w:rsidRPr="003D327C">
        <w:rPr>
          <w:rFonts w:eastAsiaTheme="minorEastAsia"/>
          <w:color w:val="000000" w:themeColor="text1"/>
        </w:rPr>
        <w:t xml:space="preserve">for element </w:t>
      </w:r>
      <m:oMath>
        <m:r>
          <w:rPr>
            <w:rFonts w:ascii="Cambria Math" w:eastAsiaTheme="minorEastAsia" w:hAnsi="Cambria Math"/>
            <w:color w:val="000000" w:themeColor="text1"/>
          </w:rPr>
          <m:t>j</m:t>
        </m:r>
      </m:oMath>
      <w:r w:rsidRPr="003D327C">
        <w:rPr>
          <w:rFonts w:eastAsiaTheme="minorEastAsia"/>
          <w:color w:val="000000" w:themeColor="text1"/>
        </w:rPr>
        <w:t xml:space="preserve">; </w:t>
      </w:r>
      <m:oMath>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D</m:t>
            </m:r>
          </m:e>
          <m:sub>
            <m:r>
              <w:rPr>
                <w:rFonts w:ascii="Cambria Math" w:eastAsiaTheme="minorEastAsia" w:hAnsi="Cambria Math"/>
                <w:color w:val="000000" w:themeColor="text1"/>
              </w:rPr>
              <m:t>j</m:t>
            </m:r>
          </m:sub>
          <m:sup>
            <m:r>
              <w:rPr>
                <w:rFonts w:ascii="Cambria Math" w:eastAsiaTheme="minorEastAsia" w:hAnsi="Cambria Math"/>
                <w:color w:val="000000" w:themeColor="text1"/>
              </w:rPr>
              <m:t>m</m:t>
            </m:r>
          </m:sup>
        </m:sSubSup>
      </m:oMath>
      <w:r w:rsidRPr="003D327C">
        <w:rPr>
          <w:rFonts w:eastAsiaTheme="minorEastAsia"/>
          <w:color w:val="000000" w:themeColor="text1"/>
        </w:rPr>
        <w:t xml:space="preserve"> is the measured mineral-melt partition coefficient</w:t>
      </w:r>
      <w:r w:rsidRPr="003D327C">
        <w:rPr>
          <w:color w:val="000000" w:themeColor="text1"/>
        </w:rPr>
        <w:t xml:space="preserve">; </w:t>
      </w:r>
      <m:oMath>
        <m:r>
          <w:rPr>
            <w:rFonts w:ascii="Cambria Math" w:eastAsiaTheme="minorEastAsia" w:hAnsi="Cambria Math"/>
            <w:color w:val="000000" w:themeColor="text1"/>
          </w:rPr>
          <m:t>N</m:t>
        </m:r>
      </m:oMath>
      <w:r w:rsidRPr="003D327C">
        <w:rPr>
          <w:rFonts w:eastAsiaTheme="minorEastAsia"/>
          <w:color w:val="000000" w:themeColor="text1"/>
        </w:rPr>
        <w:t xml:space="preserve"> is the total number of measured partitioning data used in the fit to the </w:t>
      </w:r>
      <w:r>
        <w:rPr>
          <w:rFonts w:eastAsiaTheme="minorEastAsia"/>
          <w:color w:val="000000" w:themeColor="text1"/>
        </w:rPr>
        <w:t>predictive</w:t>
      </w:r>
      <w:r w:rsidRPr="003D327C">
        <w:rPr>
          <w:rFonts w:eastAsiaTheme="minorEastAsia"/>
          <w:color w:val="000000" w:themeColor="text1"/>
        </w:rPr>
        <w:t xml:space="preserve"> model. </w:t>
      </w:r>
      <w:r>
        <w:rPr>
          <w:rFonts w:eastAsiaTheme="minorEastAsia"/>
          <w:color w:val="000000" w:themeColor="text1"/>
        </w:rPr>
        <w:t>Iteratively testing</w:t>
      </w:r>
      <w:r w:rsidRPr="003D327C">
        <w:rPr>
          <w:rFonts w:eastAsiaTheme="minorEastAsia"/>
          <w:color w:val="000000" w:themeColor="text1"/>
        </w:rPr>
        <w:t xml:space="preserve"> models to calculate how </w:t>
      </w:r>
      <w:r>
        <w:rPr>
          <w:rFonts w:eastAsiaTheme="minorEastAsia"/>
          <w:color w:val="000000" w:themeColor="text1"/>
        </w:rPr>
        <w:t>potential</w:t>
      </w:r>
      <w:r w:rsidRPr="003D327C">
        <w:rPr>
          <w:rFonts w:eastAsiaTheme="minorEastAsia"/>
          <w:color w:val="000000" w:themeColor="text1"/>
        </w:rPr>
        <w:t xml:space="preserve"> experimental and chemical parameter</w:t>
      </w:r>
      <w:r>
        <w:rPr>
          <w:rFonts w:eastAsiaTheme="minorEastAsia"/>
          <w:color w:val="000000" w:themeColor="text1"/>
        </w:rPr>
        <w:t>s</w:t>
      </w:r>
      <w:r w:rsidRPr="003D327C">
        <w:rPr>
          <w:rFonts w:eastAsiaTheme="minorEastAsia"/>
          <w:color w:val="000000" w:themeColor="text1"/>
        </w:rPr>
        <w:t xml:space="preserve"> </w:t>
      </w:r>
      <w:r>
        <w:rPr>
          <w:rFonts w:eastAsiaTheme="minorEastAsia"/>
          <w:color w:val="000000" w:themeColor="text1"/>
        </w:rPr>
        <w:t>affect</w:t>
      </w:r>
      <w:r w:rsidRPr="003D327C">
        <w:rPr>
          <w:rFonts w:eastAsiaTheme="minorEastAsia"/>
          <w:color w:val="000000" w:themeColor="text1"/>
        </w:rPr>
        <w:t xml:space="preserve"> </w:t>
      </w:r>
      <w:r>
        <w:rPr>
          <w:rFonts w:eastAsiaTheme="minorEastAsia"/>
          <w:color w:val="000000" w:themeColor="text1"/>
        </w:rPr>
        <w:t>partitioning behavior</w:t>
      </w:r>
      <w:r w:rsidRPr="003D327C">
        <w:rPr>
          <w:rFonts w:eastAsiaTheme="minorEastAsia"/>
          <w:color w:val="000000" w:themeColor="text1"/>
        </w:rPr>
        <w:t xml:space="preserve">, we found the lattice </w:t>
      </w:r>
      <w:r w:rsidRPr="003D327C">
        <w:rPr>
          <w:rFonts w:eastAsiaTheme="minorEastAsia"/>
          <w:color w:val="000000" w:themeColor="text1"/>
        </w:rPr>
        <w:lastRenderedPageBreak/>
        <w:t xml:space="preserve">strain parameters </w:t>
      </w:r>
      <m:oMath>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0</m:t>
            </m:r>
          </m:sub>
        </m:sSub>
      </m:oMath>
      <w:r w:rsidRPr="003D327C">
        <w:rPr>
          <w:rFonts w:eastAsiaTheme="minorEastAsia"/>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0</m:t>
            </m:r>
          </m:sub>
        </m:sSub>
      </m:oMath>
      <w:r w:rsidRPr="003D327C">
        <w:rPr>
          <w:rFonts w:eastAsiaTheme="minorEastAsia"/>
          <w:color w:val="000000" w:themeColor="text1"/>
        </w:rPr>
        <w:t xml:space="preserve">, and </w:t>
      </w:r>
      <m:oMath>
        <m:r>
          <w:rPr>
            <w:rFonts w:ascii="Cambria Math" w:hAnsi="Cambria Math"/>
            <w:color w:val="000000" w:themeColor="text1"/>
          </w:rPr>
          <m:t>E</m:t>
        </m:r>
      </m:oMath>
      <w:r w:rsidRPr="003D327C">
        <w:rPr>
          <w:rFonts w:eastAsiaTheme="minorEastAsia"/>
          <w:color w:val="000000" w:themeColor="text1"/>
        </w:rPr>
        <w:t xml:space="preserve"> for monovalent element partitioning into olivine are best described using the following expressions</w:t>
      </w:r>
      <w:r w:rsidR="00C02DCF" w:rsidRPr="003D327C">
        <w:rPr>
          <w:rFonts w:eastAsiaTheme="minorEastAsia"/>
          <w:color w:val="000000" w:themeColor="text1"/>
        </w:rPr>
        <w:t>:</w:t>
      </w:r>
    </w:p>
    <w:p w14:paraId="2D18DF38" w14:textId="4EB5A80A" w:rsidR="00C02DCF" w:rsidRPr="003D327C" w:rsidRDefault="00C02DCF" w:rsidP="00266281">
      <w:pPr>
        <w:spacing w:line="480" w:lineRule="auto"/>
        <w:jc w:val="right"/>
        <w:rPr>
          <w:rFonts w:eastAsiaTheme="minorEastAsia"/>
          <w:color w:val="000000" w:themeColor="text1"/>
        </w:rPr>
      </w:pPr>
      <m:oMath>
        <m:r>
          <m:rPr>
            <m:nor/>
          </m:rPr>
          <w:rPr>
            <w:rFonts w:ascii="Cambria Math" w:eastAsiaTheme="minorEastAsia" w:hAnsi="Cambria Math"/>
            <w:color w:val="000000" w:themeColor="text1"/>
          </w:rPr>
          <m:t>ln</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D</m:t>
            </m:r>
          </m:e>
          <m:sub>
            <m:r>
              <w:rPr>
                <w:rFonts w:ascii="Cambria Math" w:eastAsiaTheme="minorEastAsia" w:hAnsi="Cambria Math"/>
                <w:color w:val="000000" w:themeColor="text1"/>
              </w:rPr>
              <m:t>0</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 xml:space="preserve">= </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0</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1</m:t>
            </m:r>
          </m:sub>
          <m:sup>
            <m:r>
              <w:rPr>
                <w:rFonts w:ascii="Cambria Math" w:eastAsiaTheme="minorEastAsia" w:hAnsi="Cambria Math"/>
                <w:color w:val="000000" w:themeColor="text1"/>
              </w:rPr>
              <m:t>ol</m:t>
            </m:r>
          </m:sup>
        </m:sSubSup>
        <m:d>
          <m:dPr>
            <m:ctrlPr>
              <w:rPr>
                <w:rFonts w:ascii="Cambria Math" w:eastAsiaTheme="minorEastAsia" w:hAnsi="Cambria Math"/>
                <w:i/>
                <w:color w:val="000000" w:themeColor="text1"/>
              </w:rPr>
            </m:ctrlPr>
          </m:dPr>
          <m:e>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10000</m:t>
                </m:r>
              </m:num>
              <m:den>
                <m:r>
                  <w:rPr>
                    <w:rFonts w:ascii="Cambria Math" w:eastAsiaTheme="minorEastAsia" w:hAnsi="Cambria Math"/>
                    <w:color w:val="000000" w:themeColor="text1"/>
                  </w:rPr>
                  <m:t>RT</m:t>
                </m:r>
              </m:den>
            </m:f>
          </m:e>
        </m:d>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2</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P</m:t>
        </m:r>
      </m:oMath>
      <w:r w:rsidRPr="003D327C">
        <w:rPr>
          <w:rFonts w:eastAsiaTheme="minorEastAsia"/>
          <w:color w:val="000000" w:themeColor="text1"/>
        </w:rPr>
        <w:t>,</w:t>
      </w:r>
      <w:r w:rsidRPr="003D327C">
        <w:rPr>
          <w:rFonts w:eastAsiaTheme="minorEastAsia"/>
          <w:color w:val="000000" w:themeColor="text1"/>
        </w:rPr>
        <w:tab/>
      </w:r>
      <w:r w:rsidRPr="003D327C">
        <w:rPr>
          <w:rFonts w:eastAsiaTheme="minorEastAsia"/>
          <w:color w:val="000000" w:themeColor="text1"/>
        </w:rPr>
        <w:tab/>
      </w:r>
      <w:r w:rsidR="00266281" w:rsidRPr="003D327C">
        <w:rPr>
          <w:rFonts w:eastAsiaTheme="minorEastAsia"/>
          <w:color w:val="000000" w:themeColor="text1"/>
        </w:rPr>
        <w:tab/>
      </w:r>
      <w:r w:rsidR="00266281" w:rsidRPr="003D327C">
        <w:rPr>
          <w:rFonts w:eastAsiaTheme="minorEastAsia"/>
          <w:color w:val="000000" w:themeColor="text1"/>
        </w:rPr>
        <w:tab/>
      </w:r>
      <w:r w:rsidRPr="003D327C">
        <w:rPr>
          <w:rFonts w:eastAsiaTheme="minorEastAsia"/>
          <w:color w:val="000000" w:themeColor="text1"/>
        </w:rPr>
        <w:t>(</w:t>
      </w:r>
      <w:r w:rsidR="0053085B" w:rsidRPr="003D327C">
        <w:rPr>
          <w:rFonts w:eastAsiaTheme="minorEastAsia"/>
          <w:color w:val="000000" w:themeColor="text1"/>
        </w:rPr>
        <w:t>C</w:t>
      </w:r>
      <w:r w:rsidR="003D68E9">
        <w:rPr>
          <w:rFonts w:eastAsiaTheme="minorEastAsia"/>
          <w:color w:val="000000" w:themeColor="text1"/>
        </w:rPr>
        <w:t>9</w:t>
      </w:r>
      <w:r w:rsidRPr="003D327C">
        <w:rPr>
          <w:rFonts w:eastAsiaTheme="minorEastAsia"/>
          <w:color w:val="000000" w:themeColor="text1"/>
        </w:rPr>
        <w:t>)</w:t>
      </w:r>
    </w:p>
    <w:p w14:paraId="2E383BA4" w14:textId="33E6FCED" w:rsidR="00C02DCF" w:rsidRPr="003D327C" w:rsidRDefault="00000000" w:rsidP="00266281">
      <w:pPr>
        <w:spacing w:line="480" w:lineRule="auto"/>
        <w:jc w:val="right"/>
        <w:rPr>
          <w:rFonts w:eastAsiaTheme="minorEastAsia"/>
          <w:color w:val="000000" w:themeColor="text1"/>
        </w:rPr>
      </w:pPr>
      <m:oMath>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r</m:t>
            </m:r>
          </m:e>
          <m:sub>
            <m:r>
              <w:rPr>
                <w:rFonts w:ascii="Cambria Math" w:eastAsiaTheme="minorEastAsia" w:hAnsi="Cambria Math"/>
                <w:color w:val="000000" w:themeColor="text1"/>
              </w:rPr>
              <m:t>0</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3</m:t>
            </m:r>
          </m:sub>
          <m:sup>
            <m:r>
              <w:rPr>
                <w:rFonts w:ascii="Cambria Math" w:eastAsiaTheme="minorEastAsia" w:hAnsi="Cambria Math"/>
                <w:color w:val="000000" w:themeColor="text1"/>
              </w:rPr>
              <m:t>ol</m:t>
            </m:r>
          </m:sup>
        </m:sSubSup>
      </m:oMath>
      <w:r w:rsidR="00C02DCF" w:rsidRPr="003D327C">
        <w:rPr>
          <w:rFonts w:eastAsiaTheme="minorEastAsia"/>
          <w:color w:val="000000" w:themeColor="text1"/>
        </w:rPr>
        <w:t>,</w:t>
      </w:r>
      <w:r w:rsidR="00C02DCF" w:rsidRPr="003D327C">
        <w:rPr>
          <w:rFonts w:eastAsiaTheme="minorEastAsia"/>
          <w:color w:val="000000" w:themeColor="text1"/>
        </w:rPr>
        <w:tab/>
      </w:r>
      <w:r w:rsidR="00266281" w:rsidRPr="003D327C">
        <w:rPr>
          <w:rFonts w:eastAsiaTheme="minorEastAsia"/>
          <w:color w:val="000000" w:themeColor="text1"/>
        </w:rPr>
        <w:tab/>
      </w:r>
      <w:r w:rsidR="00266281" w:rsidRPr="003D327C">
        <w:rPr>
          <w:rFonts w:eastAsiaTheme="minorEastAsia"/>
          <w:color w:val="000000" w:themeColor="text1"/>
        </w:rPr>
        <w:tab/>
      </w:r>
      <w:r w:rsidR="00266281" w:rsidRPr="003D327C">
        <w:rPr>
          <w:rFonts w:eastAsiaTheme="minorEastAsia"/>
          <w:color w:val="000000" w:themeColor="text1"/>
        </w:rPr>
        <w:tab/>
      </w:r>
      <w:r w:rsidR="00266281" w:rsidRPr="003D327C">
        <w:rPr>
          <w:rFonts w:eastAsiaTheme="minorEastAsia"/>
          <w:color w:val="000000" w:themeColor="text1"/>
        </w:rPr>
        <w:tab/>
      </w:r>
      <w:r w:rsidR="00266281" w:rsidRPr="003D327C">
        <w:rPr>
          <w:rFonts w:eastAsiaTheme="minorEastAsia"/>
          <w:color w:val="000000" w:themeColor="text1"/>
        </w:rPr>
        <w:tab/>
      </w:r>
      <w:r w:rsidR="00C02DCF" w:rsidRPr="003D327C">
        <w:rPr>
          <w:rFonts w:eastAsiaTheme="minorEastAsia"/>
          <w:color w:val="000000" w:themeColor="text1"/>
        </w:rPr>
        <w:t>(</w:t>
      </w:r>
      <w:r w:rsidR="0053085B" w:rsidRPr="003D327C">
        <w:rPr>
          <w:rFonts w:eastAsiaTheme="minorEastAsia"/>
          <w:color w:val="000000" w:themeColor="text1"/>
        </w:rPr>
        <w:t>C</w:t>
      </w:r>
      <w:r w:rsidR="003D68E9">
        <w:rPr>
          <w:rFonts w:eastAsiaTheme="minorEastAsia"/>
          <w:color w:val="000000" w:themeColor="text1"/>
        </w:rPr>
        <w:t>10</w:t>
      </w:r>
      <w:r w:rsidR="00C02DCF" w:rsidRPr="003D327C">
        <w:rPr>
          <w:rFonts w:eastAsiaTheme="minorEastAsia"/>
          <w:color w:val="000000" w:themeColor="text1"/>
        </w:rPr>
        <w:t>)</w:t>
      </w:r>
    </w:p>
    <w:p w14:paraId="3E54C351" w14:textId="3F81CE23" w:rsidR="00C02DCF" w:rsidRPr="003D327C" w:rsidRDefault="00000000" w:rsidP="00266281">
      <w:pPr>
        <w:spacing w:line="480" w:lineRule="auto"/>
        <w:jc w:val="right"/>
        <w:rPr>
          <w:rFonts w:eastAsiaTheme="minorEastAsia"/>
          <w:color w:val="000000" w:themeColor="text1"/>
        </w:rPr>
      </w:pPr>
      <m:oMath>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E</m:t>
            </m:r>
          </m:e>
          <m:sup>
            <m:r>
              <w:rPr>
                <w:rFonts w:ascii="Cambria Math" w:eastAsiaTheme="minorEastAsia" w:hAnsi="Cambria Math"/>
                <w:color w:val="000000" w:themeColor="text1"/>
              </w:rPr>
              <m:t>ol</m:t>
            </m:r>
          </m:sup>
        </m:sSup>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4</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5</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P</m:t>
        </m:r>
      </m:oMath>
      <w:r w:rsidR="00C02DCF" w:rsidRPr="003D327C">
        <w:rPr>
          <w:rFonts w:eastAsiaTheme="minorEastAsia"/>
          <w:color w:val="000000" w:themeColor="text1"/>
        </w:rPr>
        <w:t>,</w:t>
      </w:r>
      <w:r w:rsidR="00C02DCF" w:rsidRPr="003D327C">
        <w:rPr>
          <w:rFonts w:eastAsiaTheme="minorEastAsia"/>
          <w:color w:val="000000" w:themeColor="text1"/>
        </w:rPr>
        <w:tab/>
      </w:r>
      <w:r w:rsidR="00266281" w:rsidRPr="003D327C">
        <w:rPr>
          <w:rFonts w:eastAsiaTheme="minorEastAsia"/>
          <w:color w:val="000000" w:themeColor="text1"/>
        </w:rPr>
        <w:tab/>
      </w:r>
      <w:r w:rsidR="00266281" w:rsidRPr="003D327C">
        <w:rPr>
          <w:rFonts w:eastAsiaTheme="minorEastAsia"/>
          <w:color w:val="000000" w:themeColor="text1"/>
        </w:rPr>
        <w:tab/>
      </w:r>
      <w:r w:rsidR="00266281" w:rsidRPr="003D327C">
        <w:rPr>
          <w:rFonts w:eastAsiaTheme="minorEastAsia"/>
          <w:color w:val="000000" w:themeColor="text1"/>
        </w:rPr>
        <w:tab/>
      </w:r>
      <w:r w:rsidR="00266281" w:rsidRPr="003D327C">
        <w:rPr>
          <w:rFonts w:eastAsiaTheme="minorEastAsia"/>
          <w:color w:val="000000" w:themeColor="text1"/>
        </w:rPr>
        <w:tab/>
      </w:r>
      <w:r w:rsidR="00C02DCF" w:rsidRPr="003D327C">
        <w:rPr>
          <w:rFonts w:eastAsiaTheme="minorEastAsia"/>
          <w:color w:val="000000" w:themeColor="text1"/>
        </w:rPr>
        <w:t>(</w:t>
      </w:r>
      <w:r w:rsidR="0053085B" w:rsidRPr="003D327C">
        <w:rPr>
          <w:rFonts w:eastAsiaTheme="minorEastAsia"/>
          <w:color w:val="000000" w:themeColor="text1"/>
        </w:rPr>
        <w:t>C</w:t>
      </w:r>
      <w:r w:rsidR="003D68E9">
        <w:rPr>
          <w:rFonts w:eastAsiaTheme="minorEastAsia"/>
          <w:color w:val="000000" w:themeColor="text1"/>
        </w:rPr>
        <w:t>11</w:t>
      </w:r>
      <w:r w:rsidR="00C02DCF" w:rsidRPr="003D327C">
        <w:rPr>
          <w:rFonts w:eastAsiaTheme="minorEastAsia"/>
          <w:color w:val="000000" w:themeColor="text1"/>
        </w:rPr>
        <w:t>)</w:t>
      </w:r>
    </w:p>
    <w:p w14:paraId="6CA30AF3" w14:textId="3956F2AD" w:rsidR="00C02DCF" w:rsidRPr="003D327C" w:rsidRDefault="000C06E3" w:rsidP="00B66C15">
      <w:pPr>
        <w:spacing w:line="480" w:lineRule="auto"/>
        <w:rPr>
          <w:rFonts w:eastAsiaTheme="minorEastAsia"/>
          <w:color w:val="000000" w:themeColor="text1"/>
        </w:rPr>
      </w:pPr>
      <w:r w:rsidRPr="003D327C">
        <w:rPr>
          <w:rFonts w:eastAsiaTheme="minorEastAsia"/>
          <w:color w:val="000000" w:themeColor="text1"/>
        </w:rPr>
        <w:t xml:space="preserve">where </w:t>
      </w:r>
      <m:oMath>
        <m:r>
          <w:rPr>
            <w:rFonts w:ascii="Cambria Math" w:eastAsiaTheme="minorEastAsia" w:hAnsi="Cambria Math"/>
            <w:color w:val="000000" w:themeColor="text1"/>
          </w:rPr>
          <m:t>P</m:t>
        </m:r>
      </m:oMath>
      <w:r w:rsidRPr="003D327C">
        <w:rPr>
          <w:rFonts w:eastAsiaTheme="minorEastAsia"/>
          <w:color w:val="000000" w:themeColor="text1"/>
        </w:rPr>
        <w:t xml:space="preserve"> is the pressure (GPa) of crystallization and coefficients (</w:t>
      </w:r>
      <m:oMath>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0</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 xml:space="preserve">, </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1</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 xml:space="preserve">,…, </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5</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m:t>
        </m:r>
      </m:oMath>
      <w:r w:rsidRPr="003D327C">
        <w:rPr>
          <w:rFonts w:eastAsiaTheme="minorEastAsia"/>
          <w:color w:val="000000" w:themeColor="text1"/>
        </w:rPr>
        <w:t xml:space="preserve"> are constants for the respective minerals. Coefficients (</w:t>
      </w:r>
      <m:oMath>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0</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 xml:space="preserve">, </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1</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 xml:space="preserve">,…, </m:t>
        </m:r>
        <m:sSubSup>
          <m:sSubSupPr>
            <m:ctrlPr>
              <w:rPr>
                <w:rFonts w:ascii="Cambria Math" w:eastAsiaTheme="minorEastAsia" w:hAnsi="Cambria Math"/>
                <w:i/>
                <w:color w:val="000000" w:themeColor="text1"/>
              </w:rPr>
            </m:ctrlPr>
          </m:sSubSupPr>
          <m:e>
            <m:r>
              <w:rPr>
                <w:rFonts w:ascii="Cambria Math" w:eastAsiaTheme="minorEastAsia" w:hAnsi="Cambria Math"/>
                <w:color w:val="000000" w:themeColor="text1"/>
              </w:rPr>
              <m:t>a</m:t>
            </m:r>
          </m:e>
          <m:sub>
            <m:r>
              <w:rPr>
                <w:rFonts w:ascii="Cambria Math" w:eastAsiaTheme="minorEastAsia" w:hAnsi="Cambria Math"/>
                <w:color w:val="000000" w:themeColor="text1"/>
              </w:rPr>
              <m:t>5</m:t>
            </m:r>
          </m:sub>
          <m:sup>
            <m:r>
              <w:rPr>
                <w:rFonts w:ascii="Cambria Math" w:eastAsiaTheme="minorEastAsia" w:hAnsi="Cambria Math"/>
                <w:color w:val="000000" w:themeColor="text1"/>
              </w:rPr>
              <m:t>ol</m:t>
            </m:r>
          </m:sup>
        </m:sSubSup>
        <m:r>
          <w:rPr>
            <w:rFonts w:ascii="Cambria Math" w:eastAsiaTheme="minorEastAsia" w:hAnsi="Cambria Math"/>
            <w:color w:val="000000" w:themeColor="text1"/>
          </w:rPr>
          <m:t>)</m:t>
        </m:r>
      </m:oMath>
      <w:r w:rsidRPr="003D327C">
        <w:rPr>
          <w:rFonts w:eastAsiaTheme="minorEastAsia"/>
          <w:color w:val="000000" w:themeColor="text1"/>
        </w:rPr>
        <w:t xml:space="preserve"> were determined using nonlinear least squared regression analysis for olivine by substituting Eqs. C</w:t>
      </w:r>
      <w:r w:rsidR="003D68E9">
        <w:rPr>
          <w:rFonts w:eastAsiaTheme="minorEastAsia"/>
          <w:color w:val="000000" w:themeColor="text1"/>
        </w:rPr>
        <w:t>9</w:t>
      </w:r>
      <w:r w:rsidRPr="003D327C">
        <w:rPr>
          <w:rFonts w:eastAsiaTheme="minorEastAsia"/>
          <w:color w:val="000000" w:themeColor="text1"/>
        </w:rPr>
        <w:t>-C</w:t>
      </w:r>
      <w:r w:rsidR="003D68E9">
        <w:rPr>
          <w:rFonts w:eastAsiaTheme="minorEastAsia"/>
          <w:color w:val="000000" w:themeColor="text1"/>
        </w:rPr>
        <w:t>11</w:t>
      </w:r>
      <w:r w:rsidRPr="003D327C">
        <w:rPr>
          <w:rFonts w:eastAsiaTheme="minorEastAsia"/>
          <w:color w:val="000000" w:themeColor="text1"/>
        </w:rPr>
        <w:t xml:space="preserve"> into Eq. C</w:t>
      </w:r>
      <w:r w:rsidR="003D68E9">
        <w:rPr>
          <w:rFonts w:eastAsiaTheme="minorEastAsia"/>
          <w:color w:val="000000" w:themeColor="text1"/>
        </w:rPr>
        <w:t>7</w:t>
      </w:r>
      <w:r w:rsidRPr="003D327C">
        <w:rPr>
          <w:rFonts w:eastAsiaTheme="minorEastAsia"/>
          <w:color w:val="000000" w:themeColor="text1"/>
        </w:rPr>
        <w:t xml:space="preserve">, respectively (coefficients reported in </w:t>
      </w:r>
      <w:r w:rsidRPr="003D327C">
        <w:rPr>
          <w:rFonts w:eastAsiaTheme="minorEastAsia"/>
          <w:b/>
          <w:bCs/>
          <w:color w:val="000000" w:themeColor="text1"/>
        </w:rPr>
        <w:t>Figure C1</w:t>
      </w:r>
      <w:r w:rsidRPr="003D327C">
        <w:rPr>
          <w:rFonts w:eastAsiaTheme="minorEastAsia"/>
          <w:color w:val="000000" w:themeColor="text1"/>
        </w:rPr>
        <w:t>)</w:t>
      </w:r>
      <w:r w:rsidR="00C02DCF" w:rsidRPr="003D327C">
        <w:rPr>
          <w:rFonts w:eastAsiaTheme="minorEastAsia"/>
          <w:color w:val="000000" w:themeColor="text1"/>
        </w:rPr>
        <w:t>.</w:t>
      </w:r>
    </w:p>
    <w:p w14:paraId="742CFB5B" w14:textId="77777777" w:rsidR="005F7145" w:rsidRDefault="005F7145">
      <w:pPr>
        <w:rPr>
          <w:b/>
          <w:bCs/>
          <w:color w:val="000000" w:themeColor="text1"/>
        </w:rPr>
      </w:pPr>
      <w:r>
        <w:rPr>
          <w:b/>
          <w:bCs/>
          <w:color w:val="000000" w:themeColor="text1"/>
        </w:rPr>
        <w:br w:type="page"/>
      </w:r>
    </w:p>
    <w:p w14:paraId="08E2C8D9" w14:textId="77777777" w:rsidR="005F7145" w:rsidRPr="003D327C" w:rsidRDefault="005F7145" w:rsidP="005F7145">
      <w:pPr>
        <w:rPr>
          <w:color w:val="000000" w:themeColor="text1"/>
        </w:rPr>
      </w:pPr>
      <w:r w:rsidRPr="003D327C">
        <w:rPr>
          <w:b/>
          <w:bCs/>
          <w:color w:val="000000" w:themeColor="text1"/>
        </w:rPr>
        <w:lastRenderedPageBreak/>
        <w:t>Figure C1.</w:t>
      </w:r>
      <w:r w:rsidRPr="003D327C">
        <w:rPr>
          <w:color w:val="000000" w:themeColor="text1"/>
        </w:rPr>
        <w:t xml:space="preserve"> Comparison between the literature data and the olivine mineral-melt coefficients used in this study. </w:t>
      </w:r>
      <w:r>
        <w:rPr>
          <w:color w:val="000000" w:themeColor="text1"/>
        </w:rPr>
        <w:t>T</w:t>
      </w:r>
      <w:r w:rsidRPr="003D327C">
        <w:rPr>
          <w:color w:val="000000" w:themeColor="text1"/>
        </w:rPr>
        <w:t>he partitioning behavior of K</w:t>
      </w:r>
      <w:r>
        <w:rPr>
          <w:color w:val="000000" w:themeColor="text1"/>
        </w:rPr>
        <w:t xml:space="preserve"> used in the numerical simulations</w:t>
      </w:r>
      <w:r w:rsidRPr="003D327C">
        <w:rPr>
          <w:color w:val="000000" w:themeColor="text1"/>
        </w:rPr>
        <w:t xml:space="preserve"> </w:t>
      </w:r>
      <w:r>
        <w:rPr>
          <w:color w:val="000000" w:themeColor="text1"/>
        </w:rPr>
        <w:t xml:space="preserve">is approximated </w:t>
      </w:r>
      <w:r w:rsidRPr="003D327C">
        <w:rPr>
          <w:color w:val="000000" w:themeColor="text1"/>
        </w:rPr>
        <w:t xml:space="preserve">using the </w:t>
      </w:r>
      <w:r>
        <w:rPr>
          <w:color w:val="000000" w:themeColor="text1"/>
        </w:rPr>
        <w:t xml:space="preserve">model presented in panel (a) at the </w:t>
      </w:r>
      <w:r w:rsidRPr="003D327C">
        <w:rPr>
          <w:color w:val="000000" w:themeColor="text1"/>
        </w:rPr>
        <w:t xml:space="preserve">average experimental conditions from the literature data. Literature data </w:t>
      </w:r>
      <w:r>
        <w:rPr>
          <w:color w:val="000000" w:themeColor="text1"/>
        </w:rPr>
        <w:t>was</w:t>
      </w:r>
      <w:r w:rsidRPr="003D327C">
        <w:rPr>
          <w:color w:val="000000" w:themeColor="text1"/>
        </w:rPr>
        <w:t xml:space="preserve"> compiled from: </w:t>
      </w:r>
      <w:r>
        <w:rPr>
          <w:color w:val="000000" w:themeColor="text1"/>
        </w:rPr>
        <w:t>S</w:t>
      </w:r>
      <w:r w:rsidRPr="003D327C">
        <w:rPr>
          <w:color w:val="000000" w:themeColor="text1"/>
        </w:rPr>
        <w:t>himizu et al., 1982; Kennedy et al., 1993; Dun and Sen 1994; Suzuki and Akago, 1995; Brenan et al., 1998; Taura et al., 1998; Salters et al., 2002; Zanetti et al., 2003; McDade et al., 2003; Wasylenki et al., 2003; Filiberto et al. 2009; Ottolini et al., 2009; Elardo et al., 2011; Dalou et al., 2012; Imai et al., 2012; Davis et al., 2013; Mallmann and O’Neill, 2013; Fonseca et al., 2014; Wijbrans et al., 2015; Leitzke et al., 2016; Dygert et al., 2020; Chen et al., 2022; Snape et al., 2022; Haupt et al., 2024; Jing et al., 2024</w:t>
      </w:r>
      <w:r>
        <w:rPr>
          <w:color w:val="000000" w:themeColor="text1"/>
        </w:rPr>
        <w:t>.</w:t>
      </w:r>
    </w:p>
    <w:p w14:paraId="1987C6D0" w14:textId="77777777" w:rsidR="005F7145" w:rsidRDefault="005F7145">
      <w:pPr>
        <w:rPr>
          <w:b/>
          <w:bCs/>
          <w:color w:val="000000" w:themeColor="text1"/>
        </w:rPr>
      </w:pPr>
      <w:r>
        <w:rPr>
          <w:b/>
          <w:bCs/>
          <w:color w:val="000000" w:themeColor="text1"/>
        </w:rPr>
        <w:br w:type="page"/>
      </w:r>
    </w:p>
    <w:p w14:paraId="657749C8" w14:textId="4E56C1D9" w:rsidR="002A6834" w:rsidRPr="003D327C" w:rsidRDefault="00FD606D" w:rsidP="005F7145">
      <w:pPr>
        <w:jc w:val="center"/>
        <w:rPr>
          <w:color w:val="000000" w:themeColor="text1"/>
        </w:rPr>
      </w:pPr>
      <w:r w:rsidRPr="003D327C">
        <w:rPr>
          <w:noProof/>
          <w:color w:val="000000" w:themeColor="text1"/>
        </w:rPr>
        <w:lastRenderedPageBreak/>
        <w:drawing>
          <wp:inline distT="0" distB="0" distL="0" distR="0" wp14:anchorId="1701CC88" wp14:editId="6BF83C0D">
            <wp:extent cx="4944251" cy="7712439"/>
            <wp:effectExtent l="0" t="0" r="0" b="0"/>
            <wp:docPr id="1060579421" name="Picture 30" descr="A diagram of a graph and 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579421" name="Picture 30" descr="A diagram of a graph and a diagram of a graph&#10;&#10;Description automatically generated"/>
                    <pic:cNvPicPr/>
                  </pic:nvPicPr>
                  <pic:blipFill>
                    <a:blip r:embed="rId442" cstate="print">
                      <a:extLst>
                        <a:ext uri="{28A0092B-C50C-407E-A947-70E740481C1C}">
                          <a14:useLocalDpi xmlns:a14="http://schemas.microsoft.com/office/drawing/2010/main" val="0"/>
                        </a:ext>
                      </a:extLst>
                    </a:blip>
                    <a:stretch>
                      <a:fillRect/>
                    </a:stretch>
                  </pic:blipFill>
                  <pic:spPr>
                    <a:xfrm>
                      <a:off x="0" y="0"/>
                      <a:ext cx="4957037" cy="7732384"/>
                    </a:xfrm>
                    <a:prstGeom prst="rect">
                      <a:avLst/>
                    </a:prstGeom>
                  </pic:spPr>
                </pic:pic>
              </a:graphicData>
            </a:graphic>
          </wp:inline>
        </w:drawing>
      </w:r>
      <w:r w:rsidR="00E32E99" w:rsidRPr="003D327C">
        <w:rPr>
          <w:b/>
          <w:bCs/>
          <w:color w:val="000000" w:themeColor="text1"/>
        </w:rPr>
        <w:br w:type="page"/>
      </w:r>
    </w:p>
    <w:p w14:paraId="64076F50" w14:textId="2054F1BD" w:rsidR="008D0134" w:rsidRPr="003D327C" w:rsidRDefault="0035100B" w:rsidP="006F2143">
      <w:pPr>
        <w:rPr>
          <w:color w:val="000000" w:themeColor="text1"/>
        </w:rPr>
      </w:pPr>
      <w:r w:rsidRPr="003D327C">
        <w:rPr>
          <w:noProof/>
          <w:color w:val="000000" w:themeColor="text1"/>
        </w:rPr>
        <w:lastRenderedPageBreak/>
        <w:drawing>
          <wp:inline distT="0" distB="0" distL="0" distR="0" wp14:anchorId="75CAA737" wp14:editId="12922A79">
            <wp:extent cx="5486400" cy="4197350"/>
            <wp:effectExtent l="0" t="0" r="0" b="6350"/>
            <wp:docPr id="1204597367" name="Picture 31" descr="A graph of data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597367" name="Picture 31" descr="A graph of data on a white background&#10;&#10;Description automatically generated with medium confidence"/>
                    <pic:cNvPicPr/>
                  </pic:nvPicPr>
                  <pic:blipFill>
                    <a:blip r:embed="rId443" cstate="print">
                      <a:extLst>
                        <a:ext uri="{28A0092B-C50C-407E-A947-70E740481C1C}">
                          <a14:useLocalDpi xmlns:a14="http://schemas.microsoft.com/office/drawing/2010/main" val="0"/>
                        </a:ext>
                      </a:extLst>
                    </a:blip>
                    <a:stretch>
                      <a:fillRect/>
                    </a:stretch>
                  </pic:blipFill>
                  <pic:spPr>
                    <a:xfrm>
                      <a:off x="0" y="0"/>
                      <a:ext cx="5486400" cy="4197350"/>
                    </a:xfrm>
                    <a:prstGeom prst="rect">
                      <a:avLst/>
                    </a:prstGeom>
                  </pic:spPr>
                </pic:pic>
              </a:graphicData>
            </a:graphic>
          </wp:inline>
        </w:drawing>
      </w:r>
    </w:p>
    <w:p w14:paraId="4698F856" w14:textId="7DECD09F" w:rsidR="003144A0" w:rsidRPr="007604AC" w:rsidRDefault="008D0134" w:rsidP="008D0134">
      <w:pPr>
        <w:rPr>
          <w:b/>
          <w:bCs/>
          <w:color w:val="000000" w:themeColor="text1"/>
        </w:rPr>
      </w:pPr>
      <w:r w:rsidRPr="003D327C">
        <w:rPr>
          <w:b/>
          <w:bCs/>
          <w:color w:val="000000" w:themeColor="text1"/>
        </w:rPr>
        <w:t>Figure C</w:t>
      </w:r>
      <w:r w:rsidR="00A71CB4" w:rsidRPr="003D327C">
        <w:rPr>
          <w:b/>
          <w:bCs/>
          <w:color w:val="000000" w:themeColor="text1"/>
        </w:rPr>
        <w:t>2</w:t>
      </w:r>
      <w:r w:rsidRPr="003D327C">
        <w:rPr>
          <w:b/>
          <w:bCs/>
          <w:color w:val="000000" w:themeColor="text1"/>
        </w:rPr>
        <w:t>.</w:t>
      </w:r>
      <w:r w:rsidRPr="003D327C">
        <w:rPr>
          <w:color w:val="000000" w:themeColor="text1"/>
        </w:rPr>
        <w:t xml:space="preserve"> </w:t>
      </w:r>
      <w:r w:rsidR="007604AC" w:rsidRPr="003D327C">
        <w:rPr>
          <w:color w:val="000000" w:themeColor="text1"/>
        </w:rPr>
        <w:t xml:space="preserve">Comparison between the literature data and the silicate mineral-melt coefficients used in this study. </w:t>
      </w:r>
      <w:r w:rsidR="007604AC">
        <w:rPr>
          <w:color w:val="000000" w:themeColor="text1"/>
        </w:rPr>
        <w:t>Mineral is indicated in each panel</w:t>
      </w:r>
      <w:r w:rsidR="007604AC" w:rsidRPr="003D327C">
        <w:rPr>
          <w:color w:val="000000" w:themeColor="text1"/>
        </w:rPr>
        <w:t xml:space="preserve">. Literature data on orthopyroxene mineral-melt partitioning presented in this figure was compiled from: </w:t>
      </w:r>
      <w:r w:rsidR="007604AC">
        <w:rPr>
          <w:color w:val="000000" w:themeColor="text1"/>
        </w:rPr>
        <w:t>V</w:t>
      </w:r>
      <w:r w:rsidR="007604AC" w:rsidRPr="003D327C">
        <w:rPr>
          <w:color w:val="000000" w:themeColor="text1"/>
        </w:rPr>
        <w:t>an Kan Parker et al., 2010, 2011a, 2011b; Frei et al. 2009; Ottolini et al., 2009; Elardo et al., 2011; Dalou et al., 2012; Yao et al., 2012; Davis et al., 2013; Sun and Liang, 2013; Fonseca et al., 2014; Sharp et al. 2015; Leitzke et al., 2016; Mallik et al., 2019; Fibbrizio et al., 2021; Snape et al., 2022; Haupt et al., 2024. Literature data on clinopyroxene mineral-melt partitioning presented in this figure was compiled from: Chamorro et al., 2002; Klemme et al., 2002; Ottolini et al., 2009; Hill et al., 2011; Suzuki et al., 2012; Yao et al., 2012; Dalou et al., 2012; Davis et al., 2013; Dygert et al., 2014; Leitzke et al., 2016; Mallik et al., 2019; Fibbrizio et al., 2021; Snape et al., 2022; Shepherd et al., 2022; Haupt et al., 2024. Literature data on pigeonite mineral-melt partitioning presented in this figure was compiled from: Filiberto et al. 2009; Dygert et al., 2020; Snape et al., 2022; Haupt et al., 2024. Literature data on plagioclase mineral-melt partitioning presented in this figure was compiled from: Bindeman and Davis, 2000; Ainger-Torres et al., 2007; Tepley et al., 2010; Sharp et al., 2015; Wijbrans et al., 2015; Sun et al. 2017; Schoneveld, 2018; Schoneveld and O’Neill, 2019; Dygert et al., 2020; Snape et al., 2022; Haupt et al., 2024</w:t>
      </w:r>
      <w:r w:rsidR="007604AC">
        <w:rPr>
          <w:color w:val="000000" w:themeColor="text1"/>
        </w:rPr>
        <w:t>.</w:t>
      </w:r>
    </w:p>
    <w:p w14:paraId="7E52DAC8" w14:textId="77777777" w:rsidR="003144A0" w:rsidRPr="003D327C" w:rsidRDefault="003144A0">
      <w:pPr>
        <w:rPr>
          <w:color w:val="000000" w:themeColor="text1"/>
        </w:rPr>
      </w:pPr>
      <w:r w:rsidRPr="003D327C">
        <w:rPr>
          <w:color w:val="000000" w:themeColor="text1"/>
        </w:rPr>
        <w:br w:type="page"/>
      </w:r>
    </w:p>
    <w:p w14:paraId="7EDB8562" w14:textId="5222D266" w:rsidR="008D0134" w:rsidRPr="003D327C" w:rsidRDefault="00FA615E" w:rsidP="003144A0">
      <w:pPr>
        <w:jc w:val="center"/>
        <w:rPr>
          <w:color w:val="000000" w:themeColor="text1"/>
        </w:rPr>
      </w:pPr>
      <w:r w:rsidRPr="003D327C">
        <w:rPr>
          <w:noProof/>
          <w:color w:val="000000" w:themeColor="text1"/>
        </w:rPr>
        <w:lastRenderedPageBreak/>
        <w:drawing>
          <wp:inline distT="0" distB="0" distL="0" distR="0" wp14:anchorId="1CEE74B0" wp14:editId="5DBF7242">
            <wp:extent cx="4216400" cy="3416300"/>
            <wp:effectExtent l="0" t="0" r="0" b="0"/>
            <wp:docPr id="1143635591" name="Picture 32"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635591" name="Picture 32" descr="A diagram of a graph&#10;&#10;Description automatically generated with medium confidence"/>
                    <pic:cNvPicPr/>
                  </pic:nvPicPr>
                  <pic:blipFill>
                    <a:blip r:embed="rId444" cstate="print">
                      <a:extLst>
                        <a:ext uri="{28A0092B-C50C-407E-A947-70E740481C1C}">
                          <a14:useLocalDpi xmlns:a14="http://schemas.microsoft.com/office/drawing/2010/main" val="0"/>
                        </a:ext>
                      </a:extLst>
                    </a:blip>
                    <a:stretch>
                      <a:fillRect/>
                    </a:stretch>
                  </pic:blipFill>
                  <pic:spPr>
                    <a:xfrm>
                      <a:off x="0" y="0"/>
                      <a:ext cx="4216400" cy="3416300"/>
                    </a:xfrm>
                    <a:prstGeom prst="rect">
                      <a:avLst/>
                    </a:prstGeom>
                  </pic:spPr>
                </pic:pic>
              </a:graphicData>
            </a:graphic>
          </wp:inline>
        </w:drawing>
      </w:r>
    </w:p>
    <w:p w14:paraId="1CDF4169" w14:textId="2D335619" w:rsidR="0062403E" w:rsidRDefault="008D0134">
      <w:pPr>
        <w:rPr>
          <w:color w:val="000000" w:themeColor="text1"/>
        </w:rPr>
      </w:pPr>
      <w:r w:rsidRPr="003D327C">
        <w:rPr>
          <w:b/>
          <w:bCs/>
          <w:color w:val="000000" w:themeColor="text1"/>
        </w:rPr>
        <w:t>Figure C</w:t>
      </w:r>
      <w:r w:rsidR="00A71CB4" w:rsidRPr="003D327C">
        <w:rPr>
          <w:b/>
          <w:bCs/>
          <w:color w:val="000000" w:themeColor="text1"/>
        </w:rPr>
        <w:t>3</w:t>
      </w:r>
      <w:r w:rsidRPr="003D327C">
        <w:rPr>
          <w:b/>
          <w:bCs/>
          <w:color w:val="000000" w:themeColor="text1"/>
        </w:rPr>
        <w:t>.</w:t>
      </w:r>
      <w:r w:rsidRPr="003D327C">
        <w:rPr>
          <w:color w:val="000000" w:themeColor="text1"/>
        </w:rPr>
        <w:t xml:space="preserve"> </w:t>
      </w:r>
      <w:r w:rsidR="00EC0AE4" w:rsidRPr="003D327C">
        <w:rPr>
          <w:color w:val="000000" w:themeColor="text1"/>
        </w:rPr>
        <w:t>Comparison between the literature data and the ilmenite mineral melt coefficients used in this study. Literature data on ilmenite mineral-melt partitioning presented in this figure was compiled from</w:t>
      </w:r>
      <w:r w:rsidR="00EC0AE4">
        <w:rPr>
          <w:color w:val="000000" w:themeColor="text1"/>
        </w:rPr>
        <w:t>:</w:t>
      </w:r>
      <w:r w:rsidR="00EC0AE4" w:rsidRPr="003D327C">
        <w:rPr>
          <w:color w:val="000000" w:themeColor="text1"/>
        </w:rPr>
        <w:t xml:space="preserve"> Mckay et al., 1986; Klemme et al., 2006; Van Kan Parker et al., 2011; Krawzyncski and Grove, 2012; Dygert et al., 2013; Leitzke et al., 2016; Charlier et al., 2018; Shepherd et al., 2022; Snape et al., 2022</w:t>
      </w:r>
      <w:r w:rsidR="0062403E">
        <w:rPr>
          <w:color w:val="000000" w:themeColor="text1"/>
        </w:rPr>
        <w:t>.</w:t>
      </w:r>
    </w:p>
    <w:p w14:paraId="36B18F1D" w14:textId="5427FB44" w:rsidR="00A71CB4" w:rsidRPr="003D327C" w:rsidRDefault="00A71CB4">
      <w:pPr>
        <w:rPr>
          <w:color w:val="000000" w:themeColor="text1"/>
        </w:rPr>
      </w:pPr>
      <w:r w:rsidRPr="003D327C">
        <w:rPr>
          <w:color w:val="000000" w:themeColor="text1"/>
        </w:rPr>
        <w:br w:type="page"/>
      </w:r>
    </w:p>
    <w:p w14:paraId="793D8E83" w14:textId="7AFE713C" w:rsidR="006021D7" w:rsidRPr="003D327C" w:rsidRDefault="006021D7">
      <w:pPr>
        <w:rPr>
          <w:color w:val="000000" w:themeColor="text1"/>
        </w:rPr>
      </w:pPr>
      <w:r w:rsidRPr="003D327C">
        <w:rPr>
          <w:b/>
          <w:bCs/>
          <w:color w:val="000000" w:themeColor="text1"/>
        </w:rPr>
        <w:lastRenderedPageBreak/>
        <w:t>Table C1.</w:t>
      </w:r>
      <w:r w:rsidRPr="003D327C">
        <w:rPr>
          <w:color w:val="000000" w:themeColor="text1"/>
        </w:rPr>
        <w:t xml:space="preserve"> Values used in calculating the temperatures shown in Figure (C</w:t>
      </w:r>
      <w:r w:rsidR="00FA7799">
        <w:rPr>
          <w:color w:val="000000" w:themeColor="text1"/>
        </w:rPr>
        <w:t>4</w:t>
      </w:r>
      <w:r w:rsidRPr="003D327C">
        <w:rPr>
          <w:color w:val="000000" w:themeColor="text1"/>
        </w:rPr>
        <w:t xml:space="preserve">). </w:t>
      </w:r>
    </w:p>
    <w:tbl>
      <w:tblPr>
        <w:tblW w:w="6260" w:type="dxa"/>
        <w:tblLook w:val="04A0" w:firstRow="1" w:lastRow="0" w:firstColumn="1" w:lastColumn="0" w:noHBand="0" w:noVBand="1"/>
      </w:tblPr>
      <w:tblGrid>
        <w:gridCol w:w="2360"/>
        <w:gridCol w:w="1300"/>
        <w:gridCol w:w="1300"/>
        <w:gridCol w:w="1300"/>
      </w:tblGrid>
      <w:tr w:rsidR="003D327C" w:rsidRPr="003D327C" w14:paraId="4536928F" w14:textId="77777777" w:rsidTr="006021D7">
        <w:trPr>
          <w:trHeight w:val="320"/>
        </w:trPr>
        <w:tc>
          <w:tcPr>
            <w:tcW w:w="2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62A7C" w14:textId="77777777" w:rsidR="006021D7" w:rsidRPr="003D327C" w:rsidRDefault="006021D7">
            <w:pPr>
              <w:jc w:val="center"/>
              <w:rPr>
                <w:color w:val="000000" w:themeColor="text1"/>
              </w:rPr>
            </w:pPr>
            <w:r w:rsidRPr="003D327C">
              <w:rPr>
                <w:color w:val="000000" w:themeColor="text1"/>
              </w:rPr>
              <w:t>Term</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3628AEDD" w14:textId="77777777" w:rsidR="006021D7" w:rsidRPr="003D327C" w:rsidRDefault="006021D7">
            <w:pPr>
              <w:jc w:val="center"/>
              <w:rPr>
                <w:color w:val="000000" w:themeColor="text1"/>
              </w:rPr>
            </w:pPr>
            <w:r w:rsidRPr="003D327C">
              <w:rPr>
                <w:color w:val="000000" w:themeColor="text1"/>
              </w:rPr>
              <w:t>Symbol</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1C929A1" w14:textId="77777777" w:rsidR="006021D7" w:rsidRPr="003D327C" w:rsidRDefault="006021D7">
            <w:pPr>
              <w:jc w:val="center"/>
              <w:rPr>
                <w:color w:val="000000" w:themeColor="text1"/>
              </w:rPr>
            </w:pPr>
            <w:r w:rsidRPr="003D327C">
              <w:rPr>
                <w:color w:val="000000" w:themeColor="text1"/>
              </w:rPr>
              <w:t>Units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2D4EDB0F" w14:textId="77777777" w:rsidR="006021D7" w:rsidRPr="003D327C" w:rsidRDefault="006021D7">
            <w:pPr>
              <w:jc w:val="center"/>
              <w:rPr>
                <w:color w:val="000000" w:themeColor="text1"/>
              </w:rPr>
            </w:pPr>
            <w:r w:rsidRPr="003D327C">
              <w:rPr>
                <w:color w:val="000000" w:themeColor="text1"/>
              </w:rPr>
              <w:t>Value</w:t>
            </w:r>
          </w:p>
        </w:tc>
      </w:tr>
      <w:tr w:rsidR="003D327C" w:rsidRPr="003D327C" w14:paraId="3D004EA5" w14:textId="77777777" w:rsidTr="006021D7">
        <w:trPr>
          <w:trHeight w:val="340"/>
        </w:trPr>
        <w:tc>
          <w:tcPr>
            <w:tcW w:w="2360" w:type="dxa"/>
            <w:tcBorders>
              <w:top w:val="nil"/>
              <w:left w:val="single" w:sz="4" w:space="0" w:color="auto"/>
              <w:bottom w:val="single" w:sz="4" w:space="0" w:color="auto"/>
              <w:right w:val="single" w:sz="4" w:space="0" w:color="auto"/>
            </w:tcBorders>
            <w:shd w:val="clear" w:color="auto" w:fill="auto"/>
            <w:vAlign w:val="center"/>
            <w:hideMark/>
          </w:tcPr>
          <w:p w14:paraId="59A1560F" w14:textId="77777777" w:rsidR="006021D7" w:rsidRPr="003D327C" w:rsidRDefault="006021D7">
            <w:pPr>
              <w:jc w:val="center"/>
              <w:rPr>
                <w:color w:val="000000" w:themeColor="text1"/>
              </w:rPr>
            </w:pPr>
            <w:r w:rsidRPr="003D327C">
              <w:rPr>
                <w:color w:val="000000" w:themeColor="text1"/>
              </w:rPr>
              <w:t>Diameter of body</w:t>
            </w:r>
          </w:p>
        </w:tc>
        <w:tc>
          <w:tcPr>
            <w:tcW w:w="1300" w:type="dxa"/>
            <w:tcBorders>
              <w:top w:val="nil"/>
              <w:left w:val="nil"/>
              <w:bottom w:val="single" w:sz="4" w:space="0" w:color="auto"/>
              <w:right w:val="single" w:sz="4" w:space="0" w:color="auto"/>
            </w:tcBorders>
            <w:shd w:val="clear" w:color="auto" w:fill="auto"/>
            <w:noWrap/>
            <w:vAlign w:val="center"/>
            <w:hideMark/>
          </w:tcPr>
          <w:p w14:paraId="1D6F5CAF" w14:textId="77777777" w:rsidR="006021D7" w:rsidRPr="003D327C" w:rsidRDefault="006021D7">
            <w:pPr>
              <w:jc w:val="center"/>
              <w:rPr>
                <w:i/>
                <w:iCs/>
                <w:color w:val="000000" w:themeColor="text1"/>
              </w:rPr>
            </w:pPr>
            <w:r w:rsidRPr="003D327C">
              <w:rPr>
                <w:i/>
                <w:iCs/>
                <w:color w:val="000000" w:themeColor="text1"/>
              </w:rPr>
              <w:t>d</w:t>
            </w:r>
          </w:p>
        </w:tc>
        <w:tc>
          <w:tcPr>
            <w:tcW w:w="1300" w:type="dxa"/>
            <w:tcBorders>
              <w:top w:val="nil"/>
              <w:left w:val="nil"/>
              <w:bottom w:val="single" w:sz="4" w:space="0" w:color="auto"/>
              <w:right w:val="single" w:sz="4" w:space="0" w:color="auto"/>
            </w:tcBorders>
            <w:shd w:val="clear" w:color="auto" w:fill="auto"/>
            <w:noWrap/>
            <w:vAlign w:val="center"/>
            <w:hideMark/>
          </w:tcPr>
          <w:p w14:paraId="54437A3E" w14:textId="77777777" w:rsidR="006021D7" w:rsidRPr="003D327C" w:rsidRDefault="006021D7">
            <w:pPr>
              <w:jc w:val="center"/>
              <w:rPr>
                <w:color w:val="000000" w:themeColor="text1"/>
              </w:rPr>
            </w:pPr>
            <w:r w:rsidRPr="003D327C">
              <w:rPr>
                <w:color w:val="000000" w:themeColor="text1"/>
              </w:rPr>
              <w:t>km</w:t>
            </w:r>
          </w:p>
        </w:tc>
        <w:tc>
          <w:tcPr>
            <w:tcW w:w="1300" w:type="dxa"/>
            <w:tcBorders>
              <w:top w:val="nil"/>
              <w:left w:val="nil"/>
              <w:bottom w:val="single" w:sz="4" w:space="0" w:color="auto"/>
              <w:right w:val="single" w:sz="4" w:space="0" w:color="auto"/>
            </w:tcBorders>
            <w:shd w:val="clear" w:color="auto" w:fill="auto"/>
            <w:noWrap/>
            <w:vAlign w:val="center"/>
            <w:hideMark/>
          </w:tcPr>
          <w:p w14:paraId="3BB5801B" w14:textId="77777777" w:rsidR="006021D7" w:rsidRPr="003D327C" w:rsidRDefault="006021D7">
            <w:pPr>
              <w:jc w:val="center"/>
              <w:rPr>
                <w:color w:val="000000" w:themeColor="text1"/>
              </w:rPr>
            </w:pPr>
            <w:r w:rsidRPr="003D327C">
              <w:rPr>
                <w:color w:val="000000" w:themeColor="text1"/>
              </w:rPr>
              <w:t>40</w:t>
            </w:r>
          </w:p>
        </w:tc>
      </w:tr>
      <w:tr w:rsidR="003D327C" w:rsidRPr="003D327C" w14:paraId="0B91BB69" w14:textId="77777777" w:rsidTr="006021D7">
        <w:trPr>
          <w:trHeight w:val="360"/>
        </w:trPr>
        <w:tc>
          <w:tcPr>
            <w:tcW w:w="2360" w:type="dxa"/>
            <w:tcBorders>
              <w:top w:val="nil"/>
              <w:left w:val="single" w:sz="4" w:space="0" w:color="auto"/>
              <w:bottom w:val="single" w:sz="4" w:space="0" w:color="auto"/>
              <w:right w:val="single" w:sz="4" w:space="0" w:color="auto"/>
            </w:tcBorders>
            <w:shd w:val="clear" w:color="auto" w:fill="auto"/>
            <w:vAlign w:val="center"/>
            <w:hideMark/>
          </w:tcPr>
          <w:p w14:paraId="4FD5EAAE" w14:textId="77777777" w:rsidR="006021D7" w:rsidRPr="003D327C" w:rsidRDefault="006021D7">
            <w:pPr>
              <w:jc w:val="center"/>
              <w:rPr>
                <w:color w:val="000000" w:themeColor="text1"/>
              </w:rPr>
            </w:pPr>
            <w:r w:rsidRPr="003D327C">
              <w:rPr>
                <w:color w:val="000000" w:themeColor="text1"/>
              </w:rPr>
              <w:t>Thermal Conductivity</w:t>
            </w:r>
          </w:p>
        </w:tc>
        <w:tc>
          <w:tcPr>
            <w:tcW w:w="1300" w:type="dxa"/>
            <w:tcBorders>
              <w:top w:val="nil"/>
              <w:left w:val="nil"/>
              <w:bottom w:val="single" w:sz="4" w:space="0" w:color="auto"/>
              <w:right w:val="single" w:sz="4" w:space="0" w:color="auto"/>
            </w:tcBorders>
            <w:shd w:val="clear" w:color="auto" w:fill="auto"/>
            <w:noWrap/>
            <w:vAlign w:val="center"/>
            <w:hideMark/>
          </w:tcPr>
          <w:p w14:paraId="5C98EDC6" w14:textId="77777777" w:rsidR="006021D7" w:rsidRPr="003D327C" w:rsidRDefault="006021D7">
            <w:pPr>
              <w:jc w:val="center"/>
              <w:rPr>
                <w:i/>
                <w:iCs/>
                <w:color w:val="000000" w:themeColor="text1"/>
              </w:rPr>
            </w:pPr>
            <w:r w:rsidRPr="003D327C">
              <w:rPr>
                <w:i/>
                <w:iCs/>
                <w:color w:val="000000" w:themeColor="text1"/>
              </w:rPr>
              <w:t>K</w:t>
            </w:r>
          </w:p>
        </w:tc>
        <w:tc>
          <w:tcPr>
            <w:tcW w:w="1300" w:type="dxa"/>
            <w:tcBorders>
              <w:top w:val="nil"/>
              <w:left w:val="nil"/>
              <w:bottom w:val="single" w:sz="4" w:space="0" w:color="auto"/>
              <w:right w:val="single" w:sz="4" w:space="0" w:color="auto"/>
            </w:tcBorders>
            <w:shd w:val="clear" w:color="auto" w:fill="auto"/>
            <w:noWrap/>
            <w:vAlign w:val="center"/>
            <w:hideMark/>
          </w:tcPr>
          <w:p w14:paraId="71E6B997" w14:textId="77777777" w:rsidR="006021D7" w:rsidRPr="003D327C" w:rsidRDefault="006021D7">
            <w:pPr>
              <w:jc w:val="center"/>
              <w:rPr>
                <w:color w:val="000000" w:themeColor="text1"/>
              </w:rPr>
            </w:pPr>
            <w:r w:rsidRPr="003D327C">
              <w:rPr>
                <w:color w:val="000000" w:themeColor="text1"/>
              </w:rPr>
              <w:t>W m</w:t>
            </w:r>
            <w:r w:rsidRPr="003D327C">
              <w:rPr>
                <w:color w:val="000000" w:themeColor="text1"/>
                <w:vertAlign w:val="superscript"/>
              </w:rPr>
              <w:t>-1</w:t>
            </w:r>
            <w:r w:rsidRPr="003D327C">
              <w:rPr>
                <w:color w:val="000000" w:themeColor="text1"/>
              </w:rPr>
              <w:t>K</w:t>
            </w:r>
            <w:r w:rsidRPr="003D327C">
              <w:rPr>
                <w:color w:val="000000" w:themeColor="text1"/>
                <w:vertAlign w:val="superscript"/>
              </w:rPr>
              <w:t>-1</w:t>
            </w:r>
          </w:p>
        </w:tc>
        <w:tc>
          <w:tcPr>
            <w:tcW w:w="1300" w:type="dxa"/>
            <w:tcBorders>
              <w:top w:val="nil"/>
              <w:left w:val="nil"/>
              <w:bottom w:val="single" w:sz="4" w:space="0" w:color="auto"/>
              <w:right w:val="single" w:sz="4" w:space="0" w:color="auto"/>
            </w:tcBorders>
            <w:shd w:val="clear" w:color="auto" w:fill="auto"/>
            <w:noWrap/>
            <w:vAlign w:val="center"/>
            <w:hideMark/>
          </w:tcPr>
          <w:p w14:paraId="3B6ACEF1" w14:textId="77777777" w:rsidR="006021D7" w:rsidRPr="003D327C" w:rsidRDefault="006021D7">
            <w:pPr>
              <w:jc w:val="center"/>
              <w:rPr>
                <w:color w:val="000000" w:themeColor="text1"/>
              </w:rPr>
            </w:pPr>
            <w:r w:rsidRPr="003D327C">
              <w:rPr>
                <w:color w:val="000000" w:themeColor="text1"/>
              </w:rPr>
              <w:t>2.1</w:t>
            </w:r>
          </w:p>
        </w:tc>
      </w:tr>
      <w:tr w:rsidR="003D327C" w:rsidRPr="003D327C" w14:paraId="328C3AEE" w14:textId="77777777" w:rsidTr="006021D7">
        <w:trPr>
          <w:trHeight w:val="360"/>
        </w:trPr>
        <w:tc>
          <w:tcPr>
            <w:tcW w:w="2360" w:type="dxa"/>
            <w:tcBorders>
              <w:top w:val="nil"/>
              <w:left w:val="single" w:sz="4" w:space="0" w:color="auto"/>
              <w:bottom w:val="single" w:sz="4" w:space="0" w:color="auto"/>
              <w:right w:val="single" w:sz="4" w:space="0" w:color="auto"/>
            </w:tcBorders>
            <w:shd w:val="clear" w:color="auto" w:fill="auto"/>
            <w:vAlign w:val="center"/>
            <w:hideMark/>
          </w:tcPr>
          <w:p w14:paraId="70CF6609" w14:textId="77777777" w:rsidR="006021D7" w:rsidRPr="003D327C" w:rsidRDefault="006021D7">
            <w:pPr>
              <w:jc w:val="center"/>
              <w:rPr>
                <w:color w:val="000000" w:themeColor="text1"/>
              </w:rPr>
            </w:pPr>
            <w:r w:rsidRPr="003D327C">
              <w:rPr>
                <w:color w:val="000000" w:themeColor="text1"/>
              </w:rPr>
              <w:t xml:space="preserve">Specific Heat Capacity </w:t>
            </w:r>
          </w:p>
        </w:tc>
        <w:tc>
          <w:tcPr>
            <w:tcW w:w="1300" w:type="dxa"/>
            <w:tcBorders>
              <w:top w:val="nil"/>
              <w:left w:val="nil"/>
              <w:bottom w:val="single" w:sz="4" w:space="0" w:color="auto"/>
              <w:right w:val="single" w:sz="4" w:space="0" w:color="auto"/>
            </w:tcBorders>
            <w:shd w:val="clear" w:color="auto" w:fill="auto"/>
            <w:noWrap/>
            <w:vAlign w:val="center"/>
            <w:hideMark/>
          </w:tcPr>
          <w:p w14:paraId="5F8A5EA1" w14:textId="77777777" w:rsidR="006021D7" w:rsidRPr="003D327C" w:rsidRDefault="006021D7">
            <w:pPr>
              <w:jc w:val="center"/>
              <w:rPr>
                <w:i/>
                <w:iCs/>
                <w:color w:val="000000" w:themeColor="text1"/>
              </w:rPr>
            </w:pPr>
            <w:r w:rsidRPr="003D327C">
              <w:rPr>
                <w:i/>
                <w:iCs/>
                <w:color w:val="000000" w:themeColor="text1"/>
              </w:rPr>
              <w:t>C</w:t>
            </w:r>
            <w:r w:rsidRPr="003D327C">
              <w:rPr>
                <w:i/>
                <w:iCs/>
                <w:color w:val="000000" w:themeColor="text1"/>
                <w:vertAlign w:val="subscript"/>
              </w:rPr>
              <w:t>P</w:t>
            </w:r>
          </w:p>
        </w:tc>
        <w:tc>
          <w:tcPr>
            <w:tcW w:w="1300" w:type="dxa"/>
            <w:tcBorders>
              <w:top w:val="nil"/>
              <w:left w:val="nil"/>
              <w:bottom w:val="single" w:sz="4" w:space="0" w:color="auto"/>
              <w:right w:val="single" w:sz="4" w:space="0" w:color="auto"/>
            </w:tcBorders>
            <w:shd w:val="clear" w:color="auto" w:fill="auto"/>
            <w:noWrap/>
            <w:vAlign w:val="center"/>
            <w:hideMark/>
          </w:tcPr>
          <w:p w14:paraId="5A5D2DF7" w14:textId="77777777" w:rsidR="006021D7" w:rsidRPr="003D327C" w:rsidRDefault="006021D7">
            <w:pPr>
              <w:jc w:val="center"/>
              <w:rPr>
                <w:color w:val="000000" w:themeColor="text1"/>
              </w:rPr>
            </w:pPr>
            <w:r w:rsidRPr="003D327C">
              <w:rPr>
                <w:color w:val="000000" w:themeColor="text1"/>
              </w:rPr>
              <w:t>J kg</w:t>
            </w:r>
            <w:r w:rsidRPr="003D327C">
              <w:rPr>
                <w:color w:val="000000" w:themeColor="text1"/>
                <w:vertAlign w:val="superscript"/>
              </w:rPr>
              <w:t>-1</w:t>
            </w:r>
            <w:r w:rsidRPr="003D327C">
              <w:rPr>
                <w:color w:val="000000" w:themeColor="text1"/>
              </w:rPr>
              <w:t>K</w:t>
            </w:r>
            <w:r w:rsidRPr="003D327C">
              <w:rPr>
                <w:color w:val="000000" w:themeColor="text1"/>
                <w:vertAlign w:val="superscript"/>
              </w:rPr>
              <w:t>-1</w:t>
            </w:r>
          </w:p>
        </w:tc>
        <w:tc>
          <w:tcPr>
            <w:tcW w:w="1300" w:type="dxa"/>
            <w:tcBorders>
              <w:top w:val="nil"/>
              <w:left w:val="nil"/>
              <w:bottom w:val="single" w:sz="4" w:space="0" w:color="auto"/>
              <w:right w:val="single" w:sz="4" w:space="0" w:color="auto"/>
            </w:tcBorders>
            <w:shd w:val="clear" w:color="auto" w:fill="auto"/>
            <w:noWrap/>
            <w:vAlign w:val="center"/>
            <w:hideMark/>
          </w:tcPr>
          <w:p w14:paraId="43B930A6" w14:textId="77777777" w:rsidR="006021D7" w:rsidRPr="003D327C" w:rsidRDefault="006021D7">
            <w:pPr>
              <w:jc w:val="center"/>
              <w:rPr>
                <w:color w:val="000000" w:themeColor="text1"/>
              </w:rPr>
            </w:pPr>
            <w:r w:rsidRPr="003D327C">
              <w:rPr>
                <w:color w:val="000000" w:themeColor="text1"/>
              </w:rPr>
              <w:t>837</w:t>
            </w:r>
          </w:p>
        </w:tc>
      </w:tr>
      <w:tr w:rsidR="003D327C" w:rsidRPr="003D327C" w14:paraId="7BB2B04C" w14:textId="77777777" w:rsidTr="006021D7">
        <w:trPr>
          <w:trHeight w:val="360"/>
        </w:trPr>
        <w:tc>
          <w:tcPr>
            <w:tcW w:w="2360" w:type="dxa"/>
            <w:tcBorders>
              <w:top w:val="nil"/>
              <w:left w:val="single" w:sz="4" w:space="0" w:color="auto"/>
              <w:bottom w:val="single" w:sz="4" w:space="0" w:color="auto"/>
              <w:right w:val="single" w:sz="4" w:space="0" w:color="auto"/>
            </w:tcBorders>
            <w:shd w:val="clear" w:color="auto" w:fill="auto"/>
            <w:vAlign w:val="center"/>
            <w:hideMark/>
          </w:tcPr>
          <w:p w14:paraId="48BD8225" w14:textId="77777777" w:rsidR="006021D7" w:rsidRPr="003D327C" w:rsidRDefault="006021D7">
            <w:pPr>
              <w:jc w:val="center"/>
              <w:rPr>
                <w:color w:val="000000" w:themeColor="text1"/>
              </w:rPr>
            </w:pPr>
            <w:r w:rsidRPr="003D327C">
              <w:rPr>
                <w:color w:val="000000" w:themeColor="text1"/>
              </w:rPr>
              <w:t xml:space="preserve">Density </w:t>
            </w:r>
          </w:p>
        </w:tc>
        <w:tc>
          <w:tcPr>
            <w:tcW w:w="1300" w:type="dxa"/>
            <w:tcBorders>
              <w:top w:val="nil"/>
              <w:left w:val="nil"/>
              <w:bottom w:val="single" w:sz="4" w:space="0" w:color="auto"/>
              <w:right w:val="single" w:sz="4" w:space="0" w:color="auto"/>
            </w:tcBorders>
            <w:shd w:val="clear" w:color="auto" w:fill="auto"/>
            <w:noWrap/>
            <w:vAlign w:val="center"/>
            <w:hideMark/>
          </w:tcPr>
          <w:p w14:paraId="29369C6F" w14:textId="77777777" w:rsidR="006021D7" w:rsidRPr="003D327C" w:rsidRDefault="006021D7">
            <w:pPr>
              <w:jc w:val="center"/>
              <w:rPr>
                <w:rFonts w:ascii="Symbol" w:hAnsi="Symbol"/>
                <w:color w:val="000000" w:themeColor="text1"/>
              </w:rPr>
            </w:pPr>
            <w:r w:rsidRPr="003D327C">
              <w:rPr>
                <w:rFonts w:ascii="Symbol" w:hAnsi="Symbol"/>
                <w:color w:val="000000" w:themeColor="text1"/>
              </w:rPr>
              <w:sym w:font="Symbol" w:char="F072"/>
            </w:r>
          </w:p>
        </w:tc>
        <w:tc>
          <w:tcPr>
            <w:tcW w:w="1300" w:type="dxa"/>
            <w:tcBorders>
              <w:top w:val="nil"/>
              <w:left w:val="nil"/>
              <w:bottom w:val="single" w:sz="4" w:space="0" w:color="auto"/>
              <w:right w:val="single" w:sz="4" w:space="0" w:color="auto"/>
            </w:tcBorders>
            <w:shd w:val="clear" w:color="auto" w:fill="auto"/>
            <w:noWrap/>
            <w:vAlign w:val="center"/>
            <w:hideMark/>
          </w:tcPr>
          <w:p w14:paraId="2F1C23BE" w14:textId="77777777" w:rsidR="006021D7" w:rsidRPr="003D327C" w:rsidRDefault="006021D7">
            <w:pPr>
              <w:jc w:val="center"/>
              <w:rPr>
                <w:color w:val="000000" w:themeColor="text1"/>
              </w:rPr>
            </w:pPr>
            <w:r w:rsidRPr="003D327C">
              <w:rPr>
                <w:color w:val="000000" w:themeColor="text1"/>
              </w:rPr>
              <w:t>kg m</w:t>
            </w:r>
            <w:r w:rsidRPr="003D327C">
              <w:rPr>
                <w:color w:val="000000" w:themeColor="text1"/>
                <w:vertAlign w:val="superscript"/>
              </w:rPr>
              <w:t>-3</w:t>
            </w:r>
          </w:p>
        </w:tc>
        <w:tc>
          <w:tcPr>
            <w:tcW w:w="1300" w:type="dxa"/>
            <w:tcBorders>
              <w:top w:val="nil"/>
              <w:left w:val="nil"/>
              <w:bottom w:val="single" w:sz="4" w:space="0" w:color="auto"/>
              <w:right w:val="single" w:sz="4" w:space="0" w:color="auto"/>
            </w:tcBorders>
            <w:shd w:val="clear" w:color="auto" w:fill="auto"/>
            <w:noWrap/>
            <w:vAlign w:val="center"/>
            <w:hideMark/>
          </w:tcPr>
          <w:p w14:paraId="65940C8F" w14:textId="77777777" w:rsidR="006021D7" w:rsidRPr="003D327C" w:rsidRDefault="006021D7">
            <w:pPr>
              <w:jc w:val="center"/>
              <w:rPr>
                <w:color w:val="000000" w:themeColor="text1"/>
              </w:rPr>
            </w:pPr>
            <w:r w:rsidRPr="003D327C">
              <w:rPr>
                <w:color w:val="000000" w:themeColor="text1"/>
              </w:rPr>
              <w:t>3300</w:t>
            </w:r>
          </w:p>
        </w:tc>
      </w:tr>
      <w:tr w:rsidR="003D327C" w:rsidRPr="003D327C" w14:paraId="6D53E4AA" w14:textId="77777777" w:rsidTr="006021D7">
        <w:trPr>
          <w:trHeight w:val="360"/>
        </w:trPr>
        <w:tc>
          <w:tcPr>
            <w:tcW w:w="2360" w:type="dxa"/>
            <w:tcBorders>
              <w:top w:val="nil"/>
              <w:left w:val="single" w:sz="4" w:space="0" w:color="auto"/>
              <w:bottom w:val="single" w:sz="4" w:space="0" w:color="auto"/>
              <w:right w:val="single" w:sz="4" w:space="0" w:color="auto"/>
            </w:tcBorders>
            <w:shd w:val="clear" w:color="auto" w:fill="auto"/>
            <w:vAlign w:val="center"/>
            <w:hideMark/>
          </w:tcPr>
          <w:p w14:paraId="11225876" w14:textId="77777777" w:rsidR="006021D7" w:rsidRPr="003D327C" w:rsidRDefault="006021D7">
            <w:pPr>
              <w:jc w:val="center"/>
              <w:rPr>
                <w:color w:val="000000" w:themeColor="text1"/>
              </w:rPr>
            </w:pPr>
            <w:r w:rsidRPr="003D327C">
              <w:rPr>
                <w:color w:val="000000" w:themeColor="text1"/>
              </w:rPr>
              <w:t>Thermal Diffusivity</w:t>
            </w:r>
          </w:p>
        </w:tc>
        <w:tc>
          <w:tcPr>
            <w:tcW w:w="1300" w:type="dxa"/>
            <w:tcBorders>
              <w:top w:val="nil"/>
              <w:left w:val="nil"/>
              <w:bottom w:val="single" w:sz="4" w:space="0" w:color="auto"/>
              <w:right w:val="single" w:sz="4" w:space="0" w:color="auto"/>
            </w:tcBorders>
            <w:shd w:val="clear" w:color="auto" w:fill="auto"/>
            <w:noWrap/>
            <w:vAlign w:val="center"/>
            <w:hideMark/>
          </w:tcPr>
          <w:p w14:paraId="6DA85C4A" w14:textId="77777777" w:rsidR="006021D7" w:rsidRPr="003D327C" w:rsidRDefault="006021D7">
            <w:pPr>
              <w:jc w:val="center"/>
              <w:rPr>
                <w:rFonts w:ascii="Symbol" w:hAnsi="Symbol"/>
                <w:color w:val="000000" w:themeColor="text1"/>
              </w:rPr>
            </w:pPr>
            <w:r w:rsidRPr="003D327C">
              <w:rPr>
                <w:rFonts w:ascii="Symbol" w:hAnsi="Symbol"/>
                <w:color w:val="000000" w:themeColor="text1"/>
              </w:rPr>
              <w:sym w:font="Symbol" w:char="F06B"/>
            </w:r>
          </w:p>
        </w:tc>
        <w:tc>
          <w:tcPr>
            <w:tcW w:w="1300" w:type="dxa"/>
            <w:tcBorders>
              <w:top w:val="nil"/>
              <w:left w:val="nil"/>
              <w:bottom w:val="single" w:sz="4" w:space="0" w:color="auto"/>
              <w:right w:val="single" w:sz="4" w:space="0" w:color="auto"/>
            </w:tcBorders>
            <w:shd w:val="clear" w:color="auto" w:fill="auto"/>
            <w:noWrap/>
            <w:vAlign w:val="center"/>
            <w:hideMark/>
          </w:tcPr>
          <w:p w14:paraId="6EE97047" w14:textId="77777777" w:rsidR="006021D7" w:rsidRPr="003D327C" w:rsidRDefault="006021D7">
            <w:pPr>
              <w:jc w:val="center"/>
              <w:rPr>
                <w:color w:val="000000" w:themeColor="text1"/>
              </w:rPr>
            </w:pPr>
            <w:r w:rsidRPr="003D327C">
              <w:rPr>
                <w:color w:val="000000" w:themeColor="text1"/>
              </w:rPr>
              <w:t>m</w:t>
            </w:r>
            <w:r w:rsidRPr="003D327C">
              <w:rPr>
                <w:color w:val="000000" w:themeColor="text1"/>
                <w:vertAlign w:val="superscript"/>
              </w:rPr>
              <w:t xml:space="preserve">2 </w:t>
            </w:r>
            <w:r w:rsidRPr="003D327C">
              <w:rPr>
                <w:color w:val="000000" w:themeColor="text1"/>
              </w:rPr>
              <w:t>s</w:t>
            </w:r>
            <w:r w:rsidRPr="003D327C">
              <w:rPr>
                <w:color w:val="000000" w:themeColor="text1"/>
                <w:vertAlign w:val="superscript"/>
              </w:rPr>
              <w:t>-1</w:t>
            </w:r>
          </w:p>
        </w:tc>
        <w:tc>
          <w:tcPr>
            <w:tcW w:w="1300" w:type="dxa"/>
            <w:tcBorders>
              <w:top w:val="nil"/>
              <w:left w:val="nil"/>
              <w:bottom w:val="single" w:sz="4" w:space="0" w:color="auto"/>
              <w:right w:val="single" w:sz="4" w:space="0" w:color="auto"/>
            </w:tcBorders>
            <w:shd w:val="clear" w:color="auto" w:fill="auto"/>
            <w:noWrap/>
            <w:vAlign w:val="center"/>
            <w:hideMark/>
          </w:tcPr>
          <w:p w14:paraId="0C853521" w14:textId="77777777" w:rsidR="006021D7" w:rsidRPr="003D327C" w:rsidRDefault="006021D7">
            <w:pPr>
              <w:jc w:val="center"/>
              <w:rPr>
                <w:color w:val="000000" w:themeColor="text1"/>
              </w:rPr>
            </w:pPr>
            <w:r w:rsidRPr="003D327C">
              <w:rPr>
                <w:color w:val="000000" w:themeColor="text1"/>
              </w:rPr>
              <w:t>7.60E-07</w:t>
            </w:r>
          </w:p>
        </w:tc>
      </w:tr>
      <w:tr w:rsidR="003D327C" w:rsidRPr="003D327C" w14:paraId="4A2C0FD3" w14:textId="77777777" w:rsidTr="006021D7">
        <w:trPr>
          <w:trHeight w:val="360"/>
        </w:trPr>
        <w:tc>
          <w:tcPr>
            <w:tcW w:w="2360" w:type="dxa"/>
            <w:tcBorders>
              <w:top w:val="nil"/>
              <w:left w:val="single" w:sz="4" w:space="0" w:color="auto"/>
              <w:bottom w:val="single" w:sz="4" w:space="0" w:color="auto"/>
              <w:right w:val="single" w:sz="4" w:space="0" w:color="auto"/>
            </w:tcBorders>
            <w:shd w:val="clear" w:color="auto" w:fill="auto"/>
            <w:vAlign w:val="center"/>
            <w:hideMark/>
          </w:tcPr>
          <w:p w14:paraId="46783802" w14:textId="77777777" w:rsidR="006021D7" w:rsidRPr="003D327C" w:rsidRDefault="006021D7">
            <w:pPr>
              <w:jc w:val="center"/>
              <w:rPr>
                <w:color w:val="000000" w:themeColor="text1"/>
              </w:rPr>
            </w:pPr>
            <w:r w:rsidRPr="003D327C">
              <w:rPr>
                <w:color w:val="000000" w:themeColor="text1"/>
              </w:rPr>
              <w:t>Decay Constant</w:t>
            </w:r>
          </w:p>
        </w:tc>
        <w:tc>
          <w:tcPr>
            <w:tcW w:w="1300" w:type="dxa"/>
            <w:tcBorders>
              <w:top w:val="nil"/>
              <w:left w:val="nil"/>
              <w:bottom w:val="single" w:sz="4" w:space="0" w:color="auto"/>
              <w:right w:val="single" w:sz="4" w:space="0" w:color="auto"/>
            </w:tcBorders>
            <w:shd w:val="clear" w:color="auto" w:fill="auto"/>
            <w:noWrap/>
            <w:vAlign w:val="center"/>
            <w:hideMark/>
          </w:tcPr>
          <w:p w14:paraId="0D096E16" w14:textId="77777777" w:rsidR="006021D7" w:rsidRPr="003D327C" w:rsidRDefault="006021D7">
            <w:pPr>
              <w:jc w:val="center"/>
              <w:rPr>
                <w:rFonts w:ascii="Symbol" w:hAnsi="Symbol"/>
                <w:color w:val="000000" w:themeColor="text1"/>
              </w:rPr>
            </w:pPr>
            <w:r w:rsidRPr="003D327C">
              <w:rPr>
                <w:rFonts w:ascii="Symbol" w:hAnsi="Symbol"/>
                <w:color w:val="000000" w:themeColor="text1"/>
              </w:rPr>
              <w:sym w:font="Symbol" w:char="F06C"/>
            </w:r>
          </w:p>
        </w:tc>
        <w:tc>
          <w:tcPr>
            <w:tcW w:w="1300" w:type="dxa"/>
            <w:tcBorders>
              <w:top w:val="nil"/>
              <w:left w:val="nil"/>
              <w:bottom w:val="single" w:sz="4" w:space="0" w:color="auto"/>
              <w:right w:val="single" w:sz="4" w:space="0" w:color="auto"/>
            </w:tcBorders>
            <w:shd w:val="clear" w:color="auto" w:fill="auto"/>
            <w:noWrap/>
            <w:vAlign w:val="center"/>
            <w:hideMark/>
          </w:tcPr>
          <w:p w14:paraId="3DD0EECD" w14:textId="77777777" w:rsidR="006021D7" w:rsidRPr="003D327C" w:rsidRDefault="006021D7">
            <w:pPr>
              <w:jc w:val="center"/>
              <w:rPr>
                <w:color w:val="000000" w:themeColor="text1"/>
              </w:rPr>
            </w:pPr>
            <w:r w:rsidRPr="003D327C">
              <w:rPr>
                <w:color w:val="000000" w:themeColor="text1"/>
              </w:rPr>
              <w:t>yr</w:t>
            </w:r>
            <w:r w:rsidRPr="003D327C">
              <w:rPr>
                <w:color w:val="000000" w:themeColor="text1"/>
                <w:vertAlign w:val="superscript"/>
              </w:rPr>
              <w:t>-1</w:t>
            </w:r>
          </w:p>
        </w:tc>
        <w:tc>
          <w:tcPr>
            <w:tcW w:w="1300" w:type="dxa"/>
            <w:tcBorders>
              <w:top w:val="nil"/>
              <w:left w:val="nil"/>
              <w:bottom w:val="single" w:sz="4" w:space="0" w:color="auto"/>
              <w:right w:val="single" w:sz="4" w:space="0" w:color="auto"/>
            </w:tcBorders>
            <w:shd w:val="clear" w:color="auto" w:fill="auto"/>
            <w:noWrap/>
            <w:vAlign w:val="center"/>
            <w:hideMark/>
          </w:tcPr>
          <w:p w14:paraId="1365F9C7" w14:textId="77777777" w:rsidR="006021D7" w:rsidRPr="003D327C" w:rsidRDefault="006021D7">
            <w:pPr>
              <w:jc w:val="center"/>
              <w:rPr>
                <w:color w:val="000000" w:themeColor="text1"/>
              </w:rPr>
            </w:pPr>
            <w:r w:rsidRPr="003D327C">
              <w:rPr>
                <w:color w:val="000000" w:themeColor="text1"/>
              </w:rPr>
              <w:t>9.50E-07</w:t>
            </w:r>
          </w:p>
        </w:tc>
      </w:tr>
      <w:tr w:rsidR="003D327C" w:rsidRPr="003D327C" w14:paraId="43613A18" w14:textId="77777777" w:rsidTr="006021D7">
        <w:trPr>
          <w:trHeight w:val="680"/>
        </w:trPr>
        <w:tc>
          <w:tcPr>
            <w:tcW w:w="2360" w:type="dxa"/>
            <w:tcBorders>
              <w:top w:val="nil"/>
              <w:left w:val="single" w:sz="4" w:space="0" w:color="auto"/>
              <w:bottom w:val="single" w:sz="4" w:space="0" w:color="auto"/>
              <w:right w:val="single" w:sz="4" w:space="0" w:color="auto"/>
            </w:tcBorders>
            <w:shd w:val="clear" w:color="auto" w:fill="auto"/>
            <w:vAlign w:val="center"/>
            <w:hideMark/>
          </w:tcPr>
          <w:p w14:paraId="1767E4E7" w14:textId="77777777" w:rsidR="006021D7" w:rsidRPr="003D327C" w:rsidRDefault="006021D7">
            <w:pPr>
              <w:jc w:val="center"/>
              <w:rPr>
                <w:color w:val="000000" w:themeColor="text1"/>
              </w:rPr>
            </w:pPr>
            <w:r w:rsidRPr="003D327C">
              <w:rPr>
                <w:color w:val="000000" w:themeColor="text1"/>
              </w:rPr>
              <w:t>Initial power per unit volume</w:t>
            </w:r>
          </w:p>
        </w:tc>
        <w:tc>
          <w:tcPr>
            <w:tcW w:w="1300" w:type="dxa"/>
            <w:tcBorders>
              <w:top w:val="nil"/>
              <w:left w:val="nil"/>
              <w:bottom w:val="single" w:sz="4" w:space="0" w:color="auto"/>
              <w:right w:val="single" w:sz="4" w:space="0" w:color="auto"/>
            </w:tcBorders>
            <w:shd w:val="clear" w:color="auto" w:fill="auto"/>
            <w:noWrap/>
            <w:vAlign w:val="center"/>
            <w:hideMark/>
          </w:tcPr>
          <w:p w14:paraId="07C51DD4" w14:textId="77777777" w:rsidR="006021D7" w:rsidRPr="003D327C" w:rsidRDefault="006021D7">
            <w:pPr>
              <w:jc w:val="center"/>
              <w:rPr>
                <w:i/>
                <w:iCs/>
                <w:color w:val="000000" w:themeColor="text1"/>
              </w:rPr>
            </w:pPr>
            <w:r w:rsidRPr="003D327C">
              <w:rPr>
                <w:i/>
                <w:iCs/>
                <w:color w:val="000000" w:themeColor="text1"/>
              </w:rPr>
              <w:t>A</w:t>
            </w:r>
            <w:r w:rsidRPr="003D327C">
              <w:rPr>
                <w:i/>
                <w:iCs/>
                <w:color w:val="000000" w:themeColor="text1"/>
                <w:vertAlign w:val="subscript"/>
              </w:rPr>
              <w:t>0</w:t>
            </w:r>
          </w:p>
        </w:tc>
        <w:tc>
          <w:tcPr>
            <w:tcW w:w="1300" w:type="dxa"/>
            <w:tcBorders>
              <w:top w:val="nil"/>
              <w:left w:val="nil"/>
              <w:bottom w:val="single" w:sz="4" w:space="0" w:color="auto"/>
              <w:right w:val="single" w:sz="4" w:space="0" w:color="auto"/>
            </w:tcBorders>
            <w:shd w:val="clear" w:color="auto" w:fill="auto"/>
            <w:noWrap/>
            <w:vAlign w:val="center"/>
            <w:hideMark/>
          </w:tcPr>
          <w:p w14:paraId="3016126D" w14:textId="77777777" w:rsidR="006021D7" w:rsidRPr="003D327C" w:rsidRDefault="006021D7">
            <w:pPr>
              <w:jc w:val="center"/>
              <w:rPr>
                <w:color w:val="000000" w:themeColor="text1"/>
              </w:rPr>
            </w:pPr>
            <w:r w:rsidRPr="003D327C">
              <w:rPr>
                <w:color w:val="000000" w:themeColor="text1"/>
              </w:rPr>
              <w:t>W m</w:t>
            </w:r>
            <w:r w:rsidRPr="003D327C">
              <w:rPr>
                <w:color w:val="000000" w:themeColor="text1"/>
                <w:vertAlign w:val="superscript"/>
              </w:rPr>
              <w:t>-3</w:t>
            </w:r>
          </w:p>
        </w:tc>
        <w:tc>
          <w:tcPr>
            <w:tcW w:w="1300" w:type="dxa"/>
            <w:tcBorders>
              <w:top w:val="nil"/>
              <w:left w:val="nil"/>
              <w:bottom w:val="single" w:sz="4" w:space="0" w:color="auto"/>
              <w:right w:val="single" w:sz="4" w:space="0" w:color="auto"/>
            </w:tcBorders>
            <w:shd w:val="clear" w:color="auto" w:fill="auto"/>
            <w:noWrap/>
            <w:vAlign w:val="center"/>
            <w:hideMark/>
          </w:tcPr>
          <w:p w14:paraId="59CDB337" w14:textId="77777777" w:rsidR="006021D7" w:rsidRPr="003D327C" w:rsidRDefault="006021D7">
            <w:pPr>
              <w:jc w:val="center"/>
              <w:rPr>
                <w:color w:val="000000" w:themeColor="text1"/>
              </w:rPr>
            </w:pPr>
            <w:r w:rsidRPr="003D327C">
              <w:rPr>
                <w:color w:val="000000" w:themeColor="text1"/>
              </w:rPr>
              <w:t>6.40E-04</w:t>
            </w:r>
          </w:p>
        </w:tc>
      </w:tr>
      <w:tr w:rsidR="003D327C" w:rsidRPr="003D327C" w14:paraId="470AD770" w14:textId="77777777" w:rsidTr="006021D7">
        <w:trPr>
          <w:trHeight w:val="680"/>
        </w:trPr>
        <w:tc>
          <w:tcPr>
            <w:tcW w:w="2360" w:type="dxa"/>
            <w:tcBorders>
              <w:top w:val="nil"/>
              <w:left w:val="single" w:sz="4" w:space="0" w:color="auto"/>
              <w:bottom w:val="single" w:sz="4" w:space="0" w:color="auto"/>
              <w:right w:val="single" w:sz="4" w:space="0" w:color="auto"/>
            </w:tcBorders>
            <w:shd w:val="clear" w:color="auto" w:fill="auto"/>
            <w:vAlign w:val="center"/>
            <w:hideMark/>
          </w:tcPr>
          <w:p w14:paraId="03FE80E4" w14:textId="77777777" w:rsidR="006021D7" w:rsidRPr="003D327C" w:rsidRDefault="006021D7">
            <w:pPr>
              <w:jc w:val="center"/>
              <w:rPr>
                <w:color w:val="000000" w:themeColor="text1"/>
              </w:rPr>
            </w:pPr>
            <w:r w:rsidRPr="003D327C">
              <w:rPr>
                <w:color w:val="000000" w:themeColor="text1"/>
              </w:rPr>
              <w:t>Initial power per unit mass</w:t>
            </w:r>
          </w:p>
        </w:tc>
        <w:tc>
          <w:tcPr>
            <w:tcW w:w="1300" w:type="dxa"/>
            <w:tcBorders>
              <w:top w:val="nil"/>
              <w:left w:val="nil"/>
              <w:bottom w:val="single" w:sz="4" w:space="0" w:color="auto"/>
              <w:right w:val="single" w:sz="4" w:space="0" w:color="auto"/>
            </w:tcBorders>
            <w:shd w:val="clear" w:color="auto" w:fill="auto"/>
            <w:noWrap/>
            <w:vAlign w:val="center"/>
            <w:hideMark/>
          </w:tcPr>
          <w:p w14:paraId="55A359F5" w14:textId="77777777" w:rsidR="006021D7" w:rsidRPr="003D327C" w:rsidRDefault="006021D7">
            <w:pPr>
              <w:jc w:val="center"/>
              <w:rPr>
                <w:i/>
                <w:iCs/>
                <w:color w:val="000000" w:themeColor="text1"/>
              </w:rPr>
            </w:pPr>
            <w:r w:rsidRPr="003D327C">
              <w:rPr>
                <w:i/>
                <w:iCs/>
                <w:color w:val="000000" w:themeColor="text1"/>
              </w:rPr>
              <w:t>H</w:t>
            </w:r>
            <w:r w:rsidRPr="003D327C">
              <w:rPr>
                <w:i/>
                <w:iCs/>
                <w:color w:val="000000" w:themeColor="text1"/>
                <w:vertAlign w:val="subscript"/>
              </w:rPr>
              <w:t>0</w:t>
            </w:r>
          </w:p>
        </w:tc>
        <w:tc>
          <w:tcPr>
            <w:tcW w:w="1300" w:type="dxa"/>
            <w:tcBorders>
              <w:top w:val="nil"/>
              <w:left w:val="nil"/>
              <w:bottom w:val="single" w:sz="4" w:space="0" w:color="auto"/>
              <w:right w:val="single" w:sz="4" w:space="0" w:color="auto"/>
            </w:tcBorders>
            <w:shd w:val="clear" w:color="auto" w:fill="auto"/>
            <w:noWrap/>
            <w:vAlign w:val="center"/>
            <w:hideMark/>
          </w:tcPr>
          <w:p w14:paraId="76BEEF81" w14:textId="77777777" w:rsidR="006021D7" w:rsidRPr="003D327C" w:rsidRDefault="006021D7">
            <w:pPr>
              <w:jc w:val="center"/>
              <w:rPr>
                <w:color w:val="000000" w:themeColor="text1"/>
              </w:rPr>
            </w:pPr>
            <w:r w:rsidRPr="003D327C">
              <w:rPr>
                <w:color w:val="000000" w:themeColor="text1"/>
              </w:rPr>
              <w:t>W kg</w:t>
            </w:r>
            <w:r w:rsidRPr="003D327C">
              <w:rPr>
                <w:color w:val="000000" w:themeColor="text1"/>
                <w:vertAlign w:val="superscript"/>
              </w:rPr>
              <w:t>-1</w:t>
            </w:r>
          </w:p>
        </w:tc>
        <w:tc>
          <w:tcPr>
            <w:tcW w:w="1300" w:type="dxa"/>
            <w:tcBorders>
              <w:top w:val="nil"/>
              <w:left w:val="nil"/>
              <w:bottom w:val="single" w:sz="4" w:space="0" w:color="auto"/>
              <w:right w:val="single" w:sz="4" w:space="0" w:color="auto"/>
            </w:tcBorders>
            <w:shd w:val="clear" w:color="auto" w:fill="auto"/>
            <w:noWrap/>
            <w:vAlign w:val="center"/>
            <w:hideMark/>
          </w:tcPr>
          <w:p w14:paraId="15F73076" w14:textId="77777777" w:rsidR="006021D7" w:rsidRPr="003D327C" w:rsidRDefault="006021D7">
            <w:pPr>
              <w:jc w:val="center"/>
              <w:rPr>
                <w:color w:val="000000" w:themeColor="text1"/>
              </w:rPr>
            </w:pPr>
            <w:r w:rsidRPr="003D327C">
              <w:rPr>
                <w:color w:val="000000" w:themeColor="text1"/>
              </w:rPr>
              <w:t>1.90E-07</w:t>
            </w:r>
          </w:p>
        </w:tc>
      </w:tr>
      <w:tr w:rsidR="003D327C" w:rsidRPr="003D327C" w14:paraId="1FD3161D" w14:textId="77777777" w:rsidTr="006021D7">
        <w:trPr>
          <w:trHeight w:val="360"/>
        </w:trPr>
        <w:tc>
          <w:tcPr>
            <w:tcW w:w="2360" w:type="dxa"/>
            <w:tcBorders>
              <w:top w:val="nil"/>
              <w:left w:val="single" w:sz="4" w:space="0" w:color="auto"/>
              <w:bottom w:val="single" w:sz="4" w:space="0" w:color="auto"/>
              <w:right w:val="single" w:sz="4" w:space="0" w:color="auto"/>
            </w:tcBorders>
            <w:shd w:val="clear" w:color="auto" w:fill="auto"/>
            <w:vAlign w:val="center"/>
            <w:hideMark/>
          </w:tcPr>
          <w:p w14:paraId="05F7C2DA" w14:textId="77777777" w:rsidR="006021D7" w:rsidRPr="003D327C" w:rsidRDefault="006021D7">
            <w:pPr>
              <w:jc w:val="center"/>
              <w:rPr>
                <w:color w:val="000000" w:themeColor="text1"/>
              </w:rPr>
            </w:pPr>
            <w:r w:rsidRPr="003D327C">
              <w:rPr>
                <w:color w:val="000000" w:themeColor="text1"/>
              </w:rPr>
              <w:t>Ambient temperature</w:t>
            </w:r>
          </w:p>
        </w:tc>
        <w:tc>
          <w:tcPr>
            <w:tcW w:w="1300" w:type="dxa"/>
            <w:tcBorders>
              <w:top w:val="nil"/>
              <w:left w:val="nil"/>
              <w:bottom w:val="single" w:sz="4" w:space="0" w:color="auto"/>
              <w:right w:val="single" w:sz="4" w:space="0" w:color="auto"/>
            </w:tcBorders>
            <w:shd w:val="clear" w:color="auto" w:fill="auto"/>
            <w:noWrap/>
            <w:vAlign w:val="center"/>
            <w:hideMark/>
          </w:tcPr>
          <w:p w14:paraId="0CFACC89" w14:textId="77777777" w:rsidR="006021D7" w:rsidRPr="003D327C" w:rsidRDefault="006021D7">
            <w:pPr>
              <w:jc w:val="center"/>
              <w:rPr>
                <w:i/>
                <w:iCs/>
                <w:color w:val="000000" w:themeColor="text1"/>
              </w:rPr>
            </w:pPr>
            <w:r w:rsidRPr="003D327C">
              <w:rPr>
                <w:i/>
                <w:iCs/>
                <w:color w:val="000000" w:themeColor="text1"/>
              </w:rPr>
              <w:t>T</w:t>
            </w:r>
            <w:r w:rsidRPr="003D327C">
              <w:rPr>
                <w:i/>
                <w:iCs/>
                <w:color w:val="000000" w:themeColor="text1"/>
                <w:vertAlign w:val="subscript"/>
              </w:rPr>
              <w:t>0</w:t>
            </w:r>
          </w:p>
        </w:tc>
        <w:tc>
          <w:tcPr>
            <w:tcW w:w="1300" w:type="dxa"/>
            <w:tcBorders>
              <w:top w:val="nil"/>
              <w:left w:val="nil"/>
              <w:bottom w:val="single" w:sz="4" w:space="0" w:color="auto"/>
              <w:right w:val="single" w:sz="4" w:space="0" w:color="auto"/>
            </w:tcBorders>
            <w:shd w:val="clear" w:color="auto" w:fill="auto"/>
            <w:noWrap/>
            <w:vAlign w:val="center"/>
            <w:hideMark/>
          </w:tcPr>
          <w:p w14:paraId="0C85651C" w14:textId="77777777" w:rsidR="006021D7" w:rsidRPr="003D327C" w:rsidRDefault="006021D7">
            <w:pPr>
              <w:jc w:val="center"/>
              <w:rPr>
                <w:color w:val="000000" w:themeColor="text1"/>
              </w:rPr>
            </w:pPr>
            <w:r w:rsidRPr="003D327C">
              <w:rPr>
                <w:color w:val="000000" w:themeColor="text1"/>
              </w:rPr>
              <w:t>K</w:t>
            </w:r>
          </w:p>
        </w:tc>
        <w:tc>
          <w:tcPr>
            <w:tcW w:w="1300" w:type="dxa"/>
            <w:tcBorders>
              <w:top w:val="nil"/>
              <w:left w:val="nil"/>
              <w:bottom w:val="single" w:sz="4" w:space="0" w:color="auto"/>
              <w:right w:val="single" w:sz="4" w:space="0" w:color="auto"/>
            </w:tcBorders>
            <w:shd w:val="clear" w:color="auto" w:fill="auto"/>
            <w:noWrap/>
            <w:vAlign w:val="center"/>
            <w:hideMark/>
          </w:tcPr>
          <w:p w14:paraId="7484A5A1" w14:textId="77777777" w:rsidR="006021D7" w:rsidRPr="003D327C" w:rsidRDefault="006021D7">
            <w:pPr>
              <w:jc w:val="center"/>
              <w:rPr>
                <w:color w:val="000000" w:themeColor="text1"/>
              </w:rPr>
            </w:pPr>
            <w:r w:rsidRPr="003D327C">
              <w:rPr>
                <w:color w:val="000000" w:themeColor="text1"/>
              </w:rPr>
              <w:t>250</w:t>
            </w:r>
          </w:p>
        </w:tc>
      </w:tr>
    </w:tbl>
    <w:p w14:paraId="2A4F0115" w14:textId="2BC68087" w:rsidR="00DA1DC1" w:rsidRPr="003D327C" w:rsidRDefault="00DA1DC1">
      <w:pPr>
        <w:rPr>
          <w:color w:val="000000" w:themeColor="text1"/>
        </w:rPr>
      </w:pPr>
      <w:r w:rsidRPr="003D327C">
        <w:rPr>
          <w:color w:val="000000" w:themeColor="text1"/>
        </w:rPr>
        <w:br w:type="page"/>
      </w:r>
    </w:p>
    <w:p w14:paraId="2CC85441" w14:textId="131CBD64" w:rsidR="001C2D7A" w:rsidRPr="003D327C" w:rsidRDefault="00DA1DC1" w:rsidP="001C2D7A">
      <w:pPr>
        <w:rPr>
          <w:color w:val="000000" w:themeColor="text1"/>
        </w:rPr>
      </w:pPr>
      <w:r w:rsidRPr="003D327C">
        <w:rPr>
          <w:noProof/>
          <w:color w:val="000000" w:themeColor="text1"/>
        </w:rPr>
        <w:lastRenderedPageBreak/>
        <w:drawing>
          <wp:inline distT="0" distB="0" distL="0" distR="0" wp14:anchorId="509A62B2" wp14:editId="33E9397A">
            <wp:extent cx="5486400" cy="4302125"/>
            <wp:effectExtent l="0" t="0" r="0" b="3175"/>
            <wp:docPr id="2071666973" name="Picture 4" descr="A graph of a graph of a number of poi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66973" name="Picture 4" descr="A graph of a graph of a number of points&#10;&#10;Description automatically generated with medium confidence"/>
                    <pic:cNvPicPr/>
                  </pic:nvPicPr>
                  <pic:blipFill>
                    <a:blip r:embed="rId445" cstate="print">
                      <a:extLst>
                        <a:ext uri="{28A0092B-C50C-407E-A947-70E740481C1C}">
                          <a14:useLocalDpi xmlns:a14="http://schemas.microsoft.com/office/drawing/2010/main" val="0"/>
                        </a:ext>
                      </a:extLst>
                    </a:blip>
                    <a:stretch>
                      <a:fillRect/>
                    </a:stretch>
                  </pic:blipFill>
                  <pic:spPr>
                    <a:xfrm>
                      <a:off x="0" y="0"/>
                      <a:ext cx="5486400" cy="4302125"/>
                    </a:xfrm>
                    <a:prstGeom prst="rect">
                      <a:avLst/>
                    </a:prstGeom>
                  </pic:spPr>
                </pic:pic>
              </a:graphicData>
            </a:graphic>
          </wp:inline>
        </w:drawing>
      </w:r>
    </w:p>
    <w:p w14:paraId="04ADE303" w14:textId="69002DFE" w:rsidR="005268FA" w:rsidRPr="003D327C" w:rsidRDefault="009C59CC" w:rsidP="009C59CC">
      <w:pPr>
        <w:rPr>
          <w:color w:val="000000" w:themeColor="text1"/>
        </w:rPr>
      </w:pPr>
      <w:r w:rsidRPr="003D327C">
        <w:rPr>
          <w:b/>
          <w:bCs/>
          <w:color w:val="000000" w:themeColor="text1"/>
        </w:rPr>
        <w:t>Figure C</w:t>
      </w:r>
      <w:r w:rsidR="00FA7799">
        <w:rPr>
          <w:b/>
          <w:bCs/>
          <w:color w:val="000000" w:themeColor="text1"/>
        </w:rPr>
        <w:t>4</w:t>
      </w:r>
      <w:r w:rsidRPr="003D327C">
        <w:rPr>
          <w:b/>
          <w:bCs/>
          <w:color w:val="000000" w:themeColor="text1"/>
        </w:rPr>
        <w:t>.</w:t>
      </w:r>
      <w:r w:rsidRPr="003D327C">
        <w:rPr>
          <w:color w:val="000000" w:themeColor="text1"/>
        </w:rPr>
        <w:t xml:space="preserve"> </w:t>
      </w:r>
      <w:r w:rsidR="00FA7799" w:rsidRPr="003D327C">
        <w:rPr>
          <w:color w:val="000000" w:themeColor="text1"/>
        </w:rPr>
        <w:t xml:space="preserve">Comparison of the analytical </w:t>
      </w:r>
      <w:r w:rsidR="00FA7799">
        <w:rPr>
          <w:color w:val="000000" w:themeColor="text1"/>
        </w:rPr>
        <w:t>heat conduction-heat production</w:t>
      </w:r>
      <w:r w:rsidR="00FA7799" w:rsidRPr="003D327C">
        <w:rPr>
          <w:color w:val="000000" w:themeColor="text1"/>
        </w:rPr>
        <w:t xml:space="preserve"> model used by Hevey and Sanders (2006) (H&amp;S 2006) and the numerical model used in this study. Models in this figure calculate the thermal evolution of a 40 km wide spherical body that accreted 0.75 Myr after CAI formation. The models assume that </w:t>
      </w:r>
      <w:r w:rsidR="00FA7799" w:rsidRPr="003D327C">
        <w:rPr>
          <w:color w:val="000000" w:themeColor="text1"/>
          <w:vertAlign w:val="superscript"/>
        </w:rPr>
        <w:t>26</w:t>
      </w:r>
      <w:r w:rsidR="00FA7799" w:rsidRPr="003D327C">
        <w:rPr>
          <w:color w:val="000000" w:themeColor="text1"/>
        </w:rPr>
        <w:t xml:space="preserve">Al is the only heat producing element and the parameter used to calculate the thermal evolution of this body were taken from Hevey and Sanders (2006) (Table C1). The figure demonstrates that the previously published analytical models and the numerical model used in this study are in excellent agreement with one </w:t>
      </w:r>
      <w:r w:rsidR="00FA7799">
        <w:rPr>
          <w:color w:val="000000" w:themeColor="text1"/>
        </w:rPr>
        <w:t>assuming</w:t>
      </w:r>
      <w:r w:rsidR="00FA7799" w:rsidRPr="003D327C">
        <w:rPr>
          <w:color w:val="000000" w:themeColor="text1"/>
        </w:rPr>
        <w:t xml:space="preserve"> the same starting conditions</w:t>
      </w:r>
      <w:r w:rsidR="0008701B" w:rsidRPr="003D327C">
        <w:rPr>
          <w:color w:val="000000" w:themeColor="text1"/>
        </w:rPr>
        <w:t>.</w:t>
      </w:r>
    </w:p>
    <w:p w14:paraId="7E3A402A" w14:textId="1BBC7CE4" w:rsidR="009A16A4" w:rsidRPr="003D327C" w:rsidRDefault="009A16A4">
      <w:pPr>
        <w:rPr>
          <w:color w:val="000000" w:themeColor="text1"/>
        </w:rPr>
      </w:pPr>
      <w:r w:rsidRPr="003D327C">
        <w:rPr>
          <w:color w:val="000000" w:themeColor="text1"/>
        </w:rPr>
        <w:br w:type="page"/>
      </w:r>
    </w:p>
    <w:p w14:paraId="290FE8CF" w14:textId="0140EF74" w:rsidR="009A16A4" w:rsidRPr="003D327C" w:rsidRDefault="009A16A4" w:rsidP="0072590A">
      <w:pPr>
        <w:spacing w:line="480" w:lineRule="auto"/>
        <w:rPr>
          <w:b/>
          <w:bCs/>
          <w:color w:val="000000" w:themeColor="text1"/>
        </w:rPr>
      </w:pPr>
      <w:r w:rsidRPr="003D327C">
        <w:rPr>
          <w:b/>
          <w:bCs/>
          <w:color w:val="000000" w:themeColor="text1"/>
        </w:rPr>
        <w:lastRenderedPageBreak/>
        <w:t>IBC Solidus Model</w:t>
      </w:r>
    </w:p>
    <w:p w14:paraId="6889071F" w14:textId="77777777" w:rsidR="00562C3C" w:rsidRPr="003D327C" w:rsidRDefault="00562C3C" w:rsidP="00562C3C">
      <w:pPr>
        <w:spacing w:line="480" w:lineRule="auto"/>
        <w:ind w:firstLine="720"/>
        <w:rPr>
          <w:color w:val="000000" w:themeColor="text1"/>
        </w:rPr>
      </w:pPr>
      <w:r>
        <w:rPr>
          <w:color w:val="000000" w:themeColor="text1"/>
        </w:rPr>
        <w:t>T</w:t>
      </w:r>
      <w:r w:rsidRPr="003D327C">
        <w:rPr>
          <w:color w:val="000000" w:themeColor="text1"/>
        </w:rPr>
        <w:t xml:space="preserve">he estimated IBC solidus from Scholpp and Dygert (2024) </w:t>
      </w:r>
      <w:r>
        <w:rPr>
          <w:color w:val="000000" w:themeColor="text1"/>
        </w:rPr>
        <w:t>was parameterized using</w:t>
      </w:r>
      <w:r w:rsidRPr="003D327C">
        <w:rPr>
          <w:color w:val="000000" w:themeColor="text1"/>
        </w:rPr>
        <w:t xml:space="preserve"> a second order polynomial</w:t>
      </w:r>
      <w:r>
        <w:rPr>
          <w:color w:val="000000" w:themeColor="text1"/>
        </w:rPr>
        <w:t xml:space="preserve"> fit</w:t>
      </w:r>
      <w:r w:rsidRPr="003D327C">
        <w:rPr>
          <w:color w:val="000000" w:themeColor="text1"/>
        </w:rPr>
        <w:t xml:space="preserve"> </w:t>
      </w:r>
      <w:r w:rsidRPr="003D327C">
        <w:rPr>
          <w:b/>
          <w:bCs/>
          <w:color w:val="000000" w:themeColor="text1"/>
        </w:rPr>
        <w:t>Figure (C</w:t>
      </w:r>
      <w:r>
        <w:rPr>
          <w:b/>
          <w:bCs/>
          <w:color w:val="000000" w:themeColor="text1"/>
        </w:rPr>
        <w:t>5</w:t>
      </w:r>
      <w:r w:rsidRPr="003D327C">
        <w:rPr>
          <w:b/>
          <w:bCs/>
          <w:color w:val="000000" w:themeColor="text1"/>
        </w:rPr>
        <w:t>)</w:t>
      </w:r>
      <w:r w:rsidRPr="003D327C">
        <w:rPr>
          <w:color w:val="000000" w:themeColor="text1"/>
        </w:rPr>
        <w:t>:</w:t>
      </w:r>
    </w:p>
    <w:p w14:paraId="6BE31051" w14:textId="408B1D19" w:rsidR="00562C3C" w:rsidRPr="003D327C" w:rsidRDefault="00000000" w:rsidP="004D317D">
      <w:pPr>
        <w:spacing w:line="480" w:lineRule="auto"/>
        <w:jc w:val="right"/>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r</m:t>
            </m:r>
          </m:sub>
        </m:sSub>
        <m:r>
          <w:rPr>
            <w:rFonts w:ascii="Cambria Math" w:hAnsi="Cambria Math"/>
            <w:color w:val="000000" w:themeColor="text1"/>
          </w:rPr>
          <m:t>=1034.6(±3.83)+143.2</m:t>
        </m:r>
        <m:sSub>
          <m:sSubPr>
            <m:ctrlPr>
              <w:rPr>
                <w:rFonts w:ascii="Cambria Math" w:hAnsi="Cambria Math"/>
                <w:i/>
                <w:color w:val="000000" w:themeColor="text1"/>
              </w:rPr>
            </m:ctrlPr>
          </m:sSubPr>
          <m:e>
            <m:d>
              <m:dPr>
                <m:ctrlPr>
                  <w:rPr>
                    <w:rFonts w:ascii="Cambria Math" w:hAnsi="Cambria Math"/>
                    <w:i/>
                    <w:color w:val="000000" w:themeColor="text1"/>
                  </w:rPr>
                </m:ctrlPr>
              </m:dPr>
              <m:e>
                <m:r>
                  <w:rPr>
                    <w:rFonts w:ascii="Cambria Math" w:hAnsi="Cambria Math"/>
                    <w:color w:val="000000" w:themeColor="text1"/>
                  </w:rPr>
                  <m:t>±4.80</m:t>
                </m:r>
              </m:e>
            </m:d>
            <m:r>
              <w:rPr>
                <w:rFonts w:ascii="Cambria Math" w:hAnsi="Cambria Math"/>
                <w:color w:val="000000" w:themeColor="text1"/>
              </w:rPr>
              <m:t>P</m:t>
            </m:r>
          </m:e>
          <m:sub>
            <m:r>
              <w:rPr>
                <w:rFonts w:ascii="Cambria Math" w:hAnsi="Cambria Math"/>
                <w:color w:val="000000" w:themeColor="text1"/>
              </w:rPr>
              <m:t>r</m:t>
            </m:r>
          </m:sub>
        </m:sSub>
        <m:r>
          <w:rPr>
            <w:rFonts w:ascii="Cambria Math" w:hAnsi="Cambria Math"/>
            <w:color w:val="000000" w:themeColor="text1"/>
          </w:rPr>
          <m:t>-12.5(±1.10)</m:t>
        </m:r>
        <m:sSubSup>
          <m:sSubSupPr>
            <m:ctrlPr>
              <w:rPr>
                <w:rFonts w:ascii="Cambria Math" w:hAnsi="Cambria Math"/>
                <w:i/>
                <w:color w:val="000000" w:themeColor="text1"/>
              </w:rPr>
            </m:ctrlPr>
          </m:sSubSupPr>
          <m:e>
            <m:r>
              <w:rPr>
                <w:rFonts w:ascii="Cambria Math" w:hAnsi="Cambria Math"/>
                <w:color w:val="000000" w:themeColor="text1"/>
              </w:rPr>
              <m:t>P</m:t>
            </m:r>
          </m:e>
          <m:sub>
            <m:r>
              <w:rPr>
                <w:rFonts w:ascii="Cambria Math" w:hAnsi="Cambria Math"/>
                <w:color w:val="000000" w:themeColor="text1"/>
              </w:rPr>
              <m:t>r</m:t>
            </m:r>
          </m:sub>
          <m:sup>
            <m:r>
              <w:rPr>
                <w:rFonts w:ascii="Cambria Math" w:hAnsi="Cambria Math"/>
                <w:color w:val="000000" w:themeColor="text1"/>
              </w:rPr>
              <m:t>2</m:t>
            </m:r>
          </m:sup>
        </m:sSubSup>
      </m:oMath>
      <w:r w:rsidR="00562C3C" w:rsidRPr="003D327C">
        <w:rPr>
          <w:rFonts w:eastAsiaTheme="minorEastAsia"/>
          <w:color w:val="000000" w:themeColor="text1"/>
        </w:rPr>
        <w:tab/>
      </w:r>
      <w:r w:rsidR="00562C3C" w:rsidRPr="003D327C">
        <w:rPr>
          <w:color w:val="000000" w:themeColor="text1"/>
        </w:rPr>
        <w:t>(C</w:t>
      </w:r>
      <w:r w:rsidR="004D317D">
        <w:rPr>
          <w:color w:val="000000" w:themeColor="text1"/>
        </w:rPr>
        <w:t>12</w:t>
      </w:r>
      <w:r w:rsidR="00562C3C" w:rsidRPr="003D327C">
        <w:rPr>
          <w:color w:val="000000" w:themeColor="text1"/>
        </w:rPr>
        <w:t>)</w:t>
      </w:r>
    </w:p>
    <w:p w14:paraId="255DDE34" w14:textId="00F5EE63" w:rsidR="009A16A4" w:rsidRPr="003D327C" w:rsidRDefault="00562C3C" w:rsidP="00562C3C">
      <w:pPr>
        <w:spacing w:line="480" w:lineRule="auto"/>
        <w:rPr>
          <w:color w:val="000000" w:themeColor="text1"/>
        </w:rPr>
      </w:pPr>
      <w:r w:rsidRPr="003D327C">
        <w:rPr>
          <w:color w:val="000000" w:themeColor="text1"/>
        </w:rPr>
        <w:t xml:space="preserve">where </w:t>
      </w:r>
      <m:oMath>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r</m:t>
            </m:r>
          </m:sub>
        </m:sSub>
      </m:oMath>
      <w:r w:rsidRPr="003D327C">
        <w:rPr>
          <w:color w:val="000000" w:themeColor="text1"/>
        </w:rPr>
        <w:t xml:space="preserve"> is the solidus temperature (</w:t>
      </w:r>
      <w:r w:rsidRPr="003D327C">
        <w:rPr>
          <w:color w:val="000000" w:themeColor="text1"/>
        </w:rPr>
        <w:sym w:font="Symbol" w:char="F0B0"/>
      </w:r>
      <w:r w:rsidRPr="003D327C">
        <w:rPr>
          <w:color w:val="000000" w:themeColor="text1"/>
        </w:rPr>
        <w:t>C) at a given radius (</w:t>
      </w:r>
      <m:oMath>
        <m:r>
          <w:rPr>
            <w:rFonts w:ascii="Cambria Math" w:hAnsi="Cambria Math"/>
            <w:color w:val="000000" w:themeColor="text1"/>
          </w:rPr>
          <m:t>r</m:t>
        </m:r>
      </m:oMath>
      <w:r w:rsidRPr="003D327C">
        <w:rPr>
          <w:color w:val="000000" w:themeColor="text1"/>
        </w:rPr>
        <w:t xml:space="preserve">) within the moon, </w:t>
      </w:r>
      <m:oMath>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r</m:t>
            </m:r>
          </m:sub>
        </m:sSub>
      </m:oMath>
      <w:r w:rsidRPr="003D327C">
        <w:rPr>
          <w:color w:val="000000" w:themeColor="text1"/>
        </w:rPr>
        <w:t xml:space="preserve"> is the pressure (GPa) at that radius</w:t>
      </w:r>
      <w:r w:rsidR="009A16A4" w:rsidRPr="003D327C">
        <w:rPr>
          <w:color w:val="000000" w:themeColor="text1"/>
        </w:rPr>
        <w:t>.</w:t>
      </w:r>
    </w:p>
    <w:p w14:paraId="1BA9848B" w14:textId="77777777" w:rsidR="009F11E7" w:rsidRPr="003D327C" w:rsidRDefault="009F11E7">
      <w:pPr>
        <w:rPr>
          <w:color w:val="000000" w:themeColor="text1"/>
        </w:rPr>
      </w:pPr>
      <w:r w:rsidRPr="003D327C">
        <w:rPr>
          <w:color w:val="000000" w:themeColor="text1"/>
        </w:rPr>
        <w:br w:type="page"/>
      </w:r>
    </w:p>
    <w:p w14:paraId="6CF042C5" w14:textId="77777777" w:rsidR="009F11E7" w:rsidRPr="003D327C" w:rsidRDefault="009F11E7">
      <w:pPr>
        <w:rPr>
          <w:color w:val="000000" w:themeColor="text1"/>
        </w:rPr>
      </w:pPr>
      <w:r w:rsidRPr="003D327C">
        <w:rPr>
          <w:noProof/>
          <w:color w:val="000000" w:themeColor="text1"/>
        </w:rPr>
        <w:lastRenderedPageBreak/>
        <w:drawing>
          <wp:inline distT="0" distB="0" distL="0" distR="0" wp14:anchorId="66213E34" wp14:editId="583E82B1">
            <wp:extent cx="5486400" cy="4564380"/>
            <wp:effectExtent l="0" t="0" r="0" b="0"/>
            <wp:docPr id="1336299763" name="Picture 25" descr="A graph of a press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99763" name="Picture 25" descr="A graph of a pressure&#10;&#10;Description automatically generated"/>
                    <pic:cNvPicPr/>
                  </pic:nvPicPr>
                  <pic:blipFill>
                    <a:blip r:embed="rId446" cstate="print">
                      <a:extLst>
                        <a:ext uri="{28A0092B-C50C-407E-A947-70E740481C1C}">
                          <a14:useLocalDpi xmlns:a14="http://schemas.microsoft.com/office/drawing/2010/main" val="0"/>
                        </a:ext>
                      </a:extLst>
                    </a:blip>
                    <a:stretch>
                      <a:fillRect/>
                    </a:stretch>
                  </pic:blipFill>
                  <pic:spPr>
                    <a:xfrm>
                      <a:off x="0" y="0"/>
                      <a:ext cx="5486400" cy="4564380"/>
                    </a:xfrm>
                    <a:prstGeom prst="rect">
                      <a:avLst/>
                    </a:prstGeom>
                  </pic:spPr>
                </pic:pic>
              </a:graphicData>
            </a:graphic>
          </wp:inline>
        </w:drawing>
      </w:r>
    </w:p>
    <w:p w14:paraId="5F89A99A" w14:textId="7CF2DC85" w:rsidR="005268FA" w:rsidRDefault="000D6E49">
      <w:r w:rsidRPr="003D327C">
        <w:rPr>
          <w:b/>
          <w:bCs/>
          <w:color w:val="000000" w:themeColor="text1"/>
        </w:rPr>
        <w:t>Figure C</w:t>
      </w:r>
      <w:r w:rsidR="005E1FE6">
        <w:rPr>
          <w:b/>
          <w:bCs/>
          <w:color w:val="000000" w:themeColor="text1"/>
        </w:rPr>
        <w:t>5</w:t>
      </w:r>
      <w:r w:rsidRPr="003D327C">
        <w:rPr>
          <w:b/>
          <w:bCs/>
          <w:color w:val="000000" w:themeColor="text1"/>
        </w:rPr>
        <w:t>.</w:t>
      </w:r>
      <w:r w:rsidRPr="003D327C">
        <w:rPr>
          <w:color w:val="000000" w:themeColor="text1"/>
        </w:rPr>
        <w:t xml:space="preserve"> </w:t>
      </w:r>
      <w:r w:rsidR="005E1FE6" w:rsidRPr="003D327C">
        <w:rPr>
          <w:color w:val="000000" w:themeColor="text1"/>
        </w:rPr>
        <w:t>Modeled IBC solidus based on the experimentally determined IBC solidus from Scholpp and Dygert (2024). Digitized data set includes the experimentally determined solidus temperature and two error points for each given pressure. Modeled solidus line is defined by Eq. C</w:t>
      </w:r>
      <w:r w:rsidR="002D0FA9">
        <w:rPr>
          <w:color w:val="000000" w:themeColor="text1"/>
        </w:rPr>
        <w:t>12</w:t>
      </w:r>
      <w:r w:rsidR="00BC4093" w:rsidRPr="003D327C">
        <w:rPr>
          <w:color w:val="000000" w:themeColor="text1"/>
        </w:rPr>
        <w:t>.</w:t>
      </w:r>
      <w:r w:rsidR="005268FA">
        <w:br w:type="page"/>
      </w:r>
    </w:p>
    <w:p w14:paraId="492319B4" w14:textId="466C97ED" w:rsidR="009C59CC" w:rsidRPr="0072590A" w:rsidRDefault="005268FA" w:rsidP="00130C41">
      <w:pPr>
        <w:spacing w:line="480" w:lineRule="auto"/>
        <w:jc w:val="center"/>
        <w:rPr>
          <w:b/>
          <w:bCs/>
        </w:rPr>
      </w:pPr>
      <w:r w:rsidRPr="0072590A">
        <w:rPr>
          <w:b/>
          <w:bCs/>
        </w:rPr>
        <w:lastRenderedPageBreak/>
        <w:t>References Appendix C</w:t>
      </w:r>
    </w:p>
    <w:p w14:paraId="63CEB17E" w14:textId="77777777" w:rsidR="00B322A1" w:rsidRPr="00B322A1" w:rsidRDefault="00B322A1" w:rsidP="00130C41">
      <w:pPr>
        <w:spacing w:line="480" w:lineRule="auto"/>
        <w:ind w:left="540" w:hanging="540"/>
      </w:pPr>
      <w:r w:rsidRPr="00B322A1">
        <w:t>Aigner-Torres, M., Blundy, J., Ulmer, P., and Pettke, T., 2007, Laser Ablation ICPMS study of trace element partitioning between plagioclase and basaltic melts: an experimental approach: Contributions to Mineralogy and Petrology, v. 153, p. 647–667, doi:</w:t>
      </w:r>
      <w:hyperlink r:id="rId447" w:history="1">
        <w:r w:rsidRPr="00B322A1">
          <w:rPr>
            <w:color w:val="0000FF"/>
            <w:u w:val="single"/>
          </w:rPr>
          <w:t>10.1007/s00410-006-0168-2</w:t>
        </w:r>
      </w:hyperlink>
      <w:r w:rsidRPr="00B322A1">
        <w:t>.</w:t>
      </w:r>
    </w:p>
    <w:p w14:paraId="0B7C1BCC" w14:textId="77777777" w:rsidR="00B322A1" w:rsidRPr="00B322A1" w:rsidRDefault="00B322A1" w:rsidP="00130C41">
      <w:pPr>
        <w:spacing w:line="480" w:lineRule="auto"/>
        <w:ind w:left="540" w:hanging="540"/>
      </w:pPr>
      <w:r w:rsidRPr="00B322A1">
        <w:t>Bindeman, I.N., and Davis, A.M., 2000, Trace element partitioning between plagioclase and melt: investigation of dopant influence on partition behavior: Geochimica et Cosmochimica Acta, v. 64, p. 2863–2878, doi:</w:t>
      </w:r>
      <w:hyperlink r:id="rId448" w:history="1">
        <w:r w:rsidRPr="00B322A1">
          <w:rPr>
            <w:color w:val="0000FF"/>
            <w:u w:val="single"/>
          </w:rPr>
          <w:t>10.1016/S0016-7037(00)00389-6</w:t>
        </w:r>
      </w:hyperlink>
      <w:r w:rsidRPr="00B322A1">
        <w:t>.</w:t>
      </w:r>
    </w:p>
    <w:p w14:paraId="33431F9A" w14:textId="77777777" w:rsidR="00B322A1" w:rsidRPr="00B322A1" w:rsidRDefault="00B322A1" w:rsidP="00130C41">
      <w:pPr>
        <w:spacing w:line="480" w:lineRule="auto"/>
        <w:ind w:left="540" w:hanging="540"/>
      </w:pPr>
      <w:r w:rsidRPr="00B322A1">
        <w:t>Blundy, J., and Wood, B., 1994, Prediction of crystal–melt partition coefficients from elastic moduli: Nature, v. 372, p. 452–454, doi:</w:t>
      </w:r>
      <w:hyperlink r:id="rId449" w:history="1">
        <w:r w:rsidRPr="00B322A1">
          <w:rPr>
            <w:color w:val="0000FF"/>
            <w:u w:val="single"/>
          </w:rPr>
          <w:t>10.1038/372452a0</w:t>
        </w:r>
      </w:hyperlink>
      <w:r w:rsidRPr="00B322A1">
        <w:t>.</w:t>
      </w:r>
    </w:p>
    <w:p w14:paraId="31201D28" w14:textId="77777777" w:rsidR="00B322A1" w:rsidRPr="00B322A1" w:rsidRDefault="00B322A1" w:rsidP="00130C41">
      <w:pPr>
        <w:spacing w:line="480" w:lineRule="auto"/>
        <w:ind w:left="540" w:hanging="540"/>
      </w:pPr>
      <w:r w:rsidRPr="00B322A1">
        <w:t>Brenan, J.M., Neroda, E., Lundstrom, C.C., Shaw, H.F., Ryerson, F.J., and Phinney, D.L., 1998, Behaviour of boron, beryllium, and lithium during melting and crystallization: constraints from mineral-melt partitioning experiments: Geochimica et Cosmochimica Acta, v. 62, p. 2129–2141, doi:</w:t>
      </w:r>
      <w:hyperlink r:id="rId450" w:history="1">
        <w:r w:rsidRPr="00B322A1">
          <w:rPr>
            <w:color w:val="0000FF"/>
            <w:u w:val="single"/>
          </w:rPr>
          <w:t>10.1016/S0016-7037(98)00131-8</w:t>
        </w:r>
      </w:hyperlink>
      <w:r w:rsidRPr="00B322A1">
        <w:t>.</w:t>
      </w:r>
    </w:p>
    <w:p w14:paraId="380B4293" w14:textId="77777777" w:rsidR="00B322A1" w:rsidRPr="00B322A1" w:rsidRDefault="00B322A1" w:rsidP="00130C41">
      <w:pPr>
        <w:spacing w:line="480" w:lineRule="auto"/>
        <w:ind w:left="540" w:hanging="540"/>
      </w:pPr>
      <w:r w:rsidRPr="00B322A1">
        <w:t>Brice, J.C., 1975, Some thermodynamic aspects of the growth of strained crystals: Journal of Crystal Growth, v. 28, p. 249–253, doi:</w:t>
      </w:r>
      <w:hyperlink r:id="rId451" w:history="1">
        <w:r w:rsidRPr="00B322A1">
          <w:rPr>
            <w:color w:val="0000FF"/>
            <w:u w:val="single"/>
          </w:rPr>
          <w:t>10.1016/0022-0248(75)90241-9</w:t>
        </w:r>
      </w:hyperlink>
      <w:r w:rsidRPr="00B322A1">
        <w:t>.</w:t>
      </w:r>
    </w:p>
    <w:p w14:paraId="2305E057" w14:textId="77777777" w:rsidR="00B322A1" w:rsidRPr="00B322A1" w:rsidRDefault="00B322A1" w:rsidP="00130C41">
      <w:pPr>
        <w:spacing w:line="480" w:lineRule="auto"/>
        <w:ind w:left="540" w:hanging="540"/>
      </w:pPr>
      <w:r w:rsidRPr="00B322A1">
        <w:t>Chamorro, E.M., Brooker, R.A., Wartho, J.-A., Wood, B.J., Kelley, S.P., and Blundy, J.D., 2002, Ar and K partitioning between clinopyroxene and silicate melt to 8 GPa: Geochimica et Cosmochimica Acta, v. 66, p. 507–519, doi:</w:t>
      </w:r>
      <w:hyperlink r:id="rId452" w:history="1">
        <w:r w:rsidRPr="00B322A1">
          <w:rPr>
            <w:color w:val="0000FF"/>
            <w:u w:val="single"/>
          </w:rPr>
          <w:t>10.1016/S0016-7037(01)00784-0</w:t>
        </w:r>
      </w:hyperlink>
      <w:r w:rsidRPr="00B322A1">
        <w:t>.</w:t>
      </w:r>
    </w:p>
    <w:p w14:paraId="337C2267" w14:textId="77777777" w:rsidR="00B322A1" w:rsidRPr="00B322A1" w:rsidRDefault="00B322A1" w:rsidP="00130C41">
      <w:pPr>
        <w:spacing w:line="480" w:lineRule="auto"/>
        <w:ind w:left="540" w:hanging="540"/>
      </w:pPr>
      <w:r w:rsidRPr="00B322A1">
        <w:t xml:space="preserve">Charlier, B., Grove, T.L., Namur, O., and Holtz, F., 2018, Crystallization of the lunar magma ocean and the primordial mantle-crust differentiation of the Moon: </w:t>
      </w:r>
      <w:r w:rsidRPr="00B322A1">
        <w:lastRenderedPageBreak/>
        <w:t>Geochimica et Cosmochimica Acta, v. 234, p. 50–69, doi:</w:t>
      </w:r>
      <w:hyperlink r:id="rId453" w:history="1">
        <w:r w:rsidRPr="00B322A1">
          <w:rPr>
            <w:color w:val="0000FF"/>
            <w:u w:val="single"/>
          </w:rPr>
          <w:t>10.1016/j.gca.2018.05.006</w:t>
        </w:r>
      </w:hyperlink>
      <w:r w:rsidRPr="00B322A1">
        <w:t>.</w:t>
      </w:r>
    </w:p>
    <w:p w14:paraId="3C40971F" w14:textId="77777777" w:rsidR="00B322A1" w:rsidRPr="00B322A1" w:rsidRDefault="00B322A1" w:rsidP="00130C41">
      <w:pPr>
        <w:spacing w:line="480" w:lineRule="auto"/>
        <w:ind w:left="540" w:hanging="540"/>
      </w:pPr>
      <w:r w:rsidRPr="00B322A1">
        <w:t>Chen, S., Ni, P., Zhang, Y., and Gagnon, J., 2022, Trace element partitioning between olivine and melt in lunar basalts: v. 107, p. 1519–1531, doi:</w:t>
      </w:r>
      <w:hyperlink r:id="rId454" w:history="1">
        <w:r w:rsidRPr="00B322A1">
          <w:rPr>
            <w:color w:val="0000FF"/>
            <w:u w:val="single"/>
          </w:rPr>
          <w:t>10.2138/am-2022-7971</w:t>
        </w:r>
      </w:hyperlink>
      <w:r w:rsidRPr="00B322A1">
        <w:t>.</w:t>
      </w:r>
    </w:p>
    <w:p w14:paraId="14F2419A" w14:textId="77777777" w:rsidR="00B322A1" w:rsidRPr="00B322A1" w:rsidRDefault="00B322A1" w:rsidP="00130C41">
      <w:pPr>
        <w:spacing w:line="480" w:lineRule="auto"/>
        <w:ind w:left="540" w:hanging="540"/>
      </w:pPr>
      <w:r w:rsidRPr="00B322A1">
        <w:t>Dalou, C., Koga, K.T., Shimizu, N., Boulon, J., and Devidal, J.-L., 2012, Experimental determination of F and Cl partitioning between lherzolite and basaltic melt: Contributions to Mineralogy and Petrology, v. 163, p. 591–609, doi:</w:t>
      </w:r>
      <w:hyperlink r:id="rId455" w:history="1">
        <w:r w:rsidRPr="00B322A1">
          <w:rPr>
            <w:color w:val="0000FF"/>
            <w:u w:val="single"/>
          </w:rPr>
          <w:t>10.1007/s00410-011-0688-2</w:t>
        </w:r>
      </w:hyperlink>
      <w:r w:rsidRPr="00B322A1">
        <w:t>.</w:t>
      </w:r>
    </w:p>
    <w:p w14:paraId="2CCB7369" w14:textId="77777777" w:rsidR="00B322A1" w:rsidRPr="00B322A1" w:rsidRDefault="00B322A1" w:rsidP="00130C41">
      <w:pPr>
        <w:spacing w:line="480" w:lineRule="auto"/>
        <w:ind w:left="540" w:hanging="540"/>
      </w:pPr>
      <w:r w:rsidRPr="00B322A1">
        <w:t>Davis, F.A., Humayun, M., Hirschmann, M.M., and Cooper, R.S., 2013, Experimentally determined mineral/melt partitioning of first-row transition elements (FRTE) during partial melting of peridotite at 3GPa: Geochimica et Cosmochimica Acta, v. 104, p. 232–260, doi:</w:t>
      </w:r>
      <w:hyperlink r:id="rId456" w:history="1">
        <w:r w:rsidRPr="00B322A1">
          <w:rPr>
            <w:color w:val="0000FF"/>
            <w:u w:val="single"/>
          </w:rPr>
          <w:t>10.1016/j.gca.2012.11.009</w:t>
        </w:r>
      </w:hyperlink>
      <w:r w:rsidRPr="00B322A1">
        <w:t>.</w:t>
      </w:r>
    </w:p>
    <w:p w14:paraId="14173B0B" w14:textId="77777777" w:rsidR="00B322A1" w:rsidRPr="00B322A1" w:rsidRDefault="00B322A1" w:rsidP="00130C41">
      <w:pPr>
        <w:spacing w:line="480" w:lineRule="auto"/>
        <w:ind w:left="540" w:hanging="540"/>
      </w:pPr>
      <w:r w:rsidRPr="00B322A1">
        <w:t>Dunn, T., and Sen, C., 1994, Mineral/matrix partition coefficients for orthopyroxene, plagioclase, and olivine in basaltic to andesitic systems: A combined analytical and experimental study: Geochimica et Cosmochimica Acta, v. 58, p. 717–733, doi:</w:t>
      </w:r>
      <w:hyperlink r:id="rId457" w:history="1">
        <w:r w:rsidRPr="00B322A1">
          <w:rPr>
            <w:color w:val="0000FF"/>
            <w:u w:val="single"/>
          </w:rPr>
          <w:t>10.1016/0016-7037(94)90501-0</w:t>
        </w:r>
      </w:hyperlink>
      <w:r w:rsidRPr="00B322A1">
        <w:t>.</w:t>
      </w:r>
    </w:p>
    <w:p w14:paraId="5A40DBCD" w14:textId="77777777" w:rsidR="00B322A1" w:rsidRPr="00B322A1" w:rsidRDefault="00B322A1" w:rsidP="00130C41">
      <w:pPr>
        <w:spacing w:line="480" w:lineRule="auto"/>
        <w:ind w:left="540" w:hanging="540"/>
      </w:pPr>
      <w:r w:rsidRPr="00B322A1">
        <w:t>Dygert, N., Draper, D.S., Rapp, J.F., Lapen, T.J., Fagan, A.L., and Neal, C.R., 2020, Experimental determinations of trace element partitioning between plagioclase, pigeonite, olivine, and lunar basaltic melts and an fO2 dependent model for plagioclase-melt Eu partitioning: Geochimica et Cosmochimica Acta, v. 279, p. 258–280, doi:</w:t>
      </w:r>
      <w:hyperlink r:id="rId458" w:history="1">
        <w:r w:rsidRPr="00B322A1">
          <w:rPr>
            <w:color w:val="0000FF"/>
            <w:u w:val="single"/>
          </w:rPr>
          <w:t>10.1016/j.gca.2020.03.037</w:t>
        </w:r>
      </w:hyperlink>
      <w:r w:rsidRPr="00B322A1">
        <w:t>.</w:t>
      </w:r>
    </w:p>
    <w:p w14:paraId="053D3A44" w14:textId="77777777" w:rsidR="00B322A1" w:rsidRPr="00B322A1" w:rsidRDefault="00B322A1" w:rsidP="00130C41">
      <w:pPr>
        <w:spacing w:line="480" w:lineRule="auto"/>
        <w:ind w:left="540" w:hanging="540"/>
      </w:pPr>
      <w:r w:rsidRPr="00B322A1">
        <w:lastRenderedPageBreak/>
        <w:t>Dygert, N., Liang, Y., and Hess, P., 2013, The importance of melt TiO2 in affecting major and trace element partitioning between Fe–Ti oxides and lunar picritic glass melts: Geochimica et Cosmochimica Acta, v. 106, p. 134–151, doi:</w:t>
      </w:r>
      <w:hyperlink r:id="rId459" w:history="1">
        <w:r w:rsidRPr="00B322A1">
          <w:rPr>
            <w:color w:val="0000FF"/>
            <w:u w:val="single"/>
          </w:rPr>
          <w:t>10.1016/j.gca.2012.12.005</w:t>
        </w:r>
      </w:hyperlink>
      <w:r w:rsidRPr="00B322A1">
        <w:t>.</w:t>
      </w:r>
    </w:p>
    <w:p w14:paraId="18F100AC" w14:textId="77777777" w:rsidR="00B322A1" w:rsidRPr="00B322A1" w:rsidRDefault="00B322A1" w:rsidP="00130C41">
      <w:pPr>
        <w:spacing w:line="480" w:lineRule="auto"/>
        <w:ind w:left="540" w:hanging="540"/>
      </w:pPr>
      <w:r w:rsidRPr="00B322A1">
        <w:t>Dygert, N., Liang, Y., Sun, C., and Hess, P., 2014, An experimental study of trace element partitioning between augite and Fe-rich basalts: Geochimica et Cosmochimica Acta, v. 132, p. 170–186, doi:</w:t>
      </w:r>
      <w:hyperlink r:id="rId460" w:history="1">
        <w:r w:rsidRPr="00B322A1">
          <w:rPr>
            <w:color w:val="0000FF"/>
            <w:u w:val="single"/>
          </w:rPr>
          <w:t>10.1016/j.gca.2014.01.042</w:t>
        </w:r>
      </w:hyperlink>
      <w:r w:rsidRPr="00B322A1">
        <w:t>.</w:t>
      </w:r>
    </w:p>
    <w:p w14:paraId="70B38246" w14:textId="77777777" w:rsidR="00B322A1" w:rsidRPr="00B322A1" w:rsidRDefault="00B322A1" w:rsidP="00130C41">
      <w:pPr>
        <w:spacing w:line="480" w:lineRule="auto"/>
        <w:ind w:left="540" w:hanging="540"/>
      </w:pPr>
      <w:r w:rsidRPr="00B322A1">
        <w:t>Elardo, S.M., Draper, D.S., and Shearer, C.K., 2011, Lunar Magma Ocean crystallization revisited: Bulk composition, early cumulate mineralogy, and the source regions of the highlands Mg-suite: Geochimica et Cosmochimica Acta, v. 75, p. 3024–3045, doi:</w:t>
      </w:r>
      <w:hyperlink r:id="rId461" w:history="1">
        <w:r w:rsidRPr="00B322A1">
          <w:rPr>
            <w:color w:val="0000FF"/>
            <w:u w:val="single"/>
          </w:rPr>
          <w:t>10.1016/j.gca.2011.02.033</w:t>
        </w:r>
      </w:hyperlink>
      <w:r w:rsidRPr="00B322A1">
        <w:t>.</w:t>
      </w:r>
    </w:p>
    <w:p w14:paraId="3199B5AF" w14:textId="77777777" w:rsidR="00B322A1" w:rsidRPr="00B322A1" w:rsidRDefault="00B322A1" w:rsidP="00130C41">
      <w:pPr>
        <w:spacing w:line="480" w:lineRule="auto"/>
        <w:ind w:left="540" w:hanging="540"/>
      </w:pPr>
      <w:r w:rsidRPr="00B322A1">
        <w:t>Filiberto, J., Jackson, C., Le, L., and Treiman, A.H., 2009, Partitioning of Ni between olivine and an iron-rich basalt: Experiments, partition models, and planetary implications: American Mineralogist, v. 94, p. 256–261, doi:</w:t>
      </w:r>
      <w:hyperlink r:id="rId462" w:history="1">
        <w:r w:rsidRPr="00B322A1">
          <w:rPr>
            <w:color w:val="0000FF"/>
            <w:u w:val="single"/>
          </w:rPr>
          <w:t>10.2138/am.2009.3047</w:t>
        </w:r>
      </w:hyperlink>
      <w:r w:rsidRPr="00B322A1">
        <w:t>.</w:t>
      </w:r>
    </w:p>
    <w:p w14:paraId="70DBD6F5" w14:textId="77777777" w:rsidR="00B322A1" w:rsidRPr="00B322A1" w:rsidRDefault="00B322A1" w:rsidP="00130C41">
      <w:pPr>
        <w:spacing w:line="480" w:lineRule="auto"/>
        <w:ind w:left="540" w:hanging="540"/>
      </w:pPr>
      <w:r w:rsidRPr="00B322A1">
        <w:t>Fonseca, R.O.C., Mallmann, G., Sprung, P., Sommer, J.E., Heuser, A., Speelmanns, I.M., and Blanchard, H., 2014, Redox controls on tungsten and uranium crystal/silicate melt partitioning and implications for the U/W and Th/W ratio of the lunar mantle: Earth and Planetary Science Letters, v. 404, p. 1–13, doi:</w:t>
      </w:r>
      <w:hyperlink r:id="rId463" w:history="1">
        <w:r w:rsidRPr="00B322A1">
          <w:rPr>
            <w:color w:val="0000FF"/>
            <w:u w:val="single"/>
          </w:rPr>
          <w:t>10.1016/j.epsl.2014.07.015</w:t>
        </w:r>
      </w:hyperlink>
      <w:r w:rsidRPr="00B322A1">
        <w:t>.</w:t>
      </w:r>
    </w:p>
    <w:p w14:paraId="3CD273C8" w14:textId="77777777" w:rsidR="00B322A1" w:rsidRPr="00B322A1" w:rsidRDefault="00B322A1" w:rsidP="00130C41">
      <w:pPr>
        <w:spacing w:line="480" w:lineRule="auto"/>
        <w:ind w:left="540" w:hanging="540"/>
      </w:pPr>
      <w:r w:rsidRPr="00B322A1">
        <w:t xml:space="preserve">Frei, D., Liebscher, A., Franz, G., Wunder, B., Klemme, S., and Blundy, J., 2009, Trace element partitioning between orthopyroxene and anhydrous silicate melt on the </w:t>
      </w:r>
      <w:r w:rsidRPr="00B322A1">
        <w:lastRenderedPageBreak/>
        <w:t>lherzolite solidus from 1.1 to 3.2 GPa and 1,230 to 1,535°C in the model system Na2O–CaO–MgO–Al2O3–SiO2: Contributions to Mineralogy and Petrology, v. 157, p. 473–490, doi:</w:t>
      </w:r>
      <w:hyperlink r:id="rId464" w:history="1">
        <w:r w:rsidRPr="00B322A1">
          <w:rPr>
            <w:color w:val="0000FF"/>
            <w:u w:val="single"/>
          </w:rPr>
          <w:t>10.1007/s00410-008-0346-5</w:t>
        </w:r>
      </w:hyperlink>
      <w:r w:rsidRPr="00B322A1">
        <w:t>.</w:t>
      </w:r>
    </w:p>
    <w:p w14:paraId="70B0A661" w14:textId="77777777" w:rsidR="00B322A1" w:rsidRPr="00B322A1" w:rsidRDefault="00B322A1" w:rsidP="00130C41">
      <w:pPr>
        <w:spacing w:line="480" w:lineRule="auto"/>
        <w:ind w:left="540" w:hanging="540"/>
      </w:pPr>
      <w:r w:rsidRPr="00B322A1">
        <w:t>Haupt, C.P., Renggli, C.J., Rohrbach, A., Berndt, J., and Klemme, S., 2024, Experimental Constraints on the Origin of the Lunar High-Ti Basalts: Journal of Geophysical Research: Planets, v. 129, p. e2023JE008239, doi:</w:t>
      </w:r>
      <w:hyperlink r:id="rId465" w:history="1">
        <w:r w:rsidRPr="00B322A1">
          <w:rPr>
            <w:color w:val="0000FF"/>
            <w:u w:val="single"/>
          </w:rPr>
          <w:t>10.1029/2023JE008239</w:t>
        </w:r>
      </w:hyperlink>
      <w:r w:rsidRPr="00B322A1">
        <w:t>.</w:t>
      </w:r>
    </w:p>
    <w:p w14:paraId="43EBD891" w14:textId="77777777" w:rsidR="00B322A1" w:rsidRPr="00B322A1" w:rsidRDefault="00B322A1" w:rsidP="00130C41">
      <w:pPr>
        <w:spacing w:line="480" w:lineRule="auto"/>
        <w:ind w:left="540" w:hanging="540"/>
      </w:pPr>
      <w:r w:rsidRPr="00B322A1">
        <w:t>Hevey, P.J., and Sanders, I.S., 2006, A model for planetesimal meltdown by 26Al and its implications for meteorite parent bodies: Meteoritics &amp; Planetary Science, v. 41, p. 95–106, doi:</w:t>
      </w:r>
      <w:hyperlink r:id="rId466" w:history="1">
        <w:r w:rsidRPr="00B322A1">
          <w:rPr>
            <w:color w:val="0000FF"/>
            <w:u w:val="single"/>
          </w:rPr>
          <w:t>10.1111/j.1945-5100.2006.tb00195.x</w:t>
        </w:r>
      </w:hyperlink>
      <w:r w:rsidRPr="00B322A1">
        <w:t>.</w:t>
      </w:r>
    </w:p>
    <w:p w14:paraId="49DFF9EF" w14:textId="77777777" w:rsidR="00B322A1" w:rsidRPr="00B322A1" w:rsidRDefault="00B322A1" w:rsidP="00130C41">
      <w:pPr>
        <w:spacing w:line="480" w:lineRule="auto"/>
        <w:ind w:left="540" w:hanging="540"/>
      </w:pPr>
      <w:r w:rsidRPr="00B322A1">
        <w:t>Hill, E., Blundy, J.D., and Wood, B.J., 2011, Clinopyroxene–melt trace element partitioning and the development of a predictive model for HFSE and Sc: Contributions to Mineralogy and Petrology, v. 161, p. 423–438, doi:</w:t>
      </w:r>
      <w:hyperlink r:id="rId467" w:history="1">
        <w:r w:rsidRPr="00B322A1">
          <w:rPr>
            <w:color w:val="0000FF"/>
            <w:u w:val="single"/>
          </w:rPr>
          <w:t>10.1007/s00410-010-0540-0</w:t>
        </w:r>
      </w:hyperlink>
      <w:r w:rsidRPr="00B322A1">
        <w:t>.</w:t>
      </w:r>
    </w:p>
    <w:p w14:paraId="308415B3" w14:textId="77777777" w:rsidR="00B322A1" w:rsidRPr="00B322A1" w:rsidRDefault="00B322A1" w:rsidP="00130C41">
      <w:pPr>
        <w:spacing w:line="480" w:lineRule="auto"/>
        <w:ind w:left="540" w:hanging="540"/>
      </w:pPr>
      <w:r w:rsidRPr="00B322A1">
        <w:t>Imai, T., Takahashi, E., Suzuki, T., and Hirata, T., 2012, Element partitioning between olivine and melt up to 10GPa: Implications for the effect of pressure: Physics of the Earth and Planetary Interiors, v. 212–213, p. 64–75, doi:</w:t>
      </w:r>
      <w:hyperlink r:id="rId468" w:history="1">
        <w:r w:rsidRPr="00B322A1">
          <w:rPr>
            <w:color w:val="0000FF"/>
            <w:u w:val="single"/>
          </w:rPr>
          <w:t>10.1016/j.pepi.2012.09.001</w:t>
        </w:r>
      </w:hyperlink>
      <w:r w:rsidRPr="00B322A1">
        <w:t>.</w:t>
      </w:r>
    </w:p>
    <w:p w14:paraId="56413FA1" w14:textId="77777777" w:rsidR="00B322A1" w:rsidRPr="00B322A1" w:rsidRDefault="00B322A1" w:rsidP="00130C41">
      <w:pPr>
        <w:spacing w:line="480" w:lineRule="auto"/>
        <w:ind w:left="540" w:hanging="540"/>
      </w:pPr>
      <w:r w:rsidRPr="00B322A1">
        <w:t>Jing, J.-J., Su, B.-X., Berndt, J., Kuwahara, H., and van Westrenen, W., 2024, Experimental investigation of first-row transition elements partitioning between olivine and silicate melt: Implications for lunar basalt formation: Geochimica et Cosmochimica Acta, v. 373, p. 211–231, doi:</w:t>
      </w:r>
      <w:hyperlink r:id="rId469" w:history="1">
        <w:r w:rsidRPr="00B322A1">
          <w:rPr>
            <w:color w:val="0000FF"/>
            <w:u w:val="single"/>
          </w:rPr>
          <w:t>10.1016/j.gca.2024.03.028</w:t>
        </w:r>
      </w:hyperlink>
      <w:r w:rsidRPr="00B322A1">
        <w:t>.</w:t>
      </w:r>
    </w:p>
    <w:p w14:paraId="2032E7E5" w14:textId="77777777" w:rsidR="00B322A1" w:rsidRPr="00B322A1" w:rsidRDefault="00B322A1" w:rsidP="00130C41">
      <w:pPr>
        <w:spacing w:line="480" w:lineRule="auto"/>
        <w:ind w:left="540" w:hanging="540"/>
      </w:pPr>
      <w:r w:rsidRPr="00B322A1">
        <w:lastRenderedPageBreak/>
        <w:t>van Kan Parker, M., Liebscher, A., Frei, D., van Sijl, J., van Westrenen, W., Blundy, J., and Franz, G., 2010, Experimental and computational study of trace element distribution between orthopyroxene and anhydrous silicate melt: substitution mechanisms and the effect of iron: Contributions to Mineralogy and Petrology, v. 159, p. 459–473, doi:</w:t>
      </w:r>
      <w:hyperlink r:id="rId470" w:history="1">
        <w:r w:rsidRPr="00B322A1">
          <w:rPr>
            <w:color w:val="0000FF"/>
            <w:u w:val="single"/>
          </w:rPr>
          <w:t>10.1007/s00410-009-0435-0</w:t>
        </w:r>
      </w:hyperlink>
      <w:r w:rsidRPr="00B322A1">
        <w:t>.</w:t>
      </w:r>
    </w:p>
    <w:p w14:paraId="5BF6FEF3" w14:textId="77777777" w:rsidR="00B322A1" w:rsidRPr="00B322A1" w:rsidRDefault="00B322A1" w:rsidP="00130C41">
      <w:pPr>
        <w:spacing w:line="480" w:lineRule="auto"/>
        <w:ind w:left="540" w:hanging="540"/>
      </w:pPr>
      <w:r w:rsidRPr="00B322A1">
        <w:t>van Kan Parker, M., Mason, P.R.D., and van Westrenen, W., 2011a, Experimental study of trace element partitioning between lunar orthopyroxene and anhydrous silicate melt: Effects of lithium and iron: Chemical Geology, v. 285, p. 1–14, doi:</w:t>
      </w:r>
      <w:hyperlink r:id="rId471" w:history="1">
        <w:r w:rsidRPr="00B322A1">
          <w:rPr>
            <w:color w:val="0000FF"/>
            <w:u w:val="single"/>
          </w:rPr>
          <w:t>10.1016/j.chemgeo.2011.02.007</w:t>
        </w:r>
      </w:hyperlink>
      <w:r w:rsidRPr="00B322A1">
        <w:t>.</w:t>
      </w:r>
    </w:p>
    <w:p w14:paraId="2D9FAA69" w14:textId="77777777" w:rsidR="00B322A1" w:rsidRPr="00B322A1" w:rsidRDefault="00B322A1" w:rsidP="00130C41">
      <w:pPr>
        <w:spacing w:line="480" w:lineRule="auto"/>
        <w:ind w:left="540" w:hanging="540"/>
      </w:pPr>
      <w:r w:rsidRPr="00B322A1">
        <w:t>van Kan Parker, M., Mason, P.R.D., and van Westrenen, W., 2011b, Trace element partitioning between ilmenite, armalcolite and anhydrous silicate melt: Implications for the formation of lunar high-Ti mare basalts: Geochimica et Cosmochimica Acta, v. 75, p. 4179–4193, doi:</w:t>
      </w:r>
      <w:hyperlink r:id="rId472" w:history="1">
        <w:r w:rsidRPr="00B322A1">
          <w:rPr>
            <w:color w:val="0000FF"/>
            <w:u w:val="single"/>
          </w:rPr>
          <w:t>10.1016/j.gca.2011.04.031</w:t>
        </w:r>
      </w:hyperlink>
      <w:r w:rsidRPr="00B322A1">
        <w:t>.</w:t>
      </w:r>
    </w:p>
    <w:p w14:paraId="61595AD4" w14:textId="77777777" w:rsidR="00B322A1" w:rsidRPr="00B322A1" w:rsidRDefault="00B322A1" w:rsidP="00130C41">
      <w:pPr>
        <w:spacing w:line="480" w:lineRule="auto"/>
        <w:ind w:left="540" w:hanging="540"/>
      </w:pPr>
      <w:r w:rsidRPr="00B322A1">
        <w:t>Kennedy, A.K., Lofgren, G.E., and Wasserburg, G.J., 1993, An experimental study of trace element partitioning between olivine, orthopyroxene and melt in chondrules: equilibrium values and kinetic effects: Earth and Planetary Science Letters, v. 115, p. 177–195, doi:</w:t>
      </w:r>
      <w:hyperlink r:id="rId473" w:history="1">
        <w:r w:rsidRPr="00B322A1">
          <w:rPr>
            <w:color w:val="0000FF"/>
            <w:u w:val="single"/>
          </w:rPr>
          <w:t>10.1016/0012-821X(93)90221-T</w:t>
        </w:r>
      </w:hyperlink>
      <w:r w:rsidRPr="00B322A1">
        <w:t>.</w:t>
      </w:r>
    </w:p>
    <w:p w14:paraId="3BFE6B4E" w14:textId="77777777" w:rsidR="00B322A1" w:rsidRPr="00B322A1" w:rsidRDefault="00B322A1" w:rsidP="00130C41">
      <w:pPr>
        <w:spacing w:line="480" w:lineRule="auto"/>
        <w:ind w:left="540" w:hanging="540"/>
      </w:pPr>
      <w:r w:rsidRPr="00B322A1">
        <w:t>Klemme, S., Blundy, J.D., and Wood, B.J., 2002, Experimental constraints on major and trace element partitioning during partial melting of eclogite: Geochimica et Cosmochimica Acta, v. 66, p. 3109–3123, doi:</w:t>
      </w:r>
      <w:hyperlink r:id="rId474" w:history="1">
        <w:r w:rsidRPr="00B322A1">
          <w:rPr>
            <w:color w:val="0000FF"/>
            <w:u w:val="single"/>
          </w:rPr>
          <w:t>10.1016/S0016-7037(02)00859-1</w:t>
        </w:r>
      </w:hyperlink>
      <w:r w:rsidRPr="00B322A1">
        <w:t>.</w:t>
      </w:r>
    </w:p>
    <w:p w14:paraId="2A676594" w14:textId="77777777" w:rsidR="00B322A1" w:rsidRPr="00B322A1" w:rsidRDefault="00B322A1" w:rsidP="00130C41">
      <w:pPr>
        <w:spacing w:line="480" w:lineRule="auto"/>
        <w:ind w:left="540" w:hanging="540"/>
      </w:pPr>
      <w:r w:rsidRPr="00B322A1">
        <w:t xml:space="preserve">Klemme, S., Günther, D., Hametner, K., Prowatke, S., and Zack, T., 2006, The partitioning of trace elements between ilmenite, ulvospinel, armalcolite and silicate </w:t>
      </w:r>
      <w:r w:rsidRPr="00B322A1">
        <w:lastRenderedPageBreak/>
        <w:t>melts with implications for the early differentiation of the moon: Chemical Geology, v. 234, p. 251–263, doi:</w:t>
      </w:r>
      <w:hyperlink r:id="rId475" w:history="1">
        <w:r w:rsidRPr="00B322A1">
          <w:rPr>
            <w:color w:val="0000FF"/>
            <w:u w:val="single"/>
          </w:rPr>
          <w:t>10.1016/j.chemgeo.2006.05.005</w:t>
        </w:r>
      </w:hyperlink>
      <w:r w:rsidRPr="00B322A1">
        <w:t>.</w:t>
      </w:r>
    </w:p>
    <w:p w14:paraId="5BB0BB3A" w14:textId="77777777" w:rsidR="00B322A1" w:rsidRPr="00B322A1" w:rsidRDefault="00B322A1" w:rsidP="00130C41">
      <w:pPr>
        <w:spacing w:line="480" w:lineRule="auto"/>
        <w:ind w:left="540" w:hanging="540"/>
      </w:pPr>
      <w:r w:rsidRPr="00B322A1">
        <w:t>Krawczynski, M.J., and Grove, T.L., 2012, Experimental investigation of the influence of oxygen fugacity on the source depths for high titanium lunar ultramafic magmas: Geochimica et Cosmochimica Acta, v. 79, p. 1–19, doi:</w:t>
      </w:r>
      <w:hyperlink r:id="rId476" w:history="1">
        <w:r w:rsidRPr="00B322A1">
          <w:rPr>
            <w:color w:val="0000FF"/>
            <w:u w:val="single"/>
          </w:rPr>
          <w:t>10.1016/j.gca.2011.10.043</w:t>
        </w:r>
      </w:hyperlink>
      <w:r w:rsidRPr="00B322A1">
        <w:t>.</w:t>
      </w:r>
    </w:p>
    <w:p w14:paraId="260B7F75" w14:textId="77777777" w:rsidR="00B322A1" w:rsidRPr="00B322A1" w:rsidRDefault="00B322A1" w:rsidP="00130C41">
      <w:pPr>
        <w:spacing w:line="480" w:lineRule="auto"/>
        <w:ind w:left="540" w:hanging="540"/>
      </w:pPr>
      <w:r w:rsidRPr="00B322A1">
        <w:t>Leitzke, F.P., Fonseca, R.O.C., Michely, L.T., Sprung, P., Münker, C., Heuser, A., and Blanchard, H., 2016, The effect of titanium on the partitioning behavior of high-field strength elements between silicates, oxides and lunar basaltic melts with applications to the origin of mare basalts: Chemical Geology, v. 440, p. 219–238, doi:</w:t>
      </w:r>
      <w:hyperlink r:id="rId477" w:history="1">
        <w:r w:rsidRPr="00B322A1">
          <w:rPr>
            <w:color w:val="0000FF"/>
            <w:u w:val="single"/>
          </w:rPr>
          <w:t>10.1016/j.chemgeo.2016.07.011</w:t>
        </w:r>
      </w:hyperlink>
      <w:r w:rsidRPr="00B322A1">
        <w:t>.</w:t>
      </w:r>
    </w:p>
    <w:p w14:paraId="222567C0" w14:textId="77777777" w:rsidR="00B322A1" w:rsidRPr="00B322A1" w:rsidRDefault="00B322A1" w:rsidP="00130C41">
      <w:pPr>
        <w:spacing w:line="480" w:lineRule="auto"/>
        <w:ind w:left="540" w:hanging="540"/>
      </w:pPr>
      <w:r w:rsidRPr="00B322A1">
        <w:t>Mallik, A., Ejaz, T., Shcheka, S., and Garapic, G., 2019, A petrologic study on the effect of mantle overturn: Implications for evolution of the lunar interior: Geochimica et Cosmochimica Acta, v. 250, p. 238–250, doi:</w:t>
      </w:r>
      <w:hyperlink r:id="rId478" w:history="1">
        <w:r w:rsidRPr="00B322A1">
          <w:rPr>
            <w:color w:val="0000FF"/>
            <w:u w:val="single"/>
          </w:rPr>
          <w:t>10.1016/j.gca.2019.02.014</w:t>
        </w:r>
      </w:hyperlink>
      <w:r w:rsidRPr="00B322A1">
        <w:t>.</w:t>
      </w:r>
    </w:p>
    <w:p w14:paraId="1009E5BA" w14:textId="77777777" w:rsidR="00B322A1" w:rsidRPr="00B322A1" w:rsidRDefault="00B322A1" w:rsidP="00130C41">
      <w:pPr>
        <w:spacing w:line="480" w:lineRule="auto"/>
        <w:ind w:left="540" w:hanging="540"/>
      </w:pPr>
      <w:r w:rsidRPr="00B322A1">
        <w:t>Mallmann, G., and O’Neill, H.St.C., 2013, Calibration of an Empirical Thermometer and Oxybarometer based on the Partitioning of Sc, Y and V between Olivine and Silicate Melt: Journal of Petrology, v. 54, p. 933–949, doi:</w:t>
      </w:r>
      <w:hyperlink r:id="rId479" w:history="1">
        <w:r w:rsidRPr="00B322A1">
          <w:rPr>
            <w:color w:val="0000FF"/>
            <w:u w:val="single"/>
          </w:rPr>
          <w:t>10.1093/petrology/egt001</w:t>
        </w:r>
      </w:hyperlink>
      <w:r w:rsidRPr="00B322A1">
        <w:t>.</w:t>
      </w:r>
    </w:p>
    <w:p w14:paraId="66BED427" w14:textId="77777777" w:rsidR="00B322A1" w:rsidRPr="00B322A1" w:rsidRDefault="00B322A1" w:rsidP="00130C41">
      <w:pPr>
        <w:spacing w:line="480" w:lineRule="auto"/>
        <w:ind w:left="540" w:hanging="540"/>
      </w:pPr>
      <w:r w:rsidRPr="00B322A1">
        <w:t>McDade, P., Blundy, J.D., and Wood, B.J., 2003, Trace element partitioning on the Tinaquillo Lherzolite solidus at 1.5GPa: Diffusion and Partitioning in Planetary Interiors, v. 139, p. 129–147, doi:</w:t>
      </w:r>
      <w:hyperlink r:id="rId480" w:history="1">
        <w:r w:rsidRPr="00B322A1">
          <w:rPr>
            <w:color w:val="0000FF"/>
            <w:u w:val="single"/>
          </w:rPr>
          <w:t>10.1016/S0031-9201(03)00149-3</w:t>
        </w:r>
      </w:hyperlink>
      <w:r w:rsidRPr="00B322A1">
        <w:t>.</w:t>
      </w:r>
    </w:p>
    <w:p w14:paraId="41DDD63A" w14:textId="77777777" w:rsidR="00B322A1" w:rsidRPr="00B322A1" w:rsidRDefault="00B322A1" w:rsidP="00130C41">
      <w:pPr>
        <w:spacing w:line="480" w:lineRule="auto"/>
        <w:ind w:left="540" w:hanging="540"/>
      </w:pPr>
      <w:r w:rsidRPr="00B322A1">
        <w:t>McDonough, W.F., and Sun, S. -s., 1995, The composition of the Earth: Chemical Evolution of the Mantle, v. 120, p. 223–253, doi:</w:t>
      </w:r>
      <w:hyperlink r:id="rId481" w:history="1">
        <w:r w:rsidRPr="00B322A1">
          <w:rPr>
            <w:color w:val="0000FF"/>
            <w:u w:val="single"/>
          </w:rPr>
          <w:t>10.1016/0009-2541(94)00140-4</w:t>
        </w:r>
      </w:hyperlink>
      <w:r w:rsidRPr="00B322A1">
        <w:t>.</w:t>
      </w:r>
    </w:p>
    <w:p w14:paraId="767044C9" w14:textId="77777777" w:rsidR="00B322A1" w:rsidRPr="00B322A1" w:rsidRDefault="00B322A1" w:rsidP="00130C41">
      <w:pPr>
        <w:spacing w:line="480" w:lineRule="auto"/>
        <w:ind w:left="540" w:hanging="540"/>
      </w:pPr>
      <w:r w:rsidRPr="00B322A1">
        <w:lastRenderedPageBreak/>
        <w:t>McKay, G., Wagstaff, J., and Yang, S.-R., 1986, Zirconium, hafnium, and rare earth element partition coefficients for ilmenite and other minerals in high-Ti lunar mare basalts: An experimental study: Journal of Geophysical Research: Solid Earth, v. 91, p. 229–237, doi:</w:t>
      </w:r>
      <w:hyperlink r:id="rId482" w:history="1">
        <w:r w:rsidRPr="00B322A1">
          <w:rPr>
            <w:color w:val="0000FF"/>
            <w:u w:val="single"/>
          </w:rPr>
          <w:t>10.1029/JB091iB04p0D229</w:t>
        </w:r>
      </w:hyperlink>
      <w:r w:rsidRPr="00B322A1">
        <w:t>.</w:t>
      </w:r>
    </w:p>
    <w:p w14:paraId="4C0BCB6E" w14:textId="77777777" w:rsidR="00B322A1" w:rsidRPr="00B322A1" w:rsidRDefault="00B322A1" w:rsidP="00130C41">
      <w:pPr>
        <w:spacing w:line="480" w:lineRule="auto"/>
        <w:ind w:left="540" w:hanging="540"/>
      </w:pPr>
      <w:r w:rsidRPr="00B322A1">
        <w:t>Ottolini, L., Laporte, D., Raffone, N., Devidal, J.-L., and Le Fèvre, B., 2009, New experimental determination of Li and B partition coefficients during upper mantle partial melting: Contributions to Mineralogy and Petrology, v. 157, p. 313–325, doi:</w:t>
      </w:r>
      <w:hyperlink r:id="rId483" w:history="1">
        <w:r w:rsidRPr="00B322A1">
          <w:rPr>
            <w:color w:val="0000FF"/>
            <w:u w:val="single"/>
          </w:rPr>
          <w:t>10.1007/s00410-008-0336-7</w:t>
        </w:r>
      </w:hyperlink>
      <w:r w:rsidRPr="00B322A1">
        <w:t>.</w:t>
      </w:r>
    </w:p>
    <w:p w14:paraId="7B8810E6" w14:textId="77777777" w:rsidR="00B322A1" w:rsidRPr="00B322A1" w:rsidRDefault="00B322A1" w:rsidP="00130C41">
      <w:pPr>
        <w:spacing w:line="480" w:lineRule="auto"/>
        <w:ind w:left="540" w:hanging="540"/>
      </w:pPr>
      <w:r w:rsidRPr="00B322A1">
        <w:t>Salters, V.J.M., Longhi, J.E., and Bizimis, M., 2002, Near mantle solidus trace element partitioning at pressures up to 3.4 GPa: Geochemistry, Geophysics, Geosystems, v. 3, p. 1–23, doi:</w:t>
      </w:r>
      <w:hyperlink r:id="rId484" w:history="1">
        <w:r w:rsidRPr="00B322A1">
          <w:rPr>
            <w:color w:val="0000FF"/>
            <w:u w:val="single"/>
          </w:rPr>
          <w:t>10.1029/2001GC000148</w:t>
        </w:r>
      </w:hyperlink>
      <w:r w:rsidRPr="00B322A1">
        <w:t>.</w:t>
      </w:r>
    </w:p>
    <w:p w14:paraId="2DFD54DF" w14:textId="77777777" w:rsidR="00B322A1" w:rsidRPr="00B322A1" w:rsidRDefault="00B322A1" w:rsidP="00130C41">
      <w:pPr>
        <w:spacing w:line="480" w:lineRule="auto"/>
        <w:ind w:left="540" w:hanging="540"/>
      </w:pPr>
      <w:r w:rsidRPr="00B322A1">
        <w:t>Scholpp, J.L., and Dygert, N., 2024, Experimental insights into the mineralogy and melt-rock reactions produced by lunar cumulate mantle overturn: Contributions to Mineralogy and Petrology, v. 179, p. 58, doi:</w:t>
      </w:r>
      <w:hyperlink r:id="rId485" w:history="1">
        <w:r w:rsidRPr="00B322A1">
          <w:rPr>
            <w:color w:val="0000FF"/>
            <w:u w:val="single"/>
          </w:rPr>
          <w:t>10.1007/s00410-024-02134-z</w:t>
        </w:r>
      </w:hyperlink>
      <w:r w:rsidRPr="00B322A1">
        <w:t>.</w:t>
      </w:r>
    </w:p>
    <w:p w14:paraId="6AADB8AA" w14:textId="77777777" w:rsidR="00B322A1" w:rsidRPr="00B322A1" w:rsidRDefault="00B322A1" w:rsidP="00130C41">
      <w:pPr>
        <w:spacing w:line="480" w:lineRule="auto"/>
        <w:ind w:left="540" w:hanging="540"/>
      </w:pPr>
      <w:r w:rsidRPr="00B322A1">
        <w:t xml:space="preserve">Schoneveld, L.E., 2018, Partitioning of Trace Elements Between Plagioclase, Clinopyroxene and Melt [Ph.D.]: The Australian National University (Australia), 299 p., </w:t>
      </w:r>
      <w:hyperlink r:id="rId486" w:history="1">
        <w:r w:rsidRPr="00B322A1">
          <w:rPr>
            <w:color w:val="0000FF"/>
            <w:u w:val="single"/>
          </w:rPr>
          <w:t>https://utk.idm.oclc.org/login?url=https://www.proquest.com/dissertations-theses/partitioning-trace-elements-between-plagioclase/docview/2083996420/se-2?accountid=14766</w:t>
        </w:r>
      </w:hyperlink>
      <w:r w:rsidRPr="00B322A1">
        <w:t>.</w:t>
      </w:r>
    </w:p>
    <w:p w14:paraId="259240CE" w14:textId="77777777" w:rsidR="00B322A1" w:rsidRPr="00B322A1" w:rsidRDefault="00B322A1" w:rsidP="00130C41">
      <w:pPr>
        <w:spacing w:line="480" w:lineRule="auto"/>
        <w:ind w:left="540" w:hanging="540"/>
      </w:pPr>
      <w:r w:rsidRPr="00B322A1">
        <w:t>Schoneveld, L., and O’Neill, H.St.C., 2019, The influence of melt composition on the partitioning of trace elements between anorthite and silicate melt: Contributions to Mineralogy and Petrology, v. 174, p. 13, doi:</w:t>
      </w:r>
      <w:hyperlink r:id="rId487" w:history="1">
        <w:r w:rsidRPr="00B322A1">
          <w:rPr>
            <w:color w:val="0000FF"/>
            <w:u w:val="single"/>
          </w:rPr>
          <w:t>10.1007/s00410-019-1548-8</w:t>
        </w:r>
      </w:hyperlink>
      <w:r w:rsidRPr="00B322A1">
        <w:t>.</w:t>
      </w:r>
    </w:p>
    <w:p w14:paraId="76CCD9A7" w14:textId="77777777" w:rsidR="00B322A1" w:rsidRPr="00B322A1" w:rsidRDefault="00B322A1" w:rsidP="00130C41">
      <w:pPr>
        <w:spacing w:line="480" w:lineRule="auto"/>
        <w:ind w:left="540" w:hanging="540"/>
      </w:pPr>
      <w:r w:rsidRPr="00B322A1">
        <w:lastRenderedPageBreak/>
        <w:t>Shannon, R.D., 1976, Revised effective ionic radii and systematic studies of interatomic distances in halides and chalcogenides: Acta Crystallographica Section A, v. 32, p. 751–767, doi:</w:t>
      </w:r>
      <w:hyperlink r:id="rId488" w:history="1">
        <w:r w:rsidRPr="00B322A1">
          <w:rPr>
            <w:color w:val="0000FF"/>
            <w:u w:val="single"/>
          </w:rPr>
          <w:t>10.1107/S0567739476001551</w:t>
        </w:r>
      </w:hyperlink>
      <w:r w:rsidRPr="00B322A1">
        <w:t>.</w:t>
      </w:r>
    </w:p>
    <w:p w14:paraId="2BC6CC10" w14:textId="77777777" w:rsidR="00B322A1" w:rsidRPr="00B322A1" w:rsidRDefault="00B322A1" w:rsidP="00130C41">
      <w:pPr>
        <w:spacing w:line="480" w:lineRule="auto"/>
        <w:ind w:left="540" w:hanging="540"/>
      </w:pPr>
      <w:r w:rsidRPr="00B322A1">
        <w:t>Sharp, M., Righter, K., and Walker, R.J., 2015, Estimation of trace element concentrations in the lunar magma ocean using mineral- and metal-silicate melt partition coefficients: Meteoritics &amp; Planetary Science, v. 50, p. 733–758, doi:</w:t>
      </w:r>
      <w:hyperlink r:id="rId489" w:history="1">
        <w:r w:rsidRPr="00B322A1">
          <w:rPr>
            <w:color w:val="0000FF"/>
            <w:u w:val="single"/>
          </w:rPr>
          <w:t>10.1111/maps.12396</w:t>
        </w:r>
      </w:hyperlink>
      <w:r w:rsidRPr="00B322A1">
        <w:t>.</w:t>
      </w:r>
    </w:p>
    <w:p w14:paraId="048F46FA" w14:textId="77777777" w:rsidR="00B322A1" w:rsidRPr="00B322A1" w:rsidRDefault="00B322A1" w:rsidP="00130C41">
      <w:pPr>
        <w:spacing w:line="480" w:lineRule="auto"/>
        <w:ind w:left="540" w:hanging="540"/>
      </w:pPr>
      <w:r w:rsidRPr="00B322A1">
        <w:t>Shepherd, K., Namur, O., Toplis, M.J., Devidal, J.-L., and Charlier, B., 2022, Trace element partitioning between clinopyroxene, magnetite, ilmenite and ferrobasaltic to dacitic magmas: an experimental study on the role of oxygen fugacity and melt composition: Contributions to Mineralogy and Petrology, v. 177, p. 90, doi:</w:t>
      </w:r>
      <w:hyperlink r:id="rId490" w:history="1">
        <w:r w:rsidRPr="00B322A1">
          <w:rPr>
            <w:color w:val="0000FF"/>
            <w:u w:val="single"/>
          </w:rPr>
          <w:t>10.1007/s00410-022-01957-y</w:t>
        </w:r>
      </w:hyperlink>
      <w:r w:rsidRPr="00B322A1">
        <w:t>.</w:t>
      </w:r>
    </w:p>
    <w:p w14:paraId="07A28B0A" w14:textId="77777777" w:rsidR="00B322A1" w:rsidRPr="00B322A1" w:rsidRDefault="00B322A1" w:rsidP="00130C41">
      <w:pPr>
        <w:spacing w:line="480" w:lineRule="auto"/>
        <w:ind w:left="540" w:hanging="540"/>
      </w:pPr>
      <w:r w:rsidRPr="00B322A1">
        <w:t>Shimizu, H., Sangen, K., and Masuda, A., 1982, Experimental study on rare-earth element partitioning in olivine and clinopyroxene formed at 10 and 20kb for basaltic systems: GEOCHEMICAL JOURNAL, v. 16, p. 107–117, doi:</w:t>
      </w:r>
      <w:hyperlink r:id="rId491" w:history="1">
        <w:r w:rsidRPr="00B322A1">
          <w:rPr>
            <w:color w:val="0000FF"/>
            <w:u w:val="single"/>
          </w:rPr>
          <w:t>10.2343/geochemj.16.107</w:t>
        </w:r>
      </w:hyperlink>
      <w:r w:rsidRPr="00B322A1">
        <w:t>.</w:t>
      </w:r>
    </w:p>
    <w:p w14:paraId="01BCA42D" w14:textId="77777777" w:rsidR="00B322A1" w:rsidRPr="00B322A1" w:rsidRDefault="00B322A1" w:rsidP="00130C41">
      <w:pPr>
        <w:spacing w:line="480" w:lineRule="auto"/>
        <w:ind w:left="540" w:hanging="540"/>
      </w:pPr>
      <w:r w:rsidRPr="00B322A1">
        <w:t>Siegler, M., Warren, P., Franco, K.L., Paige, D., Feng, J., and White, M., 2022, Lunar Heat Flow: Global Predictions and Reduced Heat Flux: Journal of Geophysical Research: Planets, v. 127, p. e2022JE007182, doi:</w:t>
      </w:r>
      <w:hyperlink r:id="rId492" w:history="1">
        <w:r w:rsidRPr="00B322A1">
          <w:rPr>
            <w:color w:val="0000FF"/>
            <w:u w:val="single"/>
          </w:rPr>
          <w:t>10.1029/2022JE007182</w:t>
        </w:r>
      </w:hyperlink>
      <w:r w:rsidRPr="00B322A1">
        <w:t>.</w:t>
      </w:r>
    </w:p>
    <w:p w14:paraId="3CF305E6" w14:textId="77777777" w:rsidR="00B322A1" w:rsidRPr="00B322A1" w:rsidRDefault="00B322A1" w:rsidP="00130C41">
      <w:pPr>
        <w:spacing w:line="480" w:lineRule="auto"/>
        <w:ind w:left="540" w:hanging="540"/>
      </w:pPr>
      <w:r w:rsidRPr="00B322A1">
        <w:t xml:space="preserve">Snape, J.F., Nemchin, A.A., Johnson, T., Luginbühl, S., Berndt, J., Klemme, S., Morrissey, L.J., and van Westrenen, W., 2022, Experimental constraints on the </w:t>
      </w:r>
      <w:r w:rsidRPr="00B322A1">
        <w:lastRenderedPageBreak/>
        <w:t>long-lived radiogenic isotope evolution of the Moon: Geochimica et Cosmochimica Acta, v. 326, p. 119–148, doi:</w:t>
      </w:r>
      <w:hyperlink r:id="rId493" w:history="1">
        <w:r w:rsidRPr="00B322A1">
          <w:rPr>
            <w:color w:val="0000FF"/>
            <w:u w:val="single"/>
          </w:rPr>
          <w:t>10.1016/j.gca.2022.04.008</w:t>
        </w:r>
      </w:hyperlink>
      <w:r w:rsidRPr="00B322A1">
        <w:t>.</w:t>
      </w:r>
    </w:p>
    <w:p w14:paraId="52362132" w14:textId="77777777" w:rsidR="00B322A1" w:rsidRPr="00B322A1" w:rsidRDefault="00B322A1" w:rsidP="00130C41">
      <w:pPr>
        <w:spacing w:line="480" w:lineRule="auto"/>
        <w:ind w:left="540" w:hanging="540"/>
      </w:pPr>
      <w:r w:rsidRPr="00B322A1">
        <w:t>Sun, C., Graff, M., and Liang, Y., 2017, Trace element partitioning between plagioclase and silicate melt: The importance of temperature and plagioclase composition, with implications for terrestrial and lunar magmatism: Geochimica et Cosmochimica Acta, v. 206, p. 273–295, doi:</w:t>
      </w:r>
      <w:hyperlink r:id="rId494" w:history="1">
        <w:r w:rsidRPr="00B322A1">
          <w:rPr>
            <w:color w:val="0000FF"/>
            <w:u w:val="single"/>
          </w:rPr>
          <w:t>10.1016/j.gca.2017.03.003</w:t>
        </w:r>
      </w:hyperlink>
      <w:r w:rsidRPr="00B322A1">
        <w:t>.</w:t>
      </w:r>
    </w:p>
    <w:p w14:paraId="01A46771" w14:textId="77777777" w:rsidR="00B322A1" w:rsidRPr="00B322A1" w:rsidRDefault="00B322A1" w:rsidP="00130C41">
      <w:pPr>
        <w:spacing w:line="480" w:lineRule="auto"/>
        <w:ind w:left="540" w:hanging="540"/>
      </w:pPr>
      <w:r w:rsidRPr="00B322A1">
        <w:t>Sun, C., and Liang, Y., 2013a, Distribution of REE and HFSE between low-Ca pyroxene and lunar picritic melts around multiple saturation points: Geochimica et Cosmochimica Acta, v. 119, p. 340–358, doi:</w:t>
      </w:r>
      <w:hyperlink r:id="rId495" w:history="1">
        <w:r w:rsidRPr="00B322A1">
          <w:rPr>
            <w:color w:val="0000FF"/>
            <w:u w:val="single"/>
          </w:rPr>
          <w:t>10.1016/j.gca.2013.05.036</w:t>
        </w:r>
      </w:hyperlink>
      <w:r w:rsidRPr="00B322A1">
        <w:t>.</w:t>
      </w:r>
    </w:p>
    <w:p w14:paraId="1B20F939" w14:textId="77777777" w:rsidR="00B322A1" w:rsidRPr="00B322A1" w:rsidRDefault="00B322A1" w:rsidP="00130C41">
      <w:pPr>
        <w:spacing w:line="480" w:lineRule="auto"/>
        <w:ind w:left="540" w:hanging="540"/>
      </w:pPr>
      <w:r w:rsidRPr="00B322A1">
        <w:t>Sun, C., and Liang, Y., 2013b, The importance of crystal chemistry on REE partitioning between mantle minerals (garnet, clinopyroxene, orthopyroxene, and olivine) and basaltic melts: Chemical Geology, v. 358, p. 23–36, doi:</w:t>
      </w:r>
      <w:hyperlink r:id="rId496" w:history="1">
        <w:r w:rsidRPr="00B322A1">
          <w:rPr>
            <w:color w:val="0000FF"/>
            <w:u w:val="single"/>
          </w:rPr>
          <w:t>10.1016/j.chemgeo.2013.08.045</w:t>
        </w:r>
      </w:hyperlink>
      <w:r w:rsidRPr="00B322A1">
        <w:t>.</w:t>
      </w:r>
    </w:p>
    <w:p w14:paraId="5B05C8C3" w14:textId="77777777" w:rsidR="00B322A1" w:rsidRPr="00B322A1" w:rsidRDefault="00B322A1" w:rsidP="00130C41">
      <w:pPr>
        <w:spacing w:line="480" w:lineRule="auto"/>
        <w:ind w:left="540" w:hanging="540"/>
      </w:pPr>
      <w:r w:rsidRPr="00B322A1">
        <w:t>Suzuki, T., and Akaogi, M., 1995, Element partitioning between olivine and silicate melt under high pressure: Physics and Chemistry of Minerals, v. 22, p. 411–418, doi:</w:t>
      </w:r>
      <w:hyperlink r:id="rId497" w:history="1">
        <w:r w:rsidRPr="00B322A1">
          <w:rPr>
            <w:color w:val="0000FF"/>
            <w:u w:val="single"/>
          </w:rPr>
          <w:t>10.1007/BF00200318</w:t>
        </w:r>
      </w:hyperlink>
      <w:r w:rsidRPr="00B322A1">
        <w:t>.</w:t>
      </w:r>
    </w:p>
    <w:p w14:paraId="07F3CA01" w14:textId="77777777" w:rsidR="00B322A1" w:rsidRPr="00B322A1" w:rsidRDefault="00B322A1" w:rsidP="00130C41">
      <w:pPr>
        <w:spacing w:line="480" w:lineRule="auto"/>
        <w:ind w:left="540" w:hanging="540"/>
      </w:pPr>
      <w:r w:rsidRPr="00B322A1">
        <w:t>Suzuki, T., Hirata, T., Yokoyama, T.D., Imai, T., and Takahashi, E., 2012, Pressure effect on element partitioning between minerals and silicate melt: Melting experiments on basalt up to 20GPa: Physics of the Earth and Planetary Interiors, v. 208–209, p. 59–73, doi:</w:t>
      </w:r>
      <w:hyperlink r:id="rId498" w:history="1">
        <w:r w:rsidRPr="00B322A1">
          <w:rPr>
            <w:color w:val="0000FF"/>
            <w:u w:val="single"/>
          </w:rPr>
          <w:t>10.1016/j.pepi.2012.07.008</w:t>
        </w:r>
      </w:hyperlink>
      <w:r w:rsidRPr="00B322A1">
        <w:t>.</w:t>
      </w:r>
    </w:p>
    <w:p w14:paraId="2E994C66" w14:textId="77777777" w:rsidR="00B322A1" w:rsidRPr="00B322A1" w:rsidRDefault="00B322A1" w:rsidP="00130C41">
      <w:pPr>
        <w:spacing w:line="480" w:lineRule="auto"/>
        <w:ind w:left="540" w:hanging="540"/>
      </w:pPr>
      <w:r w:rsidRPr="00B322A1">
        <w:t xml:space="preserve">Taura, H., Yurimoto, H., Kurita, K., and Sueno, S., 1998, Pressure dependence on partition coefficients for trace elements between olivine and the coexisting melts: </w:t>
      </w:r>
      <w:r w:rsidRPr="00B322A1">
        <w:lastRenderedPageBreak/>
        <w:t>Physics and Chemistry of Minerals, v. 25, p. 469–484, doi:</w:t>
      </w:r>
      <w:hyperlink r:id="rId499" w:history="1">
        <w:r w:rsidRPr="00B322A1">
          <w:rPr>
            <w:color w:val="0000FF"/>
            <w:u w:val="single"/>
          </w:rPr>
          <w:t>10.1007/s002690050138</w:t>
        </w:r>
      </w:hyperlink>
      <w:r w:rsidRPr="00B322A1">
        <w:t>.</w:t>
      </w:r>
    </w:p>
    <w:p w14:paraId="4A14BC32" w14:textId="77777777" w:rsidR="00B322A1" w:rsidRPr="00B322A1" w:rsidRDefault="00B322A1" w:rsidP="00130C41">
      <w:pPr>
        <w:spacing w:line="480" w:lineRule="auto"/>
        <w:ind w:left="540" w:hanging="540"/>
      </w:pPr>
      <w:r w:rsidRPr="00B322A1">
        <w:t>Taylor, S.R., Taylor, G.J., and Taylor, L.A., 2006, The Moon: A Taylor perspective: A Special Issue Dedicated to Larry A. Haskin, v. 70, p. 5904–5918, doi:</w:t>
      </w:r>
      <w:hyperlink r:id="rId500" w:history="1">
        <w:r w:rsidRPr="00B322A1">
          <w:rPr>
            <w:color w:val="0000FF"/>
            <w:u w:val="single"/>
          </w:rPr>
          <w:t>10.1016/j.gca.2006.06.262</w:t>
        </w:r>
      </w:hyperlink>
      <w:r w:rsidRPr="00B322A1">
        <w:t>.</w:t>
      </w:r>
    </w:p>
    <w:p w14:paraId="1884AD86" w14:textId="77777777" w:rsidR="00B322A1" w:rsidRPr="00B322A1" w:rsidRDefault="00B322A1" w:rsidP="00130C41">
      <w:pPr>
        <w:spacing w:line="480" w:lineRule="auto"/>
        <w:ind w:left="540" w:hanging="540"/>
      </w:pPr>
      <w:r w:rsidRPr="00B322A1">
        <w:t>Taylor, G.J., and Wieczorek, M.A., 2014, Lunar bulk chemical composition: a post-Gravity Recovery and Interior Laboratory reassessment: Philosophical Transactions of the Royal Society A: Mathematical, Physical and Engineering Sciences, v. 372, p. 20130242, doi:</w:t>
      </w:r>
      <w:hyperlink r:id="rId501" w:history="1">
        <w:r w:rsidRPr="00B322A1">
          <w:rPr>
            <w:color w:val="0000FF"/>
            <w:u w:val="single"/>
          </w:rPr>
          <w:t>10.1098/rsta.2013.0242</w:t>
        </w:r>
      </w:hyperlink>
      <w:r w:rsidRPr="00B322A1">
        <w:t>.</w:t>
      </w:r>
    </w:p>
    <w:p w14:paraId="35019B9D" w14:textId="77777777" w:rsidR="00B322A1" w:rsidRPr="00B322A1" w:rsidRDefault="00B322A1" w:rsidP="00130C41">
      <w:pPr>
        <w:spacing w:line="480" w:lineRule="auto"/>
        <w:ind w:left="540" w:hanging="540"/>
      </w:pPr>
      <w:r w:rsidRPr="00B322A1">
        <w:t>Tepley, F.J., Lundstrom, C.C., McDonough, W.F., and Thompson, A., 2010, Trace element partitioning between high-An plagioclase and basaltic to basaltic andesite melt at 1 atmosphere pressure: Lithos, v. 118, p. 82–94, doi:</w:t>
      </w:r>
      <w:hyperlink r:id="rId502" w:history="1">
        <w:r w:rsidRPr="00B322A1">
          <w:rPr>
            <w:color w:val="0000FF"/>
            <w:u w:val="single"/>
          </w:rPr>
          <w:t>10.1016/j.lithos.2010.04.001</w:t>
        </w:r>
      </w:hyperlink>
      <w:r w:rsidRPr="00B322A1">
        <w:t>.</w:t>
      </w:r>
    </w:p>
    <w:p w14:paraId="19BB96C7" w14:textId="77777777" w:rsidR="00B322A1" w:rsidRPr="00B322A1" w:rsidRDefault="00B322A1" w:rsidP="00130C41">
      <w:pPr>
        <w:spacing w:line="480" w:lineRule="auto"/>
        <w:ind w:left="540" w:hanging="540"/>
      </w:pPr>
      <w:r w:rsidRPr="00B322A1">
        <w:t>Turcotte, D.L., and Schubert, G., 2002, Geodynamics: Cambridge university press.</w:t>
      </w:r>
    </w:p>
    <w:p w14:paraId="4C94015F" w14:textId="00EBD4DF" w:rsidR="00B322A1" w:rsidRPr="00B322A1" w:rsidRDefault="00130C41" w:rsidP="00130C41">
      <w:pPr>
        <w:spacing w:line="480" w:lineRule="auto"/>
        <w:ind w:left="540" w:hanging="540"/>
      </w:pPr>
      <w:r w:rsidRPr="00B322A1">
        <w:t xml:space="preserve">Wasylenki, L.E., Baker, M.B., Kent, A.J.R., </w:t>
      </w:r>
      <w:r>
        <w:t>a</w:t>
      </w:r>
      <w:r w:rsidRPr="00B322A1">
        <w:t>nd Stolper, E.M</w:t>
      </w:r>
      <w:r w:rsidR="00B322A1" w:rsidRPr="00B322A1">
        <w:t>., 2003, Near-solidus Melting of the Shallow Upper Mantle: Partial Melting Experiments on Depleted Peridotite: Journal of Petrology, v. 44, p. 1163–1191, doi:</w:t>
      </w:r>
      <w:hyperlink r:id="rId503" w:history="1">
        <w:r w:rsidR="00B322A1" w:rsidRPr="00B322A1">
          <w:rPr>
            <w:color w:val="0000FF"/>
            <w:u w:val="single"/>
          </w:rPr>
          <w:t>10.1093/petrology/44.7.1163</w:t>
        </w:r>
      </w:hyperlink>
      <w:r w:rsidR="00B322A1" w:rsidRPr="00B322A1">
        <w:t>.</w:t>
      </w:r>
    </w:p>
    <w:p w14:paraId="65057260" w14:textId="77777777" w:rsidR="00B322A1" w:rsidRPr="00B322A1" w:rsidRDefault="00B322A1" w:rsidP="00130C41">
      <w:pPr>
        <w:spacing w:line="480" w:lineRule="auto"/>
        <w:ind w:left="540" w:hanging="540"/>
      </w:pPr>
      <w:r w:rsidRPr="00B322A1">
        <w:t>Wijbrans, C.H., Klemme, S., Berndt, J., and Vollmer, C., 2015, Experimental determination of trace element partition coefficients between spinel and silicate melt: the influence of chemical composition and oxygen fugacity: Contributions to Mineralogy and Petrology, v. 169, p. 45, doi:</w:t>
      </w:r>
      <w:hyperlink r:id="rId504" w:history="1">
        <w:r w:rsidRPr="00B322A1">
          <w:rPr>
            <w:color w:val="0000FF"/>
            <w:u w:val="single"/>
          </w:rPr>
          <w:t>10.1007/s00410-015-1128-5</w:t>
        </w:r>
      </w:hyperlink>
      <w:r w:rsidRPr="00B322A1">
        <w:t>.</w:t>
      </w:r>
    </w:p>
    <w:p w14:paraId="1D01B70D" w14:textId="77777777" w:rsidR="00B322A1" w:rsidRPr="00B322A1" w:rsidRDefault="00B322A1" w:rsidP="00130C41">
      <w:pPr>
        <w:spacing w:line="480" w:lineRule="auto"/>
        <w:ind w:left="540" w:hanging="540"/>
      </w:pPr>
      <w:r w:rsidRPr="00B322A1">
        <w:lastRenderedPageBreak/>
        <w:t>Wood, B.J., and Blundy, J.D., 1997, A predictive model for rare earth element partitioning between clinopyroxene and anhydrous silicate melt: Contributions to Mineralogy and Petrology, v. 129, p. 166–181, doi:</w:t>
      </w:r>
      <w:hyperlink r:id="rId505" w:history="1">
        <w:r w:rsidRPr="00B322A1">
          <w:rPr>
            <w:color w:val="0000FF"/>
            <w:u w:val="single"/>
          </w:rPr>
          <w:t>10.1007/s004100050330</w:t>
        </w:r>
      </w:hyperlink>
      <w:r w:rsidRPr="00B322A1">
        <w:t>.</w:t>
      </w:r>
    </w:p>
    <w:p w14:paraId="65D82FF5" w14:textId="77777777" w:rsidR="00B322A1" w:rsidRPr="00B322A1" w:rsidRDefault="00B322A1" w:rsidP="00130C41">
      <w:pPr>
        <w:spacing w:line="480" w:lineRule="auto"/>
        <w:ind w:left="540" w:hanging="540"/>
      </w:pPr>
      <w:r w:rsidRPr="00B322A1">
        <w:t>Yao, L., Sun, C., and Liang, Y., 2012, A parameterized model for REE distribution between low-Ca pyroxene and basaltic melts with applications to REE partitioning in low-Ca pyroxene along a mantle adiabat and during pyroxenite-derived melt and peridotite interaction: Contributions to Mineralogy and Petrology, v. 164, p. 261–280, doi:</w:t>
      </w:r>
      <w:hyperlink r:id="rId506" w:history="1">
        <w:r w:rsidRPr="00B322A1">
          <w:rPr>
            <w:color w:val="0000FF"/>
            <w:u w:val="single"/>
          </w:rPr>
          <w:t>10.1007/s00410-012-0737-5</w:t>
        </w:r>
      </w:hyperlink>
      <w:r w:rsidRPr="00B322A1">
        <w:t>.</w:t>
      </w:r>
    </w:p>
    <w:p w14:paraId="0C5C5C61" w14:textId="28F84349" w:rsidR="005268FA" w:rsidRDefault="00B322A1" w:rsidP="00EC41F5">
      <w:pPr>
        <w:spacing w:line="480" w:lineRule="auto"/>
        <w:ind w:left="540" w:hanging="540"/>
      </w:pPr>
      <w:r w:rsidRPr="00B322A1">
        <w:t>Zanetti, A., Tiepolo, M., Oberti, R., and Vannucci, R., 2004, Trace-element partitioning in olivine: modelling of a complete data set from a synthetic hydrous basanite melt: Trace element fingerprinting: laboratory studies and petrogenetic processes, v. 75, p. 39–54, doi:</w:t>
      </w:r>
      <w:hyperlink r:id="rId507" w:history="1">
        <w:r w:rsidRPr="00B322A1">
          <w:rPr>
            <w:color w:val="0000FF"/>
            <w:u w:val="single"/>
          </w:rPr>
          <w:t>10.1016/j.lithos.2003.12.022</w:t>
        </w:r>
      </w:hyperlink>
      <w:r w:rsidRPr="00B322A1">
        <w:t>.</w:t>
      </w:r>
    </w:p>
    <w:p w14:paraId="6924DA5D" w14:textId="77777777" w:rsidR="00EC41F5" w:rsidRPr="00CF5995" w:rsidRDefault="00EC41F5" w:rsidP="00EC41F5">
      <w:pPr>
        <w:spacing w:line="480" w:lineRule="auto"/>
        <w:ind w:left="540" w:hanging="540"/>
      </w:pPr>
    </w:p>
    <w:p w14:paraId="7E176D29" w14:textId="77777777" w:rsidR="004C65BD" w:rsidRPr="004C65BD" w:rsidRDefault="004C65BD" w:rsidP="004C65BD"/>
    <w:p w14:paraId="4E50B394" w14:textId="77777777" w:rsidR="005268FA" w:rsidRDefault="005268FA" w:rsidP="004C65BD">
      <w:pPr>
        <w:rPr>
          <w:noProof/>
        </w:rPr>
        <w:sectPr w:rsidR="005268FA" w:rsidSect="004B09F9">
          <w:pgSz w:w="12240" w:h="15840" w:code="1"/>
          <w:pgMar w:top="1440" w:right="1800" w:bottom="1872" w:left="1800" w:header="720" w:footer="1440" w:gutter="0"/>
          <w:cols w:space="720"/>
          <w:noEndnote/>
          <w:docGrid w:linePitch="360"/>
        </w:sectPr>
      </w:pPr>
    </w:p>
    <w:p w14:paraId="6ACB2A52" w14:textId="37674715" w:rsidR="00732728" w:rsidRDefault="00DC0065" w:rsidP="00DC0065">
      <w:pPr>
        <w:pStyle w:val="NonNumberedHeading"/>
      </w:pPr>
      <w:bookmarkStart w:id="501" w:name="_Toc185325692"/>
      <w:bookmarkStart w:id="502" w:name="_Toc184727443"/>
      <w:r w:rsidRPr="00DC0065">
        <w:lastRenderedPageBreak/>
        <w:t>CONCLUSION</w:t>
      </w:r>
      <w:r w:rsidR="00F67FAA">
        <w:t>S</w:t>
      </w:r>
      <w:bookmarkEnd w:id="501"/>
    </w:p>
    <w:p w14:paraId="6608461D" w14:textId="2ACDBB89" w:rsidR="00E47659" w:rsidRPr="00DC0065" w:rsidRDefault="007D3899" w:rsidP="00B128D0">
      <w:pPr>
        <w:spacing w:line="480" w:lineRule="auto"/>
        <w:ind w:firstLine="720"/>
      </w:pPr>
      <w:r>
        <w:t>Experimental petrology</w:t>
      </w:r>
      <w:r w:rsidR="009D7D0D">
        <w:t xml:space="preserve">, </w:t>
      </w:r>
      <w:r>
        <w:t>geochemical modeling</w:t>
      </w:r>
      <w:r w:rsidR="009D7D0D">
        <w:t>, and kinetic modeling</w:t>
      </w:r>
      <w:r>
        <w:t xml:space="preserve"> are valuable tools for understanding the formation and evolution of planetary bodies.</w:t>
      </w:r>
      <w:r w:rsidR="009D7D0D">
        <w:t xml:space="preserve"> This work presented high-pressure and high-temperature petrologic experiments, in combination with kinetic and geochemical models, to study the physical and chemical evolution of the Moon. </w:t>
      </w:r>
    </w:p>
    <w:p w14:paraId="65AF8FBB" w14:textId="77777777" w:rsidR="00B128D0" w:rsidRPr="00B128D0" w:rsidRDefault="00B128D0" w:rsidP="00B128D0">
      <w:pPr>
        <w:pStyle w:val="NonNumberedHeading2"/>
        <w:spacing w:line="480" w:lineRule="auto"/>
      </w:pPr>
      <w:bookmarkStart w:id="503" w:name="_Toc185325693"/>
      <w:r w:rsidRPr="00B128D0">
        <w:t>Lunar Mantle Hybridization During Cumulate Overturn</w:t>
      </w:r>
      <w:bookmarkEnd w:id="503"/>
    </w:p>
    <w:p w14:paraId="1B29D64C" w14:textId="602ACE8D" w:rsidR="00B128D0" w:rsidRDefault="00B128D0" w:rsidP="00B128D0">
      <w:pPr>
        <w:spacing w:line="480" w:lineRule="auto"/>
        <w:ind w:firstLine="720"/>
      </w:pPr>
      <w:r>
        <w:t xml:space="preserve">High-pressure and high-temperature petrologic experiments were conducted to explore the chemical reactions that occur during lunar cumulate overturn, as downwelling IBC melts and mushes interact with early crystallizing mafic cumulates. Experiments conducted </w:t>
      </w:r>
      <w:r w:rsidR="001169C5">
        <w:t xml:space="preserve">at </w:t>
      </w:r>
      <w:r>
        <w:t xml:space="preserve">near solidus conditions show that metamorphic changes in the downwelling IBC stabilize garnet in the IBC at pressures around 2 GPa during cumulate mantle overturn events. These near solidus experiments also reveal solid-state diffusive exchange between the IBC material and dunite. In supersolidus experiments, a dissolution-precipitation reaction is observed, where dunite dissolves and forms a hybrid melt ± clinopyroxene, depending on the experimental conditions. Similar chemical processes may govern the hybridization of the lunar mantle. </w:t>
      </w:r>
    </w:p>
    <w:p w14:paraId="2F0EE186" w14:textId="77777777" w:rsidR="00B128D0" w:rsidRDefault="00B128D0" w:rsidP="00B128D0">
      <w:pPr>
        <w:spacing w:line="480" w:lineRule="auto"/>
        <w:ind w:firstLine="720"/>
      </w:pPr>
      <w:r>
        <w:t xml:space="preserve">The supersolidus experiments also demonstrate that the rate of dunite dissolution depends on pressure, temperature, and the saturation state of olivine in the hybridizing melt. Kinetic exchange models suggest that the formation of substantial hybridized lunar mantle sources over geologically relevant timescales may require mechanical mixing, in addition to the chemical reactions identified in this study. This depends on the scale of </w:t>
      </w:r>
      <w:r>
        <w:lastRenderedPageBreak/>
        <w:t>downwelling plumes that develop within the Moon’s interior during cumulate mantle overturn.</w:t>
      </w:r>
    </w:p>
    <w:p w14:paraId="08B2264A" w14:textId="07795DB9" w:rsidR="00B128D0" w:rsidRPr="00B128D0" w:rsidRDefault="00B128D0" w:rsidP="00B128D0">
      <w:pPr>
        <w:pStyle w:val="NonNumberedHeading2"/>
        <w:spacing w:line="480" w:lineRule="auto"/>
      </w:pPr>
      <w:bookmarkStart w:id="504" w:name="_Toc185325694"/>
      <w:r w:rsidRPr="00B128D0">
        <w:t>Magma Ocean Solidification And The Formation Of Lunar Basalt Sources</w:t>
      </w:r>
      <w:bookmarkEnd w:id="504"/>
    </w:p>
    <w:p w14:paraId="3573A014" w14:textId="77777777" w:rsidR="00B128D0" w:rsidRDefault="00B128D0" w:rsidP="00B128D0">
      <w:pPr>
        <w:spacing w:line="480" w:lineRule="auto"/>
        <w:ind w:firstLine="720"/>
      </w:pPr>
      <w:r>
        <w:t xml:space="preserve">Using experimentally derived LMO cumulate solidification sequences and up-to-date lunar trace element partition coefficients, we model the chemical fractionation of trace elements during magma ocean solidification, mantle hybridization, and mantle partial melting. Our geochemical models of LMO solidification show that the early-crystallizing cumulates are depleted in REE compared to the late-crystallizing Ti-rich LMO cumulates, high-Ti lunar basalts, and high-Ti picritic glasses. </w:t>
      </w:r>
    </w:p>
    <w:p w14:paraId="2FD0E5C6" w14:textId="77777777" w:rsidR="00B128D0" w:rsidRDefault="00B128D0" w:rsidP="00B128D0">
      <w:pPr>
        <w:spacing w:line="480" w:lineRule="auto"/>
        <w:ind w:firstLine="720"/>
      </w:pPr>
      <w:r>
        <w:t>Models of partial melting of late-crystallizing LMO cumulates and hybridized sources suggest that these melts would exhibit an incorrect Eu anomaly (i.e., positive instead of negative) if plagioclase flotation were &lt;90% efficient. Further, partial melting simulations show that melting unhybridized LMO cumulates cannot explain the HREE-depleted compositions observed in intermediate- and high-Ti lunar picritic glasses. The elevated Ti and REE content, coupled with the relatively Mg-rich composition of certain lunar picritic glasses, points to interaction between late-crystallizing (shallow) and early-crystallizing (deep) LMO cumulates. Such interactions likely result from lunar cumulate mantle overturn events, which bring ilmenite-bearing cumulates that crystallized from the late LMO into the interior of the Moon.</w:t>
      </w:r>
    </w:p>
    <w:p w14:paraId="7C0BB3D8" w14:textId="77777777" w:rsidR="00B128D0" w:rsidRDefault="00B128D0" w:rsidP="00B128D0">
      <w:pPr>
        <w:spacing w:line="480" w:lineRule="auto"/>
        <w:ind w:firstLine="720"/>
      </w:pPr>
      <w:r>
        <w:t xml:space="preserve">Thermodynamic simulations were conducted to examine the effect of cumulate overturn on lunar mantle mineralogy. In agreement with petrologic experiments, these simulations show that garnet stabilizes in downwelling IBC material at pressures above </w:t>
      </w:r>
      <w:r>
        <w:lastRenderedPageBreak/>
        <w:t>~2 GPa during lunar cumulate overturn events. Partial melting models suggest that the HREE-depleted composition of lunar orange glass samples is consistent with a garnet-bearing mantle source. These models imply that the exact location of garnet formation (whether in downwelling IBC that fertilizes mantle sources or within hybridized mantle sources) is less critical than the overall abundance of garnet in generating HREE-depleted melts. The models indicate that 0.25-5% garnet is required to account for the HREE depletion observed in high-Ti lunar orange glasses. This is consistent with thermodynamic models of a metamorphosed IBC, assuming 90-95% plagioclase flotation during crustal formation.</w:t>
      </w:r>
    </w:p>
    <w:p w14:paraId="67FF5A48" w14:textId="77777777" w:rsidR="00B128D0" w:rsidRPr="00EF0425" w:rsidRDefault="00B128D0" w:rsidP="00B128D0">
      <w:pPr>
        <w:spacing w:line="480" w:lineRule="auto"/>
        <w:ind w:firstLine="720"/>
      </w:pPr>
      <w:r>
        <w:t>The model parameters and mixing ratios for the hybridization scenarios tested in this study help explain several key geochemical features of high-Ti lunar samples, such as their REE enrichment, HFSE enrichment, Eu depletion, HREE depletion, and elevated Mg# relative to high-Ti LMO cumulates, as well as their Nd and Hf isotopic signatures. We conclude that the garnet signature and high-Ti composition of the orange picritic glasses provide compelling evidence for cumulate overturn events during the early stages of lunar formation and differentiation.</w:t>
      </w:r>
    </w:p>
    <w:p w14:paraId="4A375CE3" w14:textId="77777777" w:rsidR="00B128D0" w:rsidRPr="00B128D0" w:rsidRDefault="00B128D0" w:rsidP="00B128D0">
      <w:pPr>
        <w:pStyle w:val="NonNumberedHeading2"/>
        <w:spacing w:line="480" w:lineRule="auto"/>
      </w:pPr>
      <w:bookmarkStart w:id="505" w:name="_Toc185325695"/>
      <w:r w:rsidRPr="00B128D0">
        <w:t>Concentration And Distribution Of Lunar Heat Producing Elements</w:t>
      </w:r>
      <w:bookmarkEnd w:id="505"/>
    </w:p>
    <w:p w14:paraId="48F35D69" w14:textId="77777777" w:rsidR="00B128D0" w:rsidRDefault="00B128D0" w:rsidP="00B128D0">
      <w:pPr>
        <w:spacing w:line="480" w:lineRule="auto"/>
        <w:ind w:firstLine="720"/>
      </w:pPr>
      <w:r>
        <w:t xml:space="preserve">Using experimentally determined LMO cumulate solidification sequences and current lunar trace element partition coefficients, we aim to constrain the K/Th ratio of the initial lunar magma ocean. Geochemical models of LMO solidification suggest that the K/Th ratio of the initial LMO could range from 450-550, assuming plagioclase flotation efficiency is ≥95%. If plagioclase flotation is less efficient, the K/Th ratio of the </w:t>
      </w:r>
      <w:r>
        <w:lastRenderedPageBreak/>
        <w:t>LMO would need to decrease so that the crystallizing cumulates have K/Th ratios comparable to those of mantle-derived lunar melts (e.g., mare basalts and picritic glasses), as secondary partial melts are expected to reflect the K/Th ratios of their respective mantle sources.</w:t>
      </w:r>
    </w:p>
    <w:p w14:paraId="3B536308" w14:textId="77777777" w:rsidR="00B128D0" w:rsidRPr="00AB401C" w:rsidRDefault="00B128D0" w:rsidP="00B128D0">
      <w:pPr>
        <w:spacing w:line="480" w:lineRule="auto"/>
        <w:ind w:firstLine="720"/>
      </w:pPr>
      <w:r>
        <w:t>Thermal evolution models from this study show that the degree of K depletion on the Moon plays a much more significant role in lunar thermal evolution than the potential Th and U enrichment relative to Earth. Models assuming cumulate overturn suggest that two mechanisms could trigger mantle melting if overturn occurs relatively quickly: (1) decompression melting in the upper mantle as lower mantle cumulates are displaced, and (2) radiogenic heating-induced melting in the middle and lower lunar mantle due to the overturned, HPE-rich IBC material.</w:t>
      </w:r>
    </w:p>
    <w:p w14:paraId="46E535CF" w14:textId="0F236CD3" w:rsidR="00732728" w:rsidRDefault="00732728">
      <w:pPr>
        <w:rPr>
          <w:b/>
        </w:rPr>
      </w:pPr>
      <w:r>
        <w:br w:type="page"/>
      </w:r>
    </w:p>
    <w:p w14:paraId="3936EC64" w14:textId="7182B1DC" w:rsidR="00191DD7" w:rsidRPr="00A957B2" w:rsidRDefault="00DC0065" w:rsidP="00DC0065">
      <w:pPr>
        <w:pStyle w:val="NonNumberedHeading"/>
      </w:pPr>
      <w:bookmarkStart w:id="506" w:name="_Toc185325696"/>
      <w:r w:rsidRPr="00A957B2">
        <w:lastRenderedPageBreak/>
        <w:t>VITA</w:t>
      </w:r>
      <w:bookmarkEnd w:id="406"/>
      <w:bookmarkEnd w:id="407"/>
      <w:bookmarkEnd w:id="408"/>
      <w:bookmarkEnd w:id="502"/>
      <w:bookmarkEnd w:id="506"/>
    </w:p>
    <w:p w14:paraId="3B9DE3FE" w14:textId="4D52C0BE" w:rsidR="00971CB2" w:rsidRDefault="002D74EF" w:rsidP="00206554">
      <w:pPr>
        <w:spacing w:line="480" w:lineRule="auto"/>
        <w:ind w:firstLine="720"/>
        <w:rPr>
          <w:bCs/>
        </w:rPr>
      </w:pPr>
      <w:r>
        <w:t xml:space="preserve">Jesse Scholpp was born in Tampa, Florida. He found his love of geology and volcanology during an introductory geology course as a freshman in college, which led him to leave Florida Gulf Coast University for the University of South Florida (USF), where he majored in geology. During his time at USF, he discovered his interest in geochemistry and igneous petrology after working with Dr. Jeffrey Ryan on a research project documenting the mineralogy and chemical compositions of boninite lavas to understand the petrogenetic history of magmas during subduction initiation. He presented his research at multiple geologic research conferences, and in 2018, he received the </w:t>
      </w:r>
      <w:r>
        <w:rPr>
          <w:bCs/>
        </w:rPr>
        <w:t>E</w:t>
      </w:r>
      <w:r w:rsidRPr="0086561F">
        <w:rPr>
          <w:bCs/>
        </w:rPr>
        <w:t xml:space="preserve">xcellence in </w:t>
      </w:r>
      <w:r>
        <w:rPr>
          <w:bCs/>
        </w:rPr>
        <w:t>S</w:t>
      </w:r>
      <w:r w:rsidRPr="0086561F">
        <w:rPr>
          <w:bCs/>
        </w:rPr>
        <w:t xml:space="preserve">tudent </w:t>
      </w:r>
      <w:r>
        <w:rPr>
          <w:bCs/>
        </w:rPr>
        <w:t>R</w:t>
      </w:r>
      <w:r w:rsidRPr="0086561F">
        <w:rPr>
          <w:bCs/>
        </w:rPr>
        <w:t>esearch</w:t>
      </w:r>
      <w:r>
        <w:rPr>
          <w:bCs/>
        </w:rPr>
        <w:t xml:space="preserve"> Award</w:t>
      </w:r>
      <w:r w:rsidRPr="0086561F">
        <w:rPr>
          <w:bCs/>
        </w:rPr>
        <w:t xml:space="preserve"> from the </w:t>
      </w:r>
      <w:r>
        <w:rPr>
          <w:bCs/>
        </w:rPr>
        <w:t>Council</w:t>
      </w:r>
      <w:r w:rsidRPr="0086561F">
        <w:rPr>
          <w:bCs/>
        </w:rPr>
        <w:t xml:space="preserve"> on </w:t>
      </w:r>
      <w:r>
        <w:rPr>
          <w:bCs/>
        </w:rPr>
        <w:t>Undergraduate Research.</w:t>
      </w:r>
      <w:r>
        <w:t xml:space="preserve"> He earned his Bachelor of Science in Geology at USF in the spring of 2018 and started graduate school at Utah State University (USU) in the fall of 2018, working with Dr. John Shervais. For his M.S., he continued his research on volcanism and mantle melting during subduction initiation. In 2019, he received the Lipman Research Award from the Geologic Society of America</w:t>
      </w:r>
      <w:r>
        <w:rPr>
          <w:bCs/>
        </w:rPr>
        <w:t xml:space="preserve">. Jesse </w:t>
      </w:r>
      <w:r>
        <w:t>earned his Master of Science from USU</w:t>
      </w:r>
      <w:r>
        <w:rPr>
          <w:bCs/>
        </w:rPr>
        <w:t xml:space="preserve"> and submitted his research for publication </w:t>
      </w:r>
      <w:r>
        <w:t xml:space="preserve">in the summer of 2020. He started his Philosophical Doctorate at the University of Tennessee (UT) in the fall of 2020 as a Tennessee Fellow for Graduate Excellence, working with Dr. Nicholas Dygert, exploring his interest in experimental petrology, geochemical modeling, mantle geochemistry, and the evolution of planetary volcanism. In 2021, Jesse </w:t>
      </w:r>
      <w:r>
        <w:rPr>
          <w:bCs/>
        </w:rPr>
        <w:t xml:space="preserve">was selected to be a shipboard scientist on International Ocean Discovery Program (IODP) Expedition 391. Following IODP Expedition 391, he acquired over $200,000 of research funding from the National </w:t>
      </w:r>
      <w:r>
        <w:rPr>
          <w:bCs/>
        </w:rPr>
        <w:lastRenderedPageBreak/>
        <w:t xml:space="preserve">Science Foundation (NSF), which funded his research and the research of multiple undergraduate research assistants. During his Ph.D., Jesse led five projects, three of which were presented in his dissertation. His research included trips to research facilities in South Africa, Canada, Spain, and Japan. He presented his work at the Lunar and Planetary Science Conference in 2022, 2023, and 2024, and the IODP Expedition 391 Post-Cruise Meeting in 2024. He gave an invited talk for the Research Activities Supporting Science and Lunar Exploration (RASSLE) team meeting. He authored and coauthored eight peer-reviewed publications, one Wikipedia page, and nine conference presentations during his time at the University of Tennessee. In 2024, Jesse received the Career Development Award from the Lunar and Planetary Science Institute and the Graduate Professional Promise Award from the </w:t>
      </w:r>
      <w:r w:rsidRPr="00033B3B">
        <w:rPr>
          <w:bCs/>
        </w:rPr>
        <w:t>University of Tennessee Department of Earth, Environmental, and Planetary Science</w:t>
      </w:r>
      <w:r>
        <w:rPr>
          <w:bCs/>
        </w:rPr>
        <w:t>s</w:t>
      </w:r>
      <w:r w:rsidR="00971CB2">
        <w:rPr>
          <w:bCs/>
        </w:rPr>
        <w:t>.</w:t>
      </w:r>
      <w:r w:rsidR="00EB647B">
        <w:rPr>
          <w:bCs/>
        </w:rPr>
        <w:t xml:space="preserve"> </w:t>
      </w:r>
    </w:p>
    <w:p w14:paraId="4753F6CA" w14:textId="77777777" w:rsidR="00EB647B" w:rsidRPr="009908C1" w:rsidRDefault="00EB647B" w:rsidP="00206554">
      <w:pPr>
        <w:spacing w:line="480" w:lineRule="auto"/>
        <w:ind w:firstLine="720"/>
      </w:pPr>
    </w:p>
    <w:p w14:paraId="0B1782CF" w14:textId="33405BCB" w:rsidR="00AE125E" w:rsidRPr="009D2AA9" w:rsidRDefault="00AE125E" w:rsidP="002F3782"/>
    <w:sectPr w:rsidR="00AE125E" w:rsidRPr="009D2AA9" w:rsidSect="004B09F9">
      <w:pgSz w:w="12240" w:h="15840" w:code="1"/>
      <w:pgMar w:top="1440" w:right="1800" w:bottom="1872" w:left="1800" w:header="72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1654D" w14:textId="77777777" w:rsidR="002811D3" w:rsidRDefault="002811D3" w:rsidP="002F3782">
      <w:r>
        <w:separator/>
      </w:r>
    </w:p>
    <w:p w14:paraId="37E83ACD" w14:textId="77777777" w:rsidR="002811D3" w:rsidRDefault="002811D3" w:rsidP="002F3782"/>
  </w:endnote>
  <w:endnote w:type="continuationSeparator" w:id="0">
    <w:p w14:paraId="0F13EA7F" w14:textId="77777777" w:rsidR="002811D3" w:rsidRDefault="002811D3" w:rsidP="002F3782">
      <w:r>
        <w:continuationSeparator/>
      </w:r>
    </w:p>
    <w:p w14:paraId="0A17CE40" w14:textId="77777777" w:rsidR="002811D3" w:rsidRDefault="002811D3" w:rsidP="002F37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DLEO F+ Gulliver">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1986760"/>
      <w:docPartObj>
        <w:docPartGallery w:val="Page Numbers (Bottom of Page)"/>
        <w:docPartUnique/>
      </w:docPartObj>
    </w:sdtPr>
    <w:sdtEndPr>
      <w:rPr>
        <w:noProof/>
      </w:rPr>
    </w:sdtEndPr>
    <w:sdtContent>
      <w:p w14:paraId="241C9E85" w14:textId="77777777" w:rsidR="00D83B30" w:rsidRPr="009D2AA9" w:rsidRDefault="00D83B30" w:rsidP="00CB2E0A">
        <w:pPr>
          <w:pStyle w:val="Footer"/>
          <w:tabs>
            <w:tab w:val="clear" w:pos="4320"/>
            <w:tab w:val="center" w:pos="4230"/>
          </w:tabs>
          <w:jc w:val="right"/>
        </w:pPr>
        <w:r w:rsidRPr="009D2AA9">
          <w:fldChar w:fldCharType="begin"/>
        </w:r>
        <w:r w:rsidRPr="009D2AA9">
          <w:instrText xml:space="preserve"> PAGE   \* MERGEFORMAT </w:instrText>
        </w:r>
        <w:r w:rsidRPr="009D2AA9">
          <w:fldChar w:fldCharType="separate"/>
        </w:r>
        <w:r w:rsidR="007F7A99">
          <w:rPr>
            <w:noProof/>
          </w:rPr>
          <w:t>14</w:t>
        </w:r>
        <w:r w:rsidRPr="009D2AA9">
          <w:rPr>
            <w:noProof/>
          </w:rPr>
          <w:fldChar w:fldCharType="end"/>
        </w:r>
      </w:p>
    </w:sdtContent>
  </w:sdt>
  <w:p w14:paraId="78FA1893" w14:textId="77777777" w:rsidR="00683F5B" w:rsidRDefault="00683F5B" w:rsidP="002F378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20999289"/>
      <w:docPartObj>
        <w:docPartGallery w:val="Page Numbers (Bottom of Page)"/>
        <w:docPartUnique/>
      </w:docPartObj>
    </w:sdtPr>
    <w:sdtContent>
      <w:p w14:paraId="11700033" w14:textId="5A3682FB" w:rsidR="00416BEB" w:rsidRDefault="00416BEB" w:rsidP="00CB2E0A">
        <w:pPr>
          <w:pStyle w:val="Footer"/>
          <w:framePr w:wrap="none" w:vAnchor="text" w:hAnchor="margin" w:xAlign="right" w:y="1"/>
          <w:jc w:val="right"/>
          <w:rPr>
            <w:rStyle w:val="PageNumber"/>
          </w:rPr>
        </w:pPr>
        <w:r>
          <w:rPr>
            <w:rStyle w:val="PageNumber"/>
          </w:rPr>
          <w:t xml:space="preserve">                                                                       </w:t>
        </w:r>
      </w:p>
    </w:sdtContent>
  </w:sdt>
  <w:p w14:paraId="25814527" w14:textId="2E7008D7" w:rsidR="00416BEB" w:rsidRDefault="00416BEB" w:rsidP="00416BEB">
    <w:pPr>
      <w:pStyle w:val="Footer"/>
      <w:framePr w:wrap="none" w:vAnchor="text" w:hAnchor="margin" w:xAlign="right" w:y="1"/>
      <w:ind w:left="-4320" w:right="360" w:firstLine="4320"/>
      <w:rPr>
        <w:rStyle w:val="PageNumber"/>
      </w:rPr>
    </w:pPr>
  </w:p>
  <w:p w14:paraId="6150E2CD" w14:textId="77777777" w:rsidR="00416BEB" w:rsidRDefault="00416BEB" w:rsidP="00416BEB">
    <w:pPr>
      <w:pStyle w:val="Footer"/>
      <w:ind w:right="43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34664312"/>
      <w:docPartObj>
        <w:docPartGallery w:val="Page Numbers (Bottom of Page)"/>
        <w:docPartUnique/>
      </w:docPartObj>
    </w:sdtPr>
    <w:sdtContent>
      <w:p w14:paraId="68E7B438" w14:textId="77777777" w:rsidR="000B7795" w:rsidRDefault="000B7795" w:rsidP="00CB2E0A">
        <w:pPr>
          <w:pStyle w:val="Footer"/>
          <w:framePr w:wrap="none" w:vAnchor="text" w:hAnchor="margin" w:xAlign="right" w:y="1"/>
          <w:jc w:val="right"/>
          <w:rPr>
            <w:rStyle w:val="PageNumber"/>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ix</w:t>
        </w:r>
        <w:r>
          <w:rPr>
            <w:rStyle w:val="PageNumber"/>
          </w:rPr>
          <w:fldChar w:fldCharType="end"/>
        </w:r>
      </w:p>
    </w:sdtContent>
  </w:sdt>
  <w:p w14:paraId="1BF9A628" w14:textId="77777777" w:rsidR="000B7795" w:rsidRDefault="000B7795" w:rsidP="00416BEB">
    <w:pPr>
      <w:pStyle w:val="Footer"/>
      <w:framePr w:wrap="none" w:vAnchor="text" w:hAnchor="margin" w:xAlign="right" w:y="1"/>
      <w:ind w:left="-4320" w:right="360" w:firstLine="4320"/>
      <w:rPr>
        <w:rStyle w:val="PageNumber"/>
      </w:rPr>
    </w:pPr>
  </w:p>
  <w:p w14:paraId="53680FE4" w14:textId="77777777" w:rsidR="000B7795" w:rsidRDefault="000B7795" w:rsidP="00416BEB">
    <w:pPr>
      <w:pStyle w:val="Footer"/>
      <w:ind w:right="43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091177" w14:textId="77777777" w:rsidR="002811D3" w:rsidRDefault="002811D3" w:rsidP="002F3782">
      <w:r>
        <w:separator/>
      </w:r>
    </w:p>
    <w:p w14:paraId="19F00535" w14:textId="77777777" w:rsidR="002811D3" w:rsidRDefault="002811D3" w:rsidP="002F3782"/>
  </w:footnote>
  <w:footnote w:type="continuationSeparator" w:id="0">
    <w:p w14:paraId="5110B6FB" w14:textId="77777777" w:rsidR="002811D3" w:rsidRDefault="002811D3" w:rsidP="002F3782">
      <w:r>
        <w:continuationSeparator/>
      </w:r>
    </w:p>
    <w:p w14:paraId="09489746" w14:textId="77777777" w:rsidR="002811D3" w:rsidRDefault="002811D3" w:rsidP="002F378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349AC"/>
    <w:multiLevelType w:val="multilevel"/>
    <w:tmpl w:val="620CCFB0"/>
    <w:lvl w:ilvl="0">
      <w:start w:val="1"/>
      <w:numFmt w:val="decimal"/>
      <w:pStyle w:val="Chapter"/>
      <w:lvlText w:val="CHAPTER %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072D7D78"/>
    <w:multiLevelType w:val="multilevel"/>
    <w:tmpl w:val="37EE1592"/>
    <w:name w:val="Table2"/>
    <w:styleLink w:val="Caption2"/>
    <w:lvl w:ilvl="0">
      <w:start w:val="1"/>
      <w:numFmt w:val="decimal"/>
      <w:lvlText w:val="%1"/>
      <w:lvlJc w:val="left"/>
      <w:pPr>
        <w:ind w:left="360" w:hanging="360"/>
      </w:pPr>
      <w:rPr>
        <w:rFonts w:hint="default"/>
        <w:spacing w:val="0"/>
        <w:w w:val="100"/>
        <w:position w:val="0"/>
        <w:sz w:val="20"/>
        <w14:numForm w14:val="default"/>
        <w14:numSpacing w14:val="default"/>
        <w14:stylisticSet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76848AD"/>
    <w:multiLevelType w:val="multilevel"/>
    <w:tmpl w:val="1160DED6"/>
    <w:name w:val="Table322242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82825CA"/>
    <w:multiLevelType w:val="singleLevel"/>
    <w:tmpl w:val="C62AAE20"/>
    <w:name w:val="Table322222"/>
    <w:lvl w:ilvl="0">
      <w:start w:val="1"/>
      <w:numFmt w:val="decimal"/>
      <w:lvlText w:val="%1"/>
      <w:lvlJc w:val="left"/>
      <w:pPr>
        <w:ind w:left="360" w:hanging="360"/>
      </w:pPr>
      <w:rPr>
        <w:rFonts w:hint="default"/>
      </w:rPr>
    </w:lvl>
  </w:abstractNum>
  <w:abstractNum w:abstractNumId="4" w15:restartNumberingAfterBreak="0">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7D3BEF"/>
    <w:multiLevelType w:val="multilevel"/>
    <w:tmpl w:val="93466A6E"/>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5C70F5"/>
    <w:multiLevelType w:val="multilevel"/>
    <w:tmpl w:val="7E1EB7A6"/>
    <w:styleLink w:val="CurrentList14"/>
    <w:lvl w:ilvl="0">
      <w:start w:val="1"/>
      <w:numFmt w:val="decimal"/>
      <w:lvlText w:val="%1"/>
      <w:lvlJc w:val="left"/>
      <w:pPr>
        <w:ind w:left="612" w:hanging="432"/>
      </w:pPr>
    </w:lvl>
    <w:lvl w:ilvl="1">
      <w:start w:val="1"/>
      <w:numFmt w:val="decimal"/>
      <w:lvlText w:val="%1.%2"/>
      <w:lvlJc w:val="left"/>
      <w:pPr>
        <w:ind w:left="756" w:hanging="576"/>
      </w:pPr>
    </w:lvl>
    <w:lvl w:ilvl="2">
      <w:start w:val="1"/>
      <w:numFmt w:val="decimal"/>
      <w:lvlText w:val="%1.%2.%3"/>
      <w:lvlJc w:val="left"/>
      <w:pPr>
        <w:ind w:left="900" w:hanging="720"/>
      </w:pPr>
    </w:lvl>
    <w:lvl w:ilvl="3">
      <w:start w:val="1"/>
      <w:numFmt w:val="decimal"/>
      <w:lvlText w:val="%1.%2.%3.%4"/>
      <w:lvlJc w:val="left"/>
      <w:pPr>
        <w:ind w:left="1044" w:hanging="864"/>
      </w:pPr>
    </w:lvl>
    <w:lvl w:ilvl="4">
      <w:start w:val="1"/>
      <w:numFmt w:val="decimal"/>
      <w:lvlText w:val="%1.%2.%3.%4.%5"/>
      <w:lvlJc w:val="left"/>
      <w:pPr>
        <w:ind w:left="1188" w:hanging="1008"/>
      </w:pPr>
    </w:lvl>
    <w:lvl w:ilvl="5">
      <w:start w:val="1"/>
      <w:numFmt w:val="decimal"/>
      <w:lvlText w:val="%1.%2.%3.%4.%5.%6"/>
      <w:lvlJc w:val="left"/>
      <w:pPr>
        <w:ind w:left="1332" w:hanging="1152"/>
      </w:pPr>
    </w:lvl>
    <w:lvl w:ilvl="6">
      <w:start w:val="1"/>
      <w:numFmt w:val="decimal"/>
      <w:lvlText w:val="%1.%2.%3.%4.%5.%6.%7"/>
      <w:lvlJc w:val="left"/>
      <w:pPr>
        <w:ind w:left="1476" w:hanging="1296"/>
      </w:pPr>
    </w:lvl>
    <w:lvl w:ilvl="7">
      <w:start w:val="1"/>
      <w:numFmt w:val="decimal"/>
      <w:lvlText w:val="%1.%2.%3.%4.%5.%6.%7.%8"/>
      <w:lvlJc w:val="left"/>
      <w:pPr>
        <w:ind w:left="1620" w:hanging="1440"/>
      </w:pPr>
    </w:lvl>
    <w:lvl w:ilvl="8">
      <w:start w:val="1"/>
      <w:numFmt w:val="decimal"/>
      <w:lvlText w:val="%1.%2.%3.%4.%5.%6.%7.%8.%9"/>
      <w:lvlJc w:val="left"/>
      <w:pPr>
        <w:ind w:left="1764" w:hanging="1584"/>
      </w:pPr>
    </w:lvl>
  </w:abstractNum>
  <w:abstractNum w:abstractNumId="7" w15:restartNumberingAfterBreak="0">
    <w:nsid w:val="0C3C7E29"/>
    <w:multiLevelType w:val="multilevel"/>
    <w:tmpl w:val="53F68D10"/>
    <w:styleLink w:val="CurrentList7"/>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0F847167"/>
    <w:multiLevelType w:val="multilevel"/>
    <w:tmpl w:val="48F0834A"/>
    <w:styleLink w:val="CurrentList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0DE473E"/>
    <w:multiLevelType w:val="multilevel"/>
    <w:tmpl w:val="FD10FB5C"/>
    <w:name w:val="Table3222422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14D56659"/>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509298E"/>
    <w:multiLevelType w:val="multilevel"/>
    <w:tmpl w:val="B524B6C2"/>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19976850"/>
    <w:multiLevelType w:val="multilevel"/>
    <w:tmpl w:val="B524B6C2"/>
    <w:name w:val="Table3223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1DB972CB"/>
    <w:multiLevelType w:val="multilevel"/>
    <w:tmpl w:val="F8DE032E"/>
    <w:styleLink w:val="CurrentList4"/>
    <w:lvl w:ilvl="0">
      <w:start w:val="1"/>
      <w:numFmt w:val="decimal"/>
      <w:lvlText w:val="%1."/>
      <w:lvlJc w:val="left"/>
      <w:pPr>
        <w:ind w:left="360" w:hanging="360"/>
      </w:pPr>
      <w:rPr>
        <w:rFonts w:hint="default"/>
      </w:rPr>
    </w:lvl>
    <w:lvl w:ilvl="1">
      <w:start w:val="1"/>
      <w:numFmt w:val="none"/>
      <w:lvlText w:val="2.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79438C"/>
    <w:multiLevelType w:val="multilevel"/>
    <w:tmpl w:val="E500E66A"/>
    <w:styleLink w:val="CurrentList12"/>
    <w:lvl w:ilvl="0">
      <w:start w:val="1"/>
      <w:numFmt w:val="decimal"/>
      <w:lvlText w:val="%1.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0440B3E"/>
    <w:multiLevelType w:val="multilevel"/>
    <w:tmpl w:val="E320FB64"/>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25196574"/>
    <w:multiLevelType w:val="multilevel"/>
    <w:tmpl w:val="FD10FB5C"/>
    <w:name w:val="Table3"/>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15:restartNumberingAfterBreak="0">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4B34D6"/>
    <w:multiLevelType w:val="multilevel"/>
    <w:tmpl w:val="45C4F84E"/>
    <w:name w:val="Table"/>
    <w:lvl w:ilvl="0">
      <w:start w:val="1"/>
      <w:numFmt w:val="decimal"/>
      <w:lvlText w:val="%1"/>
      <w:lvlJc w:val="left"/>
      <w:pPr>
        <w:ind w:left="360" w:hanging="360"/>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B857EE"/>
    <w:multiLevelType w:val="multilevel"/>
    <w:tmpl w:val="04090025"/>
    <w:styleLink w:val="CurrentList1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3419734B"/>
    <w:multiLevelType w:val="multilevel"/>
    <w:tmpl w:val="1160DED6"/>
    <w:name w:val="Table32224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352465AD"/>
    <w:multiLevelType w:val="multilevel"/>
    <w:tmpl w:val="6EF2C836"/>
    <w:styleLink w:val="CurrentList2"/>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E911CE"/>
    <w:multiLevelType w:val="multilevel"/>
    <w:tmpl w:val="A37A0FB0"/>
    <w:name w:val="Table322242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3F4446F7"/>
    <w:multiLevelType w:val="multilevel"/>
    <w:tmpl w:val="453EE486"/>
    <w:lvl w:ilvl="0">
      <w:start w:val="1"/>
      <w:numFmt w:val="decimal"/>
      <w:pStyle w:val="ListParagraph"/>
      <w:lvlText w:val="%1."/>
      <w:lvlJc w:val="left"/>
      <w:pPr>
        <w:ind w:left="360" w:hanging="360"/>
      </w:pPr>
      <w:rPr>
        <w:rFonts w:hint="default"/>
      </w:rPr>
    </w:lvl>
    <w:lvl w:ilvl="1">
      <w:start w:val="1"/>
      <w:numFmt w:val="decimal"/>
      <w:lvlText w:val="%2.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7330BD"/>
    <w:multiLevelType w:val="multilevel"/>
    <w:tmpl w:val="0409001F"/>
    <w:styleLink w:val="CurrentList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BCD41A3"/>
    <w:multiLevelType w:val="multilevel"/>
    <w:tmpl w:val="769E2322"/>
    <w:name w:val="Table3223"/>
    <w:lvl w:ilvl="0">
      <w:start w:val="1"/>
      <w:numFmt w:val="cardinalText"/>
      <w:suff w:val="space"/>
      <w:lvlText w:val="Chapter %1"/>
      <w:lvlJc w:val="left"/>
      <w:pPr>
        <w:ind w:left="0" w:firstLine="0"/>
      </w:p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15:restartNumberingAfterBreak="0">
    <w:nsid w:val="522C2E43"/>
    <w:multiLevelType w:val="multilevel"/>
    <w:tmpl w:val="D5107C66"/>
    <w:styleLink w:val="CurrentList9"/>
    <w:lvl w:ilvl="0">
      <w:start w:val="1"/>
      <w:numFmt w:val="decimal"/>
      <w:lvlText w:val="%1."/>
      <w:lvlJc w:val="left"/>
      <w:pPr>
        <w:ind w:left="360" w:hanging="360"/>
      </w:pPr>
      <w:rPr>
        <w:rFonts w:hint="default"/>
      </w:rPr>
    </w:lvl>
    <w:lvl w:ilvl="1">
      <w:start w:val="1"/>
      <w:numFmt w:val="decimal"/>
      <w:lvlText w:val="%2.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BD513B"/>
    <w:multiLevelType w:val="hybridMultilevel"/>
    <w:tmpl w:val="0E624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C17872"/>
    <w:multiLevelType w:val="multilevel"/>
    <w:tmpl w:val="7BA4C848"/>
    <w:name w:val="Table32224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9" w15:restartNumberingAfterBreak="0">
    <w:nsid w:val="58574C48"/>
    <w:multiLevelType w:val="multilevel"/>
    <w:tmpl w:val="9FEA7116"/>
    <w:name w:val="Table32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15:restartNumberingAfterBreak="0">
    <w:nsid w:val="5B744D70"/>
    <w:multiLevelType w:val="multilevel"/>
    <w:tmpl w:val="7BA4C848"/>
    <w:name w:val="Table3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1" w15:restartNumberingAfterBreak="0">
    <w:nsid w:val="5D4D12D6"/>
    <w:multiLevelType w:val="multilevel"/>
    <w:tmpl w:val="19F670F8"/>
    <w:styleLink w:val="CurrentList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312480"/>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23A2602"/>
    <w:multiLevelType w:val="multilevel"/>
    <w:tmpl w:val="0409001D"/>
    <w:name w:val="Table3222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AA343CD"/>
    <w:multiLevelType w:val="multilevel"/>
    <w:tmpl w:val="83247A84"/>
    <w:lvl w:ilvl="0">
      <w:start w:val="1"/>
      <w:numFmt w:val="decimal"/>
      <w:pStyle w:val="Heading1"/>
      <w:lvlText w:val="%1"/>
      <w:lvlJc w:val="left"/>
      <w:pPr>
        <w:ind w:left="612" w:hanging="432"/>
      </w:pPr>
    </w:lvl>
    <w:lvl w:ilvl="1">
      <w:start w:val="1"/>
      <w:numFmt w:val="decimal"/>
      <w:lvlText w:val="%1.%2"/>
      <w:lvlJc w:val="left"/>
      <w:pPr>
        <w:ind w:left="756" w:hanging="576"/>
      </w:pPr>
    </w:lvl>
    <w:lvl w:ilvl="2">
      <w:start w:val="1"/>
      <w:numFmt w:val="decimal"/>
      <w:lvlText w:val="%1.%2.%3"/>
      <w:lvlJc w:val="left"/>
      <w:pPr>
        <w:ind w:left="900" w:hanging="720"/>
      </w:pPr>
    </w:lvl>
    <w:lvl w:ilvl="3">
      <w:start w:val="1"/>
      <w:numFmt w:val="decimal"/>
      <w:lvlText w:val="%1.%2.%3.%4"/>
      <w:lvlJc w:val="left"/>
      <w:pPr>
        <w:ind w:left="1044" w:hanging="864"/>
      </w:pPr>
    </w:lvl>
    <w:lvl w:ilvl="4">
      <w:start w:val="1"/>
      <w:numFmt w:val="decimal"/>
      <w:lvlText w:val="%1.%2.%3.%4.%5"/>
      <w:lvlJc w:val="left"/>
      <w:pPr>
        <w:ind w:left="1188" w:hanging="1008"/>
      </w:pPr>
    </w:lvl>
    <w:lvl w:ilvl="5">
      <w:start w:val="1"/>
      <w:numFmt w:val="decimal"/>
      <w:lvlText w:val="%1.%2.%3.%4.%5.%6"/>
      <w:lvlJc w:val="left"/>
      <w:pPr>
        <w:ind w:left="1332" w:hanging="1152"/>
      </w:pPr>
    </w:lvl>
    <w:lvl w:ilvl="6">
      <w:start w:val="1"/>
      <w:numFmt w:val="decimal"/>
      <w:lvlText w:val="%1.%2.%3.%4.%5.%6.%7"/>
      <w:lvlJc w:val="left"/>
      <w:pPr>
        <w:ind w:left="1476" w:hanging="1296"/>
      </w:pPr>
    </w:lvl>
    <w:lvl w:ilvl="7">
      <w:start w:val="1"/>
      <w:numFmt w:val="decimal"/>
      <w:lvlText w:val="%1.%2.%3.%4.%5.%6.%7.%8"/>
      <w:lvlJc w:val="left"/>
      <w:pPr>
        <w:ind w:left="1620" w:hanging="1440"/>
      </w:pPr>
    </w:lvl>
    <w:lvl w:ilvl="8">
      <w:start w:val="1"/>
      <w:numFmt w:val="decimal"/>
      <w:lvlText w:val="%1.%2.%3.%4.%5.%6.%7.%8.%9"/>
      <w:lvlJc w:val="left"/>
      <w:pPr>
        <w:ind w:left="1764" w:hanging="1584"/>
      </w:pPr>
    </w:lvl>
  </w:abstractNum>
  <w:abstractNum w:abstractNumId="35" w15:restartNumberingAfterBreak="0">
    <w:nsid w:val="6DFF2418"/>
    <w:multiLevelType w:val="multilevel"/>
    <w:tmpl w:val="FE08FD52"/>
    <w:name w:val="Table32224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6" w15:restartNumberingAfterBreak="0">
    <w:nsid w:val="74CB5689"/>
    <w:multiLevelType w:val="multilevel"/>
    <w:tmpl w:val="2DB294C2"/>
    <w:styleLink w:val="CurrentList3"/>
    <w:lvl w:ilvl="0">
      <w:start w:val="1"/>
      <w:numFmt w:val="decimal"/>
      <w:lvlText w:val="%1."/>
      <w:lvlJc w:val="left"/>
      <w:pPr>
        <w:ind w:left="360" w:hanging="360"/>
      </w:pPr>
      <w:rPr>
        <w:rFonts w:hint="default"/>
      </w:rPr>
    </w:lvl>
    <w:lvl w:ilvl="1">
      <w:start w:val="1"/>
      <w:numFmt w:val="none"/>
      <w:lvlText w:val="2.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0B7D89"/>
    <w:multiLevelType w:val="multilevel"/>
    <w:tmpl w:val="CDEED488"/>
    <w:styleLink w:val="CurrentList8"/>
    <w:lvl w:ilvl="0">
      <w:start w:val="1"/>
      <w:numFmt w:val="decimal"/>
      <w:lvlText w:val="%1."/>
      <w:lvlJc w:val="left"/>
      <w:pPr>
        <w:ind w:left="360" w:hanging="360"/>
      </w:pPr>
      <w:rPr>
        <w:rFonts w:hint="default"/>
      </w:rPr>
    </w:lvl>
    <w:lvl w:ilvl="1">
      <w:start w:val="1"/>
      <w:numFmt w:val="decimal"/>
      <w:lvlText w:val="%2.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CA509B6"/>
    <w:multiLevelType w:val="multilevel"/>
    <w:tmpl w:val="A51C8E7E"/>
    <w:styleLink w:val="CurrentList5"/>
    <w:lvl w:ilvl="0">
      <w:start w:val="1"/>
      <w:numFmt w:val="decimal"/>
      <w:lvlText w:val="%1."/>
      <w:lvlJc w:val="left"/>
      <w:pPr>
        <w:ind w:left="360" w:hanging="360"/>
      </w:pPr>
      <w:rPr>
        <w:rFonts w:hint="default"/>
      </w:rPr>
    </w:lvl>
    <w:lvl w:ilvl="1">
      <w:start w:val="1"/>
      <w:numFmt w:val="decimal"/>
      <w:lvlText w:val="%2.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27859465">
    <w:abstractNumId w:val="1"/>
  </w:num>
  <w:num w:numId="2" w16cid:durableId="1840001000">
    <w:abstractNumId w:val="4"/>
  </w:num>
  <w:num w:numId="3" w16cid:durableId="141391106">
    <w:abstractNumId w:val="5"/>
  </w:num>
  <w:num w:numId="4" w16cid:durableId="1700472511">
    <w:abstractNumId w:val="21"/>
  </w:num>
  <w:num w:numId="5" w16cid:durableId="139154228">
    <w:abstractNumId w:val="36"/>
  </w:num>
  <w:num w:numId="6" w16cid:durableId="353191070">
    <w:abstractNumId w:val="13"/>
  </w:num>
  <w:num w:numId="7" w16cid:durableId="788861417">
    <w:abstractNumId w:val="38"/>
  </w:num>
  <w:num w:numId="8" w16cid:durableId="1113089078">
    <w:abstractNumId w:val="31"/>
  </w:num>
  <w:num w:numId="9" w16cid:durableId="1351375365">
    <w:abstractNumId w:val="7"/>
  </w:num>
  <w:num w:numId="10" w16cid:durableId="969672711">
    <w:abstractNumId w:val="37"/>
  </w:num>
  <w:num w:numId="11" w16cid:durableId="1997411712">
    <w:abstractNumId w:val="26"/>
  </w:num>
  <w:num w:numId="12" w16cid:durableId="2044205144">
    <w:abstractNumId w:val="24"/>
  </w:num>
  <w:num w:numId="13" w16cid:durableId="1305044088">
    <w:abstractNumId w:val="8"/>
  </w:num>
  <w:num w:numId="14" w16cid:durableId="238373757">
    <w:abstractNumId w:val="14"/>
  </w:num>
  <w:num w:numId="15" w16cid:durableId="1904900633">
    <w:abstractNumId w:val="34"/>
  </w:num>
  <w:num w:numId="16" w16cid:durableId="414280759">
    <w:abstractNumId w:val="23"/>
  </w:num>
  <w:num w:numId="17" w16cid:durableId="361825799">
    <w:abstractNumId w:val="19"/>
  </w:num>
  <w:num w:numId="18" w16cid:durableId="1220172667">
    <w:abstractNumId w:val="27"/>
  </w:num>
  <w:num w:numId="19" w16cid:durableId="959068155">
    <w:abstractNumId w:val="6"/>
  </w:num>
  <w:num w:numId="20" w16cid:durableId="1662585826">
    <w:abstractNumId w:val="10"/>
  </w:num>
  <w:num w:numId="21" w16cid:durableId="1549682177">
    <w:abstractNumId w:val="32"/>
  </w:num>
  <w:num w:numId="22" w16cid:durableId="1192918984">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AA9"/>
    <w:rsid w:val="00000118"/>
    <w:rsid w:val="00000A8D"/>
    <w:rsid w:val="00001FB0"/>
    <w:rsid w:val="00002203"/>
    <w:rsid w:val="00003B50"/>
    <w:rsid w:val="0000476F"/>
    <w:rsid w:val="000047AD"/>
    <w:rsid w:val="0000551E"/>
    <w:rsid w:val="000060C1"/>
    <w:rsid w:val="000062A8"/>
    <w:rsid w:val="0000680D"/>
    <w:rsid w:val="00006A7A"/>
    <w:rsid w:val="0000752B"/>
    <w:rsid w:val="000076D0"/>
    <w:rsid w:val="000100F0"/>
    <w:rsid w:val="0001189C"/>
    <w:rsid w:val="000118AB"/>
    <w:rsid w:val="00012504"/>
    <w:rsid w:val="00012975"/>
    <w:rsid w:val="00012C63"/>
    <w:rsid w:val="00012F43"/>
    <w:rsid w:val="0001419B"/>
    <w:rsid w:val="00014479"/>
    <w:rsid w:val="00014A3E"/>
    <w:rsid w:val="00015213"/>
    <w:rsid w:val="00016274"/>
    <w:rsid w:val="0001648C"/>
    <w:rsid w:val="000166A9"/>
    <w:rsid w:val="0001733B"/>
    <w:rsid w:val="00020220"/>
    <w:rsid w:val="0002037F"/>
    <w:rsid w:val="00022985"/>
    <w:rsid w:val="00023D10"/>
    <w:rsid w:val="00024563"/>
    <w:rsid w:val="00024817"/>
    <w:rsid w:val="00025624"/>
    <w:rsid w:val="000268A3"/>
    <w:rsid w:val="000269F2"/>
    <w:rsid w:val="00026E3E"/>
    <w:rsid w:val="00027C0B"/>
    <w:rsid w:val="000309D7"/>
    <w:rsid w:val="00030A5E"/>
    <w:rsid w:val="000319DE"/>
    <w:rsid w:val="00032057"/>
    <w:rsid w:val="00033174"/>
    <w:rsid w:val="0003425F"/>
    <w:rsid w:val="00037EAC"/>
    <w:rsid w:val="000408C6"/>
    <w:rsid w:val="0004284A"/>
    <w:rsid w:val="000428FD"/>
    <w:rsid w:val="00046B5E"/>
    <w:rsid w:val="0005217E"/>
    <w:rsid w:val="00052F65"/>
    <w:rsid w:val="000531EB"/>
    <w:rsid w:val="00057004"/>
    <w:rsid w:val="000570DD"/>
    <w:rsid w:val="0006151D"/>
    <w:rsid w:val="0006259B"/>
    <w:rsid w:val="000629C1"/>
    <w:rsid w:val="0006356B"/>
    <w:rsid w:val="00064067"/>
    <w:rsid w:val="00064B4E"/>
    <w:rsid w:val="00064E79"/>
    <w:rsid w:val="000657C7"/>
    <w:rsid w:val="000664C0"/>
    <w:rsid w:val="0006654D"/>
    <w:rsid w:val="00066C89"/>
    <w:rsid w:val="00067EFB"/>
    <w:rsid w:val="00070060"/>
    <w:rsid w:val="000705BC"/>
    <w:rsid w:val="000709A0"/>
    <w:rsid w:val="000709B9"/>
    <w:rsid w:val="00070D83"/>
    <w:rsid w:val="000710F1"/>
    <w:rsid w:val="00071CE9"/>
    <w:rsid w:val="00071FB8"/>
    <w:rsid w:val="00072F6B"/>
    <w:rsid w:val="00073174"/>
    <w:rsid w:val="00073E5C"/>
    <w:rsid w:val="00073EED"/>
    <w:rsid w:val="00075865"/>
    <w:rsid w:val="00075BBA"/>
    <w:rsid w:val="00076111"/>
    <w:rsid w:val="0007688B"/>
    <w:rsid w:val="00076A95"/>
    <w:rsid w:val="00076B3D"/>
    <w:rsid w:val="00077B0A"/>
    <w:rsid w:val="00081889"/>
    <w:rsid w:val="00081D52"/>
    <w:rsid w:val="00081DCC"/>
    <w:rsid w:val="00083219"/>
    <w:rsid w:val="00083503"/>
    <w:rsid w:val="00083B85"/>
    <w:rsid w:val="0008701B"/>
    <w:rsid w:val="00087514"/>
    <w:rsid w:val="00090DF4"/>
    <w:rsid w:val="00091019"/>
    <w:rsid w:val="000911ED"/>
    <w:rsid w:val="000912FC"/>
    <w:rsid w:val="00091F6C"/>
    <w:rsid w:val="00092DAA"/>
    <w:rsid w:val="000939D2"/>
    <w:rsid w:val="00094B06"/>
    <w:rsid w:val="00094F21"/>
    <w:rsid w:val="000957C1"/>
    <w:rsid w:val="000966E5"/>
    <w:rsid w:val="00096903"/>
    <w:rsid w:val="00097197"/>
    <w:rsid w:val="00097F67"/>
    <w:rsid w:val="000A0086"/>
    <w:rsid w:val="000A065B"/>
    <w:rsid w:val="000A19ED"/>
    <w:rsid w:val="000A21EE"/>
    <w:rsid w:val="000A22CA"/>
    <w:rsid w:val="000A31E2"/>
    <w:rsid w:val="000A3579"/>
    <w:rsid w:val="000A4C74"/>
    <w:rsid w:val="000A76FF"/>
    <w:rsid w:val="000B0A40"/>
    <w:rsid w:val="000B1B1A"/>
    <w:rsid w:val="000B3DB5"/>
    <w:rsid w:val="000B4E51"/>
    <w:rsid w:val="000B5463"/>
    <w:rsid w:val="000B56CA"/>
    <w:rsid w:val="000B5C42"/>
    <w:rsid w:val="000B67EA"/>
    <w:rsid w:val="000B6E19"/>
    <w:rsid w:val="000B6F1C"/>
    <w:rsid w:val="000B7371"/>
    <w:rsid w:val="000B7795"/>
    <w:rsid w:val="000B7BA4"/>
    <w:rsid w:val="000C05C3"/>
    <w:rsid w:val="000C06E3"/>
    <w:rsid w:val="000C070F"/>
    <w:rsid w:val="000C1BC4"/>
    <w:rsid w:val="000C2007"/>
    <w:rsid w:val="000C200E"/>
    <w:rsid w:val="000C2195"/>
    <w:rsid w:val="000C604F"/>
    <w:rsid w:val="000C648B"/>
    <w:rsid w:val="000C729E"/>
    <w:rsid w:val="000D32CF"/>
    <w:rsid w:val="000D38E5"/>
    <w:rsid w:val="000D41A4"/>
    <w:rsid w:val="000D48FE"/>
    <w:rsid w:val="000D5C70"/>
    <w:rsid w:val="000D5DDF"/>
    <w:rsid w:val="000D5FE6"/>
    <w:rsid w:val="000D6E49"/>
    <w:rsid w:val="000D7D7B"/>
    <w:rsid w:val="000E20EE"/>
    <w:rsid w:val="000E3C2E"/>
    <w:rsid w:val="000E3D24"/>
    <w:rsid w:val="000E3E1D"/>
    <w:rsid w:val="000E7311"/>
    <w:rsid w:val="000F0099"/>
    <w:rsid w:val="000F3834"/>
    <w:rsid w:val="000F5949"/>
    <w:rsid w:val="000F5985"/>
    <w:rsid w:val="000F6802"/>
    <w:rsid w:val="000F763B"/>
    <w:rsid w:val="00100535"/>
    <w:rsid w:val="00100E86"/>
    <w:rsid w:val="0010217F"/>
    <w:rsid w:val="00102B7D"/>
    <w:rsid w:val="0010326C"/>
    <w:rsid w:val="001053F1"/>
    <w:rsid w:val="00105A6E"/>
    <w:rsid w:val="00107457"/>
    <w:rsid w:val="00112AFC"/>
    <w:rsid w:val="00112BD0"/>
    <w:rsid w:val="00112F00"/>
    <w:rsid w:val="001131A4"/>
    <w:rsid w:val="00113420"/>
    <w:rsid w:val="001139E4"/>
    <w:rsid w:val="00113E30"/>
    <w:rsid w:val="00115786"/>
    <w:rsid w:val="001160F0"/>
    <w:rsid w:val="001169C5"/>
    <w:rsid w:val="00116EF6"/>
    <w:rsid w:val="001176A2"/>
    <w:rsid w:val="00117A39"/>
    <w:rsid w:val="00120625"/>
    <w:rsid w:val="00121781"/>
    <w:rsid w:val="00121885"/>
    <w:rsid w:val="00126B69"/>
    <w:rsid w:val="001279F0"/>
    <w:rsid w:val="00130B25"/>
    <w:rsid w:val="00130C41"/>
    <w:rsid w:val="0013372C"/>
    <w:rsid w:val="00135588"/>
    <w:rsid w:val="0013583E"/>
    <w:rsid w:val="001363F9"/>
    <w:rsid w:val="001369A1"/>
    <w:rsid w:val="00137CA5"/>
    <w:rsid w:val="0014203D"/>
    <w:rsid w:val="001429DD"/>
    <w:rsid w:val="00142D34"/>
    <w:rsid w:val="00143114"/>
    <w:rsid w:val="00143EE1"/>
    <w:rsid w:val="00144E5F"/>
    <w:rsid w:val="001453F0"/>
    <w:rsid w:val="001458E0"/>
    <w:rsid w:val="0015107F"/>
    <w:rsid w:val="001515B3"/>
    <w:rsid w:val="00151F3F"/>
    <w:rsid w:val="001529CA"/>
    <w:rsid w:val="00152E19"/>
    <w:rsid w:val="00152FCF"/>
    <w:rsid w:val="001536E1"/>
    <w:rsid w:val="001537B6"/>
    <w:rsid w:val="00154C3F"/>
    <w:rsid w:val="00156B8B"/>
    <w:rsid w:val="00160576"/>
    <w:rsid w:val="001609D1"/>
    <w:rsid w:val="001622E8"/>
    <w:rsid w:val="00162DF1"/>
    <w:rsid w:val="001636D4"/>
    <w:rsid w:val="00163944"/>
    <w:rsid w:val="0016397A"/>
    <w:rsid w:val="00163A3B"/>
    <w:rsid w:val="0016465F"/>
    <w:rsid w:val="00165670"/>
    <w:rsid w:val="00165A77"/>
    <w:rsid w:val="00166840"/>
    <w:rsid w:val="001669A7"/>
    <w:rsid w:val="00172F34"/>
    <w:rsid w:val="00173751"/>
    <w:rsid w:val="001737E5"/>
    <w:rsid w:val="00174679"/>
    <w:rsid w:val="00174D7E"/>
    <w:rsid w:val="0017507A"/>
    <w:rsid w:val="001778F3"/>
    <w:rsid w:val="00177D09"/>
    <w:rsid w:val="0018232C"/>
    <w:rsid w:val="00182396"/>
    <w:rsid w:val="0018242F"/>
    <w:rsid w:val="00182924"/>
    <w:rsid w:val="00182A2A"/>
    <w:rsid w:val="00183D92"/>
    <w:rsid w:val="0018484D"/>
    <w:rsid w:val="001854FB"/>
    <w:rsid w:val="00185F0B"/>
    <w:rsid w:val="00186275"/>
    <w:rsid w:val="001865F0"/>
    <w:rsid w:val="001907E8"/>
    <w:rsid w:val="00190A89"/>
    <w:rsid w:val="00190B9E"/>
    <w:rsid w:val="00191804"/>
    <w:rsid w:val="00191DD7"/>
    <w:rsid w:val="00192B32"/>
    <w:rsid w:val="00193642"/>
    <w:rsid w:val="00194686"/>
    <w:rsid w:val="00195419"/>
    <w:rsid w:val="001A07F3"/>
    <w:rsid w:val="001A0D20"/>
    <w:rsid w:val="001A0D71"/>
    <w:rsid w:val="001A1007"/>
    <w:rsid w:val="001A2E77"/>
    <w:rsid w:val="001A4DE4"/>
    <w:rsid w:val="001A4F29"/>
    <w:rsid w:val="001A6D55"/>
    <w:rsid w:val="001A6F83"/>
    <w:rsid w:val="001A74A5"/>
    <w:rsid w:val="001B0DD0"/>
    <w:rsid w:val="001B16BF"/>
    <w:rsid w:val="001B1DF4"/>
    <w:rsid w:val="001B1EB0"/>
    <w:rsid w:val="001B2FDE"/>
    <w:rsid w:val="001B4278"/>
    <w:rsid w:val="001B453B"/>
    <w:rsid w:val="001C25C1"/>
    <w:rsid w:val="001C290E"/>
    <w:rsid w:val="001C2D7A"/>
    <w:rsid w:val="001C39F6"/>
    <w:rsid w:val="001C3A38"/>
    <w:rsid w:val="001C3EFC"/>
    <w:rsid w:val="001C3FB6"/>
    <w:rsid w:val="001C66FE"/>
    <w:rsid w:val="001C68F0"/>
    <w:rsid w:val="001C7754"/>
    <w:rsid w:val="001D1E10"/>
    <w:rsid w:val="001D2352"/>
    <w:rsid w:val="001D2CE6"/>
    <w:rsid w:val="001D3003"/>
    <w:rsid w:val="001D3937"/>
    <w:rsid w:val="001D397C"/>
    <w:rsid w:val="001D3C12"/>
    <w:rsid w:val="001D3C49"/>
    <w:rsid w:val="001D441F"/>
    <w:rsid w:val="001D4908"/>
    <w:rsid w:val="001D5029"/>
    <w:rsid w:val="001D6904"/>
    <w:rsid w:val="001D7522"/>
    <w:rsid w:val="001E0AF3"/>
    <w:rsid w:val="001E0BE4"/>
    <w:rsid w:val="001E0E82"/>
    <w:rsid w:val="001E2BFA"/>
    <w:rsid w:val="001E4B7D"/>
    <w:rsid w:val="001E6E58"/>
    <w:rsid w:val="001E6F60"/>
    <w:rsid w:val="001E77C0"/>
    <w:rsid w:val="001F1158"/>
    <w:rsid w:val="001F1269"/>
    <w:rsid w:val="001F1F86"/>
    <w:rsid w:val="001F233C"/>
    <w:rsid w:val="001F24A6"/>
    <w:rsid w:val="001F27A1"/>
    <w:rsid w:val="001F2E4E"/>
    <w:rsid w:val="001F3DA5"/>
    <w:rsid w:val="001F4187"/>
    <w:rsid w:val="001F4943"/>
    <w:rsid w:val="001F522F"/>
    <w:rsid w:val="001F7D75"/>
    <w:rsid w:val="0020219B"/>
    <w:rsid w:val="00204117"/>
    <w:rsid w:val="0020458E"/>
    <w:rsid w:val="002052F7"/>
    <w:rsid w:val="00206090"/>
    <w:rsid w:val="00206554"/>
    <w:rsid w:val="00207219"/>
    <w:rsid w:val="002101B4"/>
    <w:rsid w:val="00210F03"/>
    <w:rsid w:val="0021118E"/>
    <w:rsid w:val="002113B4"/>
    <w:rsid w:val="00211601"/>
    <w:rsid w:val="00211A3C"/>
    <w:rsid w:val="002130E6"/>
    <w:rsid w:val="00214E67"/>
    <w:rsid w:val="00217590"/>
    <w:rsid w:val="002175A0"/>
    <w:rsid w:val="00217A7B"/>
    <w:rsid w:val="00220261"/>
    <w:rsid w:val="00221867"/>
    <w:rsid w:val="002237F3"/>
    <w:rsid w:val="002239F6"/>
    <w:rsid w:val="00223B9A"/>
    <w:rsid w:val="0022470A"/>
    <w:rsid w:val="00224AA1"/>
    <w:rsid w:val="00224C52"/>
    <w:rsid w:val="0022601B"/>
    <w:rsid w:val="00227B90"/>
    <w:rsid w:val="002312D1"/>
    <w:rsid w:val="0023168F"/>
    <w:rsid w:val="0023184C"/>
    <w:rsid w:val="002352D0"/>
    <w:rsid w:val="00235960"/>
    <w:rsid w:val="002360AE"/>
    <w:rsid w:val="00236A15"/>
    <w:rsid w:val="00236E6D"/>
    <w:rsid w:val="00237C6D"/>
    <w:rsid w:val="0024118D"/>
    <w:rsid w:val="00241A30"/>
    <w:rsid w:val="00241F88"/>
    <w:rsid w:val="002429E5"/>
    <w:rsid w:val="00244C63"/>
    <w:rsid w:val="002458F8"/>
    <w:rsid w:val="00245CFF"/>
    <w:rsid w:val="00246093"/>
    <w:rsid w:val="002500EC"/>
    <w:rsid w:val="0025081E"/>
    <w:rsid w:val="00252204"/>
    <w:rsid w:val="002527A1"/>
    <w:rsid w:val="00254374"/>
    <w:rsid w:val="0025551B"/>
    <w:rsid w:val="00255B20"/>
    <w:rsid w:val="002579F0"/>
    <w:rsid w:val="0026120D"/>
    <w:rsid w:val="00261FDC"/>
    <w:rsid w:val="002623F4"/>
    <w:rsid w:val="002628B4"/>
    <w:rsid w:val="002630AE"/>
    <w:rsid w:val="00263E26"/>
    <w:rsid w:val="00263EEB"/>
    <w:rsid w:val="00266281"/>
    <w:rsid w:val="002663B0"/>
    <w:rsid w:val="00266A5E"/>
    <w:rsid w:val="00270C10"/>
    <w:rsid w:val="002737E8"/>
    <w:rsid w:val="0027609B"/>
    <w:rsid w:val="00277100"/>
    <w:rsid w:val="0028074D"/>
    <w:rsid w:val="00280CEF"/>
    <w:rsid w:val="002811D3"/>
    <w:rsid w:val="002816A1"/>
    <w:rsid w:val="002818D5"/>
    <w:rsid w:val="00282E3D"/>
    <w:rsid w:val="002834A9"/>
    <w:rsid w:val="0028422F"/>
    <w:rsid w:val="00284249"/>
    <w:rsid w:val="00284389"/>
    <w:rsid w:val="00284532"/>
    <w:rsid w:val="00284FAE"/>
    <w:rsid w:val="0028757A"/>
    <w:rsid w:val="00287D00"/>
    <w:rsid w:val="00290286"/>
    <w:rsid w:val="00292DD4"/>
    <w:rsid w:val="00293242"/>
    <w:rsid w:val="00294B89"/>
    <w:rsid w:val="002951F0"/>
    <w:rsid w:val="002975C3"/>
    <w:rsid w:val="00297CBF"/>
    <w:rsid w:val="002A0613"/>
    <w:rsid w:val="002A0C77"/>
    <w:rsid w:val="002A135B"/>
    <w:rsid w:val="002A1455"/>
    <w:rsid w:val="002A2CD9"/>
    <w:rsid w:val="002A37D2"/>
    <w:rsid w:val="002A57B8"/>
    <w:rsid w:val="002A6834"/>
    <w:rsid w:val="002A72C0"/>
    <w:rsid w:val="002A7D8B"/>
    <w:rsid w:val="002B0738"/>
    <w:rsid w:val="002B109E"/>
    <w:rsid w:val="002B1D54"/>
    <w:rsid w:val="002B1F0A"/>
    <w:rsid w:val="002B1FF2"/>
    <w:rsid w:val="002B29D6"/>
    <w:rsid w:val="002B3EB5"/>
    <w:rsid w:val="002B4681"/>
    <w:rsid w:val="002B556E"/>
    <w:rsid w:val="002B5EFE"/>
    <w:rsid w:val="002B678B"/>
    <w:rsid w:val="002B7369"/>
    <w:rsid w:val="002B7890"/>
    <w:rsid w:val="002B7ECF"/>
    <w:rsid w:val="002B7F3B"/>
    <w:rsid w:val="002C0418"/>
    <w:rsid w:val="002C25FD"/>
    <w:rsid w:val="002C3CF8"/>
    <w:rsid w:val="002C4414"/>
    <w:rsid w:val="002C47D0"/>
    <w:rsid w:val="002C5DC3"/>
    <w:rsid w:val="002C7B7A"/>
    <w:rsid w:val="002D0FA9"/>
    <w:rsid w:val="002D1594"/>
    <w:rsid w:val="002D1FE4"/>
    <w:rsid w:val="002D23FE"/>
    <w:rsid w:val="002D2CF9"/>
    <w:rsid w:val="002D2DE0"/>
    <w:rsid w:val="002D2F48"/>
    <w:rsid w:val="002D470F"/>
    <w:rsid w:val="002D74EF"/>
    <w:rsid w:val="002D7984"/>
    <w:rsid w:val="002D7A07"/>
    <w:rsid w:val="002E046A"/>
    <w:rsid w:val="002E04F8"/>
    <w:rsid w:val="002E0698"/>
    <w:rsid w:val="002E072C"/>
    <w:rsid w:val="002E1B13"/>
    <w:rsid w:val="002E2492"/>
    <w:rsid w:val="002E24AF"/>
    <w:rsid w:val="002E2676"/>
    <w:rsid w:val="002E26C2"/>
    <w:rsid w:val="002E292D"/>
    <w:rsid w:val="002E2C8A"/>
    <w:rsid w:val="002E305F"/>
    <w:rsid w:val="002E4991"/>
    <w:rsid w:val="002E4DD6"/>
    <w:rsid w:val="002E503E"/>
    <w:rsid w:val="002E51B3"/>
    <w:rsid w:val="002E55AF"/>
    <w:rsid w:val="002E6DE3"/>
    <w:rsid w:val="002F13EF"/>
    <w:rsid w:val="002F15D8"/>
    <w:rsid w:val="002F1946"/>
    <w:rsid w:val="002F27BE"/>
    <w:rsid w:val="002F282F"/>
    <w:rsid w:val="002F36A8"/>
    <w:rsid w:val="002F3782"/>
    <w:rsid w:val="002F3B90"/>
    <w:rsid w:val="002F4DDC"/>
    <w:rsid w:val="002F54A1"/>
    <w:rsid w:val="002F5BA1"/>
    <w:rsid w:val="002F641F"/>
    <w:rsid w:val="002F66DC"/>
    <w:rsid w:val="002F7368"/>
    <w:rsid w:val="002F770B"/>
    <w:rsid w:val="002F7A8B"/>
    <w:rsid w:val="002F7FCA"/>
    <w:rsid w:val="00300562"/>
    <w:rsid w:val="00301627"/>
    <w:rsid w:val="0030377A"/>
    <w:rsid w:val="00303A1A"/>
    <w:rsid w:val="00304BD0"/>
    <w:rsid w:val="0030705E"/>
    <w:rsid w:val="00307D77"/>
    <w:rsid w:val="00310003"/>
    <w:rsid w:val="00310813"/>
    <w:rsid w:val="00311597"/>
    <w:rsid w:val="00311C62"/>
    <w:rsid w:val="00311E54"/>
    <w:rsid w:val="00311F1A"/>
    <w:rsid w:val="00313E9E"/>
    <w:rsid w:val="003144A0"/>
    <w:rsid w:val="003150D5"/>
    <w:rsid w:val="0031618F"/>
    <w:rsid w:val="00316EA6"/>
    <w:rsid w:val="00317597"/>
    <w:rsid w:val="00320F78"/>
    <w:rsid w:val="003214CD"/>
    <w:rsid w:val="003219B4"/>
    <w:rsid w:val="00323AC2"/>
    <w:rsid w:val="003244EA"/>
    <w:rsid w:val="003245F4"/>
    <w:rsid w:val="00324C5D"/>
    <w:rsid w:val="00325EAD"/>
    <w:rsid w:val="00326B34"/>
    <w:rsid w:val="00327406"/>
    <w:rsid w:val="003275FC"/>
    <w:rsid w:val="00331D96"/>
    <w:rsid w:val="0033233D"/>
    <w:rsid w:val="00332701"/>
    <w:rsid w:val="00333270"/>
    <w:rsid w:val="00333739"/>
    <w:rsid w:val="00334140"/>
    <w:rsid w:val="00335F62"/>
    <w:rsid w:val="00336427"/>
    <w:rsid w:val="00336961"/>
    <w:rsid w:val="003370FA"/>
    <w:rsid w:val="003407A6"/>
    <w:rsid w:val="00341617"/>
    <w:rsid w:val="003426D8"/>
    <w:rsid w:val="00343B57"/>
    <w:rsid w:val="003442C7"/>
    <w:rsid w:val="00345738"/>
    <w:rsid w:val="00350106"/>
    <w:rsid w:val="0035100B"/>
    <w:rsid w:val="0035155A"/>
    <w:rsid w:val="0035155B"/>
    <w:rsid w:val="00351902"/>
    <w:rsid w:val="00354FD6"/>
    <w:rsid w:val="0035575B"/>
    <w:rsid w:val="003562D6"/>
    <w:rsid w:val="00356EAC"/>
    <w:rsid w:val="00357673"/>
    <w:rsid w:val="0035768F"/>
    <w:rsid w:val="0036042B"/>
    <w:rsid w:val="00360CC8"/>
    <w:rsid w:val="00361648"/>
    <w:rsid w:val="00363216"/>
    <w:rsid w:val="003633EB"/>
    <w:rsid w:val="00363BE1"/>
    <w:rsid w:val="00363DB0"/>
    <w:rsid w:val="003648E7"/>
    <w:rsid w:val="00365020"/>
    <w:rsid w:val="00367803"/>
    <w:rsid w:val="003704DD"/>
    <w:rsid w:val="00370D0C"/>
    <w:rsid w:val="003718C5"/>
    <w:rsid w:val="00371B58"/>
    <w:rsid w:val="003734B1"/>
    <w:rsid w:val="00373F00"/>
    <w:rsid w:val="00374A99"/>
    <w:rsid w:val="00375169"/>
    <w:rsid w:val="00375856"/>
    <w:rsid w:val="003760BE"/>
    <w:rsid w:val="00376C8C"/>
    <w:rsid w:val="003776DD"/>
    <w:rsid w:val="003801D1"/>
    <w:rsid w:val="003804BC"/>
    <w:rsid w:val="00380773"/>
    <w:rsid w:val="00380E18"/>
    <w:rsid w:val="0038177C"/>
    <w:rsid w:val="00381DFA"/>
    <w:rsid w:val="0038351D"/>
    <w:rsid w:val="003836EB"/>
    <w:rsid w:val="00383B0B"/>
    <w:rsid w:val="00384487"/>
    <w:rsid w:val="00384890"/>
    <w:rsid w:val="00384B34"/>
    <w:rsid w:val="00384F0C"/>
    <w:rsid w:val="00385A6A"/>
    <w:rsid w:val="0038632F"/>
    <w:rsid w:val="00387024"/>
    <w:rsid w:val="003873E5"/>
    <w:rsid w:val="0038747E"/>
    <w:rsid w:val="00390972"/>
    <w:rsid w:val="00390D73"/>
    <w:rsid w:val="00391393"/>
    <w:rsid w:val="00391DAA"/>
    <w:rsid w:val="0039365D"/>
    <w:rsid w:val="0039372B"/>
    <w:rsid w:val="00393CBC"/>
    <w:rsid w:val="00395488"/>
    <w:rsid w:val="00395B57"/>
    <w:rsid w:val="003963D3"/>
    <w:rsid w:val="00397A75"/>
    <w:rsid w:val="003A00AE"/>
    <w:rsid w:val="003A229E"/>
    <w:rsid w:val="003A2822"/>
    <w:rsid w:val="003A463F"/>
    <w:rsid w:val="003A47F0"/>
    <w:rsid w:val="003A55FE"/>
    <w:rsid w:val="003A692A"/>
    <w:rsid w:val="003A717B"/>
    <w:rsid w:val="003A78C6"/>
    <w:rsid w:val="003B5BDE"/>
    <w:rsid w:val="003C0F64"/>
    <w:rsid w:val="003C0F8D"/>
    <w:rsid w:val="003C10F1"/>
    <w:rsid w:val="003C1575"/>
    <w:rsid w:val="003C2310"/>
    <w:rsid w:val="003C3DAA"/>
    <w:rsid w:val="003C4699"/>
    <w:rsid w:val="003C7B40"/>
    <w:rsid w:val="003D07F7"/>
    <w:rsid w:val="003D0E17"/>
    <w:rsid w:val="003D15AF"/>
    <w:rsid w:val="003D1AE3"/>
    <w:rsid w:val="003D327C"/>
    <w:rsid w:val="003D44AF"/>
    <w:rsid w:val="003D4CF3"/>
    <w:rsid w:val="003D5275"/>
    <w:rsid w:val="003D59BC"/>
    <w:rsid w:val="003D63DF"/>
    <w:rsid w:val="003D68E9"/>
    <w:rsid w:val="003D6C27"/>
    <w:rsid w:val="003D737F"/>
    <w:rsid w:val="003E2944"/>
    <w:rsid w:val="003E2E58"/>
    <w:rsid w:val="003E398E"/>
    <w:rsid w:val="003E3A8A"/>
    <w:rsid w:val="003E4101"/>
    <w:rsid w:val="003E4C05"/>
    <w:rsid w:val="003E5EA7"/>
    <w:rsid w:val="003E68D4"/>
    <w:rsid w:val="003E72BC"/>
    <w:rsid w:val="003F0654"/>
    <w:rsid w:val="003F1312"/>
    <w:rsid w:val="003F15E0"/>
    <w:rsid w:val="003F2B21"/>
    <w:rsid w:val="003F39BD"/>
    <w:rsid w:val="003F3CF6"/>
    <w:rsid w:val="003F3F53"/>
    <w:rsid w:val="003F454D"/>
    <w:rsid w:val="003F60E1"/>
    <w:rsid w:val="003F60E6"/>
    <w:rsid w:val="003F7474"/>
    <w:rsid w:val="003F7FED"/>
    <w:rsid w:val="00400389"/>
    <w:rsid w:val="004032AF"/>
    <w:rsid w:val="00404616"/>
    <w:rsid w:val="004054DF"/>
    <w:rsid w:val="004062A4"/>
    <w:rsid w:val="0040656D"/>
    <w:rsid w:val="004074FB"/>
    <w:rsid w:val="00407B6A"/>
    <w:rsid w:val="00410A3C"/>
    <w:rsid w:val="004121BF"/>
    <w:rsid w:val="0041266F"/>
    <w:rsid w:val="00414400"/>
    <w:rsid w:val="004149C8"/>
    <w:rsid w:val="0041534E"/>
    <w:rsid w:val="0041631C"/>
    <w:rsid w:val="00416BEB"/>
    <w:rsid w:val="00417564"/>
    <w:rsid w:val="00417761"/>
    <w:rsid w:val="004203D6"/>
    <w:rsid w:val="00420910"/>
    <w:rsid w:val="0042129B"/>
    <w:rsid w:val="00421CD4"/>
    <w:rsid w:val="00423A2D"/>
    <w:rsid w:val="004256CE"/>
    <w:rsid w:val="004260DB"/>
    <w:rsid w:val="0042663C"/>
    <w:rsid w:val="00426B5A"/>
    <w:rsid w:val="004274F0"/>
    <w:rsid w:val="00427833"/>
    <w:rsid w:val="00427BED"/>
    <w:rsid w:val="00430BB7"/>
    <w:rsid w:val="004317E1"/>
    <w:rsid w:val="00432D23"/>
    <w:rsid w:val="00433F0D"/>
    <w:rsid w:val="004343CA"/>
    <w:rsid w:val="00434DB7"/>
    <w:rsid w:val="00435661"/>
    <w:rsid w:val="004358EA"/>
    <w:rsid w:val="0043680A"/>
    <w:rsid w:val="00436AEF"/>
    <w:rsid w:val="00440B4B"/>
    <w:rsid w:val="004411ED"/>
    <w:rsid w:val="0044196E"/>
    <w:rsid w:val="00441B38"/>
    <w:rsid w:val="004439DE"/>
    <w:rsid w:val="00446091"/>
    <w:rsid w:val="0044716C"/>
    <w:rsid w:val="00450870"/>
    <w:rsid w:val="00450F2C"/>
    <w:rsid w:val="00451C74"/>
    <w:rsid w:val="004528E5"/>
    <w:rsid w:val="004541B1"/>
    <w:rsid w:val="004550F2"/>
    <w:rsid w:val="004559D8"/>
    <w:rsid w:val="00455C0C"/>
    <w:rsid w:val="0045671B"/>
    <w:rsid w:val="00460DE5"/>
    <w:rsid w:val="00463A7F"/>
    <w:rsid w:val="0046436C"/>
    <w:rsid w:val="004643E4"/>
    <w:rsid w:val="00464AFD"/>
    <w:rsid w:val="00466430"/>
    <w:rsid w:val="00466E46"/>
    <w:rsid w:val="00472A02"/>
    <w:rsid w:val="00474210"/>
    <w:rsid w:val="0047535C"/>
    <w:rsid w:val="00476071"/>
    <w:rsid w:val="00480AA0"/>
    <w:rsid w:val="00480AD1"/>
    <w:rsid w:val="00480B96"/>
    <w:rsid w:val="00480BDC"/>
    <w:rsid w:val="00480DB5"/>
    <w:rsid w:val="00480FE8"/>
    <w:rsid w:val="00481A49"/>
    <w:rsid w:val="00481C69"/>
    <w:rsid w:val="00482C05"/>
    <w:rsid w:val="00482FA5"/>
    <w:rsid w:val="0048303E"/>
    <w:rsid w:val="004830E7"/>
    <w:rsid w:val="00485530"/>
    <w:rsid w:val="00485E3F"/>
    <w:rsid w:val="004862B1"/>
    <w:rsid w:val="00487150"/>
    <w:rsid w:val="0049022F"/>
    <w:rsid w:val="00490690"/>
    <w:rsid w:val="004920F6"/>
    <w:rsid w:val="004923CF"/>
    <w:rsid w:val="004926D0"/>
    <w:rsid w:val="00492D4A"/>
    <w:rsid w:val="004936FC"/>
    <w:rsid w:val="004945D9"/>
    <w:rsid w:val="0049466B"/>
    <w:rsid w:val="0049467D"/>
    <w:rsid w:val="00496500"/>
    <w:rsid w:val="004A053B"/>
    <w:rsid w:val="004A0624"/>
    <w:rsid w:val="004A0AA8"/>
    <w:rsid w:val="004A1B3F"/>
    <w:rsid w:val="004A39F1"/>
    <w:rsid w:val="004A3B3D"/>
    <w:rsid w:val="004A51CD"/>
    <w:rsid w:val="004A5EFA"/>
    <w:rsid w:val="004A67E8"/>
    <w:rsid w:val="004A7814"/>
    <w:rsid w:val="004B011B"/>
    <w:rsid w:val="004B09F9"/>
    <w:rsid w:val="004B25B5"/>
    <w:rsid w:val="004B25DE"/>
    <w:rsid w:val="004B3AEB"/>
    <w:rsid w:val="004B3AEF"/>
    <w:rsid w:val="004B473D"/>
    <w:rsid w:val="004B6405"/>
    <w:rsid w:val="004B6832"/>
    <w:rsid w:val="004B7186"/>
    <w:rsid w:val="004C0256"/>
    <w:rsid w:val="004C1819"/>
    <w:rsid w:val="004C2419"/>
    <w:rsid w:val="004C248F"/>
    <w:rsid w:val="004C2C48"/>
    <w:rsid w:val="004C35E4"/>
    <w:rsid w:val="004C3D65"/>
    <w:rsid w:val="004C4FAB"/>
    <w:rsid w:val="004C5457"/>
    <w:rsid w:val="004C5BEC"/>
    <w:rsid w:val="004C65BD"/>
    <w:rsid w:val="004C6A1D"/>
    <w:rsid w:val="004C7DD9"/>
    <w:rsid w:val="004D03FE"/>
    <w:rsid w:val="004D05F5"/>
    <w:rsid w:val="004D17F4"/>
    <w:rsid w:val="004D317D"/>
    <w:rsid w:val="004D3281"/>
    <w:rsid w:val="004D3EFE"/>
    <w:rsid w:val="004D53C6"/>
    <w:rsid w:val="004D5A0A"/>
    <w:rsid w:val="004D5B08"/>
    <w:rsid w:val="004D6472"/>
    <w:rsid w:val="004D6585"/>
    <w:rsid w:val="004D6A00"/>
    <w:rsid w:val="004D6FB7"/>
    <w:rsid w:val="004D7A2B"/>
    <w:rsid w:val="004D7AB0"/>
    <w:rsid w:val="004E0542"/>
    <w:rsid w:val="004E2D91"/>
    <w:rsid w:val="004E2DB2"/>
    <w:rsid w:val="004E37C7"/>
    <w:rsid w:val="004E3D97"/>
    <w:rsid w:val="004E496F"/>
    <w:rsid w:val="004E52ED"/>
    <w:rsid w:val="004E54E6"/>
    <w:rsid w:val="004E5DC4"/>
    <w:rsid w:val="004E63E3"/>
    <w:rsid w:val="004E6638"/>
    <w:rsid w:val="004E68BD"/>
    <w:rsid w:val="004E719A"/>
    <w:rsid w:val="004F0473"/>
    <w:rsid w:val="004F08CE"/>
    <w:rsid w:val="004F38AC"/>
    <w:rsid w:val="004F5A3A"/>
    <w:rsid w:val="004F5D3D"/>
    <w:rsid w:val="004F5F65"/>
    <w:rsid w:val="004F5F9F"/>
    <w:rsid w:val="004F66B0"/>
    <w:rsid w:val="004F6B51"/>
    <w:rsid w:val="004F6EA9"/>
    <w:rsid w:val="004F7141"/>
    <w:rsid w:val="004F79C5"/>
    <w:rsid w:val="005009AC"/>
    <w:rsid w:val="00500E67"/>
    <w:rsid w:val="0050270F"/>
    <w:rsid w:val="00503289"/>
    <w:rsid w:val="00505A6F"/>
    <w:rsid w:val="00505CD6"/>
    <w:rsid w:val="0050606B"/>
    <w:rsid w:val="0051256D"/>
    <w:rsid w:val="005133D0"/>
    <w:rsid w:val="0051355E"/>
    <w:rsid w:val="00513BB6"/>
    <w:rsid w:val="00517C43"/>
    <w:rsid w:val="00520AF0"/>
    <w:rsid w:val="00521204"/>
    <w:rsid w:val="00522591"/>
    <w:rsid w:val="00524DEA"/>
    <w:rsid w:val="00525B09"/>
    <w:rsid w:val="005262C6"/>
    <w:rsid w:val="005268FA"/>
    <w:rsid w:val="0053085B"/>
    <w:rsid w:val="005311C0"/>
    <w:rsid w:val="005314D0"/>
    <w:rsid w:val="00532D6C"/>
    <w:rsid w:val="00533412"/>
    <w:rsid w:val="00535B3E"/>
    <w:rsid w:val="00537A50"/>
    <w:rsid w:val="00541476"/>
    <w:rsid w:val="00541B1F"/>
    <w:rsid w:val="0054293A"/>
    <w:rsid w:val="0054387D"/>
    <w:rsid w:val="00550312"/>
    <w:rsid w:val="00550407"/>
    <w:rsid w:val="005507E1"/>
    <w:rsid w:val="00550A55"/>
    <w:rsid w:val="00552F77"/>
    <w:rsid w:val="005533D6"/>
    <w:rsid w:val="0055361A"/>
    <w:rsid w:val="00554AC0"/>
    <w:rsid w:val="00554CE0"/>
    <w:rsid w:val="005552E2"/>
    <w:rsid w:val="00557A77"/>
    <w:rsid w:val="00560E5C"/>
    <w:rsid w:val="005616CC"/>
    <w:rsid w:val="00561CDC"/>
    <w:rsid w:val="00561D87"/>
    <w:rsid w:val="00561DA8"/>
    <w:rsid w:val="0056264F"/>
    <w:rsid w:val="00562C3C"/>
    <w:rsid w:val="00562EB1"/>
    <w:rsid w:val="00562F04"/>
    <w:rsid w:val="0056383B"/>
    <w:rsid w:val="00563C2A"/>
    <w:rsid w:val="005640DD"/>
    <w:rsid w:val="00564840"/>
    <w:rsid w:val="00565C27"/>
    <w:rsid w:val="00566792"/>
    <w:rsid w:val="00566ECB"/>
    <w:rsid w:val="00570ADC"/>
    <w:rsid w:val="00572581"/>
    <w:rsid w:val="00572D0B"/>
    <w:rsid w:val="005735E6"/>
    <w:rsid w:val="005739CD"/>
    <w:rsid w:val="005769EE"/>
    <w:rsid w:val="0057798F"/>
    <w:rsid w:val="00577D77"/>
    <w:rsid w:val="00580EDC"/>
    <w:rsid w:val="00581C52"/>
    <w:rsid w:val="005830AF"/>
    <w:rsid w:val="00583663"/>
    <w:rsid w:val="00587A88"/>
    <w:rsid w:val="005906A3"/>
    <w:rsid w:val="0059133F"/>
    <w:rsid w:val="00592129"/>
    <w:rsid w:val="00593CBB"/>
    <w:rsid w:val="005958B1"/>
    <w:rsid w:val="00595E24"/>
    <w:rsid w:val="00595EB7"/>
    <w:rsid w:val="0059798D"/>
    <w:rsid w:val="00597D3F"/>
    <w:rsid w:val="005A007D"/>
    <w:rsid w:val="005A0EB0"/>
    <w:rsid w:val="005A1883"/>
    <w:rsid w:val="005A1B6A"/>
    <w:rsid w:val="005A3E97"/>
    <w:rsid w:val="005A46D1"/>
    <w:rsid w:val="005A553C"/>
    <w:rsid w:val="005A6B17"/>
    <w:rsid w:val="005B1126"/>
    <w:rsid w:val="005B13AB"/>
    <w:rsid w:val="005B198F"/>
    <w:rsid w:val="005B23F8"/>
    <w:rsid w:val="005B299C"/>
    <w:rsid w:val="005B3F8A"/>
    <w:rsid w:val="005B79E9"/>
    <w:rsid w:val="005B7BB1"/>
    <w:rsid w:val="005C0086"/>
    <w:rsid w:val="005C2710"/>
    <w:rsid w:val="005C275A"/>
    <w:rsid w:val="005C2EC8"/>
    <w:rsid w:val="005C541B"/>
    <w:rsid w:val="005C5479"/>
    <w:rsid w:val="005C55CD"/>
    <w:rsid w:val="005C5CC2"/>
    <w:rsid w:val="005C5F80"/>
    <w:rsid w:val="005C616D"/>
    <w:rsid w:val="005C61EA"/>
    <w:rsid w:val="005C6975"/>
    <w:rsid w:val="005C7D96"/>
    <w:rsid w:val="005D09F6"/>
    <w:rsid w:val="005D0F1C"/>
    <w:rsid w:val="005D1016"/>
    <w:rsid w:val="005D1C28"/>
    <w:rsid w:val="005D1FD6"/>
    <w:rsid w:val="005D2634"/>
    <w:rsid w:val="005D2C23"/>
    <w:rsid w:val="005D345A"/>
    <w:rsid w:val="005D44E8"/>
    <w:rsid w:val="005E145F"/>
    <w:rsid w:val="005E1FE6"/>
    <w:rsid w:val="005E3047"/>
    <w:rsid w:val="005E423E"/>
    <w:rsid w:val="005E4912"/>
    <w:rsid w:val="005E6F1F"/>
    <w:rsid w:val="005E7E7E"/>
    <w:rsid w:val="005F061E"/>
    <w:rsid w:val="005F2584"/>
    <w:rsid w:val="005F2B0B"/>
    <w:rsid w:val="005F2F90"/>
    <w:rsid w:val="005F41FD"/>
    <w:rsid w:val="005F4346"/>
    <w:rsid w:val="005F44D1"/>
    <w:rsid w:val="005F5598"/>
    <w:rsid w:val="005F5DA6"/>
    <w:rsid w:val="005F5F7F"/>
    <w:rsid w:val="005F6986"/>
    <w:rsid w:val="005F7145"/>
    <w:rsid w:val="005F77D2"/>
    <w:rsid w:val="005F7854"/>
    <w:rsid w:val="006006A9"/>
    <w:rsid w:val="006021D7"/>
    <w:rsid w:val="00603E57"/>
    <w:rsid w:val="006043EF"/>
    <w:rsid w:val="0060772D"/>
    <w:rsid w:val="0061058C"/>
    <w:rsid w:val="00611B4B"/>
    <w:rsid w:val="00612585"/>
    <w:rsid w:val="00612AB5"/>
    <w:rsid w:val="00612FA4"/>
    <w:rsid w:val="00613A7E"/>
    <w:rsid w:val="00613C73"/>
    <w:rsid w:val="00614CDE"/>
    <w:rsid w:val="00615A8F"/>
    <w:rsid w:val="00620EBB"/>
    <w:rsid w:val="00621129"/>
    <w:rsid w:val="00621B33"/>
    <w:rsid w:val="00622023"/>
    <w:rsid w:val="0062403E"/>
    <w:rsid w:val="006242BB"/>
    <w:rsid w:val="00624886"/>
    <w:rsid w:val="00625A04"/>
    <w:rsid w:val="00625A57"/>
    <w:rsid w:val="0062603C"/>
    <w:rsid w:val="0063158E"/>
    <w:rsid w:val="0063358A"/>
    <w:rsid w:val="00633916"/>
    <w:rsid w:val="006349DD"/>
    <w:rsid w:val="006359A5"/>
    <w:rsid w:val="006372BD"/>
    <w:rsid w:val="006409FA"/>
    <w:rsid w:val="00640ECB"/>
    <w:rsid w:val="00641D2B"/>
    <w:rsid w:val="006435C3"/>
    <w:rsid w:val="00643736"/>
    <w:rsid w:val="00643A84"/>
    <w:rsid w:val="00644F46"/>
    <w:rsid w:val="006472CB"/>
    <w:rsid w:val="00651086"/>
    <w:rsid w:val="0065123B"/>
    <w:rsid w:val="0065178D"/>
    <w:rsid w:val="00651A73"/>
    <w:rsid w:val="00651DE5"/>
    <w:rsid w:val="00652596"/>
    <w:rsid w:val="0065262D"/>
    <w:rsid w:val="00653068"/>
    <w:rsid w:val="006534AC"/>
    <w:rsid w:val="0065404B"/>
    <w:rsid w:val="00654E27"/>
    <w:rsid w:val="006552EA"/>
    <w:rsid w:val="0065586C"/>
    <w:rsid w:val="00660DDF"/>
    <w:rsid w:val="00662D3E"/>
    <w:rsid w:val="00663879"/>
    <w:rsid w:val="00663E57"/>
    <w:rsid w:val="00664DDD"/>
    <w:rsid w:val="00665C7E"/>
    <w:rsid w:val="00666640"/>
    <w:rsid w:val="00672A4A"/>
    <w:rsid w:val="00672BA0"/>
    <w:rsid w:val="00672DDD"/>
    <w:rsid w:val="00672F91"/>
    <w:rsid w:val="006746DA"/>
    <w:rsid w:val="006750EF"/>
    <w:rsid w:val="0067531B"/>
    <w:rsid w:val="00676C91"/>
    <w:rsid w:val="00676E15"/>
    <w:rsid w:val="00676E6A"/>
    <w:rsid w:val="00677510"/>
    <w:rsid w:val="00677BC2"/>
    <w:rsid w:val="00680256"/>
    <w:rsid w:val="00681AB2"/>
    <w:rsid w:val="00682C91"/>
    <w:rsid w:val="00683F5B"/>
    <w:rsid w:val="00684627"/>
    <w:rsid w:val="00685345"/>
    <w:rsid w:val="00686033"/>
    <w:rsid w:val="00686066"/>
    <w:rsid w:val="0068611E"/>
    <w:rsid w:val="00686387"/>
    <w:rsid w:val="0068702B"/>
    <w:rsid w:val="00687C8E"/>
    <w:rsid w:val="00690B77"/>
    <w:rsid w:val="00691A8A"/>
    <w:rsid w:val="00693334"/>
    <w:rsid w:val="006941AF"/>
    <w:rsid w:val="00694931"/>
    <w:rsid w:val="00694EE3"/>
    <w:rsid w:val="006953D9"/>
    <w:rsid w:val="0069634A"/>
    <w:rsid w:val="0069768D"/>
    <w:rsid w:val="00697E5F"/>
    <w:rsid w:val="006A0054"/>
    <w:rsid w:val="006A0C69"/>
    <w:rsid w:val="006A1DB8"/>
    <w:rsid w:val="006A2C88"/>
    <w:rsid w:val="006A2FCD"/>
    <w:rsid w:val="006A41F1"/>
    <w:rsid w:val="006A4926"/>
    <w:rsid w:val="006A4B42"/>
    <w:rsid w:val="006A53DC"/>
    <w:rsid w:val="006B03B3"/>
    <w:rsid w:val="006B0506"/>
    <w:rsid w:val="006B0906"/>
    <w:rsid w:val="006B22B8"/>
    <w:rsid w:val="006B2AA4"/>
    <w:rsid w:val="006B3E20"/>
    <w:rsid w:val="006B5884"/>
    <w:rsid w:val="006B6D7A"/>
    <w:rsid w:val="006C0285"/>
    <w:rsid w:val="006C0EB0"/>
    <w:rsid w:val="006C3850"/>
    <w:rsid w:val="006C4000"/>
    <w:rsid w:val="006C437A"/>
    <w:rsid w:val="006D0D62"/>
    <w:rsid w:val="006D0E15"/>
    <w:rsid w:val="006D124D"/>
    <w:rsid w:val="006D2BEA"/>
    <w:rsid w:val="006D42CD"/>
    <w:rsid w:val="006D474B"/>
    <w:rsid w:val="006D4C05"/>
    <w:rsid w:val="006D706B"/>
    <w:rsid w:val="006D7130"/>
    <w:rsid w:val="006D76B9"/>
    <w:rsid w:val="006D7B01"/>
    <w:rsid w:val="006D7F68"/>
    <w:rsid w:val="006E17C3"/>
    <w:rsid w:val="006E1E6D"/>
    <w:rsid w:val="006E3142"/>
    <w:rsid w:val="006E32DF"/>
    <w:rsid w:val="006E42A6"/>
    <w:rsid w:val="006E45D2"/>
    <w:rsid w:val="006E46AD"/>
    <w:rsid w:val="006E4878"/>
    <w:rsid w:val="006E4BDD"/>
    <w:rsid w:val="006E5414"/>
    <w:rsid w:val="006E554F"/>
    <w:rsid w:val="006E56E8"/>
    <w:rsid w:val="006E5BDB"/>
    <w:rsid w:val="006E65C6"/>
    <w:rsid w:val="006E67B1"/>
    <w:rsid w:val="006E6E51"/>
    <w:rsid w:val="006F09D0"/>
    <w:rsid w:val="006F0E6B"/>
    <w:rsid w:val="006F1CD8"/>
    <w:rsid w:val="006F2143"/>
    <w:rsid w:val="006F22C8"/>
    <w:rsid w:val="006F2543"/>
    <w:rsid w:val="006F34A9"/>
    <w:rsid w:val="006F51B7"/>
    <w:rsid w:val="006F74D0"/>
    <w:rsid w:val="00700E3A"/>
    <w:rsid w:val="007018D6"/>
    <w:rsid w:val="00703450"/>
    <w:rsid w:val="00703945"/>
    <w:rsid w:val="0070489D"/>
    <w:rsid w:val="00704D74"/>
    <w:rsid w:val="00707EA1"/>
    <w:rsid w:val="00707F18"/>
    <w:rsid w:val="00707F57"/>
    <w:rsid w:val="0071023F"/>
    <w:rsid w:val="00711200"/>
    <w:rsid w:val="007114A6"/>
    <w:rsid w:val="007127F7"/>
    <w:rsid w:val="00712A51"/>
    <w:rsid w:val="00714FAE"/>
    <w:rsid w:val="0071770B"/>
    <w:rsid w:val="00720969"/>
    <w:rsid w:val="00720A3A"/>
    <w:rsid w:val="0072108B"/>
    <w:rsid w:val="00722E68"/>
    <w:rsid w:val="00722EE7"/>
    <w:rsid w:val="0072397F"/>
    <w:rsid w:val="0072590A"/>
    <w:rsid w:val="007311E7"/>
    <w:rsid w:val="00731609"/>
    <w:rsid w:val="00731922"/>
    <w:rsid w:val="00731ACB"/>
    <w:rsid w:val="00732728"/>
    <w:rsid w:val="0073286C"/>
    <w:rsid w:val="007338E4"/>
    <w:rsid w:val="00734DF1"/>
    <w:rsid w:val="00734E19"/>
    <w:rsid w:val="0073566C"/>
    <w:rsid w:val="0073642C"/>
    <w:rsid w:val="00736508"/>
    <w:rsid w:val="0073662B"/>
    <w:rsid w:val="007367B5"/>
    <w:rsid w:val="007368AD"/>
    <w:rsid w:val="00736995"/>
    <w:rsid w:val="00737745"/>
    <w:rsid w:val="00737F54"/>
    <w:rsid w:val="00740069"/>
    <w:rsid w:val="00740D10"/>
    <w:rsid w:val="00740EAF"/>
    <w:rsid w:val="0074133D"/>
    <w:rsid w:val="0074151D"/>
    <w:rsid w:val="00741B8A"/>
    <w:rsid w:val="0074293C"/>
    <w:rsid w:val="007433C1"/>
    <w:rsid w:val="00743B39"/>
    <w:rsid w:val="0074464E"/>
    <w:rsid w:val="007459EF"/>
    <w:rsid w:val="00746527"/>
    <w:rsid w:val="00746DD6"/>
    <w:rsid w:val="00746FFC"/>
    <w:rsid w:val="007475EA"/>
    <w:rsid w:val="00747808"/>
    <w:rsid w:val="00747C51"/>
    <w:rsid w:val="00747ED3"/>
    <w:rsid w:val="0075196D"/>
    <w:rsid w:val="00752375"/>
    <w:rsid w:val="00753260"/>
    <w:rsid w:val="00753EAD"/>
    <w:rsid w:val="00754E3D"/>
    <w:rsid w:val="0075558C"/>
    <w:rsid w:val="007555D9"/>
    <w:rsid w:val="00755B67"/>
    <w:rsid w:val="00756BB3"/>
    <w:rsid w:val="007604AC"/>
    <w:rsid w:val="00760997"/>
    <w:rsid w:val="0076124F"/>
    <w:rsid w:val="00761EFA"/>
    <w:rsid w:val="00763170"/>
    <w:rsid w:val="00763B70"/>
    <w:rsid w:val="00764873"/>
    <w:rsid w:val="007649F4"/>
    <w:rsid w:val="0076526C"/>
    <w:rsid w:val="00765E8D"/>
    <w:rsid w:val="00766A88"/>
    <w:rsid w:val="00766ADF"/>
    <w:rsid w:val="0076745A"/>
    <w:rsid w:val="007709CA"/>
    <w:rsid w:val="0077184A"/>
    <w:rsid w:val="00773120"/>
    <w:rsid w:val="00773688"/>
    <w:rsid w:val="00773910"/>
    <w:rsid w:val="00775647"/>
    <w:rsid w:val="00776A0F"/>
    <w:rsid w:val="00777470"/>
    <w:rsid w:val="007778DD"/>
    <w:rsid w:val="0078052A"/>
    <w:rsid w:val="00781047"/>
    <w:rsid w:val="00782C07"/>
    <w:rsid w:val="00782D41"/>
    <w:rsid w:val="007831D5"/>
    <w:rsid w:val="0078369C"/>
    <w:rsid w:val="00784482"/>
    <w:rsid w:val="007846D2"/>
    <w:rsid w:val="0078483F"/>
    <w:rsid w:val="00784DA1"/>
    <w:rsid w:val="00784E6E"/>
    <w:rsid w:val="007853E5"/>
    <w:rsid w:val="00785ED2"/>
    <w:rsid w:val="00787EF7"/>
    <w:rsid w:val="007908B5"/>
    <w:rsid w:val="00790B6C"/>
    <w:rsid w:val="00792713"/>
    <w:rsid w:val="00792A9B"/>
    <w:rsid w:val="00793FC7"/>
    <w:rsid w:val="0079480A"/>
    <w:rsid w:val="00794C4A"/>
    <w:rsid w:val="00794C4D"/>
    <w:rsid w:val="00795D03"/>
    <w:rsid w:val="00796693"/>
    <w:rsid w:val="0079690F"/>
    <w:rsid w:val="007969AE"/>
    <w:rsid w:val="00797CA8"/>
    <w:rsid w:val="007A1742"/>
    <w:rsid w:val="007A532B"/>
    <w:rsid w:val="007A57A1"/>
    <w:rsid w:val="007A593F"/>
    <w:rsid w:val="007A6B9C"/>
    <w:rsid w:val="007A6C77"/>
    <w:rsid w:val="007B018B"/>
    <w:rsid w:val="007B04AA"/>
    <w:rsid w:val="007B0A42"/>
    <w:rsid w:val="007B1457"/>
    <w:rsid w:val="007B38D3"/>
    <w:rsid w:val="007B6298"/>
    <w:rsid w:val="007B75FF"/>
    <w:rsid w:val="007B7754"/>
    <w:rsid w:val="007B79F3"/>
    <w:rsid w:val="007B7B95"/>
    <w:rsid w:val="007C1760"/>
    <w:rsid w:val="007C1D81"/>
    <w:rsid w:val="007C26EA"/>
    <w:rsid w:val="007C4D7B"/>
    <w:rsid w:val="007C4E72"/>
    <w:rsid w:val="007C526B"/>
    <w:rsid w:val="007C5B30"/>
    <w:rsid w:val="007C5FBA"/>
    <w:rsid w:val="007C7591"/>
    <w:rsid w:val="007C7E9D"/>
    <w:rsid w:val="007D04D9"/>
    <w:rsid w:val="007D1D5E"/>
    <w:rsid w:val="007D3899"/>
    <w:rsid w:val="007D3AA2"/>
    <w:rsid w:val="007D538B"/>
    <w:rsid w:val="007D5CD5"/>
    <w:rsid w:val="007D74D7"/>
    <w:rsid w:val="007D75BF"/>
    <w:rsid w:val="007D7A50"/>
    <w:rsid w:val="007E1FF4"/>
    <w:rsid w:val="007E2693"/>
    <w:rsid w:val="007E2BEF"/>
    <w:rsid w:val="007E309C"/>
    <w:rsid w:val="007E39E5"/>
    <w:rsid w:val="007E4C5B"/>
    <w:rsid w:val="007E5355"/>
    <w:rsid w:val="007E620D"/>
    <w:rsid w:val="007F0076"/>
    <w:rsid w:val="007F03CD"/>
    <w:rsid w:val="007F19F1"/>
    <w:rsid w:val="007F2597"/>
    <w:rsid w:val="007F285B"/>
    <w:rsid w:val="007F3A01"/>
    <w:rsid w:val="007F3F7E"/>
    <w:rsid w:val="007F49FF"/>
    <w:rsid w:val="007F57F8"/>
    <w:rsid w:val="007F6AE9"/>
    <w:rsid w:val="007F6E85"/>
    <w:rsid w:val="007F736F"/>
    <w:rsid w:val="007F7A99"/>
    <w:rsid w:val="008013BE"/>
    <w:rsid w:val="008020D7"/>
    <w:rsid w:val="008030CD"/>
    <w:rsid w:val="00803F9C"/>
    <w:rsid w:val="00804193"/>
    <w:rsid w:val="00804CE7"/>
    <w:rsid w:val="00804E01"/>
    <w:rsid w:val="0080711F"/>
    <w:rsid w:val="008104DF"/>
    <w:rsid w:val="00810644"/>
    <w:rsid w:val="00811385"/>
    <w:rsid w:val="0081167C"/>
    <w:rsid w:val="00811BE1"/>
    <w:rsid w:val="008121FC"/>
    <w:rsid w:val="0081449D"/>
    <w:rsid w:val="008145B1"/>
    <w:rsid w:val="008146DD"/>
    <w:rsid w:val="00815E61"/>
    <w:rsid w:val="00816D40"/>
    <w:rsid w:val="0081746E"/>
    <w:rsid w:val="008179F1"/>
    <w:rsid w:val="00822346"/>
    <w:rsid w:val="0082294A"/>
    <w:rsid w:val="008235D3"/>
    <w:rsid w:val="00823FC2"/>
    <w:rsid w:val="008265F0"/>
    <w:rsid w:val="00826D54"/>
    <w:rsid w:val="008272E3"/>
    <w:rsid w:val="008277E9"/>
    <w:rsid w:val="00827C2D"/>
    <w:rsid w:val="0083077A"/>
    <w:rsid w:val="00831F30"/>
    <w:rsid w:val="00834CBF"/>
    <w:rsid w:val="00836210"/>
    <w:rsid w:val="008369F4"/>
    <w:rsid w:val="00836F89"/>
    <w:rsid w:val="0084022C"/>
    <w:rsid w:val="00843C16"/>
    <w:rsid w:val="00845342"/>
    <w:rsid w:val="008454AA"/>
    <w:rsid w:val="00845CF9"/>
    <w:rsid w:val="00846459"/>
    <w:rsid w:val="0084781F"/>
    <w:rsid w:val="008502AA"/>
    <w:rsid w:val="00850994"/>
    <w:rsid w:val="00850F77"/>
    <w:rsid w:val="00852266"/>
    <w:rsid w:val="0085500B"/>
    <w:rsid w:val="00860771"/>
    <w:rsid w:val="00860B02"/>
    <w:rsid w:val="0086135C"/>
    <w:rsid w:val="0086171F"/>
    <w:rsid w:val="00861CAB"/>
    <w:rsid w:val="00861FFF"/>
    <w:rsid w:val="00862364"/>
    <w:rsid w:val="00862507"/>
    <w:rsid w:val="008628F5"/>
    <w:rsid w:val="008630F3"/>
    <w:rsid w:val="00863435"/>
    <w:rsid w:val="0086561F"/>
    <w:rsid w:val="00866B9F"/>
    <w:rsid w:val="00867441"/>
    <w:rsid w:val="0087051B"/>
    <w:rsid w:val="008724FB"/>
    <w:rsid w:val="008725B4"/>
    <w:rsid w:val="00872827"/>
    <w:rsid w:val="0087349A"/>
    <w:rsid w:val="00874C5D"/>
    <w:rsid w:val="008750A5"/>
    <w:rsid w:val="008766FC"/>
    <w:rsid w:val="00876A36"/>
    <w:rsid w:val="00876B7C"/>
    <w:rsid w:val="00877872"/>
    <w:rsid w:val="008831E0"/>
    <w:rsid w:val="00885029"/>
    <w:rsid w:val="00886455"/>
    <w:rsid w:val="0088657F"/>
    <w:rsid w:val="008865B6"/>
    <w:rsid w:val="00886757"/>
    <w:rsid w:val="00887501"/>
    <w:rsid w:val="0089128F"/>
    <w:rsid w:val="00892F4C"/>
    <w:rsid w:val="008944CF"/>
    <w:rsid w:val="008954C4"/>
    <w:rsid w:val="00895DF4"/>
    <w:rsid w:val="008961CE"/>
    <w:rsid w:val="00897068"/>
    <w:rsid w:val="008A0058"/>
    <w:rsid w:val="008A0856"/>
    <w:rsid w:val="008A2430"/>
    <w:rsid w:val="008A27DD"/>
    <w:rsid w:val="008A2818"/>
    <w:rsid w:val="008A34CE"/>
    <w:rsid w:val="008A4E30"/>
    <w:rsid w:val="008B0640"/>
    <w:rsid w:val="008B1368"/>
    <w:rsid w:val="008B13C6"/>
    <w:rsid w:val="008B1A4D"/>
    <w:rsid w:val="008B3A2C"/>
    <w:rsid w:val="008B6A0E"/>
    <w:rsid w:val="008B6F5B"/>
    <w:rsid w:val="008B7675"/>
    <w:rsid w:val="008B7C66"/>
    <w:rsid w:val="008B7F15"/>
    <w:rsid w:val="008C0BD4"/>
    <w:rsid w:val="008C0E19"/>
    <w:rsid w:val="008C1427"/>
    <w:rsid w:val="008C1C51"/>
    <w:rsid w:val="008C1D96"/>
    <w:rsid w:val="008C34A8"/>
    <w:rsid w:val="008C3FAB"/>
    <w:rsid w:val="008C45C0"/>
    <w:rsid w:val="008C5AD5"/>
    <w:rsid w:val="008C6DD5"/>
    <w:rsid w:val="008C6EA1"/>
    <w:rsid w:val="008D0134"/>
    <w:rsid w:val="008D06D3"/>
    <w:rsid w:val="008D075A"/>
    <w:rsid w:val="008D0815"/>
    <w:rsid w:val="008D1AEB"/>
    <w:rsid w:val="008D1DDD"/>
    <w:rsid w:val="008D43E9"/>
    <w:rsid w:val="008D4EE3"/>
    <w:rsid w:val="008D589C"/>
    <w:rsid w:val="008D6A0B"/>
    <w:rsid w:val="008E02A0"/>
    <w:rsid w:val="008E0419"/>
    <w:rsid w:val="008E04AB"/>
    <w:rsid w:val="008E11CF"/>
    <w:rsid w:val="008E347F"/>
    <w:rsid w:val="008E3823"/>
    <w:rsid w:val="008E393D"/>
    <w:rsid w:val="008E39CD"/>
    <w:rsid w:val="008E5A44"/>
    <w:rsid w:val="008E61EF"/>
    <w:rsid w:val="008E67BD"/>
    <w:rsid w:val="008E6855"/>
    <w:rsid w:val="008E69D6"/>
    <w:rsid w:val="008E7085"/>
    <w:rsid w:val="008E76CB"/>
    <w:rsid w:val="008F16F3"/>
    <w:rsid w:val="008F1E38"/>
    <w:rsid w:val="008F2A6C"/>
    <w:rsid w:val="008F30EA"/>
    <w:rsid w:val="008F4313"/>
    <w:rsid w:val="008F4CF8"/>
    <w:rsid w:val="008F4D15"/>
    <w:rsid w:val="008F4D2A"/>
    <w:rsid w:val="008F5CFC"/>
    <w:rsid w:val="008F5F1D"/>
    <w:rsid w:val="008F60C3"/>
    <w:rsid w:val="008F66AD"/>
    <w:rsid w:val="008F6EEB"/>
    <w:rsid w:val="008F6FB1"/>
    <w:rsid w:val="009011F2"/>
    <w:rsid w:val="00901CD7"/>
    <w:rsid w:val="0090308E"/>
    <w:rsid w:val="00903E8A"/>
    <w:rsid w:val="009040BB"/>
    <w:rsid w:val="00905409"/>
    <w:rsid w:val="00905EDB"/>
    <w:rsid w:val="00906106"/>
    <w:rsid w:val="009061DF"/>
    <w:rsid w:val="009114B1"/>
    <w:rsid w:val="00911C1E"/>
    <w:rsid w:val="00911C46"/>
    <w:rsid w:val="00911F6C"/>
    <w:rsid w:val="00911F87"/>
    <w:rsid w:val="00912570"/>
    <w:rsid w:val="0091263B"/>
    <w:rsid w:val="00912AB2"/>
    <w:rsid w:val="0091480A"/>
    <w:rsid w:val="00914BB1"/>
    <w:rsid w:val="0091568F"/>
    <w:rsid w:val="0091644F"/>
    <w:rsid w:val="00917A61"/>
    <w:rsid w:val="00917E6C"/>
    <w:rsid w:val="00922EAB"/>
    <w:rsid w:val="0092474E"/>
    <w:rsid w:val="00924FDA"/>
    <w:rsid w:val="009254D6"/>
    <w:rsid w:val="009257E0"/>
    <w:rsid w:val="00926469"/>
    <w:rsid w:val="00926596"/>
    <w:rsid w:val="0092669B"/>
    <w:rsid w:val="00926BEA"/>
    <w:rsid w:val="009302DF"/>
    <w:rsid w:val="00931508"/>
    <w:rsid w:val="0093163E"/>
    <w:rsid w:val="0093216F"/>
    <w:rsid w:val="00932598"/>
    <w:rsid w:val="009329C2"/>
    <w:rsid w:val="00932A66"/>
    <w:rsid w:val="009338EF"/>
    <w:rsid w:val="00933C49"/>
    <w:rsid w:val="009348C6"/>
    <w:rsid w:val="00934970"/>
    <w:rsid w:val="00934B2A"/>
    <w:rsid w:val="0093563A"/>
    <w:rsid w:val="00935B21"/>
    <w:rsid w:val="00936088"/>
    <w:rsid w:val="00936436"/>
    <w:rsid w:val="00937833"/>
    <w:rsid w:val="00937A7D"/>
    <w:rsid w:val="00937DB7"/>
    <w:rsid w:val="00937FB0"/>
    <w:rsid w:val="00940447"/>
    <w:rsid w:val="009404C3"/>
    <w:rsid w:val="00941760"/>
    <w:rsid w:val="00942607"/>
    <w:rsid w:val="009435EA"/>
    <w:rsid w:val="00945203"/>
    <w:rsid w:val="00945F88"/>
    <w:rsid w:val="00946FA1"/>
    <w:rsid w:val="0094721A"/>
    <w:rsid w:val="009479FE"/>
    <w:rsid w:val="0095012E"/>
    <w:rsid w:val="0095034B"/>
    <w:rsid w:val="009515F0"/>
    <w:rsid w:val="00952803"/>
    <w:rsid w:val="00952858"/>
    <w:rsid w:val="0095406D"/>
    <w:rsid w:val="009542DD"/>
    <w:rsid w:val="009543F4"/>
    <w:rsid w:val="00957DC6"/>
    <w:rsid w:val="0096203B"/>
    <w:rsid w:val="00962C5E"/>
    <w:rsid w:val="00963DC3"/>
    <w:rsid w:val="00965FBD"/>
    <w:rsid w:val="00966BAC"/>
    <w:rsid w:val="00967DE1"/>
    <w:rsid w:val="00967FE4"/>
    <w:rsid w:val="00970A43"/>
    <w:rsid w:val="00971CB2"/>
    <w:rsid w:val="009757FC"/>
    <w:rsid w:val="00976F3E"/>
    <w:rsid w:val="00981772"/>
    <w:rsid w:val="009817B0"/>
    <w:rsid w:val="00982A0D"/>
    <w:rsid w:val="00982D65"/>
    <w:rsid w:val="0098379C"/>
    <w:rsid w:val="00983D7B"/>
    <w:rsid w:val="00986AD4"/>
    <w:rsid w:val="00986D4A"/>
    <w:rsid w:val="00987015"/>
    <w:rsid w:val="009877BC"/>
    <w:rsid w:val="0099010D"/>
    <w:rsid w:val="009908C1"/>
    <w:rsid w:val="009933AD"/>
    <w:rsid w:val="00994124"/>
    <w:rsid w:val="00994710"/>
    <w:rsid w:val="00995CF5"/>
    <w:rsid w:val="00995E48"/>
    <w:rsid w:val="00996853"/>
    <w:rsid w:val="009970EE"/>
    <w:rsid w:val="00997D9B"/>
    <w:rsid w:val="009A04EA"/>
    <w:rsid w:val="009A16A4"/>
    <w:rsid w:val="009A29DE"/>
    <w:rsid w:val="009A2ABE"/>
    <w:rsid w:val="009A639E"/>
    <w:rsid w:val="009A6A2F"/>
    <w:rsid w:val="009B097D"/>
    <w:rsid w:val="009B0E2E"/>
    <w:rsid w:val="009B1F3F"/>
    <w:rsid w:val="009B1F7A"/>
    <w:rsid w:val="009B248F"/>
    <w:rsid w:val="009B2F7E"/>
    <w:rsid w:val="009B382D"/>
    <w:rsid w:val="009B3A45"/>
    <w:rsid w:val="009B4A43"/>
    <w:rsid w:val="009B55ED"/>
    <w:rsid w:val="009B5EF7"/>
    <w:rsid w:val="009B6E5A"/>
    <w:rsid w:val="009B72E4"/>
    <w:rsid w:val="009C0F64"/>
    <w:rsid w:val="009C13E0"/>
    <w:rsid w:val="009C2C0C"/>
    <w:rsid w:val="009C2CC4"/>
    <w:rsid w:val="009C4057"/>
    <w:rsid w:val="009C4F4A"/>
    <w:rsid w:val="009C59CC"/>
    <w:rsid w:val="009C7265"/>
    <w:rsid w:val="009C7427"/>
    <w:rsid w:val="009C755C"/>
    <w:rsid w:val="009C780F"/>
    <w:rsid w:val="009C7F1E"/>
    <w:rsid w:val="009D1334"/>
    <w:rsid w:val="009D1DFF"/>
    <w:rsid w:val="009D2408"/>
    <w:rsid w:val="009D2AA9"/>
    <w:rsid w:val="009D3FF5"/>
    <w:rsid w:val="009D41DD"/>
    <w:rsid w:val="009D4696"/>
    <w:rsid w:val="009D4FD3"/>
    <w:rsid w:val="009D6A57"/>
    <w:rsid w:val="009D768C"/>
    <w:rsid w:val="009D7D0D"/>
    <w:rsid w:val="009E0E91"/>
    <w:rsid w:val="009E1647"/>
    <w:rsid w:val="009E1A2D"/>
    <w:rsid w:val="009E29B1"/>
    <w:rsid w:val="009E3706"/>
    <w:rsid w:val="009E40CB"/>
    <w:rsid w:val="009E4F4C"/>
    <w:rsid w:val="009F11E7"/>
    <w:rsid w:val="009F2260"/>
    <w:rsid w:val="009F2979"/>
    <w:rsid w:val="009F4042"/>
    <w:rsid w:val="009F45ED"/>
    <w:rsid w:val="009F53B1"/>
    <w:rsid w:val="009F6303"/>
    <w:rsid w:val="009F6F35"/>
    <w:rsid w:val="009F70D8"/>
    <w:rsid w:val="00A01278"/>
    <w:rsid w:val="00A02608"/>
    <w:rsid w:val="00A063DE"/>
    <w:rsid w:val="00A06D18"/>
    <w:rsid w:val="00A11A95"/>
    <w:rsid w:val="00A12D0E"/>
    <w:rsid w:val="00A15118"/>
    <w:rsid w:val="00A1672F"/>
    <w:rsid w:val="00A173E8"/>
    <w:rsid w:val="00A20606"/>
    <w:rsid w:val="00A20D93"/>
    <w:rsid w:val="00A215C3"/>
    <w:rsid w:val="00A21A60"/>
    <w:rsid w:val="00A21A6D"/>
    <w:rsid w:val="00A223C6"/>
    <w:rsid w:val="00A22A17"/>
    <w:rsid w:val="00A24064"/>
    <w:rsid w:val="00A25353"/>
    <w:rsid w:val="00A254AB"/>
    <w:rsid w:val="00A27239"/>
    <w:rsid w:val="00A2762E"/>
    <w:rsid w:val="00A278A8"/>
    <w:rsid w:val="00A31381"/>
    <w:rsid w:val="00A31824"/>
    <w:rsid w:val="00A326F2"/>
    <w:rsid w:val="00A3286B"/>
    <w:rsid w:val="00A328A7"/>
    <w:rsid w:val="00A329B1"/>
    <w:rsid w:val="00A348EE"/>
    <w:rsid w:val="00A34ABE"/>
    <w:rsid w:val="00A34F5F"/>
    <w:rsid w:val="00A356F4"/>
    <w:rsid w:val="00A37860"/>
    <w:rsid w:val="00A40339"/>
    <w:rsid w:val="00A4155C"/>
    <w:rsid w:val="00A41658"/>
    <w:rsid w:val="00A42CCD"/>
    <w:rsid w:val="00A44E12"/>
    <w:rsid w:val="00A45F2C"/>
    <w:rsid w:val="00A46914"/>
    <w:rsid w:val="00A46A68"/>
    <w:rsid w:val="00A50E03"/>
    <w:rsid w:val="00A50EE9"/>
    <w:rsid w:val="00A5188E"/>
    <w:rsid w:val="00A51FE9"/>
    <w:rsid w:val="00A5227B"/>
    <w:rsid w:val="00A52736"/>
    <w:rsid w:val="00A53C5B"/>
    <w:rsid w:val="00A54ACE"/>
    <w:rsid w:val="00A55AB0"/>
    <w:rsid w:val="00A5671F"/>
    <w:rsid w:val="00A56815"/>
    <w:rsid w:val="00A56B44"/>
    <w:rsid w:val="00A64A17"/>
    <w:rsid w:val="00A64DCF"/>
    <w:rsid w:val="00A65F77"/>
    <w:rsid w:val="00A67F1E"/>
    <w:rsid w:val="00A7074B"/>
    <w:rsid w:val="00A70DD4"/>
    <w:rsid w:val="00A71263"/>
    <w:rsid w:val="00A71CB4"/>
    <w:rsid w:val="00A7380A"/>
    <w:rsid w:val="00A75A1B"/>
    <w:rsid w:val="00A76192"/>
    <w:rsid w:val="00A7627B"/>
    <w:rsid w:val="00A7698E"/>
    <w:rsid w:val="00A772F3"/>
    <w:rsid w:val="00A82322"/>
    <w:rsid w:val="00A82BB5"/>
    <w:rsid w:val="00A82C05"/>
    <w:rsid w:val="00A8320E"/>
    <w:rsid w:val="00A838F4"/>
    <w:rsid w:val="00A83F3E"/>
    <w:rsid w:val="00A84E7D"/>
    <w:rsid w:val="00A86192"/>
    <w:rsid w:val="00A868A0"/>
    <w:rsid w:val="00A86F48"/>
    <w:rsid w:val="00A92E98"/>
    <w:rsid w:val="00A93F2D"/>
    <w:rsid w:val="00A94133"/>
    <w:rsid w:val="00A954D0"/>
    <w:rsid w:val="00A957B2"/>
    <w:rsid w:val="00A95F4D"/>
    <w:rsid w:val="00A96111"/>
    <w:rsid w:val="00A963A7"/>
    <w:rsid w:val="00A97C42"/>
    <w:rsid w:val="00AA186F"/>
    <w:rsid w:val="00AA1A29"/>
    <w:rsid w:val="00AA49F1"/>
    <w:rsid w:val="00AA60BB"/>
    <w:rsid w:val="00AB0FF7"/>
    <w:rsid w:val="00AB153D"/>
    <w:rsid w:val="00AB3975"/>
    <w:rsid w:val="00AB511F"/>
    <w:rsid w:val="00AB5243"/>
    <w:rsid w:val="00AB56EF"/>
    <w:rsid w:val="00AB5BFA"/>
    <w:rsid w:val="00AB65FD"/>
    <w:rsid w:val="00AB68D7"/>
    <w:rsid w:val="00AB6E2F"/>
    <w:rsid w:val="00AB78AA"/>
    <w:rsid w:val="00AC0225"/>
    <w:rsid w:val="00AC141A"/>
    <w:rsid w:val="00AC1674"/>
    <w:rsid w:val="00AC16FF"/>
    <w:rsid w:val="00AC1D86"/>
    <w:rsid w:val="00AC32D7"/>
    <w:rsid w:val="00AC5233"/>
    <w:rsid w:val="00AC5857"/>
    <w:rsid w:val="00AC7865"/>
    <w:rsid w:val="00AD09A3"/>
    <w:rsid w:val="00AD0A33"/>
    <w:rsid w:val="00AD1A74"/>
    <w:rsid w:val="00AD1E36"/>
    <w:rsid w:val="00AD3EDD"/>
    <w:rsid w:val="00AD593D"/>
    <w:rsid w:val="00AD61A8"/>
    <w:rsid w:val="00AD73E7"/>
    <w:rsid w:val="00AE07F7"/>
    <w:rsid w:val="00AE0982"/>
    <w:rsid w:val="00AE125E"/>
    <w:rsid w:val="00AE13B4"/>
    <w:rsid w:val="00AE150F"/>
    <w:rsid w:val="00AE2A09"/>
    <w:rsid w:val="00AE3CCC"/>
    <w:rsid w:val="00AE4159"/>
    <w:rsid w:val="00AE48C1"/>
    <w:rsid w:val="00AE49D6"/>
    <w:rsid w:val="00AE61CE"/>
    <w:rsid w:val="00AE7D5B"/>
    <w:rsid w:val="00AF0074"/>
    <w:rsid w:val="00AF12FC"/>
    <w:rsid w:val="00AF1E0E"/>
    <w:rsid w:val="00AF2F4B"/>
    <w:rsid w:val="00AF2F85"/>
    <w:rsid w:val="00AF3DDF"/>
    <w:rsid w:val="00AF7609"/>
    <w:rsid w:val="00B0055C"/>
    <w:rsid w:val="00B00EEB"/>
    <w:rsid w:val="00B0255C"/>
    <w:rsid w:val="00B03D84"/>
    <w:rsid w:val="00B07275"/>
    <w:rsid w:val="00B07524"/>
    <w:rsid w:val="00B113E7"/>
    <w:rsid w:val="00B128D0"/>
    <w:rsid w:val="00B13892"/>
    <w:rsid w:val="00B14D97"/>
    <w:rsid w:val="00B164FC"/>
    <w:rsid w:val="00B17B35"/>
    <w:rsid w:val="00B21674"/>
    <w:rsid w:val="00B218B4"/>
    <w:rsid w:val="00B24E77"/>
    <w:rsid w:val="00B25988"/>
    <w:rsid w:val="00B308AC"/>
    <w:rsid w:val="00B30F9B"/>
    <w:rsid w:val="00B317FD"/>
    <w:rsid w:val="00B31D9B"/>
    <w:rsid w:val="00B322A1"/>
    <w:rsid w:val="00B3272F"/>
    <w:rsid w:val="00B32BB4"/>
    <w:rsid w:val="00B35B5D"/>
    <w:rsid w:val="00B35B7C"/>
    <w:rsid w:val="00B35F8C"/>
    <w:rsid w:val="00B36853"/>
    <w:rsid w:val="00B36E39"/>
    <w:rsid w:val="00B4163F"/>
    <w:rsid w:val="00B42671"/>
    <w:rsid w:val="00B42724"/>
    <w:rsid w:val="00B42D82"/>
    <w:rsid w:val="00B451CE"/>
    <w:rsid w:val="00B452FB"/>
    <w:rsid w:val="00B453F3"/>
    <w:rsid w:val="00B463CA"/>
    <w:rsid w:val="00B46CC4"/>
    <w:rsid w:val="00B51498"/>
    <w:rsid w:val="00B53C15"/>
    <w:rsid w:val="00B609E1"/>
    <w:rsid w:val="00B60E1C"/>
    <w:rsid w:val="00B617A4"/>
    <w:rsid w:val="00B62076"/>
    <w:rsid w:val="00B626EC"/>
    <w:rsid w:val="00B63981"/>
    <w:rsid w:val="00B6540F"/>
    <w:rsid w:val="00B6559F"/>
    <w:rsid w:val="00B656B8"/>
    <w:rsid w:val="00B65F1D"/>
    <w:rsid w:val="00B66C15"/>
    <w:rsid w:val="00B7011F"/>
    <w:rsid w:val="00B70452"/>
    <w:rsid w:val="00B70C92"/>
    <w:rsid w:val="00B715F0"/>
    <w:rsid w:val="00B71651"/>
    <w:rsid w:val="00B71E3A"/>
    <w:rsid w:val="00B72CE5"/>
    <w:rsid w:val="00B73756"/>
    <w:rsid w:val="00B74155"/>
    <w:rsid w:val="00B7492D"/>
    <w:rsid w:val="00B76013"/>
    <w:rsid w:val="00B76E73"/>
    <w:rsid w:val="00B76E7C"/>
    <w:rsid w:val="00B779ED"/>
    <w:rsid w:val="00B81725"/>
    <w:rsid w:val="00B81EFB"/>
    <w:rsid w:val="00B8208A"/>
    <w:rsid w:val="00B82FC6"/>
    <w:rsid w:val="00B8332E"/>
    <w:rsid w:val="00B83953"/>
    <w:rsid w:val="00B83F2C"/>
    <w:rsid w:val="00B86623"/>
    <w:rsid w:val="00B8731D"/>
    <w:rsid w:val="00B90095"/>
    <w:rsid w:val="00B90501"/>
    <w:rsid w:val="00B91082"/>
    <w:rsid w:val="00B918B4"/>
    <w:rsid w:val="00B92471"/>
    <w:rsid w:val="00B9385C"/>
    <w:rsid w:val="00B93E42"/>
    <w:rsid w:val="00B955BD"/>
    <w:rsid w:val="00B96DA6"/>
    <w:rsid w:val="00B97085"/>
    <w:rsid w:val="00BA14A7"/>
    <w:rsid w:val="00BA183F"/>
    <w:rsid w:val="00BA1CA3"/>
    <w:rsid w:val="00BA1DE3"/>
    <w:rsid w:val="00BA240D"/>
    <w:rsid w:val="00BA4AF9"/>
    <w:rsid w:val="00BA557D"/>
    <w:rsid w:val="00BA56BA"/>
    <w:rsid w:val="00BA7855"/>
    <w:rsid w:val="00BA7C92"/>
    <w:rsid w:val="00BB08FD"/>
    <w:rsid w:val="00BB1178"/>
    <w:rsid w:val="00BB2390"/>
    <w:rsid w:val="00BB273A"/>
    <w:rsid w:val="00BB452C"/>
    <w:rsid w:val="00BB75F5"/>
    <w:rsid w:val="00BC05C5"/>
    <w:rsid w:val="00BC07AB"/>
    <w:rsid w:val="00BC385A"/>
    <w:rsid w:val="00BC4093"/>
    <w:rsid w:val="00BC41A2"/>
    <w:rsid w:val="00BC4523"/>
    <w:rsid w:val="00BC4D60"/>
    <w:rsid w:val="00BC5D9E"/>
    <w:rsid w:val="00BD018E"/>
    <w:rsid w:val="00BD186E"/>
    <w:rsid w:val="00BD31D3"/>
    <w:rsid w:val="00BD3522"/>
    <w:rsid w:val="00BD43E6"/>
    <w:rsid w:val="00BD44F0"/>
    <w:rsid w:val="00BD7222"/>
    <w:rsid w:val="00BE185D"/>
    <w:rsid w:val="00BE2AE4"/>
    <w:rsid w:val="00BE2B8D"/>
    <w:rsid w:val="00BE6E75"/>
    <w:rsid w:val="00BE7A61"/>
    <w:rsid w:val="00BF1863"/>
    <w:rsid w:val="00BF1CDE"/>
    <w:rsid w:val="00BF2E1B"/>
    <w:rsid w:val="00BF31DF"/>
    <w:rsid w:val="00BF50A1"/>
    <w:rsid w:val="00BF52C7"/>
    <w:rsid w:val="00BF6419"/>
    <w:rsid w:val="00BF6A82"/>
    <w:rsid w:val="00BF6E30"/>
    <w:rsid w:val="00BF6ED7"/>
    <w:rsid w:val="00BF748F"/>
    <w:rsid w:val="00BF7D08"/>
    <w:rsid w:val="00C02DBF"/>
    <w:rsid w:val="00C02DCF"/>
    <w:rsid w:val="00C052D7"/>
    <w:rsid w:val="00C0621D"/>
    <w:rsid w:val="00C0676A"/>
    <w:rsid w:val="00C067FC"/>
    <w:rsid w:val="00C06881"/>
    <w:rsid w:val="00C0799A"/>
    <w:rsid w:val="00C11D0D"/>
    <w:rsid w:val="00C121E0"/>
    <w:rsid w:val="00C14CE7"/>
    <w:rsid w:val="00C15972"/>
    <w:rsid w:val="00C15A8F"/>
    <w:rsid w:val="00C160BD"/>
    <w:rsid w:val="00C17D72"/>
    <w:rsid w:val="00C21559"/>
    <w:rsid w:val="00C224D2"/>
    <w:rsid w:val="00C229E4"/>
    <w:rsid w:val="00C22EE8"/>
    <w:rsid w:val="00C2471D"/>
    <w:rsid w:val="00C248E7"/>
    <w:rsid w:val="00C27AB7"/>
    <w:rsid w:val="00C3068F"/>
    <w:rsid w:val="00C30BBC"/>
    <w:rsid w:val="00C317E9"/>
    <w:rsid w:val="00C325C1"/>
    <w:rsid w:val="00C36D8E"/>
    <w:rsid w:val="00C4039D"/>
    <w:rsid w:val="00C40415"/>
    <w:rsid w:val="00C405C9"/>
    <w:rsid w:val="00C40839"/>
    <w:rsid w:val="00C40B78"/>
    <w:rsid w:val="00C40C92"/>
    <w:rsid w:val="00C41CBC"/>
    <w:rsid w:val="00C44ACB"/>
    <w:rsid w:val="00C4755C"/>
    <w:rsid w:val="00C47A39"/>
    <w:rsid w:val="00C47CFF"/>
    <w:rsid w:val="00C50710"/>
    <w:rsid w:val="00C509C3"/>
    <w:rsid w:val="00C50A17"/>
    <w:rsid w:val="00C52248"/>
    <w:rsid w:val="00C550F4"/>
    <w:rsid w:val="00C55955"/>
    <w:rsid w:val="00C56292"/>
    <w:rsid w:val="00C56FA2"/>
    <w:rsid w:val="00C57C16"/>
    <w:rsid w:val="00C60F75"/>
    <w:rsid w:val="00C63E5A"/>
    <w:rsid w:val="00C65186"/>
    <w:rsid w:val="00C6638E"/>
    <w:rsid w:val="00C70DD4"/>
    <w:rsid w:val="00C70EAE"/>
    <w:rsid w:val="00C71A33"/>
    <w:rsid w:val="00C71FB3"/>
    <w:rsid w:val="00C72D98"/>
    <w:rsid w:val="00C74424"/>
    <w:rsid w:val="00C74715"/>
    <w:rsid w:val="00C757AA"/>
    <w:rsid w:val="00C75EE6"/>
    <w:rsid w:val="00C77EB0"/>
    <w:rsid w:val="00C80DD3"/>
    <w:rsid w:val="00C83B65"/>
    <w:rsid w:val="00C84B14"/>
    <w:rsid w:val="00C84F33"/>
    <w:rsid w:val="00C85BA8"/>
    <w:rsid w:val="00C91474"/>
    <w:rsid w:val="00C933E2"/>
    <w:rsid w:val="00C93DB4"/>
    <w:rsid w:val="00C93F2A"/>
    <w:rsid w:val="00C94399"/>
    <w:rsid w:val="00C94DD0"/>
    <w:rsid w:val="00C95581"/>
    <w:rsid w:val="00C95C7F"/>
    <w:rsid w:val="00C96166"/>
    <w:rsid w:val="00C97B28"/>
    <w:rsid w:val="00CA0205"/>
    <w:rsid w:val="00CA0249"/>
    <w:rsid w:val="00CA03C7"/>
    <w:rsid w:val="00CA08DF"/>
    <w:rsid w:val="00CA0B2A"/>
    <w:rsid w:val="00CA4DE7"/>
    <w:rsid w:val="00CA5037"/>
    <w:rsid w:val="00CA6706"/>
    <w:rsid w:val="00CB110D"/>
    <w:rsid w:val="00CB2262"/>
    <w:rsid w:val="00CB2E0A"/>
    <w:rsid w:val="00CB3C9B"/>
    <w:rsid w:val="00CB77EA"/>
    <w:rsid w:val="00CB7ADA"/>
    <w:rsid w:val="00CC101F"/>
    <w:rsid w:val="00CC1106"/>
    <w:rsid w:val="00CC1774"/>
    <w:rsid w:val="00CC2053"/>
    <w:rsid w:val="00CC2087"/>
    <w:rsid w:val="00CC2F57"/>
    <w:rsid w:val="00CC3653"/>
    <w:rsid w:val="00CC37C0"/>
    <w:rsid w:val="00CC451C"/>
    <w:rsid w:val="00CC4DE2"/>
    <w:rsid w:val="00CC5992"/>
    <w:rsid w:val="00CC6FB2"/>
    <w:rsid w:val="00CC76AD"/>
    <w:rsid w:val="00CD08D5"/>
    <w:rsid w:val="00CD0AD2"/>
    <w:rsid w:val="00CD1688"/>
    <w:rsid w:val="00CD2336"/>
    <w:rsid w:val="00CD376A"/>
    <w:rsid w:val="00CD3CBA"/>
    <w:rsid w:val="00CD3E13"/>
    <w:rsid w:val="00CD4C96"/>
    <w:rsid w:val="00CD50B5"/>
    <w:rsid w:val="00CD5CE8"/>
    <w:rsid w:val="00CD73A9"/>
    <w:rsid w:val="00CE07C1"/>
    <w:rsid w:val="00CE0B84"/>
    <w:rsid w:val="00CE1148"/>
    <w:rsid w:val="00CE50D4"/>
    <w:rsid w:val="00CE595D"/>
    <w:rsid w:val="00CE6901"/>
    <w:rsid w:val="00CE6B2F"/>
    <w:rsid w:val="00CE74CA"/>
    <w:rsid w:val="00CE7EF7"/>
    <w:rsid w:val="00CE7F78"/>
    <w:rsid w:val="00CF11B9"/>
    <w:rsid w:val="00CF1413"/>
    <w:rsid w:val="00CF18AE"/>
    <w:rsid w:val="00CF32B7"/>
    <w:rsid w:val="00CF3FBA"/>
    <w:rsid w:val="00CF5995"/>
    <w:rsid w:val="00CF5FFA"/>
    <w:rsid w:val="00CF669C"/>
    <w:rsid w:val="00CF713A"/>
    <w:rsid w:val="00CF78D5"/>
    <w:rsid w:val="00CF7AA9"/>
    <w:rsid w:val="00D017FB"/>
    <w:rsid w:val="00D01B3A"/>
    <w:rsid w:val="00D0261A"/>
    <w:rsid w:val="00D0345B"/>
    <w:rsid w:val="00D03768"/>
    <w:rsid w:val="00D04F07"/>
    <w:rsid w:val="00D061EC"/>
    <w:rsid w:val="00D06F12"/>
    <w:rsid w:val="00D108BF"/>
    <w:rsid w:val="00D10A2B"/>
    <w:rsid w:val="00D10C77"/>
    <w:rsid w:val="00D10F1E"/>
    <w:rsid w:val="00D1219B"/>
    <w:rsid w:val="00D1242A"/>
    <w:rsid w:val="00D12CF0"/>
    <w:rsid w:val="00D14921"/>
    <w:rsid w:val="00D14C78"/>
    <w:rsid w:val="00D15FEF"/>
    <w:rsid w:val="00D16386"/>
    <w:rsid w:val="00D17ACA"/>
    <w:rsid w:val="00D20F68"/>
    <w:rsid w:val="00D21558"/>
    <w:rsid w:val="00D21EF3"/>
    <w:rsid w:val="00D22426"/>
    <w:rsid w:val="00D23484"/>
    <w:rsid w:val="00D23C32"/>
    <w:rsid w:val="00D23F21"/>
    <w:rsid w:val="00D24488"/>
    <w:rsid w:val="00D24589"/>
    <w:rsid w:val="00D2500F"/>
    <w:rsid w:val="00D25B20"/>
    <w:rsid w:val="00D26604"/>
    <w:rsid w:val="00D26CBA"/>
    <w:rsid w:val="00D26E25"/>
    <w:rsid w:val="00D30934"/>
    <w:rsid w:val="00D34510"/>
    <w:rsid w:val="00D34F92"/>
    <w:rsid w:val="00D36E3F"/>
    <w:rsid w:val="00D371AF"/>
    <w:rsid w:val="00D37DE7"/>
    <w:rsid w:val="00D40D85"/>
    <w:rsid w:val="00D41305"/>
    <w:rsid w:val="00D43832"/>
    <w:rsid w:val="00D454E1"/>
    <w:rsid w:val="00D45D8A"/>
    <w:rsid w:val="00D46790"/>
    <w:rsid w:val="00D477F7"/>
    <w:rsid w:val="00D5196F"/>
    <w:rsid w:val="00D537DE"/>
    <w:rsid w:val="00D547AC"/>
    <w:rsid w:val="00D54CE6"/>
    <w:rsid w:val="00D55DFA"/>
    <w:rsid w:val="00D570DC"/>
    <w:rsid w:val="00D602E7"/>
    <w:rsid w:val="00D61AAF"/>
    <w:rsid w:val="00D6292E"/>
    <w:rsid w:val="00D62AB9"/>
    <w:rsid w:val="00D6464D"/>
    <w:rsid w:val="00D64DBA"/>
    <w:rsid w:val="00D65105"/>
    <w:rsid w:val="00D65830"/>
    <w:rsid w:val="00D65B04"/>
    <w:rsid w:val="00D66887"/>
    <w:rsid w:val="00D67C3F"/>
    <w:rsid w:val="00D700CF"/>
    <w:rsid w:val="00D70F22"/>
    <w:rsid w:val="00D71BA1"/>
    <w:rsid w:val="00D73257"/>
    <w:rsid w:val="00D74D79"/>
    <w:rsid w:val="00D74F65"/>
    <w:rsid w:val="00D7515E"/>
    <w:rsid w:val="00D775DF"/>
    <w:rsid w:val="00D77BAB"/>
    <w:rsid w:val="00D81B0C"/>
    <w:rsid w:val="00D81BAA"/>
    <w:rsid w:val="00D831A7"/>
    <w:rsid w:val="00D8379E"/>
    <w:rsid w:val="00D83B30"/>
    <w:rsid w:val="00D847A3"/>
    <w:rsid w:val="00D86119"/>
    <w:rsid w:val="00D86372"/>
    <w:rsid w:val="00D866E2"/>
    <w:rsid w:val="00D8732A"/>
    <w:rsid w:val="00D876D6"/>
    <w:rsid w:val="00D91C27"/>
    <w:rsid w:val="00D9380E"/>
    <w:rsid w:val="00D97E32"/>
    <w:rsid w:val="00DA0233"/>
    <w:rsid w:val="00DA13F4"/>
    <w:rsid w:val="00DA1DC1"/>
    <w:rsid w:val="00DA21D0"/>
    <w:rsid w:val="00DA4C8C"/>
    <w:rsid w:val="00DA5637"/>
    <w:rsid w:val="00DA7412"/>
    <w:rsid w:val="00DB03FD"/>
    <w:rsid w:val="00DB2AA5"/>
    <w:rsid w:val="00DB2C1D"/>
    <w:rsid w:val="00DB2E7D"/>
    <w:rsid w:val="00DB336B"/>
    <w:rsid w:val="00DB3B18"/>
    <w:rsid w:val="00DB3CF8"/>
    <w:rsid w:val="00DB4EF7"/>
    <w:rsid w:val="00DB5103"/>
    <w:rsid w:val="00DB5B67"/>
    <w:rsid w:val="00DB5D3F"/>
    <w:rsid w:val="00DB6C12"/>
    <w:rsid w:val="00DB7179"/>
    <w:rsid w:val="00DB7974"/>
    <w:rsid w:val="00DC0065"/>
    <w:rsid w:val="00DC0139"/>
    <w:rsid w:val="00DC055A"/>
    <w:rsid w:val="00DC0A9F"/>
    <w:rsid w:val="00DC15E3"/>
    <w:rsid w:val="00DC25E2"/>
    <w:rsid w:val="00DC31BD"/>
    <w:rsid w:val="00DC31D4"/>
    <w:rsid w:val="00DC4E65"/>
    <w:rsid w:val="00DC5925"/>
    <w:rsid w:val="00DC60FA"/>
    <w:rsid w:val="00DC77ED"/>
    <w:rsid w:val="00DC782C"/>
    <w:rsid w:val="00DD06E5"/>
    <w:rsid w:val="00DD0C8E"/>
    <w:rsid w:val="00DD31D3"/>
    <w:rsid w:val="00DD3F41"/>
    <w:rsid w:val="00DD57FC"/>
    <w:rsid w:val="00DD5835"/>
    <w:rsid w:val="00DD5A42"/>
    <w:rsid w:val="00DD5A7E"/>
    <w:rsid w:val="00DD6B30"/>
    <w:rsid w:val="00DD6FB6"/>
    <w:rsid w:val="00DD788E"/>
    <w:rsid w:val="00DE119A"/>
    <w:rsid w:val="00DE23AF"/>
    <w:rsid w:val="00DE2B4A"/>
    <w:rsid w:val="00DE4A9E"/>
    <w:rsid w:val="00DE4EE0"/>
    <w:rsid w:val="00DE5031"/>
    <w:rsid w:val="00DE53A3"/>
    <w:rsid w:val="00DE5981"/>
    <w:rsid w:val="00DF170D"/>
    <w:rsid w:val="00DF39D6"/>
    <w:rsid w:val="00DF3B9A"/>
    <w:rsid w:val="00DF453E"/>
    <w:rsid w:val="00E0035F"/>
    <w:rsid w:val="00E00699"/>
    <w:rsid w:val="00E00C6B"/>
    <w:rsid w:val="00E01CE9"/>
    <w:rsid w:val="00E02F3D"/>
    <w:rsid w:val="00E05433"/>
    <w:rsid w:val="00E06268"/>
    <w:rsid w:val="00E11089"/>
    <w:rsid w:val="00E11B26"/>
    <w:rsid w:val="00E1241F"/>
    <w:rsid w:val="00E1328E"/>
    <w:rsid w:val="00E1349D"/>
    <w:rsid w:val="00E13D60"/>
    <w:rsid w:val="00E16A9F"/>
    <w:rsid w:val="00E17598"/>
    <w:rsid w:val="00E17813"/>
    <w:rsid w:val="00E213AF"/>
    <w:rsid w:val="00E21F1E"/>
    <w:rsid w:val="00E23121"/>
    <w:rsid w:val="00E232C9"/>
    <w:rsid w:val="00E257C0"/>
    <w:rsid w:val="00E26011"/>
    <w:rsid w:val="00E27115"/>
    <w:rsid w:val="00E3279F"/>
    <w:rsid w:val="00E32CE7"/>
    <w:rsid w:val="00E32E99"/>
    <w:rsid w:val="00E34D1B"/>
    <w:rsid w:val="00E35FC6"/>
    <w:rsid w:val="00E40E76"/>
    <w:rsid w:val="00E415C7"/>
    <w:rsid w:val="00E41802"/>
    <w:rsid w:val="00E42A55"/>
    <w:rsid w:val="00E42FF8"/>
    <w:rsid w:val="00E4327E"/>
    <w:rsid w:val="00E45672"/>
    <w:rsid w:val="00E469DB"/>
    <w:rsid w:val="00E46BB1"/>
    <w:rsid w:val="00E46DC8"/>
    <w:rsid w:val="00E47659"/>
    <w:rsid w:val="00E504E7"/>
    <w:rsid w:val="00E5096D"/>
    <w:rsid w:val="00E51F78"/>
    <w:rsid w:val="00E53A99"/>
    <w:rsid w:val="00E55E5F"/>
    <w:rsid w:val="00E573DD"/>
    <w:rsid w:val="00E60A3E"/>
    <w:rsid w:val="00E61420"/>
    <w:rsid w:val="00E61726"/>
    <w:rsid w:val="00E61BD7"/>
    <w:rsid w:val="00E65065"/>
    <w:rsid w:val="00E662A8"/>
    <w:rsid w:val="00E66CB0"/>
    <w:rsid w:val="00E67CDF"/>
    <w:rsid w:val="00E70FE5"/>
    <w:rsid w:val="00E71224"/>
    <w:rsid w:val="00E71BA1"/>
    <w:rsid w:val="00E71E19"/>
    <w:rsid w:val="00E71F26"/>
    <w:rsid w:val="00E73ECE"/>
    <w:rsid w:val="00E74956"/>
    <w:rsid w:val="00E74ECB"/>
    <w:rsid w:val="00E753D1"/>
    <w:rsid w:val="00E7562D"/>
    <w:rsid w:val="00E75B30"/>
    <w:rsid w:val="00E806E7"/>
    <w:rsid w:val="00E814D9"/>
    <w:rsid w:val="00E81516"/>
    <w:rsid w:val="00E81B7D"/>
    <w:rsid w:val="00E82918"/>
    <w:rsid w:val="00E82CEE"/>
    <w:rsid w:val="00E83706"/>
    <w:rsid w:val="00E843FE"/>
    <w:rsid w:val="00E8443A"/>
    <w:rsid w:val="00E8514D"/>
    <w:rsid w:val="00E85BE7"/>
    <w:rsid w:val="00E9005A"/>
    <w:rsid w:val="00E9023D"/>
    <w:rsid w:val="00E91931"/>
    <w:rsid w:val="00E941A9"/>
    <w:rsid w:val="00E94793"/>
    <w:rsid w:val="00E94CBA"/>
    <w:rsid w:val="00E95F05"/>
    <w:rsid w:val="00E96AFB"/>
    <w:rsid w:val="00E96C76"/>
    <w:rsid w:val="00E97FDB"/>
    <w:rsid w:val="00EA01A2"/>
    <w:rsid w:val="00EA0B3E"/>
    <w:rsid w:val="00EA0E17"/>
    <w:rsid w:val="00EA2475"/>
    <w:rsid w:val="00EA2D72"/>
    <w:rsid w:val="00EA4CAF"/>
    <w:rsid w:val="00EA5199"/>
    <w:rsid w:val="00EA5479"/>
    <w:rsid w:val="00EA5ABB"/>
    <w:rsid w:val="00EA644E"/>
    <w:rsid w:val="00EA6CDE"/>
    <w:rsid w:val="00EB1B7A"/>
    <w:rsid w:val="00EB25E4"/>
    <w:rsid w:val="00EB29FA"/>
    <w:rsid w:val="00EB474B"/>
    <w:rsid w:val="00EB47CC"/>
    <w:rsid w:val="00EB4B44"/>
    <w:rsid w:val="00EB5948"/>
    <w:rsid w:val="00EB5C2C"/>
    <w:rsid w:val="00EB5D13"/>
    <w:rsid w:val="00EB647B"/>
    <w:rsid w:val="00EC072D"/>
    <w:rsid w:val="00EC0AE4"/>
    <w:rsid w:val="00EC0CB7"/>
    <w:rsid w:val="00EC15F7"/>
    <w:rsid w:val="00EC2DFE"/>
    <w:rsid w:val="00EC3497"/>
    <w:rsid w:val="00EC4048"/>
    <w:rsid w:val="00EC41F5"/>
    <w:rsid w:val="00EC4F9C"/>
    <w:rsid w:val="00EC53A6"/>
    <w:rsid w:val="00EC5596"/>
    <w:rsid w:val="00EC5C57"/>
    <w:rsid w:val="00EC5CCB"/>
    <w:rsid w:val="00EC6F80"/>
    <w:rsid w:val="00EC79D2"/>
    <w:rsid w:val="00EC7FE1"/>
    <w:rsid w:val="00ED21B4"/>
    <w:rsid w:val="00ED396B"/>
    <w:rsid w:val="00ED39AB"/>
    <w:rsid w:val="00ED41B9"/>
    <w:rsid w:val="00ED4384"/>
    <w:rsid w:val="00ED4A2E"/>
    <w:rsid w:val="00ED585D"/>
    <w:rsid w:val="00ED62D6"/>
    <w:rsid w:val="00ED6739"/>
    <w:rsid w:val="00ED6743"/>
    <w:rsid w:val="00ED6B3E"/>
    <w:rsid w:val="00ED771C"/>
    <w:rsid w:val="00ED7A05"/>
    <w:rsid w:val="00EE02FE"/>
    <w:rsid w:val="00EE2C8B"/>
    <w:rsid w:val="00EE334C"/>
    <w:rsid w:val="00EE54ED"/>
    <w:rsid w:val="00EE7F40"/>
    <w:rsid w:val="00EF06D4"/>
    <w:rsid w:val="00EF11A4"/>
    <w:rsid w:val="00EF11BC"/>
    <w:rsid w:val="00EF3737"/>
    <w:rsid w:val="00EF3AEE"/>
    <w:rsid w:val="00EF42ED"/>
    <w:rsid w:val="00EF4670"/>
    <w:rsid w:val="00EF52E3"/>
    <w:rsid w:val="00EF5D35"/>
    <w:rsid w:val="00EF692D"/>
    <w:rsid w:val="00EF76D2"/>
    <w:rsid w:val="00F00A72"/>
    <w:rsid w:val="00F02153"/>
    <w:rsid w:val="00F02BE1"/>
    <w:rsid w:val="00F03787"/>
    <w:rsid w:val="00F058DF"/>
    <w:rsid w:val="00F0667D"/>
    <w:rsid w:val="00F0775D"/>
    <w:rsid w:val="00F10CA1"/>
    <w:rsid w:val="00F118DB"/>
    <w:rsid w:val="00F12C55"/>
    <w:rsid w:val="00F12C57"/>
    <w:rsid w:val="00F12C72"/>
    <w:rsid w:val="00F12F0F"/>
    <w:rsid w:val="00F12FA2"/>
    <w:rsid w:val="00F152BC"/>
    <w:rsid w:val="00F15675"/>
    <w:rsid w:val="00F1659D"/>
    <w:rsid w:val="00F20C10"/>
    <w:rsid w:val="00F21250"/>
    <w:rsid w:val="00F21FCF"/>
    <w:rsid w:val="00F237A2"/>
    <w:rsid w:val="00F2382E"/>
    <w:rsid w:val="00F23964"/>
    <w:rsid w:val="00F2398D"/>
    <w:rsid w:val="00F253FB"/>
    <w:rsid w:val="00F269A9"/>
    <w:rsid w:val="00F31D39"/>
    <w:rsid w:val="00F3228E"/>
    <w:rsid w:val="00F32AD8"/>
    <w:rsid w:val="00F33A46"/>
    <w:rsid w:val="00F33FFE"/>
    <w:rsid w:val="00F3476E"/>
    <w:rsid w:val="00F36725"/>
    <w:rsid w:val="00F400F2"/>
    <w:rsid w:val="00F40558"/>
    <w:rsid w:val="00F417DA"/>
    <w:rsid w:val="00F41EDC"/>
    <w:rsid w:val="00F4351C"/>
    <w:rsid w:val="00F435A6"/>
    <w:rsid w:val="00F438B7"/>
    <w:rsid w:val="00F445F8"/>
    <w:rsid w:val="00F45517"/>
    <w:rsid w:val="00F45EF5"/>
    <w:rsid w:val="00F45F47"/>
    <w:rsid w:val="00F47678"/>
    <w:rsid w:val="00F50021"/>
    <w:rsid w:val="00F50152"/>
    <w:rsid w:val="00F51A7A"/>
    <w:rsid w:val="00F56F6D"/>
    <w:rsid w:val="00F612B6"/>
    <w:rsid w:val="00F6138D"/>
    <w:rsid w:val="00F619E2"/>
    <w:rsid w:val="00F619E6"/>
    <w:rsid w:val="00F623BF"/>
    <w:rsid w:val="00F62735"/>
    <w:rsid w:val="00F63430"/>
    <w:rsid w:val="00F634A3"/>
    <w:rsid w:val="00F63CF0"/>
    <w:rsid w:val="00F64D9E"/>
    <w:rsid w:val="00F6580B"/>
    <w:rsid w:val="00F67FAA"/>
    <w:rsid w:val="00F70934"/>
    <w:rsid w:val="00F710F9"/>
    <w:rsid w:val="00F7232E"/>
    <w:rsid w:val="00F757CA"/>
    <w:rsid w:val="00F7620F"/>
    <w:rsid w:val="00F8018C"/>
    <w:rsid w:val="00F803C8"/>
    <w:rsid w:val="00F8172B"/>
    <w:rsid w:val="00F82D8F"/>
    <w:rsid w:val="00F82EE4"/>
    <w:rsid w:val="00F831E9"/>
    <w:rsid w:val="00F835C3"/>
    <w:rsid w:val="00F83A5F"/>
    <w:rsid w:val="00F83D21"/>
    <w:rsid w:val="00F84446"/>
    <w:rsid w:val="00F8462C"/>
    <w:rsid w:val="00F8475A"/>
    <w:rsid w:val="00F866ED"/>
    <w:rsid w:val="00F8680D"/>
    <w:rsid w:val="00F87E6D"/>
    <w:rsid w:val="00F87F40"/>
    <w:rsid w:val="00F900D1"/>
    <w:rsid w:val="00F914A1"/>
    <w:rsid w:val="00F9360E"/>
    <w:rsid w:val="00F93A2C"/>
    <w:rsid w:val="00F954C2"/>
    <w:rsid w:val="00F95A09"/>
    <w:rsid w:val="00F96ABB"/>
    <w:rsid w:val="00F97701"/>
    <w:rsid w:val="00FA0AE4"/>
    <w:rsid w:val="00FA345C"/>
    <w:rsid w:val="00FA3E7F"/>
    <w:rsid w:val="00FA40CF"/>
    <w:rsid w:val="00FA429F"/>
    <w:rsid w:val="00FA4BD7"/>
    <w:rsid w:val="00FA615E"/>
    <w:rsid w:val="00FA666F"/>
    <w:rsid w:val="00FA6AE3"/>
    <w:rsid w:val="00FA6CB4"/>
    <w:rsid w:val="00FA7799"/>
    <w:rsid w:val="00FB01B2"/>
    <w:rsid w:val="00FB05F8"/>
    <w:rsid w:val="00FB0787"/>
    <w:rsid w:val="00FB10B0"/>
    <w:rsid w:val="00FB1476"/>
    <w:rsid w:val="00FB3EF0"/>
    <w:rsid w:val="00FB4DBA"/>
    <w:rsid w:val="00FB53E2"/>
    <w:rsid w:val="00FB5ECA"/>
    <w:rsid w:val="00FB667E"/>
    <w:rsid w:val="00FB78E2"/>
    <w:rsid w:val="00FB7B4E"/>
    <w:rsid w:val="00FC0C28"/>
    <w:rsid w:val="00FC2CD9"/>
    <w:rsid w:val="00FC309A"/>
    <w:rsid w:val="00FC5561"/>
    <w:rsid w:val="00FC63CE"/>
    <w:rsid w:val="00FD04D5"/>
    <w:rsid w:val="00FD0660"/>
    <w:rsid w:val="00FD133B"/>
    <w:rsid w:val="00FD21BA"/>
    <w:rsid w:val="00FD28BC"/>
    <w:rsid w:val="00FD2E24"/>
    <w:rsid w:val="00FD41C3"/>
    <w:rsid w:val="00FD506E"/>
    <w:rsid w:val="00FD606D"/>
    <w:rsid w:val="00FD72AC"/>
    <w:rsid w:val="00FD7CA4"/>
    <w:rsid w:val="00FE081F"/>
    <w:rsid w:val="00FE1A4B"/>
    <w:rsid w:val="00FE2974"/>
    <w:rsid w:val="00FE2FA8"/>
    <w:rsid w:val="00FE552D"/>
    <w:rsid w:val="00FE5E9D"/>
    <w:rsid w:val="00FE7396"/>
    <w:rsid w:val="00FE7FC7"/>
    <w:rsid w:val="00FF0150"/>
    <w:rsid w:val="00FF195C"/>
    <w:rsid w:val="00FF1B9D"/>
    <w:rsid w:val="00FF5E42"/>
    <w:rsid w:val="00FF7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09EDE"/>
  <w15:docId w15:val="{04EA53A4-7E6C-4E60-B03B-E1F2C631B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Arial"/>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50F4"/>
    <w:rPr>
      <w:rFonts w:cs="Times New Roman"/>
    </w:rPr>
  </w:style>
  <w:style w:type="paragraph" w:styleId="Heading1">
    <w:name w:val="heading 1"/>
    <w:basedOn w:val="Normal"/>
    <w:next w:val="Normal"/>
    <w:link w:val="Heading1Char"/>
    <w:autoRedefine/>
    <w:uiPriority w:val="9"/>
    <w:qFormat/>
    <w:rsid w:val="00156B8B"/>
    <w:pPr>
      <w:numPr>
        <w:numId w:val="15"/>
      </w:numPr>
      <w:autoSpaceDE w:val="0"/>
      <w:autoSpaceDN w:val="0"/>
      <w:adjustRightInd w:val="0"/>
      <w:spacing w:before="120" w:after="120" w:line="360" w:lineRule="auto"/>
      <w:ind w:left="360" w:hanging="360"/>
      <w:jc w:val="center"/>
      <w:outlineLvl w:val="0"/>
    </w:pPr>
    <w:rPr>
      <w:b/>
      <w:bCs/>
      <w:caps/>
      <w:color w:val="000000" w:themeColor="text1"/>
      <w:sz w:val="28"/>
    </w:rPr>
  </w:style>
  <w:style w:type="paragraph" w:styleId="Heading2">
    <w:name w:val="heading 2"/>
    <w:basedOn w:val="Normal"/>
    <w:next w:val="Normal"/>
    <w:link w:val="Heading2Char"/>
    <w:autoRedefine/>
    <w:uiPriority w:val="9"/>
    <w:qFormat/>
    <w:rsid w:val="002F7368"/>
    <w:pPr>
      <w:keepNext/>
      <w:numPr>
        <w:ilvl w:val="1"/>
        <w:numId w:val="22"/>
      </w:numPr>
      <w:spacing w:line="480" w:lineRule="auto"/>
      <w:jc w:val="center"/>
      <w:outlineLvl w:val="1"/>
    </w:pPr>
    <w:rPr>
      <w:b/>
      <w:bCs/>
      <w:iCs/>
      <w:color w:val="000000" w:themeColor="text1"/>
    </w:rPr>
  </w:style>
  <w:style w:type="paragraph" w:styleId="Heading3">
    <w:name w:val="heading 3"/>
    <w:basedOn w:val="Normal"/>
    <w:next w:val="Normal"/>
    <w:link w:val="Heading3Char"/>
    <w:autoRedefine/>
    <w:uiPriority w:val="9"/>
    <w:qFormat/>
    <w:rsid w:val="006E67B1"/>
    <w:pPr>
      <w:keepNext/>
      <w:numPr>
        <w:ilvl w:val="2"/>
        <w:numId w:val="22"/>
      </w:numPr>
      <w:spacing w:line="480" w:lineRule="auto"/>
      <w:ind w:left="0" w:firstLine="0"/>
      <w:jc w:val="both"/>
      <w:outlineLvl w:val="2"/>
    </w:pPr>
    <w:rPr>
      <w:b/>
      <w:bCs/>
      <w:iCs/>
      <w:szCs w:val="26"/>
    </w:rPr>
  </w:style>
  <w:style w:type="paragraph" w:styleId="Heading4">
    <w:name w:val="heading 4"/>
    <w:basedOn w:val="ListParagraph"/>
    <w:next w:val="Normal"/>
    <w:link w:val="Heading4Char"/>
    <w:uiPriority w:val="9"/>
    <w:unhideWhenUsed/>
    <w:qFormat/>
    <w:rsid w:val="005552E2"/>
    <w:pPr>
      <w:numPr>
        <w:ilvl w:val="3"/>
        <w:numId w:val="22"/>
      </w:numPr>
      <w:spacing w:line="480" w:lineRule="auto"/>
      <w:outlineLvl w:val="3"/>
    </w:pPr>
    <w:rPr>
      <w:b/>
      <w:bCs/>
    </w:rPr>
  </w:style>
  <w:style w:type="paragraph" w:styleId="Heading5">
    <w:name w:val="heading 5"/>
    <w:basedOn w:val="Normal"/>
    <w:next w:val="Normal"/>
    <w:link w:val="Heading5Char"/>
    <w:uiPriority w:val="9"/>
    <w:semiHidden/>
    <w:unhideWhenUsed/>
    <w:qFormat/>
    <w:rsid w:val="00C067FC"/>
    <w:pPr>
      <w:keepNext/>
      <w:keepLines/>
      <w:numPr>
        <w:ilvl w:val="4"/>
        <w:numId w:val="22"/>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067FC"/>
    <w:pPr>
      <w:keepNext/>
      <w:keepLines/>
      <w:numPr>
        <w:ilvl w:val="5"/>
        <w:numId w:val="22"/>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uiPriority w:val="9"/>
    <w:semiHidden/>
    <w:unhideWhenUsed/>
    <w:qFormat/>
    <w:rsid w:val="00C067FC"/>
    <w:pPr>
      <w:keepNext/>
      <w:keepLines/>
      <w:numPr>
        <w:ilvl w:val="6"/>
        <w:numId w:val="22"/>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uiPriority w:val="9"/>
    <w:semiHidden/>
    <w:unhideWhenUsed/>
    <w:qFormat/>
    <w:rsid w:val="00C067FC"/>
    <w:pPr>
      <w:keepNext/>
      <w:keepLines/>
      <w:numPr>
        <w:ilvl w:val="7"/>
        <w:numId w:val="2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067FC"/>
    <w:pPr>
      <w:keepNext/>
      <w:keepLines/>
      <w:numPr>
        <w:ilvl w:val="8"/>
        <w:numId w:val="2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link w:val="TitleChar"/>
    <w:autoRedefine/>
    <w:uiPriority w:val="10"/>
    <w:qFormat/>
    <w:rsid w:val="00C15A8F"/>
    <w:pPr>
      <w:autoSpaceDE w:val="0"/>
      <w:autoSpaceDN w:val="0"/>
      <w:adjustRightInd w:val="0"/>
      <w:spacing w:line="480" w:lineRule="auto"/>
      <w:jc w:val="center"/>
    </w:pPr>
    <w:rPr>
      <w:b/>
      <w:bCs/>
      <w:lang w:val="en-CA"/>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link w:val="SubtitleChar"/>
    <w:autoRedefine/>
    <w:uiPriority w:val="11"/>
    <w:qFormat/>
    <w:rsid w:val="00E8514D"/>
    <w:pPr>
      <w:autoSpaceDE w:val="0"/>
      <w:autoSpaceDN w:val="0"/>
      <w:adjustRightInd w:val="0"/>
      <w:spacing w:before="240"/>
      <w:jc w:val="center"/>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style>
  <w:style w:type="character" w:styleId="PageNumber">
    <w:name w:val="page number"/>
    <w:basedOn w:val="DefaultParagraphFont"/>
    <w:uiPriority w:val="99"/>
    <w:rsid w:val="00665C7E"/>
  </w:style>
  <w:style w:type="paragraph" w:styleId="BodyText2">
    <w:name w:val="Body Text 2"/>
    <w:basedOn w:val="Normal"/>
    <w:link w:val="BodyText2Char"/>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noProof/>
    </w:rPr>
  </w:style>
  <w:style w:type="paragraph" w:styleId="BodyTextIndent2">
    <w:name w:val="Body Text Indent 2"/>
    <w:basedOn w:val="Normal"/>
    <w:link w:val="BodyTextIndent2Char"/>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sz w:val="17"/>
      <w:szCs w:val="17"/>
    </w:rPr>
  </w:style>
  <w:style w:type="paragraph" w:styleId="BodyTextIndent3">
    <w:name w:val="Body Text Indent 3"/>
    <w:basedOn w:val="Normal"/>
    <w:link w:val="BodyTextIndent3Char"/>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table" w:styleId="TableGrid">
    <w:name w:val="Table Grid"/>
    <w:basedOn w:val="TableNormal"/>
    <w:uiPriority w:val="39"/>
    <w:rsid w:val="00177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qFormat/>
    <w:rsid w:val="00D83B30"/>
    <w:rPr>
      <w:rFonts w:ascii="Arial" w:hAnsi="Arial"/>
      <w:color w:val="auto"/>
      <w:sz w:val="24"/>
      <w:u w:val="none"/>
    </w:rPr>
  </w:style>
  <w:style w:type="paragraph" w:styleId="TOC1">
    <w:name w:val="toc 1"/>
    <w:basedOn w:val="Normal"/>
    <w:next w:val="Normal"/>
    <w:autoRedefine/>
    <w:uiPriority w:val="39"/>
    <w:rsid w:val="00CA08DF"/>
    <w:pPr>
      <w:tabs>
        <w:tab w:val="right" w:leader="dot" w:pos="8630"/>
      </w:tabs>
      <w:spacing w:line="480" w:lineRule="auto"/>
      <w:ind w:left="450" w:hanging="450"/>
    </w:pPr>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uiPriority w:val="39"/>
    <w:rsid w:val="00665C7E"/>
    <w:pPr>
      <w:ind w:left="720"/>
    </w:pPr>
  </w:style>
  <w:style w:type="paragraph" w:styleId="TOC5">
    <w:name w:val="toc 5"/>
    <w:basedOn w:val="Normal"/>
    <w:next w:val="Normal"/>
    <w:autoRedefine/>
    <w:uiPriority w:val="39"/>
    <w:rsid w:val="00665C7E"/>
    <w:pPr>
      <w:ind w:left="960"/>
    </w:pPr>
  </w:style>
  <w:style w:type="paragraph" w:styleId="TOC6">
    <w:name w:val="toc 6"/>
    <w:basedOn w:val="Normal"/>
    <w:next w:val="Normal"/>
    <w:autoRedefine/>
    <w:uiPriority w:val="39"/>
    <w:rsid w:val="00665C7E"/>
    <w:pPr>
      <w:ind w:left="1200"/>
    </w:pPr>
  </w:style>
  <w:style w:type="paragraph" w:styleId="TOC7">
    <w:name w:val="toc 7"/>
    <w:basedOn w:val="Normal"/>
    <w:next w:val="Normal"/>
    <w:autoRedefine/>
    <w:uiPriority w:val="39"/>
    <w:rsid w:val="00665C7E"/>
    <w:pPr>
      <w:ind w:left="1440"/>
    </w:pPr>
  </w:style>
  <w:style w:type="paragraph" w:styleId="TOC8">
    <w:name w:val="toc 8"/>
    <w:basedOn w:val="Normal"/>
    <w:next w:val="Normal"/>
    <w:autoRedefine/>
    <w:uiPriority w:val="39"/>
    <w:rsid w:val="00665C7E"/>
    <w:pPr>
      <w:ind w:left="1680"/>
    </w:pPr>
  </w:style>
  <w:style w:type="paragraph" w:styleId="TOC9">
    <w:name w:val="toc 9"/>
    <w:basedOn w:val="Normal"/>
    <w:next w:val="Normal"/>
    <w:autoRedefine/>
    <w:uiPriority w:val="39"/>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caps w:val="0"/>
      <w:szCs w:val="28"/>
    </w:rPr>
  </w:style>
  <w:style w:type="character" w:customStyle="1" w:styleId="Heading1Char">
    <w:name w:val="Heading 1 Char"/>
    <w:link w:val="Heading1"/>
    <w:uiPriority w:val="9"/>
    <w:rsid w:val="00156B8B"/>
    <w:rPr>
      <w:rFonts w:cs="Times New Roman"/>
      <w:b/>
      <w:bCs/>
      <w:caps/>
      <w:color w:val="000000" w:themeColor="text1"/>
      <w:sz w:val="28"/>
    </w:rPr>
  </w:style>
  <w:style w:type="character" w:customStyle="1" w:styleId="StyleHeading1CenteredChar">
    <w:name w:val="Style Heading 1 + Centered Char"/>
    <w:link w:val="StyleHeading1Centered"/>
    <w:rsid w:val="003C1575"/>
    <w:rPr>
      <w:rFonts w:cs="Times New Roman"/>
      <w:b/>
      <w:bCs/>
      <w:color w:val="000000" w:themeColor="text1"/>
      <w:sz w:val="28"/>
      <w:szCs w:val="28"/>
    </w:rPr>
  </w:style>
  <w:style w:type="paragraph" w:styleId="TOCHeading">
    <w:name w:val="TOC Heading"/>
    <w:basedOn w:val="Heading1"/>
    <w:next w:val="Normal"/>
    <w:autoRedefine/>
    <w:uiPriority w:val="39"/>
    <w:unhideWhenUsed/>
    <w:qFormat/>
    <w:rsid w:val="00E91931"/>
    <w:pPr>
      <w:keepNext/>
      <w:keepLines/>
      <w:numPr>
        <w:numId w:val="0"/>
      </w:numPr>
      <w:autoSpaceDE/>
      <w:autoSpaceDN/>
      <w:adjustRightInd/>
      <w:spacing w:before="240" w:line="259" w:lineRule="auto"/>
      <w:outlineLvl w:val="9"/>
    </w:pPr>
    <w:rPr>
      <w:bCs w:val="0"/>
      <w:color w:val="auto"/>
    </w:rPr>
  </w:style>
  <w:style w:type="character" w:styleId="Strong">
    <w:name w:val="Strong"/>
    <w:basedOn w:val="DefaultParagraphFont"/>
    <w:qFormat/>
    <w:rsid w:val="005906A3"/>
    <w:rPr>
      <w:b/>
      <w:bCs/>
    </w:rPr>
  </w:style>
  <w:style w:type="character" w:styleId="IntenseEmphasis">
    <w:name w:val="Intense Emphasis"/>
    <w:basedOn w:val="DefaultParagraphFont"/>
    <w:uiPriority w:val="21"/>
    <w:qFormat/>
    <w:rsid w:val="003F7FED"/>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3F7FED"/>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F7FED"/>
    <w:rPr>
      <w:rFonts w:asciiTheme="majorHAnsi" w:hAnsiTheme="majorHAnsi"/>
      <w:i/>
      <w:iCs/>
      <w:color w:val="000000" w:themeColor="text1"/>
    </w:rPr>
  </w:style>
  <w:style w:type="character" w:styleId="SubtleReference">
    <w:name w:val="Subtle Reference"/>
    <w:basedOn w:val="DefaultParagraphFont"/>
    <w:uiPriority w:val="31"/>
    <w:qFormat/>
    <w:rsid w:val="003F7FED"/>
    <w:rPr>
      <w:rFonts w:asciiTheme="majorHAnsi" w:hAnsiTheme="majorHAnsi"/>
      <w:smallCaps/>
      <w:color w:val="5A5A5A" w:themeColor="text1" w:themeTint="A5"/>
    </w:rPr>
  </w:style>
  <w:style w:type="character" w:styleId="IntenseReference">
    <w:name w:val="Intense Reference"/>
    <w:basedOn w:val="DefaultParagraphFont"/>
    <w:uiPriority w:val="32"/>
    <w:qFormat/>
    <w:rsid w:val="003F7FED"/>
    <w:rPr>
      <w:b/>
      <w:bCs/>
      <w:smallCaps/>
      <w:color w:val="000000" w:themeColor="text1"/>
      <w:spacing w:val="5"/>
    </w:rPr>
  </w:style>
  <w:style w:type="character" w:styleId="Emphasis">
    <w:name w:val="Emphasis"/>
    <w:basedOn w:val="DefaultParagraphFont"/>
    <w:qFormat/>
    <w:rsid w:val="003F7FED"/>
    <w:rPr>
      <w:rFonts w:asciiTheme="majorHAnsi" w:hAnsiTheme="majorHAnsi"/>
      <w:i/>
      <w:iCs/>
    </w:rPr>
  </w:style>
  <w:style w:type="paragraph" w:styleId="NoSpacing">
    <w:name w:val="No Spacing"/>
    <w:aliases w:val="Equations"/>
    <w:autoRedefine/>
    <w:uiPriority w:val="1"/>
    <w:qFormat/>
    <w:rsid w:val="003F7FED"/>
    <w:rPr>
      <w:rFonts w:asciiTheme="majorHAnsi" w:hAnsiTheme="majorHAnsi"/>
    </w:rPr>
  </w:style>
  <w:style w:type="character" w:styleId="SubtleEmphasis">
    <w:name w:val="Subtle Emphasis"/>
    <w:basedOn w:val="DefaultParagraphFont"/>
    <w:uiPriority w:val="19"/>
    <w:qFormat/>
    <w:rsid w:val="003F7FED"/>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3F7FE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F7FED"/>
    <w:rPr>
      <w:i/>
      <w:iCs/>
      <w:color w:val="404040" w:themeColor="text1" w:themeTint="BF"/>
    </w:rPr>
  </w:style>
  <w:style w:type="paragraph" w:styleId="ListParagraph">
    <w:name w:val="List Paragraph"/>
    <w:basedOn w:val="Normal"/>
    <w:autoRedefine/>
    <w:uiPriority w:val="34"/>
    <w:qFormat/>
    <w:rsid w:val="007846D2"/>
    <w:pPr>
      <w:numPr>
        <w:numId w:val="16"/>
      </w:numPr>
      <w:contextualSpacing/>
    </w:pPr>
    <w:rPr>
      <w:i/>
      <w:iCs/>
    </w:rPr>
  </w:style>
  <w:style w:type="character" w:customStyle="1" w:styleId="FooterChar">
    <w:name w:val="Footer Char"/>
    <w:basedOn w:val="DefaultParagraphFont"/>
    <w:link w:val="Footer"/>
    <w:uiPriority w:val="99"/>
    <w:rsid w:val="00852266"/>
    <w:rPr>
      <w:rFonts w:asciiTheme="majorHAnsi" w:hAnsiTheme="majorHAnsi"/>
    </w:rPr>
  </w:style>
  <w:style w:type="character" w:styleId="FollowedHyperlink">
    <w:name w:val="FollowedHyperlink"/>
    <w:basedOn w:val="DefaultParagraphFont"/>
    <w:uiPriority w:val="99"/>
    <w:semiHidden/>
    <w:unhideWhenUsed/>
    <w:rsid w:val="0065123B"/>
    <w:rPr>
      <w:color w:val="800080" w:themeColor="followedHyperlink"/>
      <w:u w:val="single"/>
    </w:rPr>
  </w:style>
  <w:style w:type="numbering" w:customStyle="1" w:styleId="Caption2">
    <w:name w:val="Caption2"/>
    <w:basedOn w:val="NoList"/>
    <w:uiPriority w:val="99"/>
    <w:rsid w:val="00861CAB"/>
    <w:pPr>
      <w:numPr>
        <w:numId w:val="1"/>
      </w:numPr>
    </w:pPr>
  </w:style>
  <w:style w:type="paragraph" w:customStyle="1" w:styleId="Chapter">
    <w:name w:val="Chapter"/>
    <w:basedOn w:val="Heading1"/>
    <w:next w:val="Heading1"/>
    <w:link w:val="ChapterChar"/>
    <w:autoRedefine/>
    <w:rsid w:val="001F2E4E"/>
    <w:pPr>
      <w:numPr>
        <w:numId w:val="22"/>
      </w:numPr>
    </w:pPr>
    <w:rPr>
      <w:rFonts w:eastAsiaTheme="majorEastAsia"/>
      <w:sz w:val="24"/>
      <w:shd w:val="clear" w:color="auto" w:fill="FFFFFF"/>
    </w:rPr>
  </w:style>
  <w:style w:type="paragraph" w:styleId="Caption">
    <w:name w:val="caption"/>
    <w:basedOn w:val="Normal"/>
    <w:next w:val="Normal"/>
    <w:autoRedefine/>
    <w:unhideWhenUsed/>
    <w:qFormat/>
    <w:rsid w:val="00EF06D4"/>
    <w:pPr>
      <w:keepNext/>
      <w:spacing w:before="120" w:after="120"/>
    </w:pPr>
    <w:rPr>
      <w:b/>
      <w:bCs/>
      <w:iCs/>
      <w:color w:val="000000" w:themeColor="text1"/>
      <w:szCs w:val="22"/>
    </w:rPr>
  </w:style>
  <w:style w:type="character" w:customStyle="1" w:styleId="ChapterChar">
    <w:name w:val="Chapter Char"/>
    <w:basedOn w:val="StyleHeading1CenteredChar"/>
    <w:link w:val="Chapter"/>
    <w:rsid w:val="001F2E4E"/>
    <w:rPr>
      <w:rFonts w:eastAsiaTheme="majorEastAsia" w:cs="Times New Roman"/>
      <w:b/>
      <w:bCs/>
      <w:caps/>
      <w:color w:val="000000" w:themeColor="text1"/>
      <w:sz w:val="28"/>
      <w:szCs w:val="28"/>
    </w:rPr>
  </w:style>
  <w:style w:type="character" w:customStyle="1" w:styleId="Heading4Char">
    <w:name w:val="Heading 4 Char"/>
    <w:basedOn w:val="DefaultParagraphFont"/>
    <w:link w:val="Heading4"/>
    <w:uiPriority w:val="9"/>
    <w:rsid w:val="005552E2"/>
    <w:rPr>
      <w:rFonts w:cs="Times New Roman"/>
      <w:b/>
      <w:bCs/>
      <w:i/>
      <w:iCs/>
    </w:rPr>
  </w:style>
  <w:style w:type="character" w:customStyle="1" w:styleId="Heading5Char">
    <w:name w:val="Heading 5 Char"/>
    <w:basedOn w:val="DefaultParagraphFont"/>
    <w:link w:val="Heading5"/>
    <w:uiPriority w:val="9"/>
    <w:semiHidden/>
    <w:rsid w:val="00C067F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C067FC"/>
    <w:rPr>
      <w:rFonts w:eastAsiaTheme="majorEastAsia" w:cstheme="majorBidi"/>
      <w:color w:val="243F60" w:themeColor="accent1" w:themeShade="7F"/>
    </w:rPr>
  </w:style>
  <w:style w:type="character" w:customStyle="1" w:styleId="Heading7Char">
    <w:name w:val="Heading 7 Char"/>
    <w:basedOn w:val="DefaultParagraphFont"/>
    <w:link w:val="Heading7"/>
    <w:uiPriority w:val="9"/>
    <w:semiHidden/>
    <w:rsid w:val="00C067FC"/>
    <w:rPr>
      <w:rFonts w:eastAsiaTheme="majorEastAsia" w:cstheme="majorBidi"/>
      <w:i/>
      <w:iCs/>
      <w:color w:val="243F60" w:themeColor="accent1" w:themeShade="7F"/>
    </w:rPr>
  </w:style>
  <w:style w:type="character" w:customStyle="1" w:styleId="Heading8Char">
    <w:name w:val="Heading 8 Char"/>
    <w:basedOn w:val="DefaultParagraphFont"/>
    <w:link w:val="Heading8"/>
    <w:uiPriority w:val="9"/>
    <w:semiHidden/>
    <w:rsid w:val="00C067FC"/>
    <w:rPr>
      <w:rFonts w:eastAsiaTheme="majorEastAsia"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067FC"/>
    <w:rPr>
      <w:rFonts w:eastAsiaTheme="majorEastAsia" w:cstheme="majorBidi"/>
      <w:i/>
      <w:iCs/>
      <w:color w:val="272727" w:themeColor="text1" w:themeTint="D8"/>
      <w:sz w:val="21"/>
      <w:szCs w:val="21"/>
    </w:rPr>
  </w:style>
  <w:style w:type="numbering" w:styleId="111111">
    <w:name w:val="Outline List 2"/>
    <w:basedOn w:val="NoList"/>
    <w:semiHidden/>
    <w:unhideWhenUsed/>
    <w:rsid w:val="00861CAB"/>
    <w:pPr>
      <w:numPr>
        <w:numId w:val="2"/>
      </w:numPr>
    </w:pPr>
  </w:style>
  <w:style w:type="table" w:styleId="GridTable5Dark">
    <w:name w:val="Grid Table 5 Dark"/>
    <w:basedOn w:val="TableNormal"/>
    <w:uiPriority w:val="50"/>
    <w:rsid w:val="00177D0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177D0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BodyTextChar">
    <w:name w:val="Body Text Char"/>
    <w:basedOn w:val="DefaultParagraphFont"/>
    <w:link w:val="BodyText"/>
    <w:rsid w:val="00A56B44"/>
    <w:rPr>
      <w:rFonts w:asciiTheme="majorHAnsi" w:hAnsiTheme="majorHAnsi"/>
      <w:sz w:val="22"/>
      <w:szCs w:val="22"/>
    </w:rPr>
  </w:style>
  <w:style w:type="character" w:customStyle="1" w:styleId="BodyTextIndentChar">
    <w:name w:val="Body Text Indent Char"/>
    <w:basedOn w:val="DefaultParagraphFont"/>
    <w:link w:val="BodyTextIndent"/>
    <w:rsid w:val="00A56B44"/>
    <w:rPr>
      <w:rFonts w:asciiTheme="majorHAnsi" w:hAnsiTheme="majorHAnsi"/>
      <w:sz w:val="32"/>
      <w:szCs w:val="32"/>
    </w:rPr>
  </w:style>
  <w:style w:type="paragraph" w:customStyle="1" w:styleId="AltHeading1">
    <w:name w:val="AltHeading1"/>
    <w:basedOn w:val="Heading1"/>
    <w:autoRedefine/>
    <w:qFormat/>
    <w:rsid w:val="00BD186E"/>
    <w:pPr>
      <w:numPr>
        <w:numId w:val="0"/>
      </w:numPr>
    </w:pPr>
    <w:rPr>
      <w:bCs w:val="0"/>
      <w:sz w:val="24"/>
    </w:rPr>
  </w:style>
  <w:style w:type="character" w:styleId="UnresolvedMention">
    <w:name w:val="Unresolved Mention"/>
    <w:basedOn w:val="DefaultParagraphFont"/>
    <w:uiPriority w:val="99"/>
    <w:semiHidden/>
    <w:unhideWhenUsed/>
    <w:rsid w:val="00D23F21"/>
    <w:rPr>
      <w:color w:val="605E5C"/>
      <w:shd w:val="clear" w:color="auto" w:fill="E1DFDD"/>
    </w:rPr>
  </w:style>
  <w:style w:type="paragraph" w:styleId="Revision">
    <w:name w:val="Revision"/>
    <w:hidden/>
    <w:uiPriority w:val="99"/>
    <w:semiHidden/>
    <w:rsid w:val="00A278A8"/>
    <w:rPr>
      <w:rFonts w:asciiTheme="minorHAnsi" w:eastAsiaTheme="minorHAnsi" w:hAnsiTheme="minorHAnsi" w:cstheme="minorBidi"/>
    </w:rPr>
  </w:style>
  <w:style w:type="character" w:styleId="LineNumber">
    <w:name w:val="line number"/>
    <w:basedOn w:val="DefaultParagraphFont"/>
    <w:uiPriority w:val="99"/>
    <w:semiHidden/>
    <w:unhideWhenUsed/>
    <w:rsid w:val="00A278A8"/>
  </w:style>
  <w:style w:type="character" w:customStyle="1" w:styleId="Heading2Char">
    <w:name w:val="Heading 2 Char"/>
    <w:basedOn w:val="DefaultParagraphFont"/>
    <w:link w:val="Heading2"/>
    <w:uiPriority w:val="9"/>
    <w:rsid w:val="002F7368"/>
    <w:rPr>
      <w:rFonts w:cs="Times New Roman"/>
      <w:b/>
      <w:bCs/>
      <w:iCs/>
      <w:color w:val="000000" w:themeColor="text1"/>
    </w:rPr>
  </w:style>
  <w:style w:type="character" w:customStyle="1" w:styleId="TitleChar">
    <w:name w:val="Title Char"/>
    <w:basedOn w:val="DefaultParagraphFont"/>
    <w:link w:val="Title"/>
    <w:uiPriority w:val="10"/>
    <w:rsid w:val="00C15A8F"/>
    <w:rPr>
      <w:rFonts w:cs="Times New Roman"/>
      <w:b/>
      <w:bCs/>
      <w:lang w:val="en-CA"/>
    </w:rPr>
  </w:style>
  <w:style w:type="character" w:customStyle="1" w:styleId="SubtitleChar">
    <w:name w:val="Subtitle Char"/>
    <w:basedOn w:val="DefaultParagraphFont"/>
    <w:link w:val="Subtitle"/>
    <w:uiPriority w:val="11"/>
    <w:rsid w:val="00E8514D"/>
    <w:rPr>
      <w:rFonts w:cs="Times New Roman"/>
      <w:b/>
      <w:bCs/>
    </w:rPr>
  </w:style>
  <w:style w:type="character" w:styleId="PlaceholderText">
    <w:name w:val="Placeholder Text"/>
    <w:basedOn w:val="DefaultParagraphFont"/>
    <w:uiPriority w:val="99"/>
    <w:semiHidden/>
    <w:rsid w:val="00A278A8"/>
    <w:rPr>
      <w:color w:val="808080"/>
    </w:rPr>
  </w:style>
  <w:style w:type="character" w:styleId="CommentReference">
    <w:name w:val="annotation reference"/>
    <w:basedOn w:val="DefaultParagraphFont"/>
    <w:uiPriority w:val="99"/>
    <w:semiHidden/>
    <w:unhideWhenUsed/>
    <w:rsid w:val="00A278A8"/>
    <w:rPr>
      <w:sz w:val="16"/>
      <w:szCs w:val="16"/>
    </w:rPr>
  </w:style>
  <w:style w:type="paragraph" w:styleId="CommentText">
    <w:name w:val="annotation text"/>
    <w:basedOn w:val="Normal"/>
    <w:link w:val="CommentTextChar"/>
    <w:uiPriority w:val="99"/>
    <w:unhideWhenUsed/>
    <w:rsid w:val="00A278A8"/>
    <w:rPr>
      <w:sz w:val="20"/>
      <w:szCs w:val="20"/>
    </w:rPr>
  </w:style>
  <w:style w:type="character" w:customStyle="1" w:styleId="CommentTextChar">
    <w:name w:val="Comment Text Char"/>
    <w:basedOn w:val="DefaultParagraphFont"/>
    <w:link w:val="CommentText"/>
    <w:uiPriority w:val="99"/>
    <w:rsid w:val="00A278A8"/>
    <w:rPr>
      <w:rFonts w:cs="Times New Roman"/>
      <w:sz w:val="20"/>
      <w:szCs w:val="20"/>
    </w:rPr>
  </w:style>
  <w:style w:type="paragraph" w:styleId="CommentSubject">
    <w:name w:val="annotation subject"/>
    <w:basedOn w:val="CommentText"/>
    <w:next w:val="CommentText"/>
    <w:link w:val="CommentSubjectChar"/>
    <w:uiPriority w:val="99"/>
    <w:semiHidden/>
    <w:unhideWhenUsed/>
    <w:rsid w:val="00A278A8"/>
    <w:rPr>
      <w:b/>
      <w:bCs/>
    </w:rPr>
  </w:style>
  <w:style w:type="character" w:customStyle="1" w:styleId="CommentSubjectChar">
    <w:name w:val="Comment Subject Char"/>
    <w:basedOn w:val="CommentTextChar"/>
    <w:link w:val="CommentSubject"/>
    <w:uiPriority w:val="99"/>
    <w:semiHidden/>
    <w:rsid w:val="00A278A8"/>
    <w:rPr>
      <w:rFonts w:cs="Times New Roman"/>
      <w:b/>
      <w:bCs/>
      <w:sz w:val="20"/>
      <w:szCs w:val="20"/>
    </w:rPr>
  </w:style>
  <w:style w:type="character" w:customStyle="1" w:styleId="HeaderChar">
    <w:name w:val="Header Char"/>
    <w:basedOn w:val="DefaultParagraphFont"/>
    <w:link w:val="Header"/>
    <w:uiPriority w:val="99"/>
    <w:rsid w:val="00A278A8"/>
    <w:rPr>
      <w:rFonts w:cs="Times New Roman"/>
    </w:rPr>
  </w:style>
  <w:style w:type="paragraph" w:styleId="BalloonText">
    <w:name w:val="Balloon Text"/>
    <w:basedOn w:val="Normal"/>
    <w:link w:val="BalloonTextChar"/>
    <w:uiPriority w:val="99"/>
    <w:semiHidden/>
    <w:unhideWhenUsed/>
    <w:rsid w:val="00A278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8A8"/>
    <w:rPr>
      <w:rFonts w:ascii="Segoe UI" w:hAnsi="Segoe UI" w:cs="Segoe UI"/>
      <w:sz w:val="18"/>
      <w:szCs w:val="18"/>
    </w:rPr>
  </w:style>
  <w:style w:type="character" w:customStyle="1" w:styleId="Heading3Char">
    <w:name w:val="Heading 3 Char"/>
    <w:basedOn w:val="DefaultParagraphFont"/>
    <w:link w:val="Heading3"/>
    <w:uiPriority w:val="9"/>
    <w:rsid w:val="006E67B1"/>
    <w:rPr>
      <w:rFonts w:cs="Times New Roman"/>
      <w:b/>
      <w:bCs/>
      <w:iCs/>
      <w:szCs w:val="26"/>
    </w:rPr>
  </w:style>
  <w:style w:type="paragraph" w:customStyle="1" w:styleId="msonormal0">
    <w:name w:val="msonormal"/>
    <w:basedOn w:val="Normal"/>
    <w:rsid w:val="00A278A8"/>
    <w:pPr>
      <w:spacing w:before="100" w:beforeAutospacing="1" w:after="100" w:afterAutospacing="1" w:line="480" w:lineRule="auto"/>
    </w:pPr>
    <w:rPr>
      <w:sz w:val="20"/>
      <w:szCs w:val="20"/>
    </w:rPr>
  </w:style>
  <w:style w:type="character" w:customStyle="1" w:styleId="z3988">
    <w:name w:val="z3988"/>
    <w:basedOn w:val="DefaultParagraphFont"/>
    <w:rsid w:val="00A278A8"/>
  </w:style>
  <w:style w:type="character" w:customStyle="1" w:styleId="accordion-tabbedtab-mobile">
    <w:name w:val="accordion-tabbed__tab-mobile"/>
    <w:basedOn w:val="DefaultParagraphFont"/>
    <w:rsid w:val="00A278A8"/>
  </w:style>
  <w:style w:type="character" w:customStyle="1" w:styleId="comma-separator">
    <w:name w:val="comma-separator"/>
    <w:basedOn w:val="DefaultParagraphFont"/>
    <w:rsid w:val="00A278A8"/>
  </w:style>
  <w:style w:type="paragraph" w:customStyle="1" w:styleId="Default">
    <w:name w:val="Default"/>
    <w:rsid w:val="00A278A8"/>
    <w:pPr>
      <w:autoSpaceDE w:val="0"/>
      <w:autoSpaceDN w:val="0"/>
      <w:adjustRightInd w:val="0"/>
    </w:pPr>
    <w:rPr>
      <w:rFonts w:ascii="MDLEO F+ Gulliver" w:eastAsiaTheme="minorHAnsi" w:hAnsi="MDLEO F+ Gulliver" w:cs="MDLEO F+ Gulliver"/>
      <w:color w:val="000000"/>
    </w:rPr>
  </w:style>
  <w:style w:type="numbering" w:customStyle="1" w:styleId="CurrentList1">
    <w:name w:val="Current List1"/>
    <w:uiPriority w:val="99"/>
    <w:rsid w:val="005D1C28"/>
    <w:pPr>
      <w:numPr>
        <w:numId w:val="3"/>
      </w:numPr>
    </w:pPr>
  </w:style>
  <w:style w:type="numbering" w:customStyle="1" w:styleId="CurrentList2">
    <w:name w:val="Current List2"/>
    <w:uiPriority w:val="99"/>
    <w:rsid w:val="005D1C28"/>
    <w:pPr>
      <w:numPr>
        <w:numId w:val="4"/>
      </w:numPr>
    </w:pPr>
  </w:style>
  <w:style w:type="numbering" w:customStyle="1" w:styleId="CurrentList3">
    <w:name w:val="Current List3"/>
    <w:uiPriority w:val="99"/>
    <w:rsid w:val="00481A49"/>
    <w:pPr>
      <w:numPr>
        <w:numId w:val="5"/>
      </w:numPr>
    </w:pPr>
  </w:style>
  <w:style w:type="numbering" w:customStyle="1" w:styleId="CurrentList4">
    <w:name w:val="Current List4"/>
    <w:uiPriority w:val="99"/>
    <w:rsid w:val="00481A49"/>
    <w:pPr>
      <w:numPr>
        <w:numId w:val="6"/>
      </w:numPr>
    </w:pPr>
  </w:style>
  <w:style w:type="numbering" w:customStyle="1" w:styleId="CurrentList5">
    <w:name w:val="Current List5"/>
    <w:uiPriority w:val="99"/>
    <w:rsid w:val="00481A49"/>
    <w:pPr>
      <w:numPr>
        <w:numId w:val="7"/>
      </w:numPr>
    </w:pPr>
  </w:style>
  <w:style w:type="numbering" w:customStyle="1" w:styleId="CurrentList6">
    <w:name w:val="Current List6"/>
    <w:uiPriority w:val="99"/>
    <w:rsid w:val="00481A49"/>
    <w:pPr>
      <w:numPr>
        <w:numId w:val="8"/>
      </w:numPr>
    </w:pPr>
  </w:style>
  <w:style w:type="numbering" w:customStyle="1" w:styleId="CurrentList7">
    <w:name w:val="Current List7"/>
    <w:uiPriority w:val="99"/>
    <w:rsid w:val="00481A49"/>
    <w:pPr>
      <w:numPr>
        <w:numId w:val="9"/>
      </w:numPr>
    </w:pPr>
  </w:style>
  <w:style w:type="numbering" w:customStyle="1" w:styleId="CurrentList8">
    <w:name w:val="Current List8"/>
    <w:uiPriority w:val="99"/>
    <w:rsid w:val="00481A49"/>
    <w:pPr>
      <w:numPr>
        <w:numId w:val="10"/>
      </w:numPr>
    </w:pPr>
  </w:style>
  <w:style w:type="numbering" w:customStyle="1" w:styleId="CurrentList9">
    <w:name w:val="Current List9"/>
    <w:uiPriority w:val="99"/>
    <w:rsid w:val="007846D2"/>
    <w:pPr>
      <w:numPr>
        <w:numId w:val="11"/>
      </w:numPr>
    </w:pPr>
  </w:style>
  <w:style w:type="numbering" w:customStyle="1" w:styleId="CurrentList10">
    <w:name w:val="Current List10"/>
    <w:uiPriority w:val="99"/>
    <w:rsid w:val="007846D2"/>
    <w:pPr>
      <w:numPr>
        <w:numId w:val="12"/>
      </w:numPr>
    </w:pPr>
  </w:style>
  <w:style w:type="numbering" w:customStyle="1" w:styleId="CurrentList11">
    <w:name w:val="Current List11"/>
    <w:uiPriority w:val="99"/>
    <w:rsid w:val="007846D2"/>
    <w:pPr>
      <w:numPr>
        <w:numId w:val="13"/>
      </w:numPr>
    </w:pPr>
  </w:style>
  <w:style w:type="numbering" w:customStyle="1" w:styleId="CurrentList12">
    <w:name w:val="Current List12"/>
    <w:uiPriority w:val="99"/>
    <w:rsid w:val="007846D2"/>
    <w:pPr>
      <w:numPr>
        <w:numId w:val="14"/>
      </w:numPr>
    </w:pPr>
  </w:style>
  <w:style w:type="numbering" w:customStyle="1" w:styleId="CurrentList13">
    <w:name w:val="Current List13"/>
    <w:uiPriority w:val="99"/>
    <w:rsid w:val="007846D2"/>
    <w:pPr>
      <w:numPr>
        <w:numId w:val="17"/>
      </w:numPr>
    </w:pPr>
  </w:style>
  <w:style w:type="paragraph" w:customStyle="1" w:styleId="NonNumberedHeading">
    <w:name w:val="Non Numbered Heading"/>
    <w:basedOn w:val="Normal"/>
    <w:qFormat/>
    <w:rsid w:val="00DC0065"/>
    <w:pPr>
      <w:spacing w:before="240" w:line="480" w:lineRule="auto"/>
      <w:jc w:val="center"/>
    </w:pPr>
    <w:rPr>
      <w:b/>
    </w:rPr>
  </w:style>
  <w:style w:type="paragraph" w:customStyle="1" w:styleId="NonNumberedHeading2">
    <w:name w:val="Non Numbered Heading 2"/>
    <w:basedOn w:val="Normal"/>
    <w:qFormat/>
    <w:rsid w:val="00A50E03"/>
    <w:pPr>
      <w:jc w:val="center"/>
    </w:pPr>
    <w:rPr>
      <w:b/>
      <w:bCs/>
    </w:rPr>
  </w:style>
  <w:style w:type="paragraph" w:customStyle="1" w:styleId="Tables">
    <w:name w:val="Tables"/>
    <w:basedOn w:val="Normal"/>
    <w:qFormat/>
    <w:rsid w:val="002B1F0A"/>
    <w:rPr>
      <w:color w:val="000000" w:themeColor="text1"/>
    </w:rPr>
  </w:style>
  <w:style w:type="character" w:customStyle="1" w:styleId="BodyText2Char">
    <w:name w:val="Body Text 2 Char"/>
    <w:basedOn w:val="DefaultParagraphFont"/>
    <w:link w:val="BodyText2"/>
    <w:rsid w:val="002E292D"/>
    <w:rPr>
      <w:rFonts w:cs="Times New Roman"/>
      <w:noProof/>
    </w:rPr>
  </w:style>
  <w:style w:type="character" w:customStyle="1" w:styleId="BodyTextIndent2Char">
    <w:name w:val="Body Text Indent 2 Char"/>
    <w:basedOn w:val="DefaultParagraphFont"/>
    <w:link w:val="BodyTextIndent2"/>
    <w:rsid w:val="002E292D"/>
    <w:rPr>
      <w:rFonts w:cs="Times New Roman"/>
      <w:sz w:val="17"/>
      <w:szCs w:val="17"/>
    </w:rPr>
  </w:style>
  <w:style w:type="character" w:customStyle="1" w:styleId="BodyTextIndent3Char">
    <w:name w:val="Body Text Indent 3 Char"/>
    <w:basedOn w:val="DefaultParagraphFont"/>
    <w:link w:val="BodyTextIndent3"/>
    <w:rsid w:val="002E292D"/>
    <w:rPr>
      <w:rFonts w:cs="Times New Roman"/>
      <w:sz w:val="20"/>
    </w:rPr>
  </w:style>
  <w:style w:type="numbering" w:customStyle="1" w:styleId="CurrentList14">
    <w:name w:val="Current List14"/>
    <w:uiPriority w:val="99"/>
    <w:rsid w:val="006534AC"/>
    <w:pPr>
      <w:numPr>
        <w:numId w:val="19"/>
      </w:numPr>
    </w:pPr>
  </w:style>
  <w:style w:type="numbering" w:styleId="ArticleSection">
    <w:name w:val="Outline List 3"/>
    <w:basedOn w:val="NoList"/>
    <w:semiHidden/>
    <w:unhideWhenUsed/>
    <w:rsid w:val="006534AC"/>
    <w:pPr>
      <w:numPr>
        <w:numId w:val="20"/>
      </w:numPr>
    </w:pPr>
  </w:style>
  <w:style w:type="numbering" w:styleId="1ai">
    <w:name w:val="Outline List 1"/>
    <w:basedOn w:val="NoList"/>
    <w:semiHidden/>
    <w:unhideWhenUsed/>
    <w:rsid w:val="006534AC"/>
    <w:pPr>
      <w:numPr>
        <w:numId w:val="21"/>
      </w:numPr>
    </w:pPr>
  </w:style>
  <w:style w:type="paragraph" w:customStyle="1" w:styleId="FigureCaption">
    <w:name w:val="Figure Caption"/>
    <w:basedOn w:val="Tables"/>
    <w:qFormat/>
    <w:rsid w:val="00F23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7471">
      <w:bodyDiv w:val="1"/>
      <w:marLeft w:val="0"/>
      <w:marRight w:val="0"/>
      <w:marTop w:val="0"/>
      <w:marBottom w:val="0"/>
      <w:divBdr>
        <w:top w:val="none" w:sz="0" w:space="0" w:color="auto"/>
        <w:left w:val="none" w:sz="0" w:space="0" w:color="auto"/>
        <w:bottom w:val="none" w:sz="0" w:space="0" w:color="auto"/>
        <w:right w:val="none" w:sz="0" w:space="0" w:color="auto"/>
      </w:divBdr>
    </w:div>
    <w:div w:id="3825146">
      <w:bodyDiv w:val="1"/>
      <w:marLeft w:val="0"/>
      <w:marRight w:val="0"/>
      <w:marTop w:val="0"/>
      <w:marBottom w:val="0"/>
      <w:divBdr>
        <w:top w:val="none" w:sz="0" w:space="0" w:color="auto"/>
        <w:left w:val="none" w:sz="0" w:space="0" w:color="auto"/>
        <w:bottom w:val="none" w:sz="0" w:space="0" w:color="auto"/>
        <w:right w:val="none" w:sz="0" w:space="0" w:color="auto"/>
      </w:divBdr>
    </w:div>
    <w:div w:id="15886587">
      <w:bodyDiv w:val="1"/>
      <w:marLeft w:val="0"/>
      <w:marRight w:val="0"/>
      <w:marTop w:val="0"/>
      <w:marBottom w:val="0"/>
      <w:divBdr>
        <w:top w:val="none" w:sz="0" w:space="0" w:color="auto"/>
        <w:left w:val="none" w:sz="0" w:space="0" w:color="auto"/>
        <w:bottom w:val="none" w:sz="0" w:space="0" w:color="auto"/>
        <w:right w:val="none" w:sz="0" w:space="0" w:color="auto"/>
      </w:divBdr>
      <w:divsChild>
        <w:div w:id="430318788">
          <w:marLeft w:val="480"/>
          <w:marRight w:val="0"/>
          <w:marTop w:val="0"/>
          <w:marBottom w:val="0"/>
          <w:divBdr>
            <w:top w:val="none" w:sz="0" w:space="0" w:color="auto"/>
            <w:left w:val="none" w:sz="0" w:space="0" w:color="auto"/>
            <w:bottom w:val="none" w:sz="0" w:space="0" w:color="auto"/>
            <w:right w:val="none" w:sz="0" w:space="0" w:color="auto"/>
          </w:divBdr>
          <w:divsChild>
            <w:div w:id="415830120">
              <w:marLeft w:val="0"/>
              <w:marRight w:val="0"/>
              <w:marTop w:val="0"/>
              <w:marBottom w:val="240"/>
              <w:divBdr>
                <w:top w:val="none" w:sz="0" w:space="0" w:color="auto"/>
                <w:left w:val="none" w:sz="0" w:space="0" w:color="auto"/>
                <w:bottom w:val="none" w:sz="0" w:space="0" w:color="auto"/>
                <w:right w:val="none" w:sz="0" w:space="0" w:color="auto"/>
              </w:divBdr>
            </w:div>
            <w:div w:id="1780685870">
              <w:marLeft w:val="0"/>
              <w:marRight w:val="0"/>
              <w:marTop w:val="0"/>
              <w:marBottom w:val="240"/>
              <w:divBdr>
                <w:top w:val="none" w:sz="0" w:space="0" w:color="auto"/>
                <w:left w:val="none" w:sz="0" w:space="0" w:color="auto"/>
                <w:bottom w:val="none" w:sz="0" w:space="0" w:color="auto"/>
                <w:right w:val="none" w:sz="0" w:space="0" w:color="auto"/>
              </w:divBdr>
            </w:div>
            <w:div w:id="732658171">
              <w:marLeft w:val="0"/>
              <w:marRight w:val="0"/>
              <w:marTop w:val="0"/>
              <w:marBottom w:val="240"/>
              <w:divBdr>
                <w:top w:val="none" w:sz="0" w:space="0" w:color="auto"/>
                <w:left w:val="none" w:sz="0" w:space="0" w:color="auto"/>
                <w:bottom w:val="none" w:sz="0" w:space="0" w:color="auto"/>
                <w:right w:val="none" w:sz="0" w:space="0" w:color="auto"/>
              </w:divBdr>
            </w:div>
            <w:div w:id="1148597278">
              <w:marLeft w:val="0"/>
              <w:marRight w:val="0"/>
              <w:marTop w:val="0"/>
              <w:marBottom w:val="240"/>
              <w:divBdr>
                <w:top w:val="none" w:sz="0" w:space="0" w:color="auto"/>
                <w:left w:val="none" w:sz="0" w:space="0" w:color="auto"/>
                <w:bottom w:val="none" w:sz="0" w:space="0" w:color="auto"/>
                <w:right w:val="none" w:sz="0" w:space="0" w:color="auto"/>
              </w:divBdr>
            </w:div>
            <w:div w:id="66343509">
              <w:marLeft w:val="0"/>
              <w:marRight w:val="0"/>
              <w:marTop w:val="0"/>
              <w:marBottom w:val="240"/>
              <w:divBdr>
                <w:top w:val="none" w:sz="0" w:space="0" w:color="auto"/>
                <w:left w:val="none" w:sz="0" w:space="0" w:color="auto"/>
                <w:bottom w:val="none" w:sz="0" w:space="0" w:color="auto"/>
                <w:right w:val="none" w:sz="0" w:space="0" w:color="auto"/>
              </w:divBdr>
            </w:div>
            <w:div w:id="523789051">
              <w:marLeft w:val="0"/>
              <w:marRight w:val="0"/>
              <w:marTop w:val="0"/>
              <w:marBottom w:val="240"/>
              <w:divBdr>
                <w:top w:val="none" w:sz="0" w:space="0" w:color="auto"/>
                <w:left w:val="none" w:sz="0" w:space="0" w:color="auto"/>
                <w:bottom w:val="none" w:sz="0" w:space="0" w:color="auto"/>
                <w:right w:val="none" w:sz="0" w:space="0" w:color="auto"/>
              </w:divBdr>
            </w:div>
            <w:div w:id="1773815811">
              <w:marLeft w:val="0"/>
              <w:marRight w:val="0"/>
              <w:marTop w:val="0"/>
              <w:marBottom w:val="240"/>
              <w:divBdr>
                <w:top w:val="none" w:sz="0" w:space="0" w:color="auto"/>
                <w:left w:val="none" w:sz="0" w:space="0" w:color="auto"/>
                <w:bottom w:val="none" w:sz="0" w:space="0" w:color="auto"/>
                <w:right w:val="none" w:sz="0" w:space="0" w:color="auto"/>
              </w:divBdr>
            </w:div>
            <w:div w:id="930703460">
              <w:marLeft w:val="0"/>
              <w:marRight w:val="0"/>
              <w:marTop w:val="0"/>
              <w:marBottom w:val="240"/>
              <w:divBdr>
                <w:top w:val="none" w:sz="0" w:space="0" w:color="auto"/>
                <w:left w:val="none" w:sz="0" w:space="0" w:color="auto"/>
                <w:bottom w:val="none" w:sz="0" w:space="0" w:color="auto"/>
                <w:right w:val="none" w:sz="0" w:space="0" w:color="auto"/>
              </w:divBdr>
            </w:div>
            <w:div w:id="1597984715">
              <w:marLeft w:val="0"/>
              <w:marRight w:val="0"/>
              <w:marTop w:val="0"/>
              <w:marBottom w:val="240"/>
              <w:divBdr>
                <w:top w:val="none" w:sz="0" w:space="0" w:color="auto"/>
                <w:left w:val="none" w:sz="0" w:space="0" w:color="auto"/>
                <w:bottom w:val="none" w:sz="0" w:space="0" w:color="auto"/>
                <w:right w:val="none" w:sz="0" w:space="0" w:color="auto"/>
              </w:divBdr>
            </w:div>
            <w:div w:id="1132946858">
              <w:marLeft w:val="0"/>
              <w:marRight w:val="0"/>
              <w:marTop w:val="0"/>
              <w:marBottom w:val="240"/>
              <w:divBdr>
                <w:top w:val="none" w:sz="0" w:space="0" w:color="auto"/>
                <w:left w:val="none" w:sz="0" w:space="0" w:color="auto"/>
                <w:bottom w:val="none" w:sz="0" w:space="0" w:color="auto"/>
                <w:right w:val="none" w:sz="0" w:space="0" w:color="auto"/>
              </w:divBdr>
            </w:div>
            <w:div w:id="1324549387">
              <w:marLeft w:val="0"/>
              <w:marRight w:val="0"/>
              <w:marTop w:val="0"/>
              <w:marBottom w:val="240"/>
              <w:divBdr>
                <w:top w:val="none" w:sz="0" w:space="0" w:color="auto"/>
                <w:left w:val="none" w:sz="0" w:space="0" w:color="auto"/>
                <w:bottom w:val="none" w:sz="0" w:space="0" w:color="auto"/>
                <w:right w:val="none" w:sz="0" w:space="0" w:color="auto"/>
              </w:divBdr>
            </w:div>
            <w:div w:id="1988167030">
              <w:marLeft w:val="0"/>
              <w:marRight w:val="0"/>
              <w:marTop w:val="0"/>
              <w:marBottom w:val="240"/>
              <w:divBdr>
                <w:top w:val="none" w:sz="0" w:space="0" w:color="auto"/>
                <w:left w:val="none" w:sz="0" w:space="0" w:color="auto"/>
                <w:bottom w:val="none" w:sz="0" w:space="0" w:color="auto"/>
                <w:right w:val="none" w:sz="0" w:space="0" w:color="auto"/>
              </w:divBdr>
            </w:div>
            <w:div w:id="2104644703">
              <w:marLeft w:val="0"/>
              <w:marRight w:val="0"/>
              <w:marTop w:val="0"/>
              <w:marBottom w:val="240"/>
              <w:divBdr>
                <w:top w:val="none" w:sz="0" w:space="0" w:color="auto"/>
                <w:left w:val="none" w:sz="0" w:space="0" w:color="auto"/>
                <w:bottom w:val="none" w:sz="0" w:space="0" w:color="auto"/>
                <w:right w:val="none" w:sz="0" w:space="0" w:color="auto"/>
              </w:divBdr>
            </w:div>
            <w:div w:id="1759596467">
              <w:marLeft w:val="0"/>
              <w:marRight w:val="0"/>
              <w:marTop w:val="0"/>
              <w:marBottom w:val="240"/>
              <w:divBdr>
                <w:top w:val="none" w:sz="0" w:space="0" w:color="auto"/>
                <w:left w:val="none" w:sz="0" w:space="0" w:color="auto"/>
                <w:bottom w:val="none" w:sz="0" w:space="0" w:color="auto"/>
                <w:right w:val="none" w:sz="0" w:space="0" w:color="auto"/>
              </w:divBdr>
            </w:div>
            <w:div w:id="435517537">
              <w:marLeft w:val="0"/>
              <w:marRight w:val="0"/>
              <w:marTop w:val="0"/>
              <w:marBottom w:val="240"/>
              <w:divBdr>
                <w:top w:val="none" w:sz="0" w:space="0" w:color="auto"/>
                <w:left w:val="none" w:sz="0" w:space="0" w:color="auto"/>
                <w:bottom w:val="none" w:sz="0" w:space="0" w:color="auto"/>
                <w:right w:val="none" w:sz="0" w:space="0" w:color="auto"/>
              </w:divBdr>
            </w:div>
            <w:div w:id="1380125345">
              <w:marLeft w:val="0"/>
              <w:marRight w:val="0"/>
              <w:marTop w:val="0"/>
              <w:marBottom w:val="240"/>
              <w:divBdr>
                <w:top w:val="none" w:sz="0" w:space="0" w:color="auto"/>
                <w:left w:val="none" w:sz="0" w:space="0" w:color="auto"/>
                <w:bottom w:val="none" w:sz="0" w:space="0" w:color="auto"/>
                <w:right w:val="none" w:sz="0" w:space="0" w:color="auto"/>
              </w:divBdr>
            </w:div>
            <w:div w:id="1353072198">
              <w:marLeft w:val="0"/>
              <w:marRight w:val="0"/>
              <w:marTop w:val="0"/>
              <w:marBottom w:val="240"/>
              <w:divBdr>
                <w:top w:val="none" w:sz="0" w:space="0" w:color="auto"/>
                <w:left w:val="none" w:sz="0" w:space="0" w:color="auto"/>
                <w:bottom w:val="none" w:sz="0" w:space="0" w:color="auto"/>
                <w:right w:val="none" w:sz="0" w:space="0" w:color="auto"/>
              </w:divBdr>
            </w:div>
            <w:div w:id="660355640">
              <w:marLeft w:val="0"/>
              <w:marRight w:val="0"/>
              <w:marTop w:val="0"/>
              <w:marBottom w:val="240"/>
              <w:divBdr>
                <w:top w:val="none" w:sz="0" w:space="0" w:color="auto"/>
                <w:left w:val="none" w:sz="0" w:space="0" w:color="auto"/>
                <w:bottom w:val="none" w:sz="0" w:space="0" w:color="auto"/>
                <w:right w:val="none" w:sz="0" w:space="0" w:color="auto"/>
              </w:divBdr>
            </w:div>
            <w:div w:id="534655450">
              <w:marLeft w:val="0"/>
              <w:marRight w:val="0"/>
              <w:marTop w:val="0"/>
              <w:marBottom w:val="240"/>
              <w:divBdr>
                <w:top w:val="none" w:sz="0" w:space="0" w:color="auto"/>
                <w:left w:val="none" w:sz="0" w:space="0" w:color="auto"/>
                <w:bottom w:val="none" w:sz="0" w:space="0" w:color="auto"/>
                <w:right w:val="none" w:sz="0" w:space="0" w:color="auto"/>
              </w:divBdr>
            </w:div>
            <w:div w:id="157814662">
              <w:marLeft w:val="0"/>
              <w:marRight w:val="0"/>
              <w:marTop w:val="0"/>
              <w:marBottom w:val="240"/>
              <w:divBdr>
                <w:top w:val="none" w:sz="0" w:space="0" w:color="auto"/>
                <w:left w:val="none" w:sz="0" w:space="0" w:color="auto"/>
                <w:bottom w:val="none" w:sz="0" w:space="0" w:color="auto"/>
                <w:right w:val="none" w:sz="0" w:space="0" w:color="auto"/>
              </w:divBdr>
            </w:div>
            <w:div w:id="334384979">
              <w:marLeft w:val="0"/>
              <w:marRight w:val="0"/>
              <w:marTop w:val="0"/>
              <w:marBottom w:val="240"/>
              <w:divBdr>
                <w:top w:val="none" w:sz="0" w:space="0" w:color="auto"/>
                <w:left w:val="none" w:sz="0" w:space="0" w:color="auto"/>
                <w:bottom w:val="none" w:sz="0" w:space="0" w:color="auto"/>
                <w:right w:val="none" w:sz="0" w:space="0" w:color="auto"/>
              </w:divBdr>
            </w:div>
            <w:div w:id="1022898606">
              <w:marLeft w:val="0"/>
              <w:marRight w:val="0"/>
              <w:marTop w:val="0"/>
              <w:marBottom w:val="240"/>
              <w:divBdr>
                <w:top w:val="none" w:sz="0" w:space="0" w:color="auto"/>
                <w:left w:val="none" w:sz="0" w:space="0" w:color="auto"/>
                <w:bottom w:val="none" w:sz="0" w:space="0" w:color="auto"/>
                <w:right w:val="none" w:sz="0" w:space="0" w:color="auto"/>
              </w:divBdr>
            </w:div>
            <w:div w:id="1706641672">
              <w:marLeft w:val="0"/>
              <w:marRight w:val="0"/>
              <w:marTop w:val="0"/>
              <w:marBottom w:val="240"/>
              <w:divBdr>
                <w:top w:val="none" w:sz="0" w:space="0" w:color="auto"/>
                <w:left w:val="none" w:sz="0" w:space="0" w:color="auto"/>
                <w:bottom w:val="none" w:sz="0" w:space="0" w:color="auto"/>
                <w:right w:val="none" w:sz="0" w:space="0" w:color="auto"/>
              </w:divBdr>
            </w:div>
            <w:div w:id="1602100672">
              <w:marLeft w:val="0"/>
              <w:marRight w:val="0"/>
              <w:marTop w:val="0"/>
              <w:marBottom w:val="240"/>
              <w:divBdr>
                <w:top w:val="none" w:sz="0" w:space="0" w:color="auto"/>
                <w:left w:val="none" w:sz="0" w:space="0" w:color="auto"/>
                <w:bottom w:val="none" w:sz="0" w:space="0" w:color="auto"/>
                <w:right w:val="none" w:sz="0" w:space="0" w:color="auto"/>
              </w:divBdr>
            </w:div>
            <w:div w:id="1725136198">
              <w:marLeft w:val="0"/>
              <w:marRight w:val="0"/>
              <w:marTop w:val="0"/>
              <w:marBottom w:val="240"/>
              <w:divBdr>
                <w:top w:val="none" w:sz="0" w:space="0" w:color="auto"/>
                <w:left w:val="none" w:sz="0" w:space="0" w:color="auto"/>
                <w:bottom w:val="none" w:sz="0" w:space="0" w:color="auto"/>
                <w:right w:val="none" w:sz="0" w:space="0" w:color="auto"/>
              </w:divBdr>
            </w:div>
            <w:div w:id="369842053">
              <w:marLeft w:val="0"/>
              <w:marRight w:val="0"/>
              <w:marTop w:val="0"/>
              <w:marBottom w:val="240"/>
              <w:divBdr>
                <w:top w:val="none" w:sz="0" w:space="0" w:color="auto"/>
                <w:left w:val="none" w:sz="0" w:space="0" w:color="auto"/>
                <w:bottom w:val="none" w:sz="0" w:space="0" w:color="auto"/>
                <w:right w:val="none" w:sz="0" w:space="0" w:color="auto"/>
              </w:divBdr>
            </w:div>
            <w:div w:id="447625896">
              <w:marLeft w:val="0"/>
              <w:marRight w:val="0"/>
              <w:marTop w:val="0"/>
              <w:marBottom w:val="240"/>
              <w:divBdr>
                <w:top w:val="none" w:sz="0" w:space="0" w:color="auto"/>
                <w:left w:val="none" w:sz="0" w:space="0" w:color="auto"/>
                <w:bottom w:val="none" w:sz="0" w:space="0" w:color="auto"/>
                <w:right w:val="none" w:sz="0" w:space="0" w:color="auto"/>
              </w:divBdr>
            </w:div>
            <w:div w:id="1201623675">
              <w:marLeft w:val="0"/>
              <w:marRight w:val="0"/>
              <w:marTop w:val="0"/>
              <w:marBottom w:val="240"/>
              <w:divBdr>
                <w:top w:val="none" w:sz="0" w:space="0" w:color="auto"/>
                <w:left w:val="none" w:sz="0" w:space="0" w:color="auto"/>
                <w:bottom w:val="none" w:sz="0" w:space="0" w:color="auto"/>
                <w:right w:val="none" w:sz="0" w:space="0" w:color="auto"/>
              </w:divBdr>
            </w:div>
            <w:div w:id="1360937773">
              <w:marLeft w:val="0"/>
              <w:marRight w:val="0"/>
              <w:marTop w:val="0"/>
              <w:marBottom w:val="240"/>
              <w:divBdr>
                <w:top w:val="none" w:sz="0" w:space="0" w:color="auto"/>
                <w:left w:val="none" w:sz="0" w:space="0" w:color="auto"/>
                <w:bottom w:val="none" w:sz="0" w:space="0" w:color="auto"/>
                <w:right w:val="none" w:sz="0" w:space="0" w:color="auto"/>
              </w:divBdr>
            </w:div>
            <w:div w:id="1098403446">
              <w:marLeft w:val="0"/>
              <w:marRight w:val="0"/>
              <w:marTop w:val="0"/>
              <w:marBottom w:val="240"/>
              <w:divBdr>
                <w:top w:val="none" w:sz="0" w:space="0" w:color="auto"/>
                <w:left w:val="none" w:sz="0" w:space="0" w:color="auto"/>
                <w:bottom w:val="none" w:sz="0" w:space="0" w:color="auto"/>
                <w:right w:val="none" w:sz="0" w:space="0" w:color="auto"/>
              </w:divBdr>
            </w:div>
            <w:div w:id="330790491">
              <w:marLeft w:val="0"/>
              <w:marRight w:val="0"/>
              <w:marTop w:val="0"/>
              <w:marBottom w:val="240"/>
              <w:divBdr>
                <w:top w:val="none" w:sz="0" w:space="0" w:color="auto"/>
                <w:left w:val="none" w:sz="0" w:space="0" w:color="auto"/>
                <w:bottom w:val="none" w:sz="0" w:space="0" w:color="auto"/>
                <w:right w:val="none" w:sz="0" w:space="0" w:color="auto"/>
              </w:divBdr>
            </w:div>
            <w:div w:id="1047678816">
              <w:marLeft w:val="0"/>
              <w:marRight w:val="0"/>
              <w:marTop w:val="0"/>
              <w:marBottom w:val="240"/>
              <w:divBdr>
                <w:top w:val="none" w:sz="0" w:space="0" w:color="auto"/>
                <w:left w:val="none" w:sz="0" w:space="0" w:color="auto"/>
                <w:bottom w:val="none" w:sz="0" w:space="0" w:color="auto"/>
                <w:right w:val="none" w:sz="0" w:space="0" w:color="auto"/>
              </w:divBdr>
            </w:div>
            <w:div w:id="1057820586">
              <w:marLeft w:val="0"/>
              <w:marRight w:val="0"/>
              <w:marTop w:val="0"/>
              <w:marBottom w:val="240"/>
              <w:divBdr>
                <w:top w:val="none" w:sz="0" w:space="0" w:color="auto"/>
                <w:left w:val="none" w:sz="0" w:space="0" w:color="auto"/>
                <w:bottom w:val="none" w:sz="0" w:space="0" w:color="auto"/>
                <w:right w:val="none" w:sz="0" w:space="0" w:color="auto"/>
              </w:divBdr>
            </w:div>
            <w:div w:id="1730837971">
              <w:marLeft w:val="0"/>
              <w:marRight w:val="0"/>
              <w:marTop w:val="0"/>
              <w:marBottom w:val="240"/>
              <w:divBdr>
                <w:top w:val="none" w:sz="0" w:space="0" w:color="auto"/>
                <w:left w:val="none" w:sz="0" w:space="0" w:color="auto"/>
                <w:bottom w:val="none" w:sz="0" w:space="0" w:color="auto"/>
                <w:right w:val="none" w:sz="0" w:space="0" w:color="auto"/>
              </w:divBdr>
            </w:div>
            <w:div w:id="986281409">
              <w:marLeft w:val="0"/>
              <w:marRight w:val="0"/>
              <w:marTop w:val="0"/>
              <w:marBottom w:val="240"/>
              <w:divBdr>
                <w:top w:val="none" w:sz="0" w:space="0" w:color="auto"/>
                <w:left w:val="none" w:sz="0" w:space="0" w:color="auto"/>
                <w:bottom w:val="none" w:sz="0" w:space="0" w:color="auto"/>
                <w:right w:val="none" w:sz="0" w:space="0" w:color="auto"/>
              </w:divBdr>
            </w:div>
            <w:div w:id="524294867">
              <w:marLeft w:val="0"/>
              <w:marRight w:val="0"/>
              <w:marTop w:val="0"/>
              <w:marBottom w:val="240"/>
              <w:divBdr>
                <w:top w:val="none" w:sz="0" w:space="0" w:color="auto"/>
                <w:left w:val="none" w:sz="0" w:space="0" w:color="auto"/>
                <w:bottom w:val="none" w:sz="0" w:space="0" w:color="auto"/>
                <w:right w:val="none" w:sz="0" w:space="0" w:color="auto"/>
              </w:divBdr>
            </w:div>
            <w:div w:id="358627846">
              <w:marLeft w:val="0"/>
              <w:marRight w:val="0"/>
              <w:marTop w:val="0"/>
              <w:marBottom w:val="240"/>
              <w:divBdr>
                <w:top w:val="none" w:sz="0" w:space="0" w:color="auto"/>
                <w:left w:val="none" w:sz="0" w:space="0" w:color="auto"/>
                <w:bottom w:val="none" w:sz="0" w:space="0" w:color="auto"/>
                <w:right w:val="none" w:sz="0" w:space="0" w:color="auto"/>
              </w:divBdr>
            </w:div>
            <w:div w:id="199051818">
              <w:marLeft w:val="0"/>
              <w:marRight w:val="0"/>
              <w:marTop w:val="0"/>
              <w:marBottom w:val="240"/>
              <w:divBdr>
                <w:top w:val="none" w:sz="0" w:space="0" w:color="auto"/>
                <w:left w:val="none" w:sz="0" w:space="0" w:color="auto"/>
                <w:bottom w:val="none" w:sz="0" w:space="0" w:color="auto"/>
                <w:right w:val="none" w:sz="0" w:space="0" w:color="auto"/>
              </w:divBdr>
            </w:div>
            <w:div w:id="1478837051">
              <w:marLeft w:val="0"/>
              <w:marRight w:val="0"/>
              <w:marTop w:val="0"/>
              <w:marBottom w:val="240"/>
              <w:divBdr>
                <w:top w:val="none" w:sz="0" w:space="0" w:color="auto"/>
                <w:left w:val="none" w:sz="0" w:space="0" w:color="auto"/>
                <w:bottom w:val="none" w:sz="0" w:space="0" w:color="auto"/>
                <w:right w:val="none" w:sz="0" w:space="0" w:color="auto"/>
              </w:divBdr>
            </w:div>
            <w:div w:id="1168444994">
              <w:marLeft w:val="0"/>
              <w:marRight w:val="0"/>
              <w:marTop w:val="0"/>
              <w:marBottom w:val="240"/>
              <w:divBdr>
                <w:top w:val="none" w:sz="0" w:space="0" w:color="auto"/>
                <w:left w:val="none" w:sz="0" w:space="0" w:color="auto"/>
                <w:bottom w:val="none" w:sz="0" w:space="0" w:color="auto"/>
                <w:right w:val="none" w:sz="0" w:space="0" w:color="auto"/>
              </w:divBdr>
            </w:div>
            <w:div w:id="2068870535">
              <w:marLeft w:val="0"/>
              <w:marRight w:val="0"/>
              <w:marTop w:val="0"/>
              <w:marBottom w:val="240"/>
              <w:divBdr>
                <w:top w:val="none" w:sz="0" w:space="0" w:color="auto"/>
                <w:left w:val="none" w:sz="0" w:space="0" w:color="auto"/>
                <w:bottom w:val="none" w:sz="0" w:space="0" w:color="auto"/>
                <w:right w:val="none" w:sz="0" w:space="0" w:color="auto"/>
              </w:divBdr>
            </w:div>
            <w:div w:id="1703630760">
              <w:marLeft w:val="0"/>
              <w:marRight w:val="0"/>
              <w:marTop w:val="0"/>
              <w:marBottom w:val="240"/>
              <w:divBdr>
                <w:top w:val="none" w:sz="0" w:space="0" w:color="auto"/>
                <w:left w:val="none" w:sz="0" w:space="0" w:color="auto"/>
                <w:bottom w:val="none" w:sz="0" w:space="0" w:color="auto"/>
                <w:right w:val="none" w:sz="0" w:space="0" w:color="auto"/>
              </w:divBdr>
            </w:div>
            <w:div w:id="1615360307">
              <w:marLeft w:val="0"/>
              <w:marRight w:val="0"/>
              <w:marTop w:val="0"/>
              <w:marBottom w:val="240"/>
              <w:divBdr>
                <w:top w:val="none" w:sz="0" w:space="0" w:color="auto"/>
                <w:left w:val="none" w:sz="0" w:space="0" w:color="auto"/>
                <w:bottom w:val="none" w:sz="0" w:space="0" w:color="auto"/>
                <w:right w:val="none" w:sz="0" w:space="0" w:color="auto"/>
              </w:divBdr>
            </w:div>
            <w:div w:id="1636907377">
              <w:marLeft w:val="0"/>
              <w:marRight w:val="0"/>
              <w:marTop w:val="0"/>
              <w:marBottom w:val="240"/>
              <w:divBdr>
                <w:top w:val="none" w:sz="0" w:space="0" w:color="auto"/>
                <w:left w:val="none" w:sz="0" w:space="0" w:color="auto"/>
                <w:bottom w:val="none" w:sz="0" w:space="0" w:color="auto"/>
                <w:right w:val="none" w:sz="0" w:space="0" w:color="auto"/>
              </w:divBdr>
            </w:div>
            <w:div w:id="1202667944">
              <w:marLeft w:val="0"/>
              <w:marRight w:val="0"/>
              <w:marTop w:val="0"/>
              <w:marBottom w:val="240"/>
              <w:divBdr>
                <w:top w:val="none" w:sz="0" w:space="0" w:color="auto"/>
                <w:left w:val="none" w:sz="0" w:space="0" w:color="auto"/>
                <w:bottom w:val="none" w:sz="0" w:space="0" w:color="auto"/>
                <w:right w:val="none" w:sz="0" w:space="0" w:color="auto"/>
              </w:divBdr>
            </w:div>
            <w:div w:id="1499612852">
              <w:marLeft w:val="0"/>
              <w:marRight w:val="0"/>
              <w:marTop w:val="0"/>
              <w:marBottom w:val="240"/>
              <w:divBdr>
                <w:top w:val="none" w:sz="0" w:space="0" w:color="auto"/>
                <w:left w:val="none" w:sz="0" w:space="0" w:color="auto"/>
                <w:bottom w:val="none" w:sz="0" w:space="0" w:color="auto"/>
                <w:right w:val="none" w:sz="0" w:space="0" w:color="auto"/>
              </w:divBdr>
            </w:div>
            <w:div w:id="1922593938">
              <w:marLeft w:val="0"/>
              <w:marRight w:val="0"/>
              <w:marTop w:val="0"/>
              <w:marBottom w:val="240"/>
              <w:divBdr>
                <w:top w:val="none" w:sz="0" w:space="0" w:color="auto"/>
                <w:left w:val="none" w:sz="0" w:space="0" w:color="auto"/>
                <w:bottom w:val="none" w:sz="0" w:space="0" w:color="auto"/>
                <w:right w:val="none" w:sz="0" w:space="0" w:color="auto"/>
              </w:divBdr>
            </w:div>
            <w:div w:id="723456038">
              <w:marLeft w:val="0"/>
              <w:marRight w:val="0"/>
              <w:marTop w:val="0"/>
              <w:marBottom w:val="240"/>
              <w:divBdr>
                <w:top w:val="none" w:sz="0" w:space="0" w:color="auto"/>
                <w:left w:val="none" w:sz="0" w:space="0" w:color="auto"/>
                <w:bottom w:val="none" w:sz="0" w:space="0" w:color="auto"/>
                <w:right w:val="none" w:sz="0" w:space="0" w:color="auto"/>
              </w:divBdr>
            </w:div>
            <w:div w:id="455294397">
              <w:marLeft w:val="0"/>
              <w:marRight w:val="0"/>
              <w:marTop w:val="0"/>
              <w:marBottom w:val="240"/>
              <w:divBdr>
                <w:top w:val="none" w:sz="0" w:space="0" w:color="auto"/>
                <w:left w:val="none" w:sz="0" w:space="0" w:color="auto"/>
                <w:bottom w:val="none" w:sz="0" w:space="0" w:color="auto"/>
                <w:right w:val="none" w:sz="0" w:space="0" w:color="auto"/>
              </w:divBdr>
            </w:div>
            <w:div w:id="369574736">
              <w:marLeft w:val="0"/>
              <w:marRight w:val="0"/>
              <w:marTop w:val="0"/>
              <w:marBottom w:val="240"/>
              <w:divBdr>
                <w:top w:val="none" w:sz="0" w:space="0" w:color="auto"/>
                <w:left w:val="none" w:sz="0" w:space="0" w:color="auto"/>
                <w:bottom w:val="none" w:sz="0" w:space="0" w:color="auto"/>
                <w:right w:val="none" w:sz="0" w:space="0" w:color="auto"/>
              </w:divBdr>
            </w:div>
            <w:div w:id="1831941417">
              <w:marLeft w:val="0"/>
              <w:marRight w:val="0"/>
              <w:marTop w:val="0"/>
              <w:marBottom w:val="240"/>
              <w:divBdr>
                <w:top w:val="none" w:sz="0" w:space="0" w:color="auto"/>
                <w:left w:val="none" w:sz="0" w:space="0" w:color="auto"/>
                <w:bottom w:val="none" w:sz="0" w:space="0" w:color="auto"/>
                <w:right w:val="none" w:sz="0" w:space="0" w:color="auto"/>
              </w:divBdr>
            </w:div>
            <w:div w:id="221209943">
              <w:marLeft w:val="0"/>
              <w:marRight w:val="0"/>
              <w:marTop w:val="0"/>
              <w:marBottom w:val="240"/>
              <w:divBdr>
                <w:top w:val="none" w:sz="0" w:space="0" w:color="auto"/>
                <w:left w:val="none" w:sz="0" w:space="0" w:color="auto"/>
                <w:bottom w:val="none" w:sz="0" w:space="0" w:color="auto"/>
                <w:right w:val="none" w:sz="0" w:space="0" w:color="auto"/>
              </w:divBdr>
            </w:div>
            <w:div w:id="1945309696">
              <w:marLeft w:val="0"/>
              <w:marRight w:val="0"/>
              <w:marTop w:val="0"/>
              <w:marBottom w:val="240"/>
              <w:divBdr>
                <w:top w:val="none" w:sz="0" w:space="0" w:color="auto"/>
                <w:left w:val="none" w:sz="0" w:space="0" w:color="auto"/>
                <w:bottom w:val="none" w:sz="0" w:space="0" w:color="auto"/>
                <w:right w:val="none" w:sz="0" w:space="0" w:color="auto"/>
              </w:divBdr>
            </w:div>
            <w:div w:id="708187985">
              <w:marLeft w:val="0"/>
              <w:marRight w:val="0"/>
              <w:marTop w:val="0"/>
              <w:marBottom w:val="240"/>
              <w:divBdr>
                <w:top w:val="none" w:sz="0" w:space="0" w:color="auto"/>
                <w:left w:val="none" w:sz="0" w:space="0" w:color="auto"/>
                <w:bottom w:val="none" w:sz="0" w:space="0" w:color="auto"/>
                <w:right w:val="none" w:sz="0" w:space="0" w:color="auto"/>
              </w:divBdr>
            </w:div>
            <w:div w:id="114763631">
              <w:marLeft w:val="0"/>
              <w:marRight w:val="0"/>
              <w:marTop w:val="0"/>
              <w:marBottom w:val="240"/>
              <w:divBdr>
                <w:top w:val="none" w:sz="0" w:space="0" w:color="auto"/>
                <w:left w:val="none" w:sz="0" w:space="0" w:color="auto"/>
                <w:bottom w:val="none" w:sz="0" w:space="0" w:color="auto"/>
                <w:right w:val="none" w:sz="0" w:space="0" w:color="auto"/>
              </w:divBdr>
            </w:div>
            <w:div w:id="1663780006">
              <w:marLeft w:val="0"/>
              <w:marRight w:val="0"/>
              <w:marTop w:val="0"/>
              <w:marBottom w:val="240"/>
              <w:divBdr>
                <w:top w:val="none" w:sz="0" w:space="0" w:color="auto"/>
                <w:left w:val="none" w:sz="0" w:space="0" w:color="auto"/>
                <w:bottom w:val="none" w:sz="0" w:space="0" w:color="auto"/>
                <w:right w:val="none" w:sz="0" w:space="0" w:color="auto"/>
              </w:divBdr>
            </w:div>
            <w:div w:id="1078407059">
              <w:marLeft w:val="0"/>
              <w:marRight w:val="0"/>
              <w:marTop w:val="0"/>
              <w:marBottom w:val="240"/>
              <w:divBdr>
                <w:top w:val="none" w:sz="0" w:space="0" w:color="auto"/>
                <w:left w:val="none" w:sz="0" w:space="0" w:color="auto"/>
                <w:bottom w:val="none" w:sz="0" w:space="0" w:color="auto"/>
                <w:right w:val="none" w:sz="0" w:space="0" w:color="auto"/>
              </w:divBdr>
            </w:div>
            <w:div w:id="998923153">
              <w:marLeft w:val="0"/>
              <w:marRight w:val="0"/>
              <w:marTop w:val="0"/>
              <w:marBottom w:val="240"/>
              <w:divBdr>
                <w:top w:val="none" w:sz="0" w:space="0" w:color="auto"/>
                <w:left w:val="none" w:sz="0" w:space="0" w:color="auto"/>
                <w:bottom w:val="none" w:sz="0" w:space="0" w:color="auto"/>
                <w:right w:val="none" w:sz="0" w:space="0" w:color="auto"/>
              </w:divBdr>
            </w:div>
            <w:div w:id="1960329690">
              <w:marLeft w:val="0"/>
              <w:marRight w:val="0"/>
              <w:marTop w:val="0"/>
              <w:marBottom w:val="240"/>
              <w:divBdr>
                <w:top w:val="none" w:sz="0" w:space="0" w:color="auto"/>
                <w:left w:val="none" w:sz="0" w:space="0" w:color="auto"/>
                <w:bottom w:val="none" w:sz="0" w:space="0" w:color="auto"/>
                <w:right w:val="none" w:sz="0" w:space="0" w:color="auto"/>
              </w:divBdr>
            </w:div>
            <w:div w:id="1518039405">
              <w:marLeft w:val="0"/>
              <w:marRight w:val="0"/>
              <w:marTop w:val="0"/>
              <w:marBottom w:val="240"/>
              <w:divBdr>
                <w:top w:val="none" w:sz="0" w:space="0" w:color="auto"/>
                <w:left w:val="none" w:sz="0" w:space="0" w:color="auto"/>
                <w:bottom w:val="none" w:sz="0" w:space="0" w:color="auto"/>
                <w:right w:val="none" w:sz="0" w:space="0" w:color="auto"/>
              </w:divBdr>
            </w:div>
            <w:div w:id="173349627">
              <w:marLeft w:val="0"/>
              <w:marRight w:val="0"/>
              <w:marTop w:val="0"/>
              <w:marBottom w:val="240"/>
              <w:divBdr>
                <w:top w:val="none" w:sz="0" w:space="0" w:color="auto"/>
                <w:left w:val="none" w:sz="0" w:space="0" w:color="auto"/>
                <w:bottom w:val="none" w:sz="0" w:space="0" w:color="auto"/>
                <w:right w:val="none" w:sz="0" w:space="0" w:color="auto"/>
              </w:divBdr>
            </w:div>
            <w:div w:id="431440216">
              <w:marLeft w:val="0"/>
              <w:marRight w:val="0"/>
              <w:marTop w:val="0"/>
              <w:marBottom w:val="240"/>
              <w:divBdr>
                <w:top w:val="none" w:sz="0" w:space="0" w:color="auto"/>
                <w:left w:val="none" w:sz="0" w:space="0" w:color="auto"/>
                <w:bottom w:val="none" w:sz="0" w:space="0" w:color="auto"/>
                <w:right w:val="none" w:sz="0" w:space="0" w:color="auto"/>
              </w:divBdr>
            </w:div>
            <w:div w:id="1787432229">
              <w:marLeft w:val="0"/>
              <w:marRight w:val="0"/>
              <w:marTop w:val="0"/>
              <w:marBottom w:val="240"/>
              <w:divBdr>
                <w:top w:val="none" w:sz="0" w:space="0" w:color="auto"/>
                <w:left w:val="none" w:sz="0" w:space="0" w:color="auto"/>
                <w:bottom w:val="none" w:sz="0" w:space="0" w:color="auto"/>
                <w:right w:val="none" w:sz="0" w:space="0" w:color="auto"/>
              </w:divBdr>
            </w:div>
            <w:div w:id="1604145954">
              <w:marLeft w:val="0"/>
              <w:marRight w:val="0"/>
              <w:marTop w:val="0"/>
              <w:marBottom w:val="240"/>
              <w:divBdr>
                <w:top w:val="none" w:sz="0" w:space="0" w:color="auto"/>
                <w:left w:val="none" w:sz="0" w:space="0" w:color="auto"/>
                <w:bottom w:val="none" w:sz="0" w:space="0" w:color="auto"/>
                <w:right w:val="none" w:sz="0" w:space="0" w:color="auto"/>
              </w:divBdr>
            </w:div>
            <w:div w:id="1780682854">
              <w:marLeft w:val="0"/>
              <w:marRight w:val="0"/>
              <w:marTop w:val="0"/>
              <w:marBottom w:val="240"/>
              <w:divBdr>
                <w:top w:val="none" w:sz="0" w:space="0" w:color="auto"/>
                <w:left w:val="none" w:sz="0" w:space="0" w:color="auto"/>
                <w:bottom w:val="none" w:sz="0" w:space="0" w:color="auto"/>
                <w:right w:val="none" w:sz="0" w:space="0" w:color="auto"/>
              </w:divBdr>
            </w:div>
            <w:div w:id="913274398">
              <w:marLeft w:val="0"/>
              <w:marRight w:val="0"/>
              <w:marTop w:val="0"/>
              <w:marBottom w:val="240"/>
              <w:divBdr>
                <w:top w:val="none" w:sz="0" w:space="0" w:color="auto"/>
                <w:left w:val="none" w:sz="0" w:space="0" w:color="auto"/>
                <w:bottom w:val="none" w:sz="0" w:space="0" w:color="auto"/>
                <w:right w:val="none" w:sz="0" w:space="0" w:color="auto"/>
              </w:divBdr>
            </w:div>
            <w:div w:id="245575345">
              <w:marLeft w:val="0"/>
              <w:marRight w:val="0"/>
              <w:marTop w:val="0"/>
              <w:marBottom w:val="240"/>
              <w:divBdr>
                <w:top w:val="none" w:sz="0" w:space="0" w:color="auto"/>
                <w:left w:val="none" w:sz="0" w:space="0" w:color="auto"/>
                <w:bottom w:val="none" w:sz="0" w:space="0" w:color="auto"/>
                <w:right w:val="none" w:sz="0" w:space="0" w:color="auto"/>
              </w:divBdr>
            </w:div>
            <w:div w:id="1413089146">
              <w:marLeft w:val="0"/>
              <w:marRight w:val="0"/>
              <w:marTop w:val="0"/>
              <w:marBottom w:val="240"/>
              <w:divBdr>
                <w:top w:val="none" w:sz="0" w:space="0" w:color="auto"/>
                <w:left w:val="none" w:sz="0" w:space="0" w:color="auto"/>
                <w:bottom w:val="none" w:sz="0" w:space="0" w:color="auto"/>
                <w:right w:val="none" w:sz="0" w:space="0" w:color="auto"/>
              </w:divBdr>
            </w:div>
            <w:div w:id="1879706677">
              <w:marLeft w:val="0"/>
              <w:marRight w:val="0"/>
              <w:marTop w:val="0"/>
              <w:marBottom w:val="240"/>
              <w:divBdr>
                <w:top w:val="none" w:sz="0" w:space="0" w:color="auto"/>
                <w:left w:val="none" w:sz="0" w:space="0" w:color="auto"/>
                <w:bottom w:val="none" w:sz="0" w:space="0" w:color="auto"/>
                <w:right w:val="none" w:sz="0" w:space="0" w:color="auto"/>
              </w:divBdr>
            </w:div>
            <w:div w:id="1453792161">
              <w:marLeft w:val="0"/>
              <w:marRight w:val="0"/>
              <w:marTop w:val="0"/>
              <w:marBottom w:val="240"/>
              <w:divBdr>
                <w:top w:val="none" w:sz="0" w:space="0" w:color="auto"/>
                <w:left w:val="none" w:sz="0" w:space="0" w:color="auto"/>
                <w:bottom w:val="none" w:sz="0" w:space="0" w:color="auto"/>
                <w:right w:val="none" w:sz="0" w:space="0" w:color="auto"/>
              </w:divBdr>
            </w:div>
            <w:div w:id="299268409">
              <w:marLeft w:val="0"/>
              <w:marRight w:val="0"/>
              <w:marTop w:val="0"/>
              <w:marBottom w:val="240"/>
              <w:divBdr>
                <w:top w:val="none" w:sz="0" w:space="0" w:color="auto"/>
                <w:left w:val="none" w:sz="0" w:space="0" w:color="auto"/>
                <w:bottom w:val="none" w:sz="0" w:space="0" w:color="auto"/>
                <w:right w:val="none" w:sz="0" w:space="0" w:color="auto"/>
              </w:divBdr>
            </w:div>
            <w:div w:id="635257472">
              <w:marLeft w:val="0"/>
              <w:marRight w:val="0"/>
              <w:marTop w:val="0"/>
              <w:marBottom w:val="240"/>
              <w:divBdr>
                <w:top w:val="none" w:sz="0" w:space="0" w:color="auto"/>
                <w:left w:val="none" w:sz="0" w:space="0" w:color="auto"/>
                <w:bottom w:val="none" w:sz="0" w:space="0" w:color="auto"/>
                <w:right w:val="none" w:sz="0" w:space="0" w:color="auto"/>
              </w:divBdr>
            </w:div>
            <w:div w:id="825244989">
              <w:marLeft w:val="0"/>
              <w:marRight w:val="0"/>
              <w:marTop w:val="0"/>
              <w:marBottom w:val="240"/>
              <w:divBdr>
                <w:top w:val="none" w:sz="0" w:space="0" w:color="auto"/>
                <w:left w:val="none" w:sz="0" w:space="0" w:color="auto"/>
                <w:bottom w:val="none" w:sz="0" w:space="0" w:color="auto"/>
                <w:right w:val="none" w:sz="0" w:space="0" w:color="auto"/>
              </w:divBdr>
            </w:div>
            <w:div w:id="1769813211">
              <w:marLeft w:val="0"/>
              <w:marRight w:val="0"/>
              <w:marTop w:val="0"/>
              <w:marBottom w:val="240"/>
              <w:divBdr>
                <w:top w:val="none" w:sz="0" w:space="0" w:color="auto"/>
                <w:left w:val="none" w:sz="0" w:space="0" w:color="auto"/>
                <w:bottom w:val="none" w:sz="0" w:space="0" w:color="auto"/>
                <w:right w:val="none" w:sz="0" w:space="0" w:color="auto"/>
              </w:divBdr>
            </w:div>
            <w:div w:id="1033925775">
              <w:marLeft w:val="0"/>
              <w:marRight w:val="0"/>
              <w:marTop w:val="0"/>
              <w:marBottom w:val="240"/>
              <w:divBdr>
                <w:top w:val="none" w:sz="0" w:space="0" w:color="auto"/>
                <w:left w:val="none" w:sz="0" w:space="0" w:color="auto"/>
                <w:bottom w:val="none" w:sz="0" w:space="0" w:color="auto"/>
                <w:right w:val="none" w:sz="0" w:space="0" w:color="auto"/>
              </w:divBdr>
            </w:div>
            <w:div w:id="837576140">
              <w:marLeft w:val="0"/>
              <w:marRight w:val="0"/>
              <w:marTop w:val="0"/>
              <w:marBottom w:val="240"/>
              <w:divBdr>
                <w:top w:val="none" w:sz="0" w:space="0" w:color="auto"/>
                <w:left w:val="none" w:sz="0" w:space="0" w:color="auto"/>
                <w:bottom w:val="none" w:sz="0" w:space="0" w:color="auto"/>
                <w:right w:val="none" w:sz="0" w:space="0" w:color="auto"/>
              </w:divBdr>
            </w:div>
            <w:div w:id="2090343619">
              <w:marLeft w:val="0"/>
              <w:marRight w:val="0"/>
              <w:marTop w:val="0"/>
              <w:marBottom w:val="240"/>
              <w:divBdr>
                <w:top w:val="none" w:sz="0" w:space="0" w:color="auto"/>
                <w:left w:val="none" w:sz="0" w:space="0" w:color="auto"/>
                <w:bottom w:val="none" w:sz="0" w:space="0" w:color="auto"/>
                <w:right w:val="none" w:sz="0" w:space="0" w:color="auto"/>
              </w:divBdr>
            </w:div>
            <w:div w:id="1770195668">
              <w:marLeft w:val="0"/>
              <w:marRight w:val="0"/>
              <w:marTop w:val="0"/>
              <w:marBottom w:val="240"/>
              <w:divBdr>
                <w:top w:val="none" w:sz="0" w:space="0" w:color="auto"/>
                <w:left w:val="none" w:sz="0" w:space="0" w:color="auto"/>
                <w:bottom w:val="none" w:sz="0" w:space="0" w:color="auto"/>
                <w:right w:val="none" w:sz="0" w:space="0" w:color="auto"/>
              </w:divBdr>
            </w:div>
            <w:div w:id="2012832220">
              <w:marLeft w:val="0"/>
              <w:marRight w:val="0"/>
              <w:marTop w:val="0"/>
              <w:marBottom w:val="240"/>
              <w:divBdr>
                <w:top w:val="none" w:sz="0" w:space="0" w:color="auto"/>
                <w:left w:val="none" w:sz="0" w:space="0" w:color="auto"/>
                <w:bottom w:val="none" w:sz="0" w:space="0" w:color="auto"/>
                <w:right w:val="none" w:sz="0" w:space="0" w:color="auto"/>
              </w:divBdr>
            </w:div>
            <w:div w:id="1608389291">
              <w:marLeft w:val="0"/>
              <w:marRight w:val="0"/>
              <w:marTop w:val="0"/>
              <w:marBottom w:val="240"/>
              <w:divBdr>
                <w:top w:val="none" w:sz="0" w:space="0" w:color="auto"/>
                <w:left w:val="none" w:sz="0" w:space="0" w:color="auto"/>
                <w:bottom w:val="none" w:sz="0" w:space="0" w:color="auto"/>
                <w:right w:val="none" w:sz="0" w:space="0" w:color="auto"/>
              </w:divBdr>
            </w:div>
            <w:div w:id="761341681">
              <w:marLeft w:val="0"/>
              <w:marRight w:val="0"/>
              <w:marTop w:val="0"/>
              <w:marBottom w:val="240"/>
              <w:divBdr>
                <w:top w:val="none" w:sz="0" w:space="0" w:color="auto"/>
                <w:left w:val="none" w:sz="0" w:space="0" w:color="auto"/>
                <w:bottom w:val="none" w:sz="0" w:space="0" w:color="auto"/>
                <w:right w:val="none" w:sz="0" w:space="0" w:color="auto"/>
              </w:divBdr>
            </w:div>
            <w:div w:id="1953396022">
              <w:marLeft w:val="0"/>
              <w:marRight w:val="0"/>
              <w:marTop w:val="0"/>
              <w:marBottom w:val="240"/>
              <w:divBdr>
                <w:top w:val="none" w:sz="0" w:space="0" w:color="auto"/>
                <w:left w:val="none" w:sz="0" w:space="0" w:color="auto"/>
                <w:bottom w:val="none" w:sz="0" w:space="0" w:color="auto"/>
                <w:right w:val="none" w:sz="0" w:space="0" w:color="auto"/>
              </w:divBdr>
            </w:div>
            <w:div w:id="1397506289">
              <w:marLeft w:val="0"/>
              <w:marRight w:val="0"/>
              <w:marTop w:val="0"/>
              <w:marBottom w:val="240"/>
              <w:divBdr>
                <w:top w:val="none" w:sz="0" w:space="0" w:color="auto"/>
                <w:left w:val="none" w:sz="0" w:space="0" w:color="auto"/>
                <w:bottom w:val="none" w:sz="0" w:space="0" w:color="auto"/>
                <w:right w:val="none" w:sz="0" w:space="0" w:color="auto"/>
              </w:divBdr>
            </w:div>
            <w:div w:id="2024360426">
              <w:marLeft w:val="0"/>
              <w:marRight w:val="0"/>
              <w:marTop w:val="0"/>
              <w:marBottom w:val="240"/>
              <w:divBdr>
                <w:top w:val="none" w:sz="0" w:space="0" w:color="auto"/>
                <w:left w:val="none" w:sz="0" w:space="0" w:color="auto"/>
                <w:bottom w:val="none" w:sz="0" w:space="0" w:color="auto"/>
                <w:right w:val="none" w:sz="0" w:space="0" w:color="auto"/>
              </w:divBdr>
            </w:div>
            <w:div w:id="702364892">
              <w:marLeft w:val="0"/>
              <w:marRight w:val="0"/>
              <w:marTop w:val="0"/>
              <w:marBottom w:val="240"/>
              <w:divBdr>
                <w:top w:val="none" w:sz="0" w:space="0" w:color="auto"/>
                <w:left w:val="none" w:sz="0" w:space="0" w:color="auto"/>
                <w:bottom w:val="none" w:sz="0" w:space="0" w:color="auto"/>
                <w:right w:val="none" w:sz="0" w:space="0" w:color="auto"/>
              </w:divBdr>
            </w:div>
            <w:div w:id="1768965558">
              <w:marLeft w:val="0"/>
              <w:marRight w:val="0"/>
              <w:marTop w:val="0"/>
              <w:marBottom w:val="240"/>
              <w:divBdr>
                <w:top w:val="none" w:sz="0" w:space="0" w:color="auto"/>
                <w:left w:val="none" w:sz="0" w:space="0" w:color="auto"/>
                <w:bottom w:val="none" w:sz="0" w:space="0" w:color="auto"/>
                <w:right w:val="none" w:sz="0" w:space="0" w:color="auto"/>
              </w:divBdr>
            </w:div>
            <w:div w:id="43456996">
              <w:marLeft w:val="0"/>
              <w:marRight w:val="0"/>
              <w:marTop w:val="0"/>
              <w:marBottom w:val="240"/>
              <w:divBdr>
                <w:top w:val="none" w:sz="0" w:space="0" w:color="auto"/>
                <w:left w:val="none" w:sz="0" w:space="0" w:color="auto"/>
                <w:bottom w:val="none" w:sz="0" w:space="0" w:color="auto"/>
                <w:right w:val="none" w:sz="0" w:space="0" w:color="auto"/>
              </w:divBdr>
            </w:div>
            <w:div w:id="1627350331">
              <w:marLeft w:val="0"/>
              <w:marRight w:val="0"/>
              <w:marTop w:val="0"/>
              <w:marBottom w:val="240"/>
              <w:divBdr>
                <w:top w:val="none" w:sz="0" w:space="0" w:color="auto"/>
                <w:left w:val="none" w:sz="0" w:space="0" w:color="auto"/>
                <w:bottom w:val="none" w:sz="0" w:space="0" w:color="auto"/>
                <w:right w:val="none" w:sz="0" w:space="0" w:color="auto"/>
              </w:divBdr>
            </w:div>
            <w:div w:id="901058642">
              <w:marLeft w:val="0"/>
              <w:marRight w:val="0"/>
              <w:marTop w:val="0"/>
              <w:marBottom w:val="240"/>
              <w:divBdr>
                <w:top w:val="none" w:sz="0" w:space="0" w:color="auto"/>
                <w:left w:val="none" w:sz="0" w:space="0" w:color="auto"/>
                <w:bottom w:val="none" w:sz="0" w:space="0" w:color="auto"/>
                <w:right w:val="none" w:sz="0" w:space="0" w:color="auto"/>
              </w:divBdr>
            </w:div>
            <w:div w:id="755637105">
              <w:marLeft w:val="0"/>
              <w:marRight w:val="0"/>
              <w:marTop w:val="0"/>
              <w:marBottom w:val="240"/>
              <w:divBdr>
                <w:top w:val="none" w:sz="0" w:space="0" w:color="auto"/>
                <w:left w:val="none" w:sz="0" w:space="0" w:color="auto"/>
                <w:bottom w:val="none" w:sz="0" w:space="0" w:color="auto"/>
                <w:right w:val="none" w:sz="0" w:space="0" w:color="auto"/>
              </w:divBdr>
            </w:div>
            <w:div w:id="1019746197">
              <w:marLeft w:val="0"/>
              <w:marRight w:val="0"/>
              <w:marTop w:val="0"/>
              <w:marBottom w:val="240"/>
              <w:divBdr>
                <w:top w:val="none" w:sz="0" w:space="0" w:color="auto"/>
                <w:left w:val="none" w:sz="0" w:space="0" w:color="auto"/>
                <w:bottom w:val="none" w:sz="0" w:space="0" w:color="auto"/>
                <w:right w:val="none" w:sz="0" w:space="0" w:color="auto"/>
              </w:divBdr>
            </w:div>
            <w:div w:id="1205941251">
              <w:marLeft w:val="0"/>
              <w:marRight w:val="0"/>
              <w:marTop w:val="0"/>
              <w:marBottom w:val="240"/>
              <w:divBdr>
                <w:top w:val="none" w:sz="0" w:space="0" w:color="auto"/>
                <w:left w:val="none" w:sz="0" w:space="0" w:color="auto"/>
                <w:bottom w:val="none" w:sz="0" w:space="0" w:color="auto"/>
                <w:right w:val="none" w:sz="0" w:space="0" w:color="auto"/>
              </w:divBdr>
            </w:div>
            <w:div w:id="2139713273">
              <w:marLeft w:val="0"/>
              <w:marRight w:val="0"/>
              <w:marTop w:val="0"/>
              <w:marBottom w:val="240"/>
              <w:divBdr>
                <w:top w:val="none" w:sz="0" w:space="0" w:color="auto"/>
                <w:left w:val="none" w:sz="0" w:space="0" w:color="auto"/>
                <w:bottom w:val="none" w:sz="0" w:space="0" w:color="auto"/>
                <w:right w:val="none" w:sz="0" w:space="0" w:color="auto"/>
              </w:divBdr>
            </w:div>
            <w:div w:id="1763598812">
              <w:marLeft w:val="0"/>
              <w:marRight w:val="0"/>
              <w:marTop w:val="0"/>
              <w:marBottom w:val="240"/>
              <w:divBdr>
                <w:top w:val="none" w:sz="0" w:space="0" w:color="auto"/>
                <w:left w:val="none" w:sz="0" w:space="0" w:color="auto"/>
                <w:bottom w:val="none" w:sz="0" w:space="0" w:color="auto"/>
                <w:right w:val="none" w:sz="0" w:space="0" w:color="auto"/>
              </w:divBdr>
            </w:div>
            <w:div w:id="1537112262">
              <w:marLeft w:val="0"/>
              <w:marRight w:val="0"/>
              <w:marTop w:val="0"/>
              <w:marBottom w:val="240"/>
              <w:divBdr>
                <w:top w:val="none" w:sz="0" w:space="0" w:color="auto"/>
                <w:left w:val="none" w:sz="0" w:space="0" w:color="auto"/>
                <w:bottom w:val="none" w:sz="0" w:space="0" w:color="auto"/>
                <w:right w:val="none" w:sz="0" w:space="0" w:color="auto"/>
              </w:divBdr>
            </w:div>
            <w:div w:id="1945183280">
              <w:marLeft w:val="0"/>
              <w:marRight w:val="0"/>
              <w:marTop w:val="0"/>
              <w:marBottom w:val="240"/>
              <w:divBdr>
                <w:top w:val="none" w:sz="0" w:space="0" w:color="auto"/>
                <w:left w:val="none" w:sz="0" w:space="0" w:color="auto"/>
                <w:bottom w:val="none" w:sz="0" w:space="0" w:color="auto"/>
                <w:right w:val="none" w:sz="0" w:space="0" w:color="auto"/>
              </w:divBdr>
            </w:div>
            <w:div w:id="1394157865">
              <w:marLeft w:val="0"/>
              <w:marRight w:val="0"/>
              <w:marTop w:val="0"/>
              <w:marBottom w:val="240"/>
              <w:divBdr>
                <w:top w:val="none" w:sz="0" w:space="0" w:color="auto"/>
                <w:left w:val="none" w:sz="0" w:space="0" w:color="auto"/>
                <w:bottom w:val="none" w:sz="0" w:space="0" w:color="auto"/>
                <w:right w:val="none" w:sz="0" w:space="0" w:color="auto"/>
              </w:divBdr>
            </w:div>
            <w:div w:id="313490625">
              <w:marLeft w:val="0"/>
              <w:marRight w:val="0"/>
              <w:marTop w:val="0"/>
              <w:marBottom w:val="240"/>
              <w:divBdr>
                <w:top w:val="none" w:sz="0" w:space="0" w:color="auto"/>
                <w:left w:val="none" w:sz="0" w:space="0" w:color="auto"/>
                <w:bottom w:val="none" w:sz="0" w:space="0" w:color="auto"/>
                <w:right w:val="none" w:sz="0" w:space="0" w:color="auto"/>
              </w:divBdr>
            </w:div>
            <w:div w:id="344326193">
              <w:marLeft w:val="0"/>
              <w:marRight w:val="0"/>
              <w:marTop w:val="0"/>
              <w:marBottom w:val="240"/>
              <w:divBdr>
                <w:top w:val="none" w:sz="0" w:space="0" w:color="auto"/>
                <w:left w:val="none" w:sz="0" w:space="0" w:color="auto"/>
                <w:bottom w:val="none" w:sz="0" w:space="0" w:color="auto"/>
                <w:right w:val="none" w:sz="0" w:space="0" w:color="auto"/>
              </w:divBdr>
            </w:div>
            <w:div w:id="1866409446">
              <w:marLeft w:val="0"/>
              <w:marRight w:val="0"/>
              <w:marTop w:val="0"/>
              <w:marBottom w:val="240"/>
              <w:divBdr>
                <w:top w:val="none" w:sz="0" w:space="0" w:color="auto"/>
                <w:left w:val="none" w:sz="0" w:space="0" w:color="auto"/>
                <w:bottom w:val="none" w:sz="0" w:space="0" w:color="auto"/>
                <w:right w:val="none" w:sz="0" w:space="0" w:color="auto"/>
              </w:divBdr>
            </w:div>
            <w:div w:id="149909656">
              <w:marLeft w:val="0"/>
              <w:marRight w:val="0"/>
              <w:marTop w:val="0"/>
              <w:marBottom w:val="240"/>
              <w:divBdr>
                <w:top w:val="none" w:sz="0" w:space="0" w:color="auto"/>
                <w:left w:val="none" w:sz="0" w:space="0" w:color="auto"/>
                <w:bottom w:val="none" w:sz="0" w:space="0" w:color="auto"/>
                <w:right w:val="none" w:sz="0" w:space="0" w:color="auto"/>
              </w:divBdr>
            </w:div>
            <w:div w:id="508058546">
              <w:marLeft w:val="0"/>
              <w:marRight w:val="0"/>
              <w:marTop w:val="0"/>
              <w:marBottom w:val="240"/>
              <w:divBdr>
                <w:top w:val="none" w:sz="0" w:space="0" w:color="auto"/>
                <w:left w:val="none" w:sz="0" w:space="0" w:color="auto"/>
                <w:bottom w:val="none" w:sz="0" w:space="0" w:color="auto"/>
                <w:right w:val="none" w:sz="0" w:space="0" w:color="auto"/>
              </w:divBdr>
            </w:div>
            <w:div w:id="1735229313">
              <w:marLeft w:val="0"/>
              <w:marRight w:val="0"/>
              <w:marTop w:val="0"/>
              <w:marBottom w:val="240"/>
              <w:divBdr>
                <w:top w:val="none" w:sz="0" w:space="0" w:color="auto"/>
                <w:left w:val="none" w:sz="0" w:space="0" w:color="auto"/>
                <w:bottom w:val="none" w:sz="0" w:space="0" w:color="auto"/>
                <w:right w:val="none" w:sz="0" w:space="0" w:color="auto"/>
              </w:divBdr>
            </w:div>
            <w:div w:id="521163625">
              <w:marLeft w:val="0"/>
              <w:marRight w:val="0"/>
              <w:marTop w:val="0"/>
              <w:marBottom w:val="240"/>
              <w:divBdr>
                <w:top w:val="none" w:sz="0" w:space="0" w:color="auto"/>
                <w:left w:val="none" w:sz="0" w:space="0" w:color="auto"/>
                <w:bottom w:val="none" w:sz="0" w:space="0" w:color="auto"/>
                <w:right w:val="none" w:sz="0" w:space="0" w:color="auto"/>
              </w:divBdr>
            </w:div>
            <w:div w:id="2080472413">
              <w:marLeft w:val="0"/>
              <w:marRight w:val="0"/>
              <w:marTop w:val="0"/>
              <w:marBottom w:val="240"/>
              <w:divBdr>
                <w:top w:val="none" w:sz="0" w:space="0" w:color="auto"/>
                <w:left w:val="none" w:sz="0" w:space="0" w:color="auto"/>
                <w:bottom w:val="none" w:sz="0" w:space="0" w:color="auto"/>
                <w:right w:val="none" w:sz="0" w:space="0" w:color="auto"/>
              </w:divBdr>
            </w:div>
            <w:div w:id="30150561">
              <w:marLeft w:val="0"/>
              <w:marRight w:val="0"/>
              <w:marTop w:val="0"/>
              <w:marBottom w:val="240"/>
              <w:divBdr>
                <w:top w:val="none" w:sz="0" w:space="0" w:color="auto"/>
                <w:left w:val="none" w:sz="0" w:space="0" w:color="auto"/>
                <w:bottom w:val="none" w:sz="0" w:space="0" w:color="auto"/>
                <w:right w:val="none" w:sz="0" w:space="0" w:color="auto"/>
              </w:divBdr>
            </w:div>
            <w:div w:id="722756729">
              <w:marLeft w:val="0"/>
              <w:marRight w:val="0"/>
              <w:marTop w:val="0"/>
              <w:marBottom w:val="240"/>
              <w:divBdr>
                <w:top w:val="none" w:sz="0" w:space="0" w:color="auto"/>
                <w:left w:val="none" w:sz="0" w:space="0" w:color="auto"/>
                <w:bottom w:val="none" w:sz="0" w:space="0" w:color="auto"/>
                <w:right w:val="none" w:sz="0" w:space="0" w:color="auto"/>
              </w:divBdr>
            </w:div>
            <w:div w:id="522129172">
              <w:marLeft w:val="0"/>
              <w:marRight w:val="0"/>
              <w:marTop w:val="0"/>
              <w:marBottom w:val="240"/>
              <w:divBdr>
                <w:top w:val="none" w:sz="0" w:space="0" w:color="auto"/>
                <w:left w:val="none" w:sz="0" w:space="0" w:color="auto"/>
                <w:bottom w:val="none" w:sz="0" w:space="0" w:color="auto"/>
                <w:right w:val="none" w:sz="0" w:space="0" w:color="auto"/>
              </w:divBdr>
            </w:div>
            <w:div w:id="1928415248">
              <w:marLeft w:val="0"/>
              <w:marRight w:val="0"/>
              <w:marTop w:val="0"/>
              <w:marBottom w:val="240"/>
              <w:divBdr>
                <w:top w:val="none" w:sz="0" w:space="0" w:color="auto"/>
                <w:left w:val="none" w:sz="0" w:space="0" w:color="auto"/>
                <w:bottom w:val="none" w:sz="0" w:space="0" w:color="auto"/>
                <w:right w:val="none" w:sz="0" w:space="0" w:color="auto"/>
              </w:divBdr>
            </w:div>
            <w:div w:id="587622014">
              <w:marLeft w:val="0"/>
              <w:marRight w:val="0"/>
              <w:marTop w:val="0"/>
              <w:marBottom w:val="240"/>
              <w:divBdr>
                <w:top w:val="none" w:sz="0" w:space="0" w:color="auto"/>
                <w:left w:val="none" w:sz="0" w:space="0" w:color="auto"/>
                <w:bottom w:val="none" w:sz="0" w:space="0" w:color="auto"/>
                <w:right w:val="none" w:sz="0" w:space="0" w:color="auto"/>
              </w:divBdr>
            </w:div>
            <w:div w:id="435448494">
              <w:marLeft w:val="0"/>
              <w:marRight w:val="0"/>
              <w:marTop w:val="0"/>
              <w:marBottom w:val="240"/>
              <w:divBdr>
                <w:top w:val="none" w:sz="0" w:space="0" w:color="auto"/>
                <w:left w:val="none" w:sz="0" w:space="0" w:color="auto"/>
                <w:bottom w:val="none" w:sz="0" w:space="0" w:color="auto"/>
                <w:right w:val="none" w:sz="0" w:space="0" w:color="auto"/>
              </w:divBdr>
            </w:div>
            <w:div w:id="934443406">
              <w:marLeft w:val="0"/>
              <w:marRight w:val="0"/>
              <w:marTop w:val="0"/>
              <w:marBottom w:val="240"/>
              <w:divBdr>
                <w:top w:val="none" w:sz="0" w:space="0" w:color="auto"/>
                <w:left w:val="none" w:sz="0" w:space="0" w:color="auto"/>
                <w:bottom w:val="none" w:sz="0" w:space="0" w:color="auto"/>
                <w:right w:val="none" w:sz="0" w:space="0" w:color="auto"/>
              </w:divBdr>
            </w:div>
            <w:div w:id="1841265049">
              <w:marLeft w:val="0"/>
              <w:marRight w:val="0"/>
              <w:marTop w:val="0"/>
              <w:marBottom w:val="240"/>
              <w:divBdr>
                <w:top w:val="none" w:sz="0" w:space="0" w:color="auto"/>
                <w:left w:val="none" w:sz="0" w:space="0" w:color="auto"/>
                <w:bottom w:val="none" w:sz="0" w:space="0" w:color="auto"/>
                <w:right w:val="none" w:sz="0" w:space="0" w:color="auto"/>
              </w:divBdr>
            </w:div>
            <w:div w:id="290287110">
              <w:marLeft w:val="0"/>
              <w:marRight w:val="0"/>
              <w:marTop w:val="0"/>
              <w:marBottom w:val="240"/>
              <w:divBdr>
                <w:top w:val="none" w:sz="0" w:space="0" w:color="auto"/>
                <w:left w:val="none" w:sz="0" w:space="0" w:color="auto"/>
                <w:bottom w:val="none" w:sz="0" w:space="0" w:color="auto"/>
                <w:right w:val="none" w:sz="0" w:space="0" w:color="auto"/>
              </w:divBdr>
            </w:div>
            <w:div w:id="314262911">
              <w:marLeft w:val="0"/>
              <w:marRight w:val="0"/>
              <w:marTop w:val="0"/>
              <w:marBottom w:val="240"/>
              <w:divBdr>
                <w:top w:val="none" w:sz="0" w:space="0" w:color="auto"/>
                <w:left w:val="none" w:sz="0" w:space="0" w:color="auto"/>
                <w:bottom w:val="none" w:sz="0" w:space="0" w:color="auto"/>
                <w:right w:val="none" w:sz="0" w:space="0" w:color="auto"/>
              </w:divBdr>
            </w:div>
            <w:div w:id="1060903420">
              <w:marLeft w:val="0"/>
              <w:marRight w:val="0"/>
              <w:marTop w:val="0"/>
              <w:marBottom w:val="240"/>
              <w:divBdr>
                <w:top w:val="none" w:sz="0" w:space="0" w:color="auto"/>
                <w:left w:val="none" w:sz="0" w:space="0" w:color="auto"/>
                <w:bottom w:val="none" w:sz="0" w:space="0" w:color="auto"/>
                <w:right w:val="none" w:sz="0" w:space="0" w:color="auto"/>
              </w:divBdr>
            </w:div>
            <w:div w:id="1789548655">
              <w:marLeft w:val="0"/>
              <w:marRight w:val="0"/>
              <w:marTop w:val="0"/>
              <w:marBottom w:val="240"/>
              <w:divBdr>
                <w:top w:val="none" w:sz="0" w:space="0" w:color="auto"/>
                <w:left w:val="none" w:sz="0" w:space="0" w:color="auto"/>
                <w:bottom w:val="none" w:sz="0" w:space="0" w:color="auto"/>
                <w:right w:val="none" w:sz="0" w:space="0" w:color="auto"/>
              </w:divBdr>
            </w:div>
            <w:div w:id="1144272315">
              <w:marLeft w:val="0"/>
              <w:marRight w:val="0"/>
              <w:marTop w:val="0"/>
              <w:marBottom w:val="240"/>
              <w:divBdr>
                <w:top w:val="none" w:sz="0" w:space="0" w:color="auto"/>
                <w:left w:val="none" w:sz="0" w:space="0" w:color="auto"/>
                <w:bottom w:val="none" w:sz="0" w:space="0" w:color="auto"/>
                <w:right w:val="none" w:sz="0" w:space="0" w:color="auto"/>
              </w:divBdr>
            </w:div>
            <w:div w:id="1392533755">
              <w:marLeft w:val="0"/>
              <w:marRight w:val="0"/>
              <w:marTop w:val="0"/>
              <w:marBottom w:val="240"/>
              <w:divBdr>
                <w:top w:val="none" w:sz="0" w:space="0" w:color="auto"/>
                <w:left w:val="none" w:sz="0" w:space="0" w:color="auto"/>
                <w:bottom w:val="none" w:sz="0" w:space="0" w:color="auto"/>
                <w:right w:val="none" w:sz="0" w:space="0" w:color="auto"/>
              </w:divBdr>
            </w:div>
            <w:div w:id="415791129">
              <w:marLeft w:val="0"/>
              <w:marRight w:val="0"/>
              <w:marTop w:val="0"/>
              <w:marBottom w:val="240"/>
              <w:divBdr>
                <w:top w:val="none" w:sz="0" w:space="0" w:color="auto"/>
                <w:left w:val="none" w:sz="0" w:space="0" w:color="auto"/>
                <w:bottom w:val="none" w:sz="0" w:space="0" w:color="auto"/>
                <w:right w:val="none" w:sz="0" w:space="0" w:color="auto"/>
              </w:divBdr>
            </w:div>
            <w:div w:id="154339575">
              <w:marLeft w:val="0"/>
              <w:marRight w:val="0"/>
              <w:marTop w:val="0"/>
              <w:marBottom w:val="240"/>
              <w:divBdr>
                <w:top w:val="none" w:sz="0" w:space="0" w:color="auto"/>
                <w:left w:val="none" w:sz="0" w:space="0" w:color="auto"/>
                <w:bottom w:val="none" w:sz="0" w:space="0" w:color="auto"/>
                <w:right w:val="none" w:sz="0" w:space="0" w:color="auto"/>
              </w:divBdr>
            </w:div>
            <w:div w:id="212487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07371">
      <w:bodyDiv w:val="1"/>
      <w:marLeft w:val="0"/>
      <w:marRight w:val="0"/>
      <w:marTop w:val="0"/>
      <w:marBottom w:val="0"/>
      <w:divBdr>
        <w:top w:val="none" w:sz="0" w:space="0" w:color="auto"/>
        <w:left w:val="none" w:sz="0" w:space="0" w:color="auto"/>
        <w:bottom w:val="none" w:sz="0" w:space="0" w:color="auto"/>
        <w:right w:val="none" w:sz="0" w:space="0" w:color="auto"/>
      </w:divBdr>
    </w:div>
    <w:div w:id="39788157">
      <w:bodyDiv w:val="1"/>
      <w:marLeft w:val="0"/>
      <w:marRight w:val="0"/>
      <w:marTop w:val="0"/>
      <w:marBottom w:val="0"/>
      <w:divBdr>
        <w:top w:val="none" w:sz="0" w:space="0" w:color="auto"/>
        <w:left w:val="none" w:sz="0" w:space="0" w:color="auto"/>
        <w:bottom w:val="none" w:sz="0" w:space="0" w:color="auto"/>
        <w:right w:val="none" w:sz="0" w:space="0" w:color="auto"/>
      </w:divBdr>
    </w:div>
    <w:div w:id="46759194">
      <w:bodyDiv w:val="1"/>
      <w:marLeft w:val="0"/>
      <w:marRight w:val="0"/>
      <w:marTop w:val="0"/>
      <w:marBottom w:val="0"/>
      <w:divBdr>
        <w:top w:val="none" w:sz="0" w:space="0" w:color="auto"/>
        <w:left w:val="none" w:sz="0" w:space="0" w:color="auto"/>
        <w:bottom w:val="none" w:sz="0" w:space="0" w:color="auto"/>
        <w:right w:val="none" w:sz="0" w:space="0" w:color="auto"/>
      </w:divBdr>
    </w:div>
    <w:div w:id="50353595">
      <w:bodyDiv w:val="1"/>
      <w:marLeft w:val="0"/>
      <w:marRight w:val="0"/>
      <w:marTop w:val="0"/>
      <w:marBottom w:val="0"/>
      <w:divBdr>
        <w:top w:val="none" w:sz="0" w:space="0" w:color="auto"/>
        <w:left w:val="none" w:sz="0" w:space="0" w:color="auto"/>
        <w:bottom w:val="none" w:sz="0" w:space="0" w:color="auto"/>
        <w:right w:val="none" w:sz="0" w:space="0" w:color="auto"/>
      </w:divBdr>
    </w:div>
    <w:div w:id="56629212">
      <w:bodyDiv w:val="1"/>
      <w:marLeft w:val="0"/>
      <w:marRight w:val="0"/>
      <w:marTop w:val="0"/>
      <w:marBottom w:val="0"/>
      <w:divBdr>
        <w:top w:val="none" w:sz="0" w:space="0" w:color="auto"/>
        <w:left w:val="none" w:sz="0" w:space="0" w:color="auto"/>
        <w:bottom w:val="none" w:sz="0" w:space="0" w:color="auto"/>
        <w:right w:val="none" w:sz="0" w:space="0" w:color="auto"/>
      </w:divBdr>
      <w:divsChild>
        <w:div w:id="1609191613">
          <w:marLeft w:val="480"/>
          <w:marRight w:val="0"/>
          <w:marTop w:val="0"/>
          <w:marBottom w:val="0"/>
          <w:divBdr>
            <w:top w:val="none" w:sz="0" w:space="0" w:color="auto"/>
            <w:left w:val="none" w:sz="0" w:space="0" w:color="auto"/>
            <w:bottom w:val="none" w:sz="0" w:space="0" w:color="auto"/>
            <w:right w:val="none" w:sz="0" w:space="0" w:color="auto"/>
          </w:divBdr>
          <w:divsChild>
            <w:div w:id="377828263">
              <w:marLeft w:val="0"/>
              <w:marRight w:val="0"/>
              <w:marTop w:val="0"/>
              <w:marBottom w:val="240"/>
              <w:divBdr>
                <w:top w:val="none" w:sz="0" w:space="0" w:color="auto"/>
                <w:left w:val="none" w:sz="0" w:space="0" w:color="auto"/>
                <w:bottom w:val="none" w:sz="0" w:space="0" w:color="auto"/>
                <w:right w:val="none" w:sz="0" w:space="0" w:color="auto"/>
              </w:divBdr>
            </w:div>
            <w:div w:id="858009301">
              <w:marLeft w:val="0"/>
              <w:marRight w:val="0"/>
              <w:marTop w:val="0"/>
              <w:marBottom w:val="240"/>
              <w:divBdr>
                <w:top w:val="none" w:sz="0" w:space="0" w:color="auto"/>
                <w:left w:val="none" w:sz="0" w:space="0" w:color="auto"/>
                <w:bottom w:val="none" w:sz="0" w:space="0" w:color="auto"/>
                <w:right w:val="none" w:sz="0" w:space="0" w:color="auto"/>
              </w:divBdr>
            </w:div>
            <w:div w:id="1011297171">
              <w:marLeft w:val="0"/>
              <w:marRight w:val="0"/>
              <w:marTop w:val="0"/>
              <w:marBottom w:val="240"/>
              <w:divBdr>
                <w:top w:val="none" w:sz="0" w:space="0" w:color="auto"/>
                <w:left w:val="none" w:sz="0" w:space="0" w:color="auto"/>
                <w:bottom w:val="none" w:sz="0" w:space="0" w:color="auto"/>
                <w:right w:val="none" w:sz="0" w:space="0" w:color="auto"/>
              </w:divBdr>
            </w:div>
            <w:div w:id="1309896099">
              <w:marLeft w:val="0"/>
              <w:marRight w:val="0"/>
              <w:marTop w:val="0"/>
              <w:marBottom w:val="240"/>
              <w:divBdr>
                <w:top w:val="none" w:sz="0" w:space="0" w:color="auto"/>
                <w:left w:val="none" w:sz="0" w:space="0" w:color="auto"/>
                <w:bottom w:val="none" w:sz="0" w:space="0" w:color="auto"/>
                <w:right w:val="none" w:sz="0" w:space="0" w:color="auto"/>
              </w:divBdr>
            </w:div>
            <w:div w:id="520509255">
              <w:marLeft w:val="0"/>
              <w:marRight w:val="0"/>
              <w:marTop w:val="0"/>
              <w:marBottom w:val="240"/>
              <w:divBdr>
                <w:top w:val="none" w:sz="0" w:space="0" w:color="auto"/>
                <w:left w:val="none" w:sz="0" w:space="0" w:color="auto"/>
                <w:bottom w:val="none" w:sz="0" w:space="0" w:color="auto"/>
                <w:right w:val="none" w:sz="0" w:space="0" w:color="auto"/>
              </w:divBdr>
            </w:div>
            <w:div w:id="1412197710">
              <w:marLeft w:val="0"/>
              <w:marRight w:val="0"/>
              <w:marTop w:val="0"/>
              <w:marBottom w:val="240"/>
              <w:divBdr>
                <w:top w:val="none" w:sz="0" w:space="0" w:color="auto"/>
                <w:left w:val="none" w:sz="0" w:space="0" w:color="auto"/>
                <w:bottom w:val="none" w:sz="0" w:space="0" w:color="auto"/>
                <w:right w:val="none" w:sz="0" w:space="0" w:color="auto"/>
              </w:divBdr>
            </w:div>
            <w:div w:id="1968201731">
              <w:marLeft w:val="0"/>
              <w:marRight w:val="0"/>
              <w:marTop w:val="0"/>
              <w:marBottom w:val="240"/>
              <w:divBdr>
                <w:top w:val="none" w:sz="0" w:space="0" w:color="auto"/>
                <w:left w:val="none" w:sz="0" w:space="0" w:color="auto"/>
                <w:bottom w:val="none" w:sz="0" w:space="0" w:color="auto"/>
                <w:right w:val="none" w:sz="0" w:space="0" w:color="auto"/>
              </w:divBdr>
            </w:div>
            <w:div w:id="60954826">
              <w:marLeft w:val="0"/>
              <w:marRight w:val="0"/>
              <w:marTop w:val="0"/>
              <w:marBottom w:val="240"/>
              <w:divBdr>
                <w:top w:val="none" w:sz="0" w:space="0" w:color="auto"/>
                <w:left w:val="none" w:sz="0" w:space="0" w:color="auto"/>
                <w:bottom w:val="none" w:sz="0" w:space="0" w:color="auto"/>
                <w:right w:val="none" w:sz="0" w:space="0" w:color="auto"/>
              </w:divBdr>
            </w:div>
            <w:div w:id="2076008201">
              <w:marLeft w:val="0"/>
              <w:marRight w:val="0"/>
              <w:marTop w:val="0"/>
              <w:marBottom w:val="240"/>
              <w:divBdr>
                <w:top w:val="none" w:sz="0" w:space="0" w:color="auto"/>
                <w:left w:val="none" w:sz="0" w:space="0" w:color="auto"/>
                <w:bottom w:val="none" w:sz="0" w:space="0" w:color="auto"/>
                <w:right w:val="none" w:sz="0" w:space="0" w:color="auto"/>
              </w:divBdr>
            </w:div>
            <w:div w:id="2027829910">
              <w:marLeft w:val="0"/>
              <w:marRight w:val="0"/>
              <w:marTop w:val="0"/>
              <w:marBottom w:val="240"/>
              <w:divBdr>
                <w:top w:val="none" w:sz="0" w:space="0" w:color="auto"/>
                <w:left w:val="none" w:sz="0" w:space="0" w:color="auto"/>
                <w:bottom w:val="none" w:sz="0" w:space="0" w:color="auto"/>
                <w:right w:val="none" w:sz="0" w:space="0" w:color="auto"/>
              </w:divBdr>
            </w:div>
            <w:div w:id="733818015">
              <w:marLeft w:val="0"/>
              <w:marRight w:val="0"/>
              <w:marTop w:val="0"/>
              <w:marBottom w:val="240"/>
              <w:divBdr>
                <w:top w:val="none" w:sz="0" w:space="0" w:color="auto"/>
                <w:left w:val="none" w:sz="0" w:space="0" w:color="auto"/>
                <w:bottom w:val="none" w:sz="0" w:space="0" w:color="auto"/>
                <w:right w:val="none" w:sz="0" w:space="0" w:color="auto"/>
              </w:divBdr>
            </w:div>
            <w:div w:id="1765105045">
              <w:marLeft w:val="0"/>
              <w:marRight w:val="0"/>
              <w:marTop w:val="0"/>
              <w:marBottom w:val="240"/>
              <w:divBdr>
                <w:top w:val="none" w:sz="0" w:space="0" w:color="auto"/>
                <w:left w:val="none" w:sz="0" w:space="0" w:color="auto"/>
                <w:bottom w:val="none" w:sz="0" w:space="0" w:color="auto"/>
                <w:right w:val="none" w:sz="0" w:space="0" w:color="auto"/>
              </w:divBdr>
            </w:div>
            <w:div w:id="1106537184">
              <w:marLeft w:val="0"/>
              <w:marRight w:val="0"/>
              <w:marTop w:val="0"/>
              <w:marBottom w:val="240"/>
              <w:divBdr>
                <w:top w:val="none" w:sz="0" w:space="0" w:color="auto"/>
                <w:left w:val="none" w:sz="0" w:space="0" w:color="auto"/>
                <w:bottom w:val="none" w:sz="0" w:space="0" w:color="auto"/>
                <w:right w:val="none" w:sz="0" w:space="0" w:color="auto"/>
              </w:divBdr>
            </w:div>
            <w:div w:id="1187253502">
              <w:marLeft w:val="0"/>
              <w:marRight w:val="0"/>
              <w:marTop w:val="0"/>
              <w:marBottom w:val="240"/>
              <w:divBdr>
                <w:top w:val="none" w:sz="0" w:space="0" w:color="auto"/>
                <w:left w:val="none" w:sz="0" w:space="0" w:color="auto"/>
                <w:bottom w:val="none" w:sz="0" w:space="0" w:color="auto"/>
                <w:right w:val="none" w:sz="0" w:space="0" w:color="auto"/>
              </w:divBdr>
            </w:div>
            <w:div w:id="144399561">
              <w:marLeft w:val="0"/>
              <w:marRight w:val="0"/>
              <w:marTop w:val="0"/>
              <w:marBottom w:val="240"/>
              <w:divBdr>
                <w:top w:val="none" w:sz="0" w:space="0" w:color="auto"/>
                <w:left w:val="none" w:sz="0" w:space="0" w:color="auto"/>
                <w:bottom w:val="none" w:sz="0" w:space="0" w:color="auto"/>
                <w:right w:val="none" w:sz="0" w:space="0" w:color="auto"/>
              </w:divBdr>
            </w:div>
            <w:div w:id="604926266">
              <w:marLeft w:val="0"/>
              <w:marRight w:val="0"/>
              <w:marTop w:val="0"/>
              <w:marBottom w:val="240"/>
              <w:divBdr>
                <w:top w:val="none" w:sz="0" w:space="0" w:color="auto"/>
                <w:left w:val="none" w:sz="0" w:space="0" w:color="auto"/>
                <w:bottom w:val="none" w:sz="0" w:space="0" w:color="auto"/>
                <w:right w:val="none" w:sz="0" w:space="0" w:color="auto"/>
              </w:divBdr>
            </w:div>
            <w:div w:id="149692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1204">
      <w:bodyDiv w:val="1"/>
      <w:marLeft w:val="0"/>
      <w:marRight w:val="0"/>
      <w:marTop w:val="0"/>
      <w:marBottom w:val="0"/>
      <w:divBdr>
        <w:top w:val="none" w:sz="0" w:space="0" w:color="auto"/>
        <w:left w:val="none" w:sz="0" w:space="0" w:color="auto"/>
        <w:bottom w:val="none" w:sz="0" w:space="0" w:color="auto"/>
        <w:right w:val="none" w:sz="0" w:space="0" w:color="auto"/>
      </w:divBdr>
    </w:div>
    <w:div w:id="70274468">
      <w:bodyDiv w:val="1"/>
      <w:marLeft w:val="0"/>
      <w:marRight w:val="0"/>
      <w:marTop w:val="0"/>
      <w:marBottom w:val="0"/>
      <w:divBdr>
        <w:top w:val="none" w:sz="0" w:space="0" w:color="auto"/>
        <w:left w:val="none" w:sz="0" w:space="0" w:color="auto"/>
        <w:bottom w:val="none" w:sz="0" w:space="0" w:color="auto"/>
        <w:right w:val="none" w:sz="0" w:space="0" w:color="auto"/>
      </w:divBdr>
    </w:div>
    <w:div w:id="77484933">
      <w:bodyDiv w:val="1"/>
      <w:marLeft w:val="0"/>
      <w:marRight w:val="0"/>
      <w:marTop w:val="0"/>
      <w:marBottom w:val="0"/>
      <w:divBdr>
        <w:top w:val="none" w:sz="0" w:space="0" w:color="auto"/>
        <w:left w:val="none" w:sz="0" w:space="0" w:color="auto"/>
        <w:bottom w:val="none" w:sz="0" w:space="0" w:color="auto"/>
        <w:right w:val="none" w:sz="0" w:space="0" w:color="auto"/>
      </w:divBdr>
    </w:div>
    <w:div w:id="87047972">
      <w:bodyDiv w:val="1"/>
      <w:marLeft w:val="0"/>
      <w:marRight w:val="0"/>
      <w:marTop w:val="0"/>
      <w:marBottom w:val="0"/>
      <w:divBdr>
        <w:top w:val="none" w:sz="0" w:space="0" w:color="auto"/>
        <w:left w:val="none" w:sz="0" w:space="0" w:color="auto"/>
        <w:bottom w:val="none" w:sz="0" w:space="0" w:color="auto"/>
        <w:right w:val="none" w:sz="0" w:space="0" w:color="auto"/>
      </w:divBdr>
    </w:div>
    <w:div w:id="101724871">
      <w:bodyDiv w:val="1"/>
      <w:marLeft w:val="0"/>
      <w:marRight w:val="0"/>
      <w:marTop w:val="0"/>
      <w:marBottom w:val="0"/>
      <w:divBdr>
        <w:top w:val="none" w:sz="0" w:space="0" w:color="auto"/>
        <w:left w:val="none" w:sz="0" w:space="0" w:color="auto"/>
        <w:bottom w:val="none" w:sz="0" w:space="0" w:color="auto"/>
        <w:right w:val="none" w:sz="0" w:space="0" w:color="auto"/>
      </w:divBdr>
      <w:divsChild>
        <w:div w:id="642931945">
          <w:marLeft w:val="480"/>
          <w:marRight w:val="0"/>
          <w:marTop w:val="0"/>
          <w:marBottom w:val="0"/>
          <w:divBdr>
            <w:top w:val="none" w:sz="0" w:space="0" w:color="auto"/>
            <w:left w:val="none" w:sz="0" w:space="0" w:color="auto"/>
            <w:bottom w:val="none" w:sz="0" w:space="0" w:color="auto"/>
            <w:right w:val="none" w:sz="0" w:space="0" w:color="auto"/>
          </w:divBdr>
          <w:divsChild>
            <w:div w:id="757599327">
              <w:marLeft w:val="0"/>
              <w:marRight w:val="0"/>
              <w:marTop w:val="0"/>
              <w:marBottom w:val="240"/>
              <w:divBdr>
                <w:top w:val="none" w:sz="0" w:space="0" w:color="auto"/>
                <w:left w:val="none" w:sz="0" w:space="0" w:color="auto"/>
                <w:bottom w:val="none" w:sz="0" w:space="0" w:color="auto"/>
                <w:right w:val="none" w:sz="0" w:space="0" w:color="auto"/>
              </w:divBdr>
            </w:div>
            <w:div w:id="361904026">
              <w:marLeft w:val="0"/>
              <w:marRight w:val="0"/>
              <w:marTop w:val="0"/>
              <w:marBottom w:val="240"/>
              <w:divBdr>
                <w:top w:val="none" w:sz="0" w:space="0" w:color="auto"/>
                <w:left w:val="none" w:sz="0" w:space="0" w:color="auto"/>
                <w:bottom w:val="none" w:sz="0" w:space="0" w:color="auto"/>
                <w:right w:val="none" w:sz="0" w:space="0" w:color="auto"/>
              </w:divBdr>
            </w:div>
            <w:div w:id="696274285">
              <w:marLeft w:val="0"/>
              <w:marRight w:val="0"/>
              <w:marTop w:val="0"/>
              <w:marBottom w:val="240"/>
              <w:divBdr>
                <w:top w:val="none" w:sz="0" w:space="0" w:color="auto"/>
                <w:left w:val="none" w:sz="0" w:space="0" w:color="auto"/>
                <w:bottom w:val="none" w:sz="0" w:space="0" w:color="auto"/>
                <w:right w:val="none" w:sz="0" w:space="0" w:color="auto"/>
              </w:divBdr>
            </w:div>
            <w:div w:id="2126462874">
              <w:marLeft w:val="0"/>
              <w:marRight w:val="0"/>
              <w:marTop w:val="0"/>
              <w:marBottom w:val="240"/>
              <w:divBdr>
                <w:top w:val="none" w:sz="0" w:space="0" w:color="auto"/>
                <w:left w:val="none" w:sz="0" w:space="0" w:color="auto"/>
                <w:bottom w:val="none" w:sz="0" w:space="0" w:color="auto"/>
                <w:right w:val="none" w:sz="0" w:space="0" w:color="auto"/>
              </w:divBdr>
            </w:div>
            <w:div w:id="9374477">
              <w:marLeft w:val="0"/>
              <w:marRight w:val="0"/>
              <w:marTop w:val="0"/>
              <w:marBottom w:val="240"/>
              <w:divBdr>
                <w:top w:val="none" w:sz="0" w:space="0" w:color="auto"/>
                <w:left w:val="none" w:sz="0" w:space="0" w:color="auto"/>
                <w:bottom w:val="none" w:sz="0" w:space="0" w:color="auto"/>
                <w:right w:val="none" w:sz="0" w:space="0" w:color="auto"/>
              </w:divBdr>
            </w:div>
            <w:div w:id="126556728">
              <w:marLeft w:val="0"/>
              <w:marRight w:val="0"/>
              <w:marTop w:val="0"/>
              <w:marBottom w:val="240"/>
              <w:divBdr>
                <w:top w:val="none" w:sz="0" w:space="0" w:color="auto"/>
                <w:left w:val="none" w:sz="0" w:space="0" w:color="auto"/>
                <w:bottom w:val="none" w:sz="0" w:space="0" w:color="auto"/>
                <w:right w:val="none" w:sz="0" w:space="0" w:color="auto"/>
              </w:divBdr>
            </w:div>
            <w:div w:id="1638949786">
              <w:marLeft w:val="0"/>
              <w:marRight w:val="0"/>
              <w:marTop w:val="0"/>
              <w:marBottom w:val="240"/>
              <w:divBdr>
                <w:top w:val="none" w:sz="0" w:space="0" w:color="auto"/>
                <w:left w:val="none" w:sz="0" w:space="0" w:color="auto"/>
                <w:bottom w:val="none" w:sz="0" w:space="0" w:color="auto"/>
                <w:right w:val="none" w:sz="0" w:space="0" w:color="auto"/>
              </w:divBdr>
            </w:div>
            <w:div w:id="599065023">
              <w:marLeft w:val="0"/>
              <w:marRight w:val="0"/>
              <w:marTop w:val="0"/>
              <w:marBottom w:val="240"/>
              <w:divBdr>
                <w:top w:val="none" w:sz="0" w:space="0" w:color="auto"/>
                <w:left w:val="none" w:sz="0" w:space="0" w:color="auto"/>
                <w:bottom w:val="none" w:sz="0" w:space="0" w:color="auto"/>
                <w:right w:val="none" w:sz="0" w:space="0" w:color="auto"/>
              </w:divBdr>
            </w:div>
            <w:div w:id="2028361890">
              <w:marLeft w:val="0"/>
              <w:marRight w:val="0"/>
              <w:marTop w:val="0"/>
              <w:marBottom w:val="240"/>
              <w:divBdr>
                <w:top w:val="none" w:sz="0" w:space="0" w:color="auto"/>
                <w:left w:val="none" w:sz="0" w:space="0" w:color="auto"/>
                <w:bottom w:val="none" w:sz="0" w:space="0" w:color="auto"/>
                <w:right w:val="none" w:sz="0" w:space="0" w:color="auto"/>
              </w:divBdr>
            </w:div>
            <w:div w:id="1507283081">
              <w:marLeft w:val="0"/>
              <w:marRight w:val="0"/>
              <w:marTop w:val="0"/>
              <w:marBottom w:val="240"/>
              <w:divBdr>
                <w:top w:val="none" w:sz="0" w:space="0" w:color="auto"/>
                <w:left w:val="none" w:sz="0" w:space="0" w:color="auto"/>
                <w:bottom w:val="none" w:sz="0" w:space="0" w:color="auto"/>
                <w:right w:val="none" w:sz="0" w:space="0" w:color="auto"/>
              </w:divBdr>
            </w:div>
            <w:div w:id="1117794869">
              <w:marLeft w:val="0"/>
              <w:marRight w:val="0"/>
              <w:marTop w:val="0"/>
              <w:marBottom w:val="240"/>
              <w:divBdr>
                <w:top w:val="none" w:sz="0" w:space="0" w:color="auto"/>
                <w:left w:val="none" w:sz="0" w:space="0" w:color="auto"/>
                <w:bottom w:val="none" w:sz="0" w:space="0" w:color="auto"/>
                <w:right w:val="none" w:sz="0" w:space="0" w:color="auto"/>
              </w:divBdr>
            </w:div>
            <w:div w:id="531260049">
              <w:marLeft w:val="0"/>
              <w:marRight w:val="0"/>
              <w:marTop w:val="0"/>
              <w:marBottom w:val="240"/>
              <w:divBdr>
                <w:top w:val="none" w:sz="0" w:space="0" w:color="auto"/>
                <w:left w:val="none" w:sz="0" w:space="0" w:color="auto"/>
                <w:bottom w:val="none" w:sz="0" w:space="0" w:color="auto"/>
                <w:right w:val="none" w:sz="0" w:space="0" w:color="auto"/>
              </w:divBdr>
            </w:div>
            <w:div w:id="47266225">
              <w:marLeft w:val="0"/>
              <w:marRight w:val="0"/>
              <w:marTop w:val="0"/>
              <w:marBottom w:val="240"/>
              <w:divBdr>
                <w:top w:val="none" w:sz="0" w:space="0" w:color="auto"/>
                <w:left w:val="none" w:sz="0" w:space="0" w:color="auto"/>
                <w:bottom w:val="none" w:sz="0" w:space="0" w:color="auto"/>
                <w:right w:val="none" w:sz="0" w:space="0" w:color="auto"/>
              </w:divBdr>
            </w:div>
            <w:div w:id="1501310828">
              <w:marLeft w:val="0"/>
              <w:marRight w:val="0"/>
              <w:marTop w:val="0"/>
              <w:marBottom w:val="240"/>
              <w:divBdr>
                <w:top w:val="none" w:sz="0" w:space="0" w:color="auto"/>
                <w:left w:val="none" w:sz="0" w:space="0" w:color="auto"/>
                <w:bottom w:val="none" w:sz="0" w:space="0" w:color="auto"/>
                <w:right w:val="none" w:sz="0" w:space="0" w:color="auto"/>
              </w:divBdr>
            </w:div>
            <w:div w:id="1275601593">
              <w:marLeft w:val="0"/>
              <w:marRight w:val="0"/>
              <w:marTop w:val="0"/>
              <w:marBottom w:val="240"/>
              <w:divBdr>
                <w:top w:val="none" w:sz="0" w:space="0" w:color="auto"/>
                <w:left w:val="none" w:sz="0" w:space="0" w:color="auto"/>
                <w:bottom w:val="none" w:sz="0" w:space="0" w:color="auto"/>
                <w:right w:val="none" w:sz="0" w:space="0" w:color="auto"/>
              </w:divBdr>
            </w:div>
            <w:div w:id="554201856">
              <w:marLeft w:val="0"/>
              <w:marRight w:val="0"/>
              <w:marTop w:val="0"/>
              <w:marBottom w:val="240"/>
              <w:divBdr>
                <w:top w:val="none" w:sz="0" w:space="0" w:color="auto"/>
                <w:left w:val="none" w:sz="0" w:space="0" w:color="auto"/>
                <w:bottom w:val="none" w:sz="0" w:space="0" w:color="auto"/>
                <w:right w:val="none" w:sz="0" w:space="0" w:color="auto"/>
              </w:divBdr>
            </w:div>
            <w:div w:id="2067407739">
              <w:marLeft w:val="0"/>
              <w:marRight w:val="0"/>
              <w:marTop w:val="0"/>
              <w:marBottom w:val="240"/>
              <w:divBdr>
                <w:top w:val="none" w:sz="0" w:space="0" w:color="auto"/>
                <w:left w:val="none" w:sz="0" w:space="0" w:color="auto"/>
                <w:bottom w:val="none" w:sz="0" w:space="0" w:color="auto"/>
                <w:right w:val="none" w:sz="0" w:space="0" w:color="auto"/>
              </w:divBdr>
            </w:div>
            <w:div w:id="1171139959">
              <w:marLeft w:val="0"/>
              <w:marRight w:val="0"/>
              <w:marTop w:val="0"/>
              <w:marBottom w:val="240"/>
              <w:divBdr>
                <w:top w:val="none" w:sz="0" w:space="0" w:color="auto"/>
                <w:left w:val="none" w:sz="0" w:space="0" w:color="auto"/>
                <w:bottom w:val="none" w:sz="0" w:space="0" w:color="auto"/>
                <w:right w:val="none" w:sz="0" w:space="0" w:color="auto"/>
              </w:divBdr>
            </w:div>
            <w:div w:id="1046180572">
              <w:marLeft w:val="0"/>
              <w:marRight w:val="0"/>
              <w:marTop w:val="0"/>
              <w:marBottom w:val="240"/>
              <w:divBdr>
                <w:top w:val="none" w:sz="0" w:space="0" w:color="auto"/>
                <w:left w:val="none" w:sz="0" w:space="0" w:color="auto"/>
                <w:bottom w:val="none" w:sz="0" w:space="0" w:color="auto"/>
                <w:right w:val="none" w:sz="0" w:space="0" w:color="auto"/>
              </w:divBdr>
            </w:div>
            <w:div w:id="508061958">
              <w:marLeft w:val="0"/>
              <w:marRight w:val="0"/>
              <w:marTop w:val="0"/>
              <w:marBottom w:val="240"/>
              <w:divBdr>
                <w:top w:val="none" w:sz="0" w:space="0" w:color="auto"/>
                <w:left w:val="none" w:sz="0" w:space="0" w:color="auto"/>
                <w:bottom w:val="none" w:sz="0" w:space="0" w:color="auto"/>
                <w:right w:val="none" w:sz="0" w:space="0" w:color="auto"/>
              </w:divBdr>
            </w:div>
            <w:div w:id="776291348">
              <w:marLeft w:val="0"/>
              <w:marRight w:val="0"/>
              <w:marTop w:val="0"/>
              <w:marBottom w:val="240"/>
              <w:divBdr>
                <w:top w:val="none" w:sz="0" w:space="0" w:color="auto"/>
                <w:left w:val="none" w:sz="0" w:space="0" w:color="auto"/>
                <w:bottom w:val="none" w:sz="0" w:space="0" w:color="auto"/>
                <w:right w:val="none" w:sz="0" w:space="0" w:color="auto"/>
              </w:divBdr>
            </w:div>
            <w:div w:id="1237665758">
              <w:marLeft w:val="0"/>
              <w:marRight w:val="0"/>
              <w:marTop w:val="0"/>
              <w:marBottom w:val="240"/>
              <w:divBdr>
                <w:top w:val="none" w:sz="0" w:space="0" w:color="auto"/>
                <w:left w:val="none" w:sz="0" w:space="0" w:color="auto"/>
                <w:bottom w:val="none" w:sz="0" w:space="0" w:color="auto"/>
                <w:right w:val="none" w:sz="0" w:space="0" w:color="auto"/>
              </w:divBdr>
            </w:div>
            <w:div w:id="1041631340">
              <w:marLeft w:val="0"/>
              <w:marRight w:val="0"/>
              <w:marTop w:val="0"/>
              <w:marBottom w:val="240"/>
              <w:divBdr>
                <w:top w:val="none" w:sz="0" w:space="0" w:color="auto"/>
                <w:left w:val="none" w:sz="0" w:space="0" w:color="auto"/>
                <w:bottom w:val="none" w:sz="0" w:space="0" w:color="auto"/>
                <w:right w:val="none" w:sz="0" w:space="0" w:color="auto"/>
              </w:divBdr>
            </w:div>
            <w:div w:id="451941388">
              <w:marLeft w:val="0"/>
              <w:marRight w:val="0"/>
              <w:marTop w:val="0"/>
              <w:marBottom w:val="240"/>
              <w:divBdr>
                <w:top w:val="none" w:sz="0" w:space="0" w:color="auto"/>
                <w:left w:val="none" w:sz="0" w:space="0" w:color="auto"/>
                <w:bottom w:val="none" w:sz="0" w:space="0" w:color="auto"/>
                <w:right w:val="none" w:sz="0" w:space="0" w:color="auto"/>
              </w:divBdr>
            </w:div>
            <w:div w:id="760873204">
              <w:marLeft w:val="0"/>
              <w:marRight w:val="0"/>
              <w:marTop w:val="0"/>
              <w:marBottom w:val="240"/>
              <w:divBdr>
                <w:top w:val="none" w:sz="0" w:space="0" w:color="auto"/>
                <w:left w:val="none" w:sz="0" w:space="0" w:color="auto"/>
                <w:bottom w:val="none" w:sz="0" w:space="0" w:color="auto"/>
                <w:right w:val="none" w:sz="0" w:space="0" w:color="auto"/>
              </w:divBdr>
            </w:div>
            <w:div w:id="532886392">
              <w:marLeft w:val="0"/>
              <w:marRight w:val="0"/>
              <w:marTop w:val="0"/>
              <w:marBottom w:val="240"/>
              <w:divBdr>
                <w:top w:val="none" w:sz="0" w:space="0" w:color="auto"/>
                <w:left w:val="none" w:sz="0" w:space="0" w:color="auto"/>
                <w:bottom w:val="none" w:sz="0" w:space="0" w:color="auto"/>
                <w:right w:val="none" w:sz="0" w:space="0" w:color="auto"/>
              </w:divBdr>
            </w:div>
            <w:div w:id="427701954">
              <w:marLeft w:val="0"/>
              <w:marRight w:val="0"/>
              <w:marTop w:val="0"/>
              <w:marBottom w:val="240"/>
              <w:divBdr>
                <w:top w:val="none" w:sz="0" w:space="0" w:color="auto"/>
                <w:left w:val="none" w:sz="0" w:space="0" w:color="auto"/>
                <w:bottom w:val="none" w:sz="0" w:space="0" w:color="auto"/>
                <w:right w:val="none" w:sz="0" w:space="0" w:color="auto"/>
              </w:divBdr>
            </w:div>
            <w:div w:id="1345403314">
              <w:marLeft w:val="0"/>
              <w:marRight w:val="0"/>
              <w:marTop w:val="0"/>
              <w:marBottom w:val="240"/>
              <w:divBdr>
                <w:top w:val="none" w:sz="0" w:space="0" w:color="auto"/>
                <w:left w:val="none" w:sz="0" w:space="0" w:color="auto"/>
                <w:bottom w:val="none" w:sz="0" w:space="0" w:color="auto"/>
                <w:right w:val="none" w:sz="0" w:space="0" w:color="auto"/>
              </w:divBdr>
            </w:div>
            <w:div w:id="2088651995">
              <w:marLeft w:val="0"/>
              <w:marRight w:val="0"/>
              <w:marTop w:val="0"/>
              <w:marBottom w:val="240"/>
              <w:divBdr>
                <w:top w:val="none" w:sz="0" w:space="0" w:color="auto"/>
                <w:left w:val="none" w:sz="0" w:space="0" w:color="auto"/>
                <w:bottom w:val="none" w:sz="0" w:space="0" w:color="auto"/>
                <w:right w:val="none" w:sz="0" w:space="0" w:color="auto"/>
              </w:divBdr>
            </w:div>
            <w:div w:id="262761089">
              <w:marLeft w:val="0"/>
              <w:marRight w:val="0"/>
              <w:marTop w:val="0"/>
              <w:marBottom w:val="240"/>
              <w:divBdr>
                <w:top w:val="none" w:sz="0" w:space="0" w:color="auto"/>
                <w:left w:val="none" w:sz="0" w:space="0" w:color="auto"/>
                <w:bottom w:val="none" w:sz="0" w:space="0" w:color="auto"/>
                <w:right w:val="none" w:sz="0" w:space="0" w:color="auto"/>
              </w:divBdr>
            </w:div>
            <w:div w:id="268046455">
              <w:marLeft w:val="0"/>
              <w:marRight w:val="0"/>
              <w:marTop w:val="0"/>
              <w:marBottom w:val="240"/>
              <w:divBdr>
                <w:top w:val="none" w:sz="0" w:space="0" w:color="auto"/>
                <w:left w:val="none" w:sz="0" w:space="0" w:color="auto"/>
                <w:bottom w:val="none" w:sz="0" w:space="0" w:color="auto"/>
                <w:right w:val="none" w:sz="0" w:space="0" w:color="auto"/>
              </w:divBdr>
            </w:div>
            <w:div w:id="808981525">
              <w:marLeft w:val="0"/>
              <w:marRight w:val="0"/>
              <w:marTop w:val="0"/>
              <w:marBottom w:val="240"/>
              <w:divBdr>
                <w:top w:val="none" w:sz="0" w:space="0" w:color="auto"/>
                <w:left w:val="none" w:sz="0" w:space="0" w:color="auto"/>
                <w:bottom w:val="none" w:sz="0" w:space="0" w:color="auto"/>
                <w:right w:val="none" w:sz="0" w:space="0" w:color="auto"/>
              </w:divBdr>
            </w:div>
            <w:div w:id="2068261814">
              <w:marLeft w:val="0"/>
              <w:marRight w:val="0"/>
              <w:marTop w:val="0"/>
              <w:marBottom w:val="240"/>
              <w:divBdr>
                <w:top w:val="none" w:sz="0" w:space="0" w:color="auto"/>
                <w:left w:val="none" w:sz="0" w:space="0" w:color="auto"/>
                <w:bottom w:val="none" w:sz="0" w:space="0" w:color="auto"/>
                <w:right w:val="none" w:sz="0" w:space="0" w:color="auto"/>
              </w:divBdr>
            </w:div>
            <w:div w:id="1860771880">
              <w:marLeft w:val="0"/>
              <w:marRight w:val="0"/>
              <w:marTop w:val="0"/>
              <w:marBottom w:val="240"/>
              <w:divBdr>
                <w:top w:val="none" w:sz="0" w:space="0" w:color="auto"/>
                <w:left w:val="none" w:sz="0" w:space="0" w:color="auto"/>
                <w:bottom w:val="none" w:sz="0" w:space="0" w:color="auto"/>
                <w:right w:val="none" w:sz="0" w:space="0" w:color="auto"/>
              </w:divBdr>
            </w:div>
            <w:div w:id="592666847">
              <w:marLeft w:val="0"/>
              <w:marRight w:val="0"/>
              <w:marTop w:val="0"/>
              <w:marBottom w:val="240"/>
              <w:divBdr>
                <w:top w:val="none" w:sz="0" w:space="0" w:color="auto"/>
                <w:left w:val="none" w:sz="0" w:space="0" w:color="auto"/>
                <w:bottom w:val="none" w:sz="0" w:space="0" w:color="auto"/>
                <w:right w:val="none" w:sz="0" w:space="0" w:color="auto"/>
              </w:divBdr>
            </w:div>
            <w:div w:id="2004696610">
              <w:marLeft w:val="0"/>
              <w:marRight w:val="0"/>
              <w:marTop w:val="0"/>
              <w:marBottom w:val="240"/>
              <w:divBdr>
                <w:top w:val="none" w:sz="0" w:space="0" w:color="auto"/>
                <w:left w:val="none" w:sz="0" w:space="0" w:color="auto"/>
                <w:bottom w:val="none" w:sz="0" w:space="0" w:color="auto"/>
                <w:right w:val="none" w:sz="0" w:space="0" w:color="auto"/>
              </w:divBdr>
            </w:div>
            <w:div w:id="108398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997">
      <w:bodyDiv w:val="1"/>
      <w:marLeft w:val="0"/>
      <w:marRight w:val="0"/>
      <w:marTop w:val="0"/>
      <w:marBottom w:val="0"/>
      <w:divBdr>
        <w:top w:val="none" w:sz="0" w:space="0" w:color="auto"/>
        <w:left w:val="none" w:sz="0" w:space="0" w:color="auto"/>
        <w:bottom w:val="none" w:sz="0" w:space="0" w:color="auto"/>
        <w:right w:val="none" w:sz="0" w:space="0" w:color="auto"/>
      </w:divBdr>
      <w:divsChild>
        <w:div w:id="867375736">
          <w:marLeft w:val="480"/>
          <w:marRight w:val="0"/>
          <w:marTop w:val="0"/>
          <w:marBottom w:val="0"/>
          <w:divBdr>
            <w:top w:val="none" w:sz="0" w:space="0" w:color="auto"/>
            <w:left w:val="none" w:sz="0" w:space="0" w:color="auto"/>
            <w:bottom w:val="none" w:sz="0" w:space="0" w:color="auto"/>
            <w:right w:val="none" w:sz="0" w:space="0" w:color="auto"/>
          </w:divBdr>
          <w:divsChild>
            <w:div w:id="613706234">
              <w:marLeft w:val="0"/>
              <w:marRight w:val="0"/>
              <w:marTop w:val="0"/>
              <w:marBottom w:val="240"/>
              <w:divBdr>
                <w:top w:val="none" w:sz="0" w:space="0" w:color="auto"/>
                <w:left w:val="none" w:sz="0" w:space="0" w:color="auto"/>
                <w:bottom w:val="none" w:sz="0" w:space="0" w:color="auto"/>
                <w:right w:val="none" w:sz="0" w:space="0" w:color="auto"/>
              </w:divBdr>
            </w:div>
            <w:div w:id="1358190083">
              <w:marLeft w:val="0"/>
              <w:marRight w:val="0"/>
              <w:marTop w:val="0"/>
              <w:marBottom w:val="240"/>
              <w:divBdr>
                <w:top w:val="none" w:sz="0" w:space="0" w:color="auto"/>
                <w:left w:val="none" w:sz="0" w:space="0" w:color="auto"/>
                <w:bottom w:val="none" w:sz="0" w:space="0" w:color="auto"/>
                <w:right w:val="none" w:sz="0" w:space="0" w:color="auto"/>
              </w:divBdr>
            </w:div>
            <w:div w:id="1411198014">
              <w:marLeft w:val="0"/>
              <w:marRight w:val="0"/>
              <w:marTop w:val="0"/>
              <w:marBottom w:val="240"/>
              <w:divBdr>
                <w:top w:val="none" w:sz="0" w:space="0" w:color="auto"/>
                <w:left w:val="none" w:sz="0" w:space="0" w:color="auto"/>
                <w:bottom w:val="none" w:sz="0" w:space="0" w:color="auto"/>
                <w:right w:val="none" w:sz="0" w:space="0" w:color="auto"/>
              </w:divBdr>
            </w:div>
            <w:div w:id="1307122116">
              <w:marLeft w:val="0"/>
              <w:marRight w:val="0"/>
              <w:marTop w:val="0"/>
              <w:marBottom w:val="240"/>
              <w:divBdr>
                <w:top w:val="none" w:sz="0" w:space="0" w:color="auto"/>
                <w:left w:val="none" w:sz="0" w:space="0" w:color="auto"/>
                <w:bottom w:val="none" w:sz="0" w:space="0" w:color="auto"/>
                <w:right w:val="none" w:sz="0" w:space="0" w:color="auto"/>
              </w:divBdr>
            </w:div>
            <w:div w:id="130708017">
              <w:marLeft w:val="0"/>
              <w:marRight w:val="0"/>
              <w:marTop w:val="0"/>
              <w:marBottom w:val="240"/>
              <w:divBdr>
                <w:top w:val="none" w:sz="0" w:space="0" w:color="auto"/>
                <w:left w:val="none" w:sz="0" w:space="0" w:color="auto"/>
                <w:bottom w:val="none" w:sz="0" w:space="0" w:color="auto"/>
                <w:right w:val="none" w:sz="0" w:space="0" w:color="auto"/>
              </w:divBdr>
            </w:div>
            <w:div w:id="1677344848">
              <w:marLeft w:val="0"/>
              <w:marRight w:val="0"/>
              <w:marTop w:val="0"/>
              <w:marBottom w:val="240"/>
              <w:divBdr>
                <w:top w:val="none" w:sz="0" w:space="0" w:color="auto"/>
                <w:left w:val="none" w:sz="0" w:space="0" w:color="auto"/>
                <w:bottom w:val="none" w:sz="0" w:space="0" w:color="auto"/>
                <w:right w:val="none" w:sz="0" w:space="0" w:color="auto"/>
              </w:divBdr>
            </w:div>
            <w:div w:id="1576934523">
              <w:marLeft w:val="0"/>
              <w:marRight w:val="0"/>
              <w:marTop w:val="0"/>
              <w:marBottom w:val="240"/>
              <w:divBdr>
                <w:top w:val="none" w:sz="0" w:space="0" w:color="auto"/>
                <w:left w:val="none" w:sz="0" w:space="0" w:color="auto"/>
                <w:bottom w:val="none" w:sz="0" w:space="0" w:color="auto"/>
                <w:right w:val="none" w:sz="0" w:space="0" w:color="auto"/>
              </w:divBdr>
            </w:div>
            <w:div w:id="617221405">
              <w:marLeft w:val="0"/>
              <w:marRight w:val="0"/>
              <w:marTop w:val="0"/>
              <w:marBottom w:val="240"/>
              <w:divBdr>
                <w:top w:val="none" w:sz="0" w:space="0" w:color="auto"/>
                <w:left w:val="none" w:sz="0" w:space="0" w:color="auto"/>
                <w:bottom w:val="none" w:sz="0" w:space="0" w:color="auto"/>
                <w:right w:val="none" w:sz="0" w:space="0" w:color="auto"/>
              </w:divBdr>
            </w:div>
            <w:div w:id="744884154">
              <w:marLeft w:val="0"/>
              <w:marRight w:val="0"/>
              <w:marTop w:val="0"/>
              <w:marBottom w:val="240"/>
              <w:divBdr>
                <w:top w:val="none" w:sz="0" w:space="0" w:color="auto"/>
                <w:left w:val="none" w:sz="0" w:space="0" w:color="auto"/>
                <w:bottom w:val="none" w:sz="0" w:space="0" w:color="auto"/>
                <w:right w:val="none" w:sz="0" w:space="0" w:color="auto"/>
              </w:divBdr>
            </w:div>
            <w:div w:id="1954094826">
              <w:marLeft w:val="0"/>
              <w:marRight w:val="0"/>
              <w:marTop w:val="0"/>
              <w:marBottom w:val="240"/>
              <w:divBdr>
                <w:top w:val="none" w:sz="0" w:space="0" w:color="auto"/>
                <w:left w:val="none" w:sz="0" w:space="0" w:color="auto"/>
                <w:bottom w:val="none" w:sz="0" w:space="0" w:color="auto"/>
                <w:right w:val="none" w:sz="0" w:space="0" w:color="auto"/>
              </w:divBdr>
            </w:div>
            <w:div w:id="27608638">
              <w:marLeft w:val="0"/>
              <w:marRight w:val="0"/>
              <w:marTop w:val="0"/>
              <w:marBottom w:val="240"/>
              <w:divBdr>
                <w:top w:val="none" w:sz="0" w:space="0" w:color="auto"/>
                <w:left w:val="none" w:sz="0" w:space="0" w:color="auto"/>
                <w:bottom w:val="none" w:sz="0" w:space="0" w:color="auto"/>
                <w:right w:val="none" w:sz="0" w:space="0" w:color="auto"/>
              </w:divBdr>
            </w:div>
            <w:div w:id="1134517910">
              <w:marLeft w:val="0"/>
              <w:marRight w:val="0"/>
              <w:marTop w:val="0"/>
              <w:marBottom w:val="240"/>
              <w:divBdr>
                <w:top w:val="none" w:sz="0" w:space="0" w:color="auto"/>
                <w:left w:val="none" w:sz="0" w:space="0" w:color="auto"/>
                <w:bottom w:val="none" w:sz="0" w:space="0" w:color="auto"/>
                <w:right w:val="none" w:sz="0" w:space="0" w:color="auto"/>
              </w:divBdr>
            </w:div>
            <w:div w:id="1325816216">
              <w:marLeft w:val="0"/>
              <w:marRight w:val="0"/>
              <w:marTop w:val="0"/>
              <w:marBottom w:val="240"/>
              <w:divBdr>
                <w:top w:val="none" w:sz="0" w:space="0" w:color="auto"/>
                <w:left w:val="none" w:sz="0" w:space="0" w:color="auto"/>
                <w:bottom w:val="none" w:sz="0" w:space="0" w:color="auto"/>
                <w:right w:val="none" w:sz="0" w:space="0" w:color="auto"/>
              </w:divBdr>
            </w:div>
            <w:div w:id="1260717333">
              <w:marLeft w:val="0"/>
              <w:marRight w:val="0"/>
              <w:marTop w:val="0"/>
              <w:marBottom w:val="240"/>
              <w:divBdr>
                <w:top w:val="none" w:sz="0" w:space="0" w:color="auto"/>
                <w:left w:val="none" w:sz="0" w:space="0" w:color="auto"/>
                <w:bottom w:val="none" w:sz="0" w:space="0" w:color="auto"/>
                <w:right w:val="none" w:sz="0" w:space="0" w:color="auto"/>
              </w:divBdr>
            </w:div>
            <w:div w:id="1930776379">
              <w:marLeft w:val="0"/>
              <w:marRight w:val="0"/>
              <w:marTop w:val="0"/>
              <w:marBottom w:val="240"/>
              <w:divBdr>
                <w:top w:val="none" w:sz="0" w:space="0" w:color="auto"/>
                <w:left w:val="none" w:sz="0" w:space="0" w:color="auto"/>
                <w:bottom w:val="none" w:sz="0" w:space="0" w:color="auto"/>
                <w:right w:val="none" w:sz="0" w:space="0" w:color="auto"/>
              </w:divBdr>
            </w:div>
            <w:div w:id="461580448">
              <w:marLeft w:val="0"/>
              <w:marRight w:val="0"/>
              <w:marTop w:val="0"/>
              <w:marBottom w:val="240"/>
              <w:divBdr>
                <w:top w:val="none" w:sz="0" w:space="0" w:color="auto"/>
                <w:left w:val="none" w:sz="0" w:space="0" w:color="auto"/>
                <w:bottom w:val="none" w:sz="0" w:space="0" w:color="auto"/>
                <w:right w:val="none" w:sz="0" w:space="0" w:color="auto"/>
              </w:divBdr>
            </w:div>
            <w:div w:id="505481347">
              <w:marLeft w:val="0"/>
              <w:marRight w:val="0"/>
              <w:marTop w:val="0"/>
              <w:marBottom w:val="240"/>
              <w:divBdr>
                <w:top w:val="none" w:sz="0" w:space="0" w:color="auto"/>
                <w:left w:val="none" w:sz="0" w:space="0" w:color="auto"/>
                <w:bottom w:val="none" w:sz="0" w:space="0" w:color="auto"/>
                <w:right w:val="none" w:sz="0" w:space="0" w:color="auto"/>
              </w:divBdr>
            </w:div>
            <w:div w:id="295524993">
              <w:marLeft w:val="0"/>
              <w:marRight w:val="0"/>
              <w:marTop w:val="0"/>
              <w:marBottom w:val="240"/>
              <w:divBdr>
                <w:top w:val="none" w:sz="0" w:space="0" w:color="auto"/>
                <w:left w:val="none" w:sz="0" w:space="0" w:color="auto"/>
                <w:bottom w:val="none" w:sz="0" w:space="0" w:color="auto"/>
                <w:right w:val="none" w:sz="0" w:space="0" w:color="auto"/>
              </w:divBdr>
            </w:div>
            <w:div w:id="679890684">
              <w:marLeft w:val="0"/>
              <w:marRight w:val="0"/>
              <w:marTop w:val="0"/>
              <w:marBottom w:val="240"/>
              <w:divBdr>
                <w:top w:val="none" w:sz="0" w:space="0" w:color="auto"/>
                <w:left w:val="none" w:sz="0" w:space="0" w:color="auto"/>
                <w:bottom w:val="none" w:sz="0" w:space="0" w:color="auto"/>
                <w:right w:val="none" w:sz="0" w:space="0" w:color="auto"/>
              </w:divBdr>
            </w:div>
            <w:div w:id="678191870">
              <w:marLeft w:val="0"/>
              <w:marRight w:val="0"/>
              <w:marTop w:val="0"/>
              <w:marBottom w:val="240"/>
              <w:divBdr>
                <w:top w:val="none" w:sz="0" w:space="0" w:color="auto"/>
                <w:left w:val="none" w:sz="0" w:space="0" w:color="auto"/>
                <w:bottom w:val="none" w:sz="0" w:space="0" w:color="auto"/>
                <w:right w:val="none" w:sz="0" w:space="0" w:color="auto"/>
              </w:divBdr>
            </w:div>
            <w:div w:id="1187869926">
              <w:marLeft w:val="0"/>
              <w:marRight w:val="0"/>
              <w:marTop w:val="0"/>
              <w:marBottom w:val="240"/>
              <w:divBdr>
                <w:top w:val="none" w:sz="0" w:space="0" w:color="auto"/>
                <w:left w:val="none" w:sz="0" w:space="0" w:color="auto"/>
                <w:bottom w:val="none" w:sz="0" w:space="0" w:color="auto"/>
                <w:right w:val="none" w:sz="0" w:space="0" w:color="auto"/>
              </w:divBdr>
            </w:div>
            <w:div w:id="1479303722">
              <w:marLeft w:val="0"/>
              <w:marRight w:val="0"/>
              <w:marTop w:val="0"/>
              <w:marBottom w:val="240"/>
              <w:divBdr>
                <w:top w:val="none" w:sz="0" w:space="0" w:color="auto"/>
                <w:left w:val="none" w:sz="0" w:space="0" w:color="auto"/>
                <w:bottom w:val="none" w:sz="0" w:space="0" w:color="auto"/>
                <w:right w:val="none" w:sz="0" w:space="0" w:color="auto"/>
              </w:divBdr>
            </w:div>
            <w:div w:id="265886270">
              <w:marLeft w:val="0"/>
              <w:marRight w:val="0"/>
              <w:marTop w:val="0"/>
              <w:marBottom w:val="240"/>
              <w:divBdr>
                <w:top w:val="none" w:sz="0" w:space="0" w:color="auto"/>
                <w:left w:val="none" w:sz="0" w:space="0" w:color="auto"/>
                <w:bottom w:val="none" w:sz="0" w:space="0" w:color="auto"/>
                <w:right w:val="none" w:sz="0" w:space="0" w:color="auto"/>
              </w:divBdr>
            </w:div>
            <w:div w:id="1564027776">
              <w:marLeft w:val="0"/>
              <w:marRight w:val="0"/>
              <w:marTop w:val="0"/>
              <w:marBottom w:val="240"/>
              <w:divBdr>
                <w:top w:val="none" w:sz="0" w:space="0" w:color="auto"/>
                <w:left w:val="none" w:sz="0" w:space="0" w:color="auto"/>
                <w:bottom w:val="none" w:sz="0" w:space="0" w:color="auto"/>
                <w:right w:val="none" w:sz="0" w:space="0" w:color="auto"/>
              </w:divBdr>
            </w:div>
            <w:div w:id="1571118176">
              <w:marLeft w:val="0"/>
              <w:marRight w:val="0"/>
              <w:marTop w:val="0"/>
              <w:marBottom w:val="240"/>
              <w:divBdr>
                <w:top w:val="none" w:sz="0" w:space="0" w:color="auto"/>
                <w:left w:val="none" w:sz="0" w:space="0" w:color="auto"/>
                <w:bottom w:val="none" w:sz="0" w:space="0" w:color="auto"/>
                <w:right w:val="none" w:sz="0" w:space="0" w:color="auto"/>
              </w:divBdr>
            </w:div>
            <w:div w:id="1880125887">
              <w:marLeft w:val="0"/>
              <w:marRight w:val="0"/>
              <w:marTop w:val="0"/>
              <w:marBottom w:val="240"/>
              <w:divBdr>
                <w:top w:val="none" w:sz="0" w:space="0" w:color="auto"/>
                <w:left w:val="none" w:sz="0" w:space="0" w:color="auto"/>
                <w:bottom w:val="none" w:sz="0" w:space="0" w:color="auto"/>
                <w:right w:val="none" w:sz="0" w:space="0" w:color="auto"/>
              </w:divBdr>
            </w:div>
            <w:div w:id="1378705584">
              <w:marLeft w:val="0"/>
              <w:marRight w:val="0"/>
              <w:marTop w:val="0"/>
              <w:marBottom w:val="240"/>
              <w:divBdr>
                <w:top w:val="none" w:sz="0" w:space="0" w:color="auto"/>
                <w:left w:val="none" w:sz="0" w:space="0" w:color="auto"/>
                <w:bottom w:val="none" w:sz="0" w:space="0" w:color="auto"/>
                <w:right w:val="none" w:sz="0" w:space="0" w:color="auto"/>
              </w:divBdr>
            </w:div>
            <w:div w:id="1426461374">
              <w:marLeft w:val="0"/>
              <w:marRight w:val="0"/>
              <w:marTop w:val="0"/>
              <w:marBottom w:val="240"/>
              <w:divBdr>
                <w:top w:val="none" w:sz="0" w:space="0" w:color="auto"/>
                <w:left w:val="none" w:sz="0" w:space="0" w:color="auto"/>
                <w:bottom w:val="none" w:sz="0" w:space="0" w:color="auto"/>
                <w:right w:val="none" w:sz="0" w:space="0" w:color="auto"/>
              </w:divBdr>
            </w:div>
            <w:div w:id="440299644">
              <w:marLeft w:val="0"/>
              <w:marRight w:val="0"/>
              <w:marTop w:val="0"/>
              <w:marBottom w:val="240"/>
              <w:divBdr>
                <w:top w:val="none" w:sz="0" w:space="0" w:color="auto"/>
                <w:left w:val="none" w:sz="0" w:space="0" w:color="auto"/>
                <w:bottom w:val="none" w:sz="0" w:space="0" w:color="auto"/>
                <w:right w:val="none" w:sz="0" w:space="0" w:color="auto"/>
              </w:divBdr>
            </w:div>
            <w:div w:id="1817214946">
              <w:marLeft w:val="0"/>
              <w:marRight w:val="0"/>
              <w:marTop w:val="0"/>
              <w:marBottom w:val="240"/>
              <w:divBdr>
                <w:top w:val="none" w:sz="0" w:space="0" w:color="auto"/>
                <w:left w:val="none" w:sz="0" w:space="0" w:color="auto"/>
                <w:bottom w:val="none" w:sz="0" w:space="0" w:color="auto"/>
                <w:right w:val="none" w:sz="0" w:space="0" w:color="auto"/>
              </w:divBdr>
            </w:div>
            <w:div w:id="1007248099">
              <w:marLeft w:val="0"/>
              <w:marRight w:val="0"/>
              <w:marTop w:val="0"/>
              <w:marBottom w:val="240"/>
              <w:divBdr>
                <w:top w:val="none" w:sz="0" w:space="0" w:color="auto"/>
                <w:left w:val="none" w:sz="0" w:space="0" w:color="auto"/>
                <w:bottom w:val="none" w:sz="0" w:space="0" w:color="auto"/>
                <w:right w:val="none" w:sz="0" w:space="0" w:color="auto"/>
              </w:divBdr>
            </w:div>
            <w:div w:id="1276520265">
              <w:marLeft w:val="0"/>
              <w:marRight w:val="0"/>
              <w:marTop w:val="0"/>
              <w:marBottom w:val="240"/>
              <w:divBdr>
                <w:top w:val="none" w:sz="0" w:space="0" w:color="auto"/>
                <w:left w:val="none" w:sz="0" w:space="0" w:color="auto"/>
                <w:bottom w:val="none" w:sz="0" w:space="0" w:color="auto"/>
                <w:right w:val="none" w:sz="0" w:space="0" w:color="auto"/>
              </w:divBdr>
            </w:div>
            <w:div w:id="738939448">
              <w:marLeft w:val="0"/>
              <w:marRight w:val="0"/>
              <w:marTop w:val="0"/>
              <w:marBottom w:val="240"/>
              <w:divBdr>
                <w:top w:val="none" w:sz="0" w:space="0" w:color="auto"/>
                <w:left w:val="none" w:sz="0" w:space="0" w:color="auto"/>
                <w:bottom w:val="none" w:sz="0" w:space="0" w:color="auto"/>
                <w:right w:val="none" w:sz="0" w:space="0" w:color="auto"/>
              </w:divBdr>
            </w:div>
            <w:div w:id="1290942143">
              <w:marLeft w:val="0"/>
              <w:marRight w:val="0"/>
              <w:marTop w:val="0"/>
              <w:marBottom w:val="240"/>
              <w:divBdr>
                <w:top w:val="none" w:sz="0" w:space="0" w:color="auto"/>
                <w:left w:val="none" w:sz="0" w:space="0" w:color="auto"/>
                <w:bottom w:val="none" w:sz="0" w:space="0" w:color="auto"/>
                <w:right w:val="none" w:sz="0" w:space="0" w:color="auto"/>
              </w:divBdr>
            </w:div>
            <w:div w:id="1238175182">
              <w:marLeft w:val="0"/>
              <w:marRight w:val="0"/>
              <w:marTop w:val="0"/>
              <w:marBottom w:val="240"/>
              <w:divBdr>
                <w:top w:val="none" w:sz="0" w:space="0" w:color="auto"/>
                <w:left w:val="none" w:sz="0" w:space="0" w:color="auto"/>
                <w:bottom w:val="none" w:sz="0" w:space="0" w:color="auto"/>
                <w:right w:val="none" w:sz="0" w:space="0" w:color="auto"/>
              </w:divBdr>
            </w:div>
            <w:div w:id="786238175">
              <w:marLeft w:val="0"/>
              <w:marRight w:val="0"/>
              <w:marTop w:val="0"/>
              <w:marBottom w:val="240"/>
              <w:divBdr>
                <w:top w:val="none" w:sz="0" w:space="0" w:color="auto"/>
                <w:left w:val="none" w:sz="0" w:space="0" w:color="auto"/>
                <w:bottom w:val="none" w:sz="0" w:space="0" w:color="auto"/>
                <w:right w:val="none" w:sz="0" w:space="0" w:color="auto"/>
              </w:divBdr>
            </w:div>
            <w:div w:id="205068235">
              <w:marLeft w:val="0"/>
              <w:marRight w:val="0"/>
              <w:marTop w:val="0"/>
              <w:marBottom w:val="240"/>
              <w:divBdr>
                <w:top w:val="none" w:sz="0" w:space="0" w:color="auto"/>
                <w:left w:val="none" w:sz="0" w:space="0" w:color="auto"/>
                <w:bottom w:val="none" w:sz="0" w:space="0" w:color="auto"/>
                <w:right w:val="none" w:sz="0" w:space="0" w:color="auto"/>
              </w:divBdr>
            </w:div>
            <w:div w:id="1425222140">
              <w:marLeft w:val="0"/>
              <w:marRight w:val="0"/>
              <w:marTop w:val="0"/>
              <w:marBottom w:val="240"/>
              <w:divBdr>
                <w:top w:val="none" w:sz="0" w:space="0" w:color="auto"/>
                <w:left w:val="none" w:sz="0" w:space="0" w:color="auto"/>
                <w:bottom w:val="none" w:sz="0" w:space="0" w:color="auto"/>
                <w:right w:val="none" w:sz="0" w:space="0" w:color="auto"/>
              </w:divBdr>
            </w:div>
            <w:div w:id="855579123">
              <w:marLeft w:val="0"/>
              <w:marRight w:val="0"/>
              <w:marTop w:val="0"/>
              <w:marBottom w:val="240"/>
              <w:divBdr>
                <w:top w:val="none" w:sz="0" w:space="0" w:color="auto"/>
                <w:left w:val="none" w:sz="0" w:space="0" w:color="auto"/>
                <w:bottom w:val="none" w:sz="0" w:space="0" w:color="auto"/>
                <w:right w:val="none" w:sz="0" w:space="0" w:color="auto"/>
              </w:divBdr>
            </w:div>
            <w:div w:id="510219745">
              <w:marLeft w:val="0"/>
              <w:marRight w:val="0"/>
              <w:marTop w:val="0"/>
              <w:marBottom w:val="240"/>
              <w:divBdr>
                <w:top w:val="none" w:sz="0" w:space="0" w:color="auto"/>
                <w:left w:val="none" w:sz="0" w:space="0" w:color="auto"/>
                <w:bottom w:val="none" w:sz="0" w:space="0" w:color="auto"/>
                <w:right w:val="none" w:sz="0" w:space="0" w:color="auto"/>
              </w:divBdr>
            </w:div>
            <w:div w:id="844520603">
              <w:marLeft w:val="0"/>
              <w:marRight w:val="0"/>
              <w:marTop w:val="0"/>
              <w:marBottom w:val="240"/>
              <w:divBdr>
                <w:top w:val="none" w:sz="0" w:space="0" w:color="auto"/>
                <w:left w:val="none" w:sz="0" w:space="0" w:color="auto"/>
                <w:bottom w:val="none" w:sz="0" w:space="0" w:color="auto"/>
                <w:right w:val="none" w:sz="0" w:space="0" w:color="auto"/>
              </w:divBdr>
            </w:div>
            <w:div w:id="1228146425">
              <w:marLeft w:val="0"/>
              <w:marRight w:val="0"/>
              <w:marTop w:val="0"/>
              <w:marBottom w:val="240"/>
              <w:divBdr>
                <w:top w:val="none" w:sz="0" w:space="0" w:color="auto"/>
                <w:left w:val="none" w:sz="0" w:space="0" w:color="auto"/>
                <w:bottom w:val="none" w:sz="0" w:space="0" w:color="auto"/>
                <w:right w:val="none" w:sz="0" w:space="0" w:color="auto"/>
              </w:divBdr>
            </w:div>
            <w:div w:id="2046514454">
              <w:marLeft w:val="0"/>
              <w:marRight w:val="0"/>
              <w:marTop w:val="0"/>
              <w:marBottom w:val="240"/>
              <w:divBdr>
                <w:top w:val="none" w:sz="0" w:space="0" w:color="auto"/>
                <w:left w:val="none" w:sz="0" w:space="0" w:color="auto"/>
                <w:bottom w:val="none" w:sz="0" w:space="0" w:color="auto"/>
                <w:right w:val="none" w:sz="0" w:space="0" w:color="auto"/>
              </w:divBdr>
            </w:div>
            <w:div w:id="1017582822">
              <w:marLeft w:val="0"/>
              <w:marRight w:val="0"/>
              <w:marTop w:val="0"/>
              <w:marBottom w:val="240"/>
              <w:divBdr>
                <w:top w:val="none" w:sz="0" w:space="0" w:color="auto"/>
                <w:left w:val="none" w:sz="0" w:space="0" w:color="auto"/>
                <w:bottom w:val="none" w:sz="0" w:space="0" w:color="auto"/>
                <w:right w:val="none" w:sz="0" w:space="0" w:color="auto"/>
              </w:divBdr>
            </w:div>
            <w:div w:id="1358040089">
              <w:marLeft w:val="0"/>
              <w:marRight w:val="0"/>
              <w:marTop w:val="0"/>
              <w:marBottom w:val="240"/>
              <w:divBdr>
                <w:top w:val="none" w:sz="0" w:space="0" w:color="auto"/>
                <w:left w:val="none" w:sz="0" w:space="0" w:color="auto"/>
                <w:bottom w:val="none" w:sz="0" w:space="0" w:color="auto"/>
                <w:right w:val="none" w:sz="0" w:space="0" w:color="auto"/>
              </w:divBdr>
            </w:div>
            <w:div w:id="920673508">
              <w:marLeft w:val="0"/>
              <w:marRight w:val="0"/>
              <w:marTop w:val="0"/>
              <w:marBottom w:val="240"/>
              <w:divBdr>
                <w:top w:val="none" w:sz="0" w:space="0" w:color="auto"/>
                <w:left w:val="none" w:sz="0" w:space="0" w:color="auto"/>
                <w:bottom w:val="none" w:sz="0" w:space="0" w:color="auto"/>
                <w:right w:val="none" w:sz="0" w:space="0" w:color="auto"/>
              </w:divBdr>
            </w:div>
            <w:div w:id="1057514845">
              <w:marLeft w:val="0"/>
              <w:marRight w:val="0"/>
              <w:marTop w:val="0"/>
              <w:marBottom w:val="240"/>
              <w:divBdr>
                <w:top w:val="none" w:sz="0" w:space="0" w:color="auto"/>
                <w:left w:val="none" w:sz="0" w:space="0" w:color="auto"/>
                <w:bottom w:val="none" w:sz="0" w:space="0" w:color="auto"/>
                <w:right w:val="none" w:sz="0" w:space="0" w:color="auto"/>
              </w:divBdr>
            </w:div>
            <w:div w:id="1054550084">
              <w:marLeft w:val="0"/>
              <w:marRight w:val="0"/>
              <w:marTop w:val="0"/>
              <w:marBottom w:val="240"/>
              <w:divBdr>
                <w:top w:val="none" w:sz="0" w:space="0" w:color="auto"/>
                <w:left w:val="none" w:sz="0" w:space="0" w:color="auto"/>
                <w:bottom w:val="none" w:sz="0" w:space="0" w:color="auto"/>
                <w:right w:val="none" w:sz="0" w:space="0" w:color="auto"/>
              </w:divBdr>
            </w:div>
            <w:div w:id="1407992974">
              <w:marLeft w:val="0"/>
              <w:marRight w:val="0"/>
              <w:marTop w:val="0"/>
              <w:marBottom w:val="240"/>
              <w:divBdr>
                <w:top w:val="none" w:sz="0" w:space="0" w:color="auto"/>
                <w:left w:val="none" w:sz="0" w:space="0" w:color="auto"/>
                <w:bottom w:val="none" w:sz="0" w:space="0" w:color="auto"/>
                <w:right w:val="none" w:sz="0" w:space="0" w:color="auto"/>
              </w:divBdr>
            </w:div>
            <w:div w:id="695614523">
              <w:marLeft w:val="0"/>
              <w:marRight w:val="0"/>
              <w:marTop w:val="0"/>
              <w:marBottom w:val="240"/>
              <w:divBdr>
                <w:top w:val="none" w:sz="0" w:space="0" w:color="auto"/>
                <w:left w:val="none" w:sz="0" w:space="0" w:color="auto"/>
                <w:bottom w:val="none" w:sz="0" w:space="0" w:color="auto"/>
                <w:right w:val="none" w:sz="0" w:space="0" w:color="auto"/>
              </w:divBdr>
            </w:div>
            <w:div w:id="1011295127">
              <w:marLeft w:val="0"/>
              <w:marRight w:val="0"/>
              <w:marTop w:val="0"/>
              <w:marBottom w:val="240"/>
              <w:divBdr>
                <w:top w:val="none" w:sz="0" w:space="0" w:color="auto"/>
                <w:left w:val="none" w:sz="0" w:space="0" w:color="auto"/>
                <w:bottom w:val="none" w:sz="0" w:space="0" w:color="auto"/>
                <w:right w:val="none" w:sz="0" w:space="0" w:color="auto"/>
              </w:divBdr>
            </w:div>
            <w:div w:id="1887137811">
              <w:marLeft w:val="0"/>
              <w:marRight w:val="0"/>
              <w:marTop w:val="0"/>
              <w:marBottom w:val="240"/>
              <w:divBdr>
                <w:top w:val="none" w:sz="0" w:space="0" w:color="auto"/>
                <w:left w:val="none" w:sz="0" w:space="0" w:color="auto"/>
                <w:bottom w:val="none" w:sz="0" w:space="0" w:color="auto"/>
                <w:right w:val="none" w:sz="0" w:space="0" w:color="auto"/>
              </w:divBdr>
            </w:div>
            <w:div w:id="610360000">
              <w:marLeft w:val="0"/>
              <w:marRight w:val="0"/>
              <w:marTop w:val="0"/>
              <w:marBottom w:val="240"/>
              <w:divBdr>
                <w:top w:val="none" w:sz="0" w:space="0" w:color="auto"/>
                <w:left w:val="none" w:sz="0" w:space="0" w:color="auto"/>
                <w:bottom w:val="none" w:sz="0" w:space="0" w:color="auto"/>
                <w:right w:val="none" w:sz="0" w:space="0" w:color="auto"/>
              </w:divBdr>
            </w:div>
            <w:div w:id="591595566">
              <w:marLeft w:val="0"/>
              <w:marRight w:val="0"/>
              <w:marTop w:val="0"/>
              <w:marBottom w:val="240"/>
              <w:divBdr>
                <w:top w:val="none" w:sz="0" w:space="0" w:color="auto"/>
                <w:left w:val="none" w:sz="0" w:space="0" w:color="auto"/>
                <w:bottom w:val="none" w:sz="0" w:space="0" w:color="auto"/>
                <w:right w:val="none" w:sz="0" w:space="0" w:color="auto"/>
              </w:divBdr>
            </w:div>
            <w:div w:id="1691563883">
              <w:marLeft w:val="0"/>
              <w:marRight w:val="0"/>
              <w:marTop w:val="0"/>
              <w:marBottom w:val="240"/>
              <w:divBdr>
                <w:top w:val="none" w:sz="0" w:space="0" w:color="auto"/>
                <w:left w:val="none" w:sz="0" w:space="0" w:color="auto"/>
                <w:bottom w:val="none" w:sz="0" w:space="0" w:color="auto"/>
                <w:right w:val="none" w:sz="0" w:space="0" w:color="auto"/>
              </w:divBdr>
            </w:div>
            <w:div w:id="557059424">
              <w:marLeft w:val="0"/>
              <w:marRight w:val="0"/>
              <w:marTop w:val="0"/>
              <w:marBottom w:val="240"/>
              <w:divBdr>
                <w:top w:val="none" w:sz="0" w:space="0" w:color="auto"/>
                <w:left w:val="none" w:sz="0" w:space="0" w:color="auto"/>
                <w:bottom w:val="none" w:sz="0" w:space="0" w:color="auto"/>
                <w:right w:val="none" w:sz="0" w:space="0" w:color="auto"/>
              </w:divBdr>
            </w:div>
            <w:div w:id="823351671">
              <w:marLeft w:val="0"/>
              <w:marRight w:val="0"/>
              <w:marTop w:val="0"/>
              <w:marBottom w:val="240"/>
              <w:divBdr>
                <w:top w:val="none" w:sz="0" w:space="0" w:color="auto"/>
                <w:left w:val="none" w:sz="0" w:space="0" w:color="auto"/>
                <w:bottom w:val="none" w:sz="0" w:space="0" w:color="auto"/>
                <w:right w:val="none" w:sz="0" w:space="0" w:color="auto"/>
              </w:divBdr>
            </w:div>
            <w:div w:id="1114713872">
              <w:marLeft w:val="0"/>
              <w:marRight w:val="0"/>
              <w:marTop w:val="0"/>
              <w:marBottom w:val="240"/>
              <w:divBdr>
                <w:top w:val="none" w:sz="0" w:space="0" w:color="auto"/>
                <w:left w:val="none" w:sz="0" w:space="0" w:color="auto"/>
                <w:bottom w:val="none" w:sz="0" w:space="0" w:color="auto"/>
                <w:right w:val="none" w:sz="0" w:space="0" w:color="auto"/>
              </w:divBdr>
            </w:div>
            <w:div w:id="399909420">
              <w:marLeft w:val="0"/>
              <w:marRight w:val="0"/>
              <w:marTop w:val="0"/>
              <w:marBottom w:val="240"/>
              <w:divBdr>
                <w:top w:val="none" w:sz="0" w:space="0" w:color="auto"/>
                <w:left w:val="none" w:sz="0" w:space="0" w:color="auto"/>
                <w:bottom w:val="none" w:sz="0" w:space="0" w:color="auto"/>
                <w:right w:val="none" w:sz="0" w:space="0" w:color="auto"/>
              </w:divBdr>
            </w:div>
            <w:div w:id="2021080492">
              <w:marLeft w:val="0"/>
              <w:marRight w:val="0"/>
              <w:marTop w:val="0"/>
              <w:marBottom w:val="240"/>
              <w:divBdr>
                <w:top w:val="none" w:sz="0" w:space="0" w:color="auto"/>
                <w:left w:val="none" w:sz="0" w:space="0" w:color="auto"/>
                <w:bottom w:val="none" w:sz="0" w:space="0" w:color="auto"/>
                <w:right w:val="none" w:sz="0" w:space="0" w:color="auto"/>
              </w:divBdr>
            </w:div>
            <w:div w:id="451628273">
              <w:marLeft w:val="0"/>
              <w:marRight w:val="0"/>
              <w:marTop w:val="0"/>
              <w:marBottom w:val="240"/>
              <w:divBdr>
                <w:top w:val="none" w:sz="0" w:space="0" w:color="auto"/>
                <w:left w:val="none" w:sz="0" w:space="0" w:color="auto"/>
                <w:bottom w:val="none" w:sz="0" w:space="0" w:color="auto"/>
                <w:right w:val="none" w:sz="0" w:space="0" w:color="auto"/>
              </w:divBdr>
            </w:div>
            <w:div w:id="1519198483">
              <w:marLeft w:val="0"/>
              <w:marRight w:val="0"/>
              <w:marTop w:val="0"/>
              <w:marBottom w:val="240"/>
              <w:divBdr>
                <w:top w:val="none" w:sz="0" w:space="0" w:color="auto"/>
                <w:left w:val="none" w:sz="0" w:space="0" w:color="auto"/>
                <w:bottom w:val="none" w:sz="0" w:space="0" w:color="auto"/>
                <w:right w:val="none" w:sz="0" w:space="0" w:color="auto"/>
              </w:divBdr>
            </w:div>
            <w:div w:id="1982801902">
              <w:marLeft w:val="0"/>
              <w:marRight w:val="0"/>
              <w:marTop w:val="0"/>
              <w:marBottom w:val="240"/>
              <w:divBdr>
                <w:top w:val="none" w:sz="0" w:space="0" w:color="auto"/>
                <w:left w:val="none" w:sz="0" w:space="0" w:color="auto"/>
                <w:bottom w:val="none" w:sz="0" w:space="0" w:color="auto"/>
                <w:right w:val="none" w:sz="0" w:space="0" w:color="auto"/>
              </w:divBdr>
            </w:div>
            <w:div w:id="1980382317">
              <w:marLeft w:val="0"/>
              <w:marRight w:val="0"/>
              <w:marTop w:val="0"/>
              <w:marBottom w:val="240"/>
              <w:divBdr>
                <w:top w:val="none" w:sz="0" w:space="0" w:color="auto"/>
                <w:left w:val="none" w:sz="0" w:space="0" w:color="auto"/>
                <w:bottom w:val="none" w:sz="0" w:space="0" w:color="auto"/>
                <w:right w:val="none" w:sz="0" w:space="0" w:color="auto"/>
              </w:divBdr>
            </w:div>
            <w:div w:id="1198742775">
              <w:marLeft w:val="0"/>
              <w:marRight w:val="0"/>
              <w:marTop w:val="0"/>
              <w:marBottom w:val="240"/>
              <w:divBdr>
                <w:top w:val="none" w:sz="0" w:space="0" w:color="auto"/>
                <w:left w:val="none" w:sz="0" w:space="0" w:color="auto"/>
                <w:bottom w:val="none" w:sz="0" w:space="0" w:color="auto"/>
                <w:right w:val="none" w:sz="0" w:space="0" w:color="auto"/>
              </w:divBdr>
            </w:div>
            <w:div w:id="229272359">
              <w:marLeft w:val="0"/>
              <w:marRight w:val="0"/>
              <w:marTop w:val="0"/>
              <w:marBottom w:val="240"/>
              <w:divBdr>
                <w:top w:val="none" w:sz="0" w:space="0" w:color="auto"/>
                <w:left w:val="none" w:sz="0" w:space="0" w:color="auto"/>
                <w:bottom w:val="none" w:sz="0" w:space="0" w:color="auto"/>
                <w:right w:val="none" w:sz="0" w:space="0" w:color="auto"/>
              </w:divBdr>
            </w:div>
            <w:div w:id="1867212018">
              <w:marLeft w:val="0"/>
              <w:marRight w:val="0"/>
              <w:marTop w:val="0"/>
              <w:marBottom w:val="240"/>
              <w:divBdr>
                <w:top w:val="none" w:sz="0" w:space="0" w:color="auto"/>
                <w:left w:val="none" w:sz="0" w:space="0" w:color="auto"/>
                <w:bottom w:val="none" w:sz="0" w:space="0" w:color="auto"/>
                <w:right w:val="none" w:sz="0" w:space="0" w:color="auto"/>
              </w:divBdr>
            </w:div>
            <w:div w:id="1135833111">
              <w:marLeft w:val="0"/>
              <w:marRight w:val="0"/>
              <w:marTop w:val="0"/>
              <w:marBottom w:val="240"/>
              <w:divBdr>
                <w:top w:val="none" w:sz="0" w:space="0" w:color="auto"/>
                <w:left w:val="none" w:sz="0" w:space="0" w:color="auto"/>
                <w:bottom w:val="none" w:sz="0" w:space="0" w:color="auto"/>
                <w:right w:val="none" w:sz="0" w:space="0" w:color="auto"/>
              </w:divBdr>
            </w:div>
            <w:div w:id="1360818323">
              <w:marLeft w:val="0"/>
              <w:marRight w:val="0"/>
              <w:marTop w:val="0"/>
              <w:marBottom w:val="240"/>
              <w:divBdr>
                <w:top w:val="none" w:sz="0" w:space="0" w:color="auto"/>
                <w:left w:val="none" w:sz="0" w:space="0" w:color="auto"/>
                <w:bottom w:val="none" w:sz="0" w:space="0" w:color="auto"/>
                <w:right w:val="none" w:sz="0" w:space="0" w:color="auto"/>
              </w:divBdr>
            </w:div>
            <w:div w:id="1381635646">
              <w:marLeft w:val="0"/>
              <w:marRight w:val="0"/>
              <w:marTop w:val="0"/>
              <w:marBottom w:val="240"/>
              <w:divBdr>
                <w:top w:val="none" w:sz="0" w:space="0" w:color="auto"/>
                <w:left w:val="none" w:sz="0" w:space="0" w:color="auto"/>
                <w:bottom w:val="none" w:sz="0" w:space="0" w:color="auto"/>
                <w:right w:val="none" w:sz="0" w:space="0" w:color="auto"/>
              </w:divBdr>
            </w:div>
            <w:div w:id="1671786691">
              <w:marLeft w:val="0"/>
              <w:marRight w:val="0"/>
              <w:marTop w:val="0"/>
              <w:marBottom w:val="240"/>
              <w:divBdr>
                <w:top w:val="none" w:sz="0" w:space="0" w:color="auto"/>
                <w:left w:val="none" w:sz="0" w:space="0" w:color="auto"/>
                <w:bottom w:val="none" w:sz="0" w:space="0" w:color="auto"/>
                <w:right w:val="none" w:sz="0" w:space="0" w:color="auto"/>
              </w:divBdr>
            </w:div>
            <w:div w:id="397094969">
              <w:marLeft w:val="0"/>
              <w:marRight w:val="0"/>
              <w:marTop w:val="0"/>
              <w:marBottom w:val="240"/>
              <w:divBdr>
                <w:top w:val="none" w:sz="0" w:space="0" w:color="auto"/>
                <w:left w:val="none" w:sz="0" w:space="0" w:color="auto"/>
                <w:bottom w:val="none" w:sz="0" w:space="0" w:color="auto"/>
                <w:right w:val="none" w:sz="0" w:space="0" w:color="auto"/>
              </w:divBdr>
            </w:div>
            <w:div w:id="430391619">
              <w:marLeft w:val="0"/>
              <w:marRight w:val="0"/>
              <w:marTop w:val="0"/>
              <w:marBottom w:val="240"/>
              <w:divBdr>
                <w:top w:val="none" w:sz="0" w:space="0" w:color="auto"/>
                <w:left w:val="none" w:sz="0" w:space="0" w:color="auto"/>
                <w:bottom w:val="none" w:sz="0" w:space="0" w:color="auto"/>
                <w:right w:val="none" w:sz="0" w:space="0" w:color="auto"/>
              </w:divBdr>
            </w:div>
            <w:div w:id="1400909604">
              <w:marLeft w:val="0"/>
              <w:marRight w:val="0"/>
              <w:marTop w:val="0"/>
              <w:marBottom w:val="240"/>
              <w:divBdr>
                <w:top w:val="none" w:sz="0" w:space="0" w:color="auto"/>
                <w:left w:val="none" w:sz="0" w:space="0" w:color="auto"/>
                <w:bottom w:val="none" w:sz="0" w:space="0" w:color="auto"/>
                <w:right w:val="none" w:sz="0" w:space="0" w:color="auto"/>
              </w:divBdr>
            </w:div>
            <w:div w:id="200242920">
              <w:marLeft w:val="0"/>
              <w:marRight w:val="0"/>
              <w:marTop w:val="0"/>
              <w:marBottom w:val="240"/>
              <w:divBdr>
                <w:top w:val="none" w:sz="0" w:space="0" w:color="auto"/>
                <w:left w:val="none" w:sz="0" w:space="0" w:color="auto"/>
                <w:bottom w:val="none" w:sz="0" w:space="0" w:color="auto"/>
                <w:right w:val="none" w:sz="0" w:space="0" w:color="auto"/>
              </w:divBdr>
            </w:div>
            <w:div w:id="1016006681">
              <w:marLeft w:val="0"/>
              <w:marRight w:val="0"/>
              <w:marTop w:val="0"/>
              <w:marBottom w:val="240"/>
              <w:divBdr>
                <w:top w:val="none" w:sz="0" w:space="0" w:color="auto"/>
                <w:left w:val="none" w:sz="0" w:space="0" w:color="auto"/>
                <w:bottom w:val="none" w:sz="0" w:space="0" w:color="auto"/>
                <w:right w:val="none" w:sz="0" w:space="0" w:color="auto"/>
              </w:divBdr>
            </w:div>
            <w:div w:id="746541734">
              <w:marLeft w:val="0"/>
              <w:marRight w:val="0"/>
              <w:marTop w:val="0"/>
              <w:marBottom w:val="240"/>
              <w:divBdr>
                <w:top w:val="none" w:sz="0" w:space="0" w:color="auto"/>
                <w:left w:val="none" w:sz="0" w:space="0" w:color="auto"/>
                <w:bottom w:val="none" w:sz="0" w:space="0" w:color="auto"/>
                <w:right w:val="none" w:sz="0" w:space="0" w:color="auto"/>
              </w:divBdr>
            </w:div>
            <w:div w:id="977343708">
              <w:marLeft w:val="0"/>
              <w:marRight w:val="0"/>
              <w:marTop w:val="0"/>
              <w:marBottom w:val="240"/>
              <w:divBdr>
                <w:top w:val="none" w:sz="0" w:space="0" w:color="auto"/>
                <w:left w:val="none" w:sz="0" w:space="0" w:color="auto"/>
                <w:bottom w:val="none" w:sz="0" w:space="0" w:color="auto"/>
                <w:right w:val="none" w:sz="0" w:space="0" w:color="auto"/>
              </w:divBdr>
            </w:div>
            <w:div w:id="1374237074">
              <w:marLeft w:val="0"/>
              <w:marRight w:val="0"/>
              <w:marTop w:val="0"/>
              <w:marBottom w:val="240"/>
              <w:divBdr>
                <w:top w:val="none" w:sz="0" w:space="0" w:color="auto"/>
                <w:left w:val="none" w:sz="0" w:space="0" w:color="auto"/>
                <w:bottom w:val="none" w:sz="0" w:space="0" w:color="auto"/>
                <w:right w:val="none" w:sz="0" w:space="0" w:color="auto"/>
              </w:divBdr>
            </w:div>
            <w:div w:id="1418597806">
              <w:marLeft w:val="0"/>
              <w:marRight w:val="0"/>
              <w:marTop w:val="0"/>
              <w:marBottom w:val="240"/>
              <w:divBdr>
                <w:top w:val="none" w:sz="0" w:space="0" w:color="auto"/>
                <w:left w:val="none" w:sz="0" w:space="0" w:color="auto"/>
                <w:bottom w:val="none" w:sz="0" w:space="0" w:color="auto"/>
                <w:right w:val="none" w:sz="0" w:space="0" w:color="auto"/>
              </w:divBdr>
            </w:div>
            <w:div w:id="1378118054">
              <w:marLeft w:val="0"/>
              <w:marRight w:val="0"/>
              <w:marTop w:val="0"/>
              <w:marBottom w:val="240"/>
              <w:divBdr>
                <w:top w:val="none" w:sz="0" w:space="0" w:color="auto"/>
                <w:left w:val="none" w:sz="0" w:space="0" w:color="auto"/>
                <w:bottom w:val="none" w:sz="0" w:space="0" w:color="auto"/>
                <w:right w:val="none" w:sz="0" w:space="0" w:color="auto"/>
              </w:divBdr>
            </w:div>
            <w:div w:id="710954388">
              <w:marLeft w:val="0"/>
              <w:marRight w:val="0"/>
              <w:marTop w:val="0"/>
              <w:marBottom w:val="240"/>
              <w:divBdr>
                <w:top w:val="none" w:sz="0" w:space="0" w:color="auto"/>
                <w:left w:val="none" w:sz="0" w:space="0" w:color="auto"/>
                <w:bottom w:val="none" w:sz="0" w:space="0" w:color="auto"/>
                <w:right w:val="none" w:sz="0" w:space="0" w:color="auto"/>
              </w:divBdr>
            </w:div>
            <w:div w:id="908344377">
              <w:marLeft w:val="0"/>
              <w:marRight w:val="0"/>
              <w:marTop w:val="0"/>
              <w:marBottom w:val="240"/>
              <w:divBdr>
                <w:top w:val="none" w:sz="0" w:space="0" w:color="auto"/>
                <w:left w:val="none" w:sz="0" w:space="0" w:color="auto"/>
                <w:bottom w:val="none" w:sz="0" w:space="0" w:color="auto"/>
                <w:right w:val="none" w:sz="0" w:space="0" w:color="auto"/>
              </w:divBdr>
            </w:div>
            <w:div w:id="1833793378">
              <w:marLeft w:val="0"/>
              <w:marRight w:val="0"/>
              <w:marTop w:val="0"/>
              <w:marBottom w:val="240"/>
              <w:divBdr>
                <w:top w:val="none" w:sz="0" w:space="0" w:color="auto"/>
                <w:left w:val="none" w:sz="0" w:space="0" w:color="auto"/>
                <w:bottom w:val="none" w:sz="0" w:space="0" w:color="auto"/>
                <w:right w:val="none" w:sz="0" w:space="0" w:color="auto"/>
              </w:divBdr>
            </w:div>
            <w:div w:id="588933203">
              <w:marLeft w:val="0"/>
              <w:marRight w:val="0"/>
              <w:marTop w:val="0"/>
              <w:marBottom w:val="240"/>
              <w:divBdr>
                <w:top w:val="none" w:sz="0" w:space="0" w:color="auto"/>
                <w:left w:val="none" w:sz="0" w:space="0" w:color="auto"/>
                <w:bottom w:val="none" w:sz="0" w:space="0" w:color="auto"/>
                <w:right w:val="none" w:sz="0" w:space="0" w:color="auto"/>
              </w:divBdr>
            </w:div>
            <w:div w:id="1484465552">
              <w:marLeft w:val="0"/>
              <w:marRight w:val="0"/>
              <w:marTop w:val="0"/>
              <w:marBottom w:val="240"/>
              <w:divBdr>
                <w:top w:val="none" w:sz="0" w:space="0" w:color="auto"/>
                <w:left w:val="none" w:sz="0" w:space="0" w:color="auto"/>
                <w:bottom w:val="none" w:sz="0" w:space="0" w:color="auto"/>
                <w:right w:val="none" w:sz="0" w:space="0" w:color="auto"/>
              </w:divBdr>
            </w:div>
            <w:div w:id="96559366">
              <w:marLeft w:val="0"/>
              <w:marRight w:val="0"/>
              <w:marTop w:val="0"/>
              <w:marBottom w:val="240"/>
              <w:divBdr>
                <w:top w:val="none" w:sz="0" w:space="0" w:color="auto"/>
                <w:left w:val="none" w:sz="0" w:space="0" w:color="auto"/>
                <w:bottom w:val="none" w:sz="0" w:space="0" w:color="auto"/>
                <w:right w:val="none" w:sz="0" w:space="0" w:color="auto"/>
              </w:divBdr>
            </w:div>
            <w:div w:id="1410421859">
              <w:marLeft w:val="0"/>
              <w:marRight w:val="0"/>
              <w:marTop w:val="0"/>
              <w:marBottom w:val="240"/>
              <w:divBdr>
                <w:top w:val="none" w:sz="0" w:space="0" w:color="auto"/>
                <w:left w:val="none" w:sz="0" w:space="0" w:color="auto"/>
                <w:bottom w:val="none" w:sz="0" w:space="0" w:color="auto"/>
                <w:right w:val="none" w:sz="0" w:space="0" w:color="auto"/>
              </w:divBdr>
            </w:div>
            <w:div w:id="2009597286">
              <w:marLeft w:val="0"/>
              <w:marRight w:val="0"/>
              <w:marTop w:val="0"/>
              <w:marBottom w:val="240"/>
              <w:divBdr>
                <w:top w:val="none" w:sz="0" w:space="0" w:color="auto"/>
                <w:left w:val="none" w:sz="0" w:space="0" w:color="auto"/>
                <w:bottom w:val="none" w:sz="0" w:space="0" w:color="auto"/>
                <w:right w:val="none" w:sz="0" w:space="0" w:color="auto"/>
              </w:divBdr>
            </w:div>
            <w:div w:id="583756648">
              <w:marLeft w:val="0"/>
              <w:marRight w:val="0"/>
              <w:marTop w:val="0"/>
              <w:marBottom w:val="240"/>
              <w:divBdr>
                <w:top w:val="none" w:sz="0" w:space="0" w:color="auto"/>
                <w:left w:val="none" w:sz="0" w:space="0" w:color="auto"/>
                <w:bottom w:val="none" w:sz="0" w:space="0" w:color="auto"/>
                <w:right w:val="none" w:sz="0" w:space="0" w:color="auto"/>
              </w:divBdr>
            </w:div>
            <w:div w:id="652754058">
              <w:marLeft w:val="0"/>
              <w:marRight w:val="0"/>
              <w:marTop w:val="0"/>
              <w:marBottom w:val="240"/>
              <w:divBdr>
                <w:top w:val="none" w:sz="0" w:space="0" w:color="auto"/>
                <w:left w:val="none" w:sz="0" w:space="0" w:color="auto"/>
                <w:bottom w:val="none" w:sz="0" w:space="0" w:color="auto"/>
                <w:right w:val="none" w:sz="0" w:space="0" w:color="auto"/>
              </w:divBdr>
            </w:div>
            <w:div w:id="499934016">
              <w:marLeft w:val="0"/>
              <w:marRight w:val="0"/>
              <w:marTop w:val="0"/>
              <w:marBottom w:val="240"/>
              <w:divBdr>
                <w:top w:val="none" w:sz="0" w:space="0" w:color="auto"/>
                <w:left w:val="none" w:sz="0" w:space="0" w:color="auto"/>
                <w:bottom w:val="none" w:sz="0" w:space="0" w:color="auto"/>
                <w:right w:val="none" w:sz="0" w:space="0" w:color="auto"/>
              </w:divBdr>
            </w:div>
            <w:div w:id="1104425133">
              <w:marLeft w:val="0"/>
              <w:marRight w:val="0"/>
              <w:marTop w:val="0"/>
              <w:marBottom w:val="240"/>
              <w:divBdr>
                <w:top w:val="none" w:sz="0" w:space="0" w:color="auto"/>
                <w:left w:val="none" w:sz="0" w:space="0" w:color="auto"/>
                <w:bottom w:val="none" w:sz="0" w:space="0" w:color="auto"/>
                <w:right w:val="none" w:sz="0" w:space="0" w:color="auto"/>
              </w:divBdr>
            </w:div>
            <w:div w:id="1619800544">
              <w:marLeft w:val="0"/>
              <w:marRight w:val="0"/>
              <w:marTop w:val="0"/>
              <w:marBottom w:val="240"/>
              <w:divBdr>
                <w:top w:val="none" w:sz="0" w:space="0" w:color="auto"/>
                <w:left w:val="none" w:sz="0" w:space="0" w:color="auto"/>
                <w:bottom w:val="none" w:sz="0" w:space="0" w:color="auto"/>
                <w:right w:val="none" w:sz="0" w:space="0" w:color="auto"/>
              </w:divBdr>
            </w:div>
            <w:div w:id="76294871">
              <w:marLeft w:val="0"/>
              <w:marRight w:val="0"/>
              <w:marTop w:val="0"/>
              <w:marBottom w:val="240"/>
              <w:divBdr>
                <w:top w:val="none" w:sz="0" w:space="0" w:color="auto"/>
                <w:left w:val="none" w:sz="0" w:space="0" w:color="auto"/>
                <w:bottom w:val="none" w:sz="0" w:space="0" w:color="auto"/>
                <w:right w:val="none" w:sz="0" w:space="0" w:color="auto"/>
              </w:divBdr>
            </w:div>
            <w:div w:id="2082562032">
              <w:marLeft w:val="0"/>
              <w:marRight w:val="0"/>
              <w:marTop w:val="0"/>
              <w:marBottom w:val="240"/>
              <w:divBdr>
                <w:top w:val="none" w:sz="0" w:space="0" w:color="auto"/>
                <w:left w:val="none" w:sz="0" w:space="0" w:color="auto"/>
                <w:bottom w:val="none" w:sz="0" w:space="0" w:color="auto"/>
                <w:right w:val="none" w:sz="0" w:space="0" w:color="auto"/>
              </w:divBdr>
            </w:div>
            <w:div w:id="195504517">
              <w:marLeft w:val="0"/>
              <w:marRight w:val="0"/>
              <w:marTop w:val="0"/>
              <w:marBottom w:val="240"/>
              <w:divBdr>
                <w:top w:val="none" w:sz="0" w:space="0" w:color="auto"/>
                <w:left w:val="none" w:sz="0" w:space="0" w:color="auto"/>
                <w:bottom w:val="none" w:sz="0" w:space="0" w:color="auto"/>
                <w:right w:val="none" w:sz="0" w:space="0" w:color="auto"/>
              </w:divBdr>
            </w:div>
            <w:div w:id="2050719597">
              <w:marLeft w:val="0"/>
              <w:marRight w:val="0"/>
              <w:marTop w:val="0"/>
              <w:marBottom w:val="240"/>
              <w:divBdr>
                <w:top w:val="none" w:sz="0" w:space="0" w:color="auto"/>
                <w:left w:val="none" w:sz="0" w:space="0" w:color="auto"/>
                <w:bottom w:val="none" w:sz="0" w:space="0" w:color="auto"/>
                <w:right w:val="none" w:sz="0" w:space="0" w:color="auto"/>
              </w:divBdr>
            </w:div>
            <w:div w:id="56344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8959">
      <w:bodyDiv w:val="1"/>
      <w:marLeft w:val="0"/>
      <w:marRight w:val="0"/>
      <w:marTop w:val="0"/>
      <w:marBottom w:val="0"/>
      <w:divBdr>
        <w:top w:val="none" w:sz="0" w:space="0" w:color="auto"/>
        <w:left w:val="none" w:sz="0" w:space="0" w:color="auto"/>
        <w:bottom w:val="none" w:sz="0" w:space="0" w:color="auto"/>
        <w:right w:val="none" w:sz="0" w:space="0" w:color="auto"/>
      </w:divBdr>
    </w:div>
    <w:div w:id="130371632">
      <w:bodyDiv w:val="1"/>
      <w:marLeft w:val="0"/>
      <w:marRight w:val="0"/>
      <w:marTop w:val="0"/>
      <w:marBottom w:val="0"/>
      <w:divBdr>
        <w:top w:val="none" w:sz="0" w:space="0" w:color="auto"/>
        <w:left w:val="none" w:sz="0" w:space="0" w:color="auto"/>
        <w:bottom w:val="none" w:sz="0" w:space="0" w:color="auto"/>
        <w:right w:val="none" w:sz="0" w:space="0" w:color="auto"/>
      </w:divBdr>
    </w:div>
    <w:div w:id="135950221">
      <w:bodyDiv w:val="1"/>
      <w:marLeft w:val="0"/>
      <w:marRight w:val="0"/>
      <w:marTop w:val="0"/>
      <w:marBottom w:val="0"/>
      <w:divBdr>
        <w:top w:val="none" w:sz="0" w:space="0" w:color="auto"/>
        <w:left w:val="none" w:sz="0" w:space="0" w:color="auto"/>
        <w:bottom w:val="none" w:sz="0" w:space="0" w:color="auto"/>
        <w:right w:val="none" w:sz="0" w:space="0" w:color="auto"/>
      </w:divBdr>
      <w:divsChild>
        <w:div w:id="829950043">
          <w:marLeft w:val="480"/>
          <w:marRight w:val="0"/>
          <w:marTop w:val="0"/>
          <w:marBottom w:val="0"/>
          <w:divBdr>
            <w:top w:val="none" w:sz="0" w:space="0" w:color="auto"/>
            <w:left w:val="none" w:sz="0" w:space="0" w:color="auto"/>
            <w:bottom w:val="none" w:sz="0" w:space="0" w:color="auto"/>
            <w:right w:val="none" w:sz="0" w:space="0" w:color="auto"/>
          </w:divBdr>
          <w:divsChild>
            <w:div w:id="1027020024">
              <w:marLeft w:val="0"/>
              <w:marRight w:val="0"/>
              <w:marTop w:val="0"/>
              <w:marBottom w:val="240"/>
              <w:divBdr>
                <w:top w:val="none" w:sz="0" w:space="0" w:color="auto"/>
                <w:left w:val="none" w:sz="0" w:space="0" w:color="auto"/>
                <w:bottom w:val="none" w:sz="0" w:space="0" w:color="auto"/>
                <w:right w:val="none" w:sz="0" w:space="0" w:color="auto"/>
              </w:divBdr>
            </w:div>
            <w:div w:id="1808207087">
              <w:marLeft w:val="0"/>
              <w:marRight w:val="0"/>
              <w:marTop w:val="0"/>
              <w:marBottom w:val="240"/>
              <w:divBdr>
                <w:top w:val="none" w:sz="0" w:space="0" w:color="auto"/>
                <w:left w:val="none" w:sz="0" w:space="0" w:color="auto"/>
                <w:bottom w:val="none" w:sz="0" w:space="0" w:color="auto"/>
                <w:right w:val="none" w:sz="0" w:space="0" w:color="auto"/>
              </w:divBdr>
            </w:div>
            <w:div w:id="716586678">
              <w:marLeft w:val="0"/>
              <w:marRight w:val="0"/>
              <w:marTop w:val="0"/>
              <w:marBottom w:val="240"/>
              <w:divBdr>
                <w:top w:val="none" w:sz="0" w:space="0" w:color="auto"/>
                <w:left w:val="none" w:sz="0" w:space="0" w:color="auto"/>
                <w:bottom w:val="none" w:sz="0" w:space="0" w:color="auto"/>
                <w:right w:val="none" w:sz="0" w:space="0" w:color="auto"/>
              </w:divBdr>
            </w:div>
            <w:div w:id="1508666889">
              <w:marLeft w:val="0"/>
              <w:marRight w:val="0"/>
              <w:marTop w:val="0"/>
              <w:marBottom w:val="240"/>
              <w:divBdr>
                <w:top w:val="none" w:sz="0" w:space="0" w:color="auto"/>
                <w:left w:val="none" w:sz="0" w:space="0" w:color="auto"/>
                <w:bottom w:val="none" w:sz="0" w:space="0" w:color="auto"/>
                <w:right w:val="none" w:sz="0" w:space="0" w:color="auto"/>
              </w:divBdr>
            </w:div>
            <w:div w:id="126632379">
              <w:marLeft w:val="0"/>
              <w:marRight w:val="0"/>
              <w:marTop w:val="0"/>
              <w:marBottom w:val="240"/>
              <w:divBdr>
                <w:top w:val="none" w:sz="0" w:space="0" w:color="auto"/>
                <w:left w:val="none" w:sz="0" w:space="0" w:color="auto"/>
                <w:bottom w:val="none" w:sz="0" w:space="0" w:color="auto"/>
                <w:right w:val="none" w:sz="0" w:space="0" w:color="auto"/>
              </w:divBdr>
            </w:div>
            <w:div w:id="872309315">
              <w:marLeft w:val="0"/>
              <w:marRight w:val="0"/>
              <w:marTop w:val="0"/>
              <w:marBottom w:val="240"/>
              <w:divBdr>
                <w:top w:val="none" w:sz="0" w:space="0" w:color="auto"/>
                <w:left w:val="none" w:sz="0" w:space="0" w:color="auto"/>
                <w:bottom w:val="none" w:sz="0" w:space="0" w:color="auto"/>
                <w:right w:val="none" w:sz="0" w:space="0" w:color="auto"/>
              </w:divBdr>
            </w:div>
            <w:div w:id="1177496776">
              <w:marLeft w:val="0"/>
              <w:marRight w:val="0"/>
              <w:marTop w:val="0"/>
              <w:marBottom w:val="240"/>
              <w:divBdr>
                <w:top w:val="none" w:sz="0" w:space="0" w:color="auto"/>
                <w:left w:val="none" w:sz="0" w:space="0" w:color="auto"/>
                <w:bottom w:val="none" w:sz="0" w:space="0" w:color="auto"/>
                <w:right w:val="none" w:sz="0" w:space="0" w:color="auto"/>
              </w:divBdr>
            </w:div>
            <w:div w:id="2007247704">
              <w:marLeft w:val="0"/>
              <w:marRight w:val="0"/>
              <w:marTop w:val="0"/>
              <w:marBottom w:val="240"/>
              <w:divBdr>
                <w:top w:val="none" w:sz="0" w:space="0" w:color="auto"/>
                <w:left w:val="none" w:sz="0" w:space="0" w:color="auto"/>
                <w:bottom w:val="none" w:sz="0" w:space="0" w:color="auto"/>
                <w:right w:val="none" w:sz="0" w:space="0" w:color="auto"/>
              </w:divBdr>
            </w:div>
            <w:div w:id="1546019282">
              <w:marLeft w:val="0"/>
              <w:marRight w:val="0"/>
              <w:marTop w:val="0"/>
              <w:marBottom w:val="240"/>
              <w:divBdr>
                <w:top w:val="none" w:sz="0" w:space="0" w:color="auto"/>
                <w:left w:val="none" w:sz="0" w:space="0" w:color="auto"/>
                <w:bottom w:val="none" w:sz="0" w:space="0" w:color="auto"/>
                <w:right w:val="none" w:sz="0" w:space="0" w:color="auto"/>
              </w:divBdr>
            </w:div>
            <w:div w:id="1688367568">
              <w:marLeft w:val="0"/>
              <w:marRight w:val="0"/>
              <w:marTop w:val="0"/>
              <w:marBottom w:val="240"/>
              <w:divBdr>
                <w:top w:val="none" w:sz="0" w:space="0" w:color="auto"/>
                <w:left w:val="none" w:sz="0" w:space="0" w:color="auto"/>
                <w:bottom w:val="none" w:sz="0" w:space="0" w:color="auto"/>
                <w:right w:val="none" w:sz="0" w:space="0" w:color="auto"/>
              </w:divBdr>
            </w:div>
            <w:div w:id="1963730803">
              <w:marLeft w:val="0"/>
              <w:marRight w:val="0"/>
              <w:marTop w:val="0"/>
              <w:marBottom w:val="240"/>
              <w:divBdr>
                <w:top w:val="none" w:sz="0" w:space="0" w:color="auto"/>
                <w:left w:val="none" w:sz="0" w:space="0" w:color="auto"/>
                <w:bottom w:val="none" w:sz="0" w:space="0" w:color="auto"/>
                <w:right w:val="none" w:sz="0" w:space="0" w:color="auto"/>
              </w:divBdr>
            </w:div>
            <w:div w:id="180632782">
              <w:marLeft w:val="0"/>
              <w:marRight w:val="0"/>
              <w:marTop w:val="0"/>
              <w:marBottom w:val="240"/>
              <w:divBdr>
                <w:top w:val="none" w:sz="0" w:space="0" w:color="auto"/>
                <w:left w:val="none" w:sz="0" w:space="0" w:color="auto"/>
                <w:bottom w:val="none" w:sz="0" w:space="0" w:color="auto"/>
                <w:right w:val="none" w:sz="0" w:space="0" w:color="auto"/>
              </w:divBdr>
            </w:div>
            <w:div w:id="1379088430">
              <w:marLeft w:val="0"/>
              <w:marRight w:val="0"/>
              <w:marTop w:val="0"/>
              <w:marBottom w:val="240"/>
              <w:divBdr>
                <w:top w:val="none" w:sz="0" w:space="0" w:color="auto"/>
                <w:left w:val="none" w:sz="0" w:space="0" w:color="auto"/>
                <w:bottom w:val="none" w:sz="0" w:space="0" w:color="auto"/>
                <w:right w:val="none" w:sz="0" w:space="0" w:color="auto"/>
              </w:divBdr>
            </w:div>
            <w:div w:id="1587567117">
              <w:marLeft w:val="0"/>
              <w:marRight w:val="0"/>
              <w:marTop w:val="0"/>
              <w:marBottom w:val="240"/>
              <w:divBdr>
                <w:top w:val="none" w:sz="0" w:space="0" w:color="auto"/>
                <w:left w:val="none" w:sz="0" w:space="0" w:color="auto"/>
                <w:bottom w:val="none" w:sz="0" w:space="0" w:color="auto"/>
                <w:right w:val="none" w:sz="0" w:space="0" w:color="auto"/>
              </w:divBdr>
            </w:div>
            <w:div w:id="1327320607">
              <w:marLeft w:val="0"/>
              <w:marRight w:val="0"/>
              <w:marTop w:val="0"/>
              <w:marBottom w:val="240"/>
              <w:divBdr>
                <w:top w:val="none" w:sz="0" w:space="0" w:color="auto"/>
                <w:left w:val="none" w:sz="0" w:space="0" w:color="auto"/>
                <w:bottom w:val="none" w:sz="0" w:space="0" w:color="auto"/>
                <w:right w:val="none" w:sz="0" w:space="0" w:color="auto"/>
              </w:divBdr>
            </w:div>
            <w:div w:id="599945562">
              <w:marLeft w:val="0"/>
              <w:marRight w:val="0"/>
              <w:marTop w:val="0"/>
              <w:marBottom w:val="240"/>
              <w:divBdr>
                <w:top w:val="none" w:sz="0" w:space="0" w:color="auto"/>
                <w:left w:val="none" w:sz="0" w:space="0" w:color="auto"/>
                <w:bottom w:val="none" w:sz="0" w:space="0" w:color="auto"/>
                <w:right w:val="none" w:sz="0" w:space="0" w:color="auto"/>
              </w:divBdr>
            </w:div>
            <w:div w:id="880291318">
              <w:marLeft w:val="0"/>
              <w:marRight w:val="0"/>
              <w:marTop w:val="0"/>
              <w:marBottom w:val="240"/>
              <w:divBdr>
                <w:top w:val="none" w:sz="0" w:space="0" w:color="auto"/>
                <w:left w:val="none" w:sz="0" w:space="0" w:color="auto"/>
                <w:bottom w:val="none" w:sz="0" w:space="0" w:color="auto"/>
                <w:right w:val="none" w:sz="0" w:space="0" w:color="auto"/>
              </w:divBdr>
            </w:div>
            <w:div w:id="1477380282">
              <w:marLeft w:val="0"/>
              <w:marRight w:val="0"/>
              <w:marTop w:val="0"/>
              <w:marBottom w:val="240"/>
              <w:divBdr>
                <w:top w:val="none" w:sz="0" w:space="0" w:color="auto"/>
                <w:left w:val="none" w:sz="0" w:space="0" w:color="auto"/>
                <w:bottom w:val="none" w:sz="0" w:space="0" w:color="auto"/>
                <w:right w:val="none" w:sz="0" w:space="0" w:color="auto"/>
              </w:divBdr>
            </w:div>
            <w:div w:id="1079329690">
              <w:marLeft w:val="0"/>
              <w:marRight w:val="0"/>
              <w:marTop w:val="0"/>
              <w:marBottom w:val="240"/>
              <w:divBdr>
                <w:top w:val="none" w:sz="0" w:space="0" w:color="auto"/>
                <w:left w:val="none" w:sz="0" w:space="0" w:color="auto"/>
                <w:bottom w:val="none" w:sz="0" w:space="0" w:color="auto"/>
                <w:right w:val="none" w:sz="0" w:space="0" w:color="auto"/>
              </w:divBdr>
            </w:div>
            <w:div w:id="300037998">
              <w:marLeft w:val="0"/>
              <w:marRight w:val="0"/>
              <w:marTop w:val="0"/>
              <w:marBottom w:val="240"/>
              <w:divBdr>
                <w:top w:val="none" w:sz="0" w:space="0" w:color="auto"/>
                <w:left w:val="none" w:sz="0" w:space="0" w:color="auto"/>
                <w:bottom w:val="none" w:sz="0" w:space="0" w:color="auto"/>
                <w:right w:val="none" w:sz="0" w:space="0" w:color="auto"/>
              </w:divBdr>
            </w:div>
            <w:div w:id="467403339">
              <w:marLeft w:val="0"/>
              <w:marRight w:val="0"/>
              <w:marTop w:val="0"/>
              <w:marBottom w:val="240"/>
              <w:divBdr>
                <w:top w:val="none" w:sz="0" w:space="0" w:color="auto"/>
                <w:left w:val="none" w:sz="0" w:space="0" w:color="auto"/>
                <w:bottom w:val="none" w:sz="0" w:space="0" w:color="auto"/>
                <w:right w:val="none" w:sz="0" w:space="0" w:color="auto"/>
              </w:divBdr>
            </w:div>
            <w:div w:id="2003657408">
              <w:marLeft w:val="0"/>
              <w:marRight w:val="0"/>
              <w:marTop w:val="0"/>
              <w:marBottom w:val="240"/>
              <w:divBdr>
                <w:top w:val="none" w:sz="0" w:space="0" w:color="auto"/>
                <w:left w:val="none" w:sz="0" w:space="0" w:color="auto"/>
                <w:bottom w:val="none" w:sz="0" w:space="0" w:color="auto"/>
                <w:right w:val="none" w:sz="0" w:space="0" w:color="auto"/>
              </w:divBdr>
            </w:div>
            <w:div w:id="157694126">
              <w:marLeft w:val="0"/>
              <w:marRight w:val="0"/>
              <w:marTop w:val="0"/>
              <w:marBottom w:val="240"/>
              <w:divBdr>
                <w:top w:val="none" w:sz="0" w:space="0" w:color="auto"/>
                <w:left w:val="none" w:sz="0" w:space="0" w:color="auto"/>
                <w:bottom w:val="none" w:sz="0" w:space="0" w:color="auto"/>
                <w:right w:val="none" w:sz="0" w:space="0" w:color="auto"/>
              </w:divBdr>
            </w:div>
            <w:div w:id="341664850">
              <w:marLeft w:val="0"/>
              <w:marRight w:val="0"/>
              <w:marTop w:val="0"/>
              <w:marBottom w:val="240"/>
              <w:divBdr>
                <w:top w:val="none" w:sz="0" w:space="0" w:color="auto"/>
                <w:left w:val="none" w:sz="0" w:space="0" w:color="auto"/>
                <w:bottom w:val="none" w:sz="0" w:space="0" w:color="auto"/>
                <w:right w:val="none" w:sz="0" w:space="0" w:color="auto"/>
              </w:divBdr>
            </w:div>
            <w:div w:id="987788537">
              <w:marLeft w:val="0"/>
              <w:marRight w:val="0"/>
              <w:marTop w:val="0"/>
              <w:marBottom w:val="240"/>
              <w:divBdr>
                <w:top w:val="none" w:sz="0" w:space="0" w:color="auto"/>
                <w:left w:val="none" w:sz="0" w:space="0" w:color="auto"/>
                <w:bottom w:val="none" w:sz="0" w:space="0" w:color="auto"/>
                <w:right w:val="none" w:sz="0" w:space="0" w:color="auto"/>
              </w:divBdr>
            </w:div>
            <w:div w:id="205605665">
              <w:marLeft w:val="0"/>
              <w:marRight w:val="0"/>
              <w:marTop w:val="0"/>
              <w:marBottom w:val="240"/>
              <w:divBdr>
                <w:top w:val="none" w:sz="0" w:space="0" w:color="auto"/>
                <w:left w:val="none" w:sz="0" w:space="0" w:color="auto"/>
                <w:bottom w:val="none" w:sz="0" w:space="0" w:color="auto"/>
                <w:right w:val="none" w:sz="0" w:space="0" w:color="auto"/>
              </w:divBdr>
            </w:div>
            <w:div w:id="1344211223">
              <w:marLeft w:val="0"/>
              <w:marRight w:val="0"/>
              <w:marTop w:val="0"/>
              <w:marBottom w:val="240"/>
              <w:divBdr>
                <w:top w:val="none" w:sz="0" w:space="0" w:color="auto"/>
                <w:left w:val="none" w:sz="0" w:space="0" w:color="auto"/>
                <w:bottom w:val="none" w:sz="0" w:space="0" w:color="auto"/>
                <w:right w:val="none" w:sz="0" w:space="0" w:color="auto"/>
              </w:divBdr>
            </w:div>
            <w:div w:id="911693600">
              <w:marLeft w:val="0"/>
              <w:marRight w:val="0"/>
              <w:marTop w:val="0"/>
              <w:marBottom w:val="240"/>
              <w:divBdr>
                <w:top w:val="none" w:sz="0" w:space="0" w:color="auto"/>
                <w:left w:val="none" w:sz="0" w:space="0" w:color="auto"/>
                <w:bottom w:val="none" w:sz="0" w:space="0" w:color="auto"/>
                <w:right w:val="none" w:sz="0" w:space="0" w:color="auto"/>
              </w:divBdr>
            </w:div>
            <w:div w:id="409893405">
              <w:marLeft w:val="0"/>
              <w:marRight w:val="0"/>
              <w:marTop w:val="0"/>
              <w:marBottom w:val="240"/>
              <w:divBdr>
                <w:top w:val="none" w:sz="0" w:space="0" w:color="auto"/>
                <w:left w:val="none" w:sz="0" w:space="0" w:color="auto"/>
                <w:bottom w:val="none" w:sz="0" w:space="0" w:color="auto"/>
                <w:right w:val="none" w:sz="0" w:space="0" w:color="auto"/>
              </w:divBdr>
            </w:div>
            <w:div w:id="1248464901">
              <w:marLeft w:val="0"/>
              <w:marRight w:val="0"/>
              <w:marTop w:val="0"/>
              <w:marBottom w:val="240"/>
              <w:divBdr>
                <w:top w:val="none" w:sz="0" w:space="0" w:color="auto"/>
                <w:left w:val="none" w:sz="0" w:space="0" w:color="auto"/>
                <w:bottom w:val="none" w:sz="0" w:space="0" w:color="auto"/>
                <w:right w:val="none" w:sz="0" w:space="0" w:color="auto"/>
              </w:divBdr>
            </w:div>
            <w:div w:id="222370599">
              <w:marLeft w:val="0"/>
              <w:marRight w:val="0"/>
              <w:marTop w:val="0"/>
              <w:marBottom w:val="240"/>
              <w:divBdr>
                <w:top w:val="none" w:sz="0" w:space="0" w:color="auto"/>
                <w:left w:val="none" w:sz="0" w:space="0" w:color="auto"/>
                <w:bottom w:val="none" w:sz="0" w:space="0" w:color="auto"/>
                <w:right w:val="none" w:sz="0" w:space="0" w:color="auto"/>
              </w:divBdr>
            </w:div>
            <w:div w:id="841623797">
              <w:marLeft w:val="0"/>
              <w:marRight w:val="0"/>
              <w:marTop w:val="0"/>
              <w:marBottom w:val="240"/>
              <w:divBdr>
                <w:top w:val="none" w:sz="0" w:space="0" w:color="auto"/>
                <w:left w:val="none" w:sz="0" w:space="0" w:color="auto"/>
                <w:bottom w:val="none" w:sz="0" w:space="0" w:color="auto"/>
                <w:right w:val="none" w:sz="0" w:space="0" w:color="auto"/>
              </w:divBdr>
            </w:div>
            <w:div w:id="1330408894">
              <w:marLeft w:val="0"/>
              <w:marRight w:val="0"/>
              <w:marTop w:val="0"/>
              <w:marBottom w:val="240"/>
              <w:divBdr>
                <w:top w:val="none" w:sz="0" w:space="0" w:color="auto"/>
                <w:left w:val="none" w:sz="0" w:space="0" w:color="auto"/>
                <w:bottom w:val="none" w:sz="0" w:space="0" w:color="auto"/>
                <w:right w:val="none" w:sz="0" w:space="0" w:color="auto"/>
              </w:divBdr>
            </w:div>
            <w:div w:id="1030254751">
              <w:marLeft w:val="0"/>
              <w:marRight w:val="0"/>
              <w:marTop w:val="0"/>
              <w:marBottom w:val="240"/>
              <w:divBdr>
                <w:top w:val="none" w:sz="0" w:space="0" w:color="auto"/>
                <w:left w:val="none" w:sz="0" w:space="0" w:color="auto"/>
                <w:bottom w:val="none" w:sz="0" w:space="0" w:color="auto"/>
                <w:right w:val="none" w:sz="0" w:space="0" w:color="auto"/>
              </w:divBdr>
            </w:div>
            <w:div w:id="565921100">
              <w:marLeft w:val="0"/>
              <w:marRight w:val="0"/>
              <w:marTop w:val="0"/>
              <w:marBottom w:val="240"/>
              <w:divBdr>
                <w:top w:val="none" w:sz="0" w:space="0" w:color="auto"/>
                <w:left w:val="none" w:sz="0" w:space="0" w:color="auto"/>
                <w:bottom w:val="none" w:sz="0" w:space="0" w:color="auto"/>
                <w:right w:val="none" w:sz="0" w:space="0" w:color="auto"/>
              </w:divBdr>
            </w:div>
            <w:div w:id="360086426">
              <w:marLeft w:val="0"/>
              <w:marRight w:val="0"/>
              <w:marTop w:val="0"/>
              <w:marBottom w:val="240"/>
              <w:divBdr>
                <w:top w:val="none" w:sz="0" w:space="0" w:color="auto"/>
                <w:left w:val="none" w:sz="0" w:space="0" w:color="auto"/>
                <w:bottom w:val="none" w:sz="0" w:space="0" w:color="auto"/>
                <w:right w:val="none" w:sz="0" w:space="0" w:color="auto"/>
              </w:divBdr>
            </w:div>
            <w:div w:id="2145927202">
              <w:marLeft w:val="0"/>
              <w:marRight w:val="0"/>
              <w:marTop w:val="0"/>
              <w:marBottom w:val="240"/>
              <w:divBdr>
                <w:top w:val="none" w:sz="0" w:space="0" w:color="auto"/>
                <w:left w:val="none" w:sz="0" w:space="0" w:color="auto"/>
                <w:bottom w:val="none" w:sz="0" w:space="0" w:color="auto"/>
                <w:right w:val="none" w:sz="0" w:space="0" w:color="auto"/>
              </w:divBdr>
            </w:div>
            <w:div w:id="8794544">
              <w:marLeft w:val="0"/>
              <w:marRight w:val="0"/>
              <w:marTop w:val="0"/>
              <w:marBottom w:val="240"/>
              <w:divBdr>
                <w:top w:val="none" w:sz="0" w:space="0" w:color="auto"/>
                <w:left w:val="none" w:sz="0" w:space="0" w:color="auto"/>
                <w:bottom w:val="none" w:sz="0" w:space="0" w:color="auto"/>
                <w:right w:val="none" w:sz="0" w:space="0" w:color="auto"/>
              </w:divBdr>
            </w:div>
            <w:div w:id="825825944">
              <w:marLeft w:val="0"/>
              <w:marRight w:val="0"/>
              <w:marTop w:val="0"/>
              <w:marBottom w:val="240"/>
              <w:divBdr>
                <w:top w:val="none" w:sz="0" w:space="0" w:color="auto"/>
                <w:left w:val="none" w:sz="0" w:space="0" w:color="auto"/>
                <w:bottom w:val="none" w:sz="0" w:space="0" w:color="auto"/>
                <w:right w:val="none" w:sz="0" w:space="0" w:color="auto"/>
              </w:divBdr>
            </w:div>
            <w:div w:id="909458347">
              <w:marLeft w:val="0"/>
              <w:marRight w:val="0"/>
              <w:marTop w:val="0"/>
              <w:marBottom w:val="240"/>
              <w:divBdr>
                <w:top w:val="none" w:sz="0" w:space="0" w:color="auto"/>
                <w:left w:val="none" w:sz="0" w:space="0" w:color="auto"/>
                <w:bottom w:val="none" w:sz="0" w:space="0" w:color="auto"/>
                <w:right w:val="none" w:sz="0" w:space="0" w:color="auto"/>
              </w:divBdr>
            </w:div>
            <w:div w:id="806702305">
              <w:marLeft w:val="0"/>
              <w:marRight w:val="0"/>
              <w:marTop w:val="0"/>
              <w:marBottom w:val="240"/>
              <w:divBdr>
                <w:top w:val="none" w:sz="0" w:space="0" w:color="auto"/>
                <w:left w:val="none" w:sz="0" w:space="0" w:color="auto"/>
                <w:bottom w:val="none" w:sz="0" w:space="0" w:color="auto"/>
                <w:right w:val="none" w:sz="0" w:space="0" w:color="auto"/>
              </w:divBdr>
            </w:div>
            <w:div w:id="1722436061">
              <w:marLeft w:val="0"/>
              <w:marRight w:val="0"/>
              <w:marTop w:val="0"/>
              <w:marBottom w:val="240"/>
              <w:divBdr>
                <w:top w:val="none" w:sz="0" w:space="0" w:color="auto"/>
                <w:left w:val="none" w:sz="0" w:space="0" w:color="auto"/>
                <w:bottom w:val="none" w:sz="0" w:space="0" w:color="auto"/>
                <w:right w:val="none" w:sz="0" w:space="0" w:color="auto"/>
              </w:divBdr>
            </w:div>
            <w:div w:id="1400397974">
              <w:marLeft w:val="0"/>
              <w:marRight w:val="0"/>
              <w:marTop w:val="0"/>
              <w:marBottom w:val="240"/>
              <w:divBdr>
                <w:top w:val="none" w:sz="0" w:space="0" w:color="auto"/>
                <w:left w:val="none" w:sz="0" w:space="0" w:color="auto"/>
                <w:bottom w:val="none" w:sz="0" w:space="0" w:color="auto"/>
                <w:right w:val="none" w:sz="0" w:space="0" w:color="auto"/>
              </w:divBdr>
            </w:div>
            <w:div w:id="1831171992">
              <w:marLeft w:val="0"/>
              <w:marRight w:val="0"/>
              <w:marTop w:val="0"/>
              <w:marBottom w:val="240"/>
              <w:divBdr>
                <w:top w:val="none" w:sz="0" w:space="0" w:color="auto"/>
                <w:left w:val="none" w:sz="0" w:space="0" w:color="auto"/>
                <w:bottom w:val="none" w:sz="0" w:space="0" w:color="auto"/>
                <w:right w:val="none" w:sz="0" w:space="0" w:color="auto"/>
              </w:divBdr>
            </w:div>
            <w:div w:id="557788410">
              <w:marLeft w:val="0"/>
              <w:marRight w:val="0"/>
              <w:marTop w:val="0"/>
              <w:marBottom w:val="240"/>
              <w:divBdr>
                <w:top w:val="none" w:sz="0" w:space="0" w:color="auto"/>
                <w:left w:val="none" w:sz="0" w:space="0" w:color="auto"/>
                <w:bottom w:val="none" w:sz="0" w:space="0" w:color="auto"/>
                <w:right w:val="none" w:sz="0" w:space="0" w:color="auto"/>
              </w:divBdr>
            </w:div>
            <w:div w:id="25834739">
              <w:marLeft w:val="0"/>
              <w:marRight w:val="0"/>
              <w:marTop w:val="0"/>
              <w:marBottom w:val="240"/>
              <w:divBdr>
                <w:top w:val="none" w:sz="0" w:space="0" w:color="auto"/>
                <w:left w:val="none" w:sz="0" w:space="0" w:color="auto"/>
                <w:bottom w:val="none" w:sz="0" w:space="0" w:color="auto"/>
                <w:right w:val="none" w:sz="0" w:space="0" w:color="auto"/>
              </w:divBdr>
            </w:div>
            <w:div w:id="1632402770">
              <w:marLeft w:val="0"/>
              <w:marRight w:val="0"/>
              <w:marTop w:val="0"/>
              <w:marBottom w:val="240"/>
              <w:divBdr>
                <w:top w:val="none" w:sz="0" w:space="0" w:color="auto"/>
                <w:left w:val="none" w:sz="0" w:space="0" w:color="auto"/>
                <w:bottom w:val="none" w:sz="0" w:space="0" w:color="auto"/>
                <w:right w:val="none" w:sz="0" w:space="0" w:color="auto"/>
              </w:divBdr>
            </w:div>
            <w:div w:id="1933320834">
              <w:marLeft w:val="0"/>
              <w:marRight w:val="0"/>
              <w:marTop w:val="0"/>
              <w:marBottom w:val="240"/>
              <w:divBdr>
                <w:top w:val="none" w:sz="0" w:space="0" w:color="auto"/>
                <w:left w:val="none" w:sz="0" w:space="0" w:color="auto"/>
                <w:bottom w:val="none" w:sz="0" w:space="0" w:color="auto"/>
                <w:right w:val="none" w:sz="0" w:space="0" w:color="auto"/>
              </w:divBdr>
            </w:div>
            <w:div w:id="1584800246">
              <w:marLeft w:val="0"/>
              <w:marRight w:val="0"/>
              <w:marTop w:val="0"/>
              <w:marBottom w:val="240"/>
              <w:divBdr>
                <w:top w:val="none" w:sz="0" w:space="0" w:color="auto"/>
                <w:left w:val="none" w:sz="0" w:space="0" w:color="auto"/>
                <w:bottom w:val="none" w:sz="0" w:space="0" w:color="auto"/>
                <w:right w:val="none" w:sz="0" w:space="0" w:color="auto"/>
              </w:divBdr>
            </w:div>
            <w:div w:id="2050958023">
              <w:marLeft w:val="0"/>
              <w:marRight w:val="0"/>
              <w:marTop w:val="0"/>
              <w:marBottom w:val="240"/>
              <w:divBdr>
                <w:top w:val="none" w:sz="0" w:space="0" w:color="auto"/>
                <w:left w:val="none" w:sz="0" w:space="0" w:color="auto"/>
                <w:bottom w:val="none" w:sz="0" w:space="0" w:color="auto"/>
                <w:right w:val="none" w:sz="0" w:space="0" w:color="auto"/>
              </w:divBdr>
            </w:div>
            <w:div w:id="833648591">
              <w:marLeft w:val="0"/>
              <w:marRight w:val="0"/>
              <w:marTop w:val="0"/>
              <w:marBottom w:val="240"/>
              <w:divBdr>
                <w:top w:val="none" w:sz="0" w:space="0" w:color="auto"/>
                <w:left w:val="none" w:sz="0" w:space="0" w:color="auto"/>
                <w:bottom w:val="none" w:sz="0" w:space="0" w:color="auto"/>
                <w:right w:val="none" w:sz="0" w:space="0" w:color="auto"/>
              </w:divBdr>
            </w:div>
            <w:div w:id="1775049961">
              <w:marLeft w:val="0"/>
              <w:marRight w:val="0"/>
              <w:marTop w:val="0"/>
              <w:marBottom w:val="240"/>
              <w:divBdr>
                <w:top w:val="none" w:sz="0" w:space="0" w:color="auto"/>
                <w:left w:val="none" w:sz="0" w:space="0" w:color="auto"/>
                <w:bottom w:val="none" w:sz="0" w:space="0" w:color="auto"/>
                <w:right w:val="none" w:sz="0" w:space="0" w:color="auto"/>
              </w:divBdr>
            </w:div>
            <w:div w:id="443496823">
              <w:marLeft w:val="0"/>
              <w:marRight w:val="0"/>
              <w:marTop w:val="0"/>
              <w:marBottom w:val="240"/>
              <w:divBdr>
                <w:top w:val="none" w:sz="0" w:space="0" w:color="auto"/>
                <w:left w:val="none" w:sz="0" w:space="0" w:color="auto"/>
                <w:bottom w:val="none" w:sz="0" w:space="0" w:color="auto"/>
                <w:right w:val="none" w:sz="0" w:space="0" w:color="auto"/>
              </w:divBdr>
            </w:div>
            <w:div w:id="841700574">
              <w:marLeft w:val="0"/>
              <w:marRight w:val="0"/>
              <w:marTop w:val="0"/>
              <w:marBottom w:val="240"/>
              <w:divBdr>
                <w:top w:val="none" w:sz="0" w:space="0" w:color="auto"/>
                <w:left w:val="none" w:sz="0" w:space="0" w:color="auto"/>
                <w:bottom w:val="none" w:sz="0" w:space="0" w:color="auto"/>
                <w:right w:val="none" w:sz="0" w:space="0" w:color="auto"/>
              </w:divBdr>
            </w:div>
            <w:div w:id="1557348772">
              <w:marLeft w:val="0"/>
              <w:marRight w:val="0"/>
              <w:marTop w:val="0"/>
              <w:marBottom w:val="240"/>
              <w:divBdr>
                <w:top w:val="none" w:sz="0" w:space="0" w:color="auto"/>
                <w:left w:val="none" w:sz="0" w:space="0" w:color="auto"/>
                <w:bottom w:val="none" w:sz="0" w:space="0" w:color="auto"/>
                <w:right w:val="none" w:sz="0" w:space="0" w:color="auto"/>
              </w:divBdr>
            </w:div>
            <w:div w:id="1579436803">
              <w:marLeft w:val="0"/>
              <w:marRight w:val="0"/>
              <w:marTop w:val="0"/>
              <w:marBottom w:val="240"/>
              <w:divBdr>
                <w:top w:val="none" w:sz="0" w:space="0" w:color="auto"/>
                <w:left w:val="none" w:sz="0" w:space="0" w:color="auto"/>
                <w:bottom w:val="none" w:sz="0" w:space="0" w:color="auto"/>
                <w:right w:val="none" w:sz="0" w:space="0" w:color="auto"/>
              </w:divBdr>
            </w:div>
            <w:div w:id="1028214915">
              <w:marLeft w:val="0"/>
              <w:marRight w:val="0"/>
              <w:marTop w:val="0"/>
              <w:marBottom w:val="240"/>
              <w:divBdr>
                <w:top w:val="none" w:sz="0" w:space="0" w:color="auto"/>
                <w:left w:val="none" w:sz="0" w:space="0" w:color="auto"/>
                <w:bottom w:val="none" w:sz="0" w:space="0" w:color="auto"/>
                <w:right w:val="none" w:sz="0" w:space="0" w:color="auto"/>
              </w:divBdr>
            </w:div>
            <w:div w:id="1315186309">
              <w:marLeft w:val="0"/>
              <w:marRight w:val="0"/>
              <w:marTop w:val="0"/>
              <w:marBottom w:val="240"/>
              <w:divBdr>
                <w:top w:val="none" w:sz="0" w:space="0" w:color="auto"/>
                <w:left w:val="none" w:sz="0" w:space="0" w:color="auto"/>
                <w:bottom w:val="none" w:sz="0" w:space="0" w:color="auto"/>
                <w:right w:val="none" w:sz="0" w:space="0" w:color="auto"/>
              </w:divBdr>
            </w:div>
            <w:div w:id="1093211796">
              <w:marLeft w:val="0"/>
              <w:marRight w:val="0"/>
              <w:marTop w:val="0"/>
              <w:marBottom w:val="240"/>
              <w:divBdr>
                <w:top w:val="none" w:sz="0" w:space="0" w:color="auto"/>
                <w:left w:val="none" w:sz="0" w:space="0" w:color="auto"/>
                <w:bottom w:val="none" w:sz="0" w:space="0" w:color="auto"/>
                <w:right w:val="none" w:sz="0" w:space="0" w:color="auto"/>
              </w:divBdr>
            </w:div>
            <w:div w:id="981008935">
              <w:marLeft w:val="0"/>
              <w:marRight w:val="0"/>
              <w:marTop w:val="0"/>
              <w:marBottom w:val="240"/>
              <w:divBdr>
                <w:top w:val="none" w:sz="0" w:space="0" w:color="auto"/>
                <w:left w:val="none" w:sz="0" w:space="0" w:color="auto"/>
                <w:bottom w:val="none" w:sz="0" w:space="0" w:color="auto"/>
                <w:right w:val="none" w:sz="0" w:space="0" w:color="auto"/>
              </w:divBdr>
            </w:div>
            <w:div w:id="489642593">
              <w:marLeft w:val="0"/>
              <w:marRight w:val="0"/>
              <w:marTop w:val="0"/>
              <w:marBottom w:val="240"/>
              <w:divBdr>
                <w:top w:val="none" w:sz="0" w:space="0" w:color="auto"/>
                <w:left w:val="none" w:sz="0" w:space="0" w:color="auto"/>
                <w:bottom w:val="none" w:sz="0" w:space="0" w:color="auto"/>
                <w:right w:val="none" w:sz="0" w:space="0" w:color="auto"/>
              </w:divBdr>
            </w:div>
            <w:div w:id="1288468112">
              <w:marLeft w:val="0"/>
              <w:marRight w:val="0"/>
              <w:marTop w:val="0"/>
              <w:marBottom w:val="240"/>
              <w:divBdr>
                <w:top w:val="none" w:sz="0" w:space="0" w:color="auto"/>
                <w:left w:val="none" w:sz="0" w:space="0" w:color="auto"/>
                <w:bottom w:val="none" w:sz="0" w:space="0" w:color="auto"/>
                <w:right w:val="none" w:sz="0" w:space="0" w:color="auto"/>
              </w:divBdr>
            </w:div>
            <w:div w:id="217010685">
              <w:marLeft w:val="0"/>
              <w:marRight w:val="0"/>
              <w:marTop w:val="0"/>
              <w:marBottom w:val="240"/>
              <w:divBdr>
                <w:top w:val="none" w:sz="0" w:space="0" w:color="auto"/>
                <w:left w:val="none" w:sz="0" w:space="0" w:color="auto"/>
                <w:bottom w:val="none" w:sz="0" w:space="0" w:color="auto"/>
                <w:right w:val="none" w:sz="0" w:space="0" w:color="auto"/>
              </w:divBdr>
            </w:div>
            <w:div w:id="1923220660">
              <w:marLeft w:val="0"/>
              <w:marRight w:val="0"/>
              <w:marTop w:val="0"/>
              <w:marBottom w:val="240"/>
              <w:divBdr>
                <w:top w:val="none" w:sz="0" w:space="0" w:color="auto"/>
                <w:left w:val="none" w:sz="0" w:space="0" w:color="auto"/>
                <w:bottom w:val="none" w:sz="0" w:space="0" w:color="auto"/>
                <w:right w:val="none" w:sz="0" w:space="0" w:color="auto"/>
              </w:divBdr>
            </w:div>
            <w:div w:id="1845780082">
              <w:marLeft w:val="0"/>
              <w:marRight w:val="0"/>
              <w:marTop w:val="0"/>
              <w:marBottom w:val="240"/>
              <w:divBdr>
                <w:top w:val="none" w:sz="0" w:space="0" w:color="auto"/>
                <w:left w:val="none" w:sz="0" w:space="0" w:color="auto"/>
                <w:bottom w:val="none" w:sz="0" w:space="0" w:color="auto"/>
                <w:right w:val="none" w:sz="0" w:space="0" w:color="auto"/>
              </w:divBdr>
            </w:div>
            <w:div w:id="1697854538">
              <w:marLeft w:val="0"/>
              <w:marRight w:val="0"/>
              <w:marTop w:val="0"/>
              <w:marBottom w:val="240"/>
              <w:divBdr>
                <w:top w:val="none" w:sz="0" w:space="0" w:color="auto"/>
                <w:left w:val="none" w:sz="0" w:space="0" w:color="auto"/>
                <w:bottom w:val="none" w:sz="0" w:space="0" w:color="auto"/>
                <w:right w:val="none" w:sz="0" w:space="0" w:color="auto"/>
              </w:divBdr>
            </w:div>
            <w:div w:id="118384042">
              <w:marLeft w:val="0"/>
              <w:marRight w:val="0"/>
              <w:marTop w:val="0"/>
              <w:marBottom w:val="240"/>
              <w:divBdr>
                <w:top w:val="none" w:sz="0" w:space="0" w:color="auto"/>
                <w:left w:val="none" w:sz="0" w:space="0" w:color="auto"/>
                <w:bottom w:val="none" w:sz="0" w:space="0" w:color="auto"/>
                <w:right w:val="none" w:sz="0" w:space="0" w:color="auto"/>
              </w:divBdr>
            </w:div>
            <w:div w:id="1457946541">
              <w:marLeft w:val="0"/>
              <w:marRight w:val="0"/>
              <w:marTop w:val="0"/>
              <w:marBottom w:val="240"/>
              <w:divBdr>
                <w:top w:val="none" w:sz="0" w:space="0" w:color="auto"/>
                <w:left w:val="none" w:sz="0" w:space="0" w:color="auto"/>
                <w:bottom w:val="none" w:sz="0" w:space="0" w:color="auto"/>
                <w:right w:val="none" w:sz="0" w:space="0" w:color="auto"/>
              </w:divBdr>
            </w:div>
            <w:div w:id="890649754">
              <w:marLeft w:val="0"/>
              <w:marRight w:val="0"/>
              <w:marTop w:val="0"/>
              <w:marBottom w:val="240"/>
              <w:divBdr>
                <w:top w:val="none" w:sz="0" w:space="0" w:color="auto"/>
                <w:left w:val="none" w:sz="0" w:space="0" w:color="auto"/>
                <w:bottom w:val="none" w:sz="0" w:space="0" w:color="auto"/>
                <w:right w:val="none" w:sz="0" w:space="0" w:color="auto"/>
              </w:divBdr>
            </w:div>
            <w:div w:id="2090736750">
              <w:marLeft w:val="0"/>
              <w:marRight w:val="0"/>
              <w:marTop w:val="0"/>
              <w:marBottom w:val="240"/>
              <w:divBdr>
                <w:top w:val="none" w:sz="0" w:space="0" w:color="auto"/>
                <w:left w:val="none" w:sz="0" w:space="0" w:color="auto"/>
                <w:bottom w:val="none" w:sz="0" w:space="0" w:color="auto"/>
                <w:right w:val="none" w:sz="0" w:space="0" w:color="auto"/>
              </w:divBdr>
            </w:div>
            <w:div w:id="1099370601">
              <w:marLeft w:val="0"/>
              <w:marRight w:val="0"/>
              <w:marTop w:val="0"/>
              <w:marBottom w:val="240"/>
              <w:divBdr>
                <w:top w:val="none" w:sz="0" w:space="0" w:color="auto"/>
                <w:left w:val="none" w:sz="0" w:space="0" w:color="auto"/>
                <w:bottom w:val="none" w:sz="0" w:space="0" w:color="auto"/>
                <w:right w:val="none" w:sz="0" w:space="0" w:color="auto"/>
              </w:divBdr>
            </w:div>
            <w:div w:id="446584228">
              <w:marLeft w:val="0"/>
              <w:marRight w:val="0"/>
              <w:marTop w:val="0"/>
              <w:marBottom w:val="240"/>
              <w:divBdr>
                <w:top w:val="none" w:sz="0" w:space="0" w:color="auto"/>
                <w:left w:val="none" w:sz="0" w:space="0" w:color="auto"/>
                <w:bottom w:val="none" w:sz="0" w:space="0" w:color="auto"/>
                <w:right w:val="none" w:sz="0" w:space="0" w:color="auto"/>
              </w:divBdr>
            </w:div>
            <w:div w:id="483854430">
              <w:marLeft w:val="0"/>
              <w:marRight w:val="0"/>
              <w:marTop w:val="0"/>
              <w:marBottom w:val="240"/>
              <w:divBdr>
                <w:top w:val="none" w:sz="0" w:space="0" w:color="auto"/>
                <w:left w:val="none" w:sz="0" w:space="0" w:color="auto"/>
                <w:bottom w:val="none" w:sz="0" w:space="0" w:color="auto"/>
                <w:right w:val="none" w:sz="0" w:space="0" w:color="auto"/>
              </w:divBdr>
            </w:div>
            <w:div w:id="347024767">
              <w:marLeft w:val="0"/>
              <w:marRight w:val="0"/>
              <w:marTop w:val="0"/>
              <w:marBottom w:val="240"/>
              <w:divBdr>
                <w:top w:val="none" w:sz="0" w:space="0" w:color="auto"/>
                <w:left w:val="none" w:sz="0" w:space="0" w:color="auto"/>
                <w:bottom w:val="none" w:sz="0" w:space="0" w:color="auto"/>
                <w:right w:val="none" w:sz="0" w:space="0" w:color="auto"/>
              </w:divBdr>
            </w:div>
            <w:div w:id="1873958511">
              <w:marLeft w:val="0"/>
              <w:marRight w:val="0"/>
              <w:marTop w:val="0"/>
              <w:marBottom w:val="240"/>
              <w:divBdr>
                <w:top w:val="none" w:sz="0" w:space="0" w:color="auto"/>
                <w:left w:val="none" w:sz="0" w:space="0" w:color="auto"/>
                <w:bottom w:val="none" w:sz="0" w:space="0" w:color="auto"/>
                <w:right w:val="none" w:sz="0" w:space="0" w:color="auto"/>
              </w:divBdr>
            </w:div>
            <w:div w:id="24793482">
              <w:marLeft w:val="0"/>
              <w:marRight w:val="0"/>
              <w:marTop w:val="0"/>
              <w:marBottom w:val="240"/>
              <w:divBdr>
                <w:top w:val="none" w:sz="0" w:space="0" w:color="auto"/>
                <w:left w:val="none" w:sz="0" w:space="0" w:color="auto"/>
                <w:bottom w:val="none" w:sz="0" w:space="0" w:color="auto"/>
                <w:right w:val="none" w:sz="0" w:space="0" w:color="auto"/>
              </w:divBdr>
            </w:div>
            <w:div w:id="803350979">
              <w:marLeft w:val="0"/>
              <w:marRight w:val="0"/>
              <w:marTop w:val="0"/>
              <w:marBottom w:val="240"/>
              <w:divBdr>
                <w:top w:val="none" w:sz="0" w:space="0" w:color="auto"/>
                <w:left w:val="none" w:sz="0" w:space="0" w:color="auto"/>
                <w:bottom w:val="none" w:sz="0" w:space="0" w:color="auto"/>
                <w:right w:val="none" w:sz="0" w:space="0" w:color="auto"/>
              </w:divBdr>
            </w:div>
            <w:div w:id="1022627859">
              <w:marLeft w:val="0"/>
              <w:marRight w:val="0"/>
              <w:marTop w:val="0"/>
              <w:marBottom w:val="240"/>
              <w:divBdr>
                <w:top w:val="none" w:sz="0" w:space="0" w:color="auto"/>
                <w:left w:val="none" w:sz="0" w:space="0" w:color="auto"/>
                <w:bottom w:val="none" w:sz="0" w:space="0" w:color="auto"/>
                <w:right w:val="none" w:sz="0" w:space="0" w:color="auto"/>
              </w:divBdr>
            </w:div>
            <w:div w:id="725419763">
              <w:marLeft w:val="0"/>
              <w:marRight w:val="0"/>
              <w:marTop w:val="0"/>
              <w:marBottom w:val="240"/>
              <w:divBdr>
                <w:top w:val="none" w:sz="0" w:space="0" w:color="auto"/>
                <w:left w:val="none" w:sz="0" w:space="0" w:color="auto"/>
                <w:bottom w:val="none" w:sz="0" w:space="0" w:color="auto"/>
                <w:right w:val="none" w:sz="0" w:space="0" w:color="auto"/>
              </w:divBdr>
            </w:div>
            <w:div w:id="717893517">
              <w:marLeft w:val="0"/>
              <w:marRight w:val="0"/>
              <w:marTop w:val="0"/>
              <w:marBottom w:val="240"/>
              <w:divBdr>
                <w:top w:val="none" w:sz="0" w:space="0" w:color="auto"/>
                <w:left w:val="none" w:sz="0" w:space="0" w:color="auto"/>
                <w:bottom w:val="none" w:sz="0" w:space="0" w:color="auto"/>
                <w:right w:val="none" w:sz="0" w:space="0" w:color="auto"/>
              </w:divBdr>
            </w:div>
            <w:div w:id="958954806">
              <w:marLeft w:val="0"/>
              <w:marRight w:val="0"/>
              <w:marTop w:val="0"/>
              <w:marBottom w:val="240"/>
              <w:divBdr>
                <w:top w:val="none" w:sz="0" w:space="0" w:color="auto"/>
                <w:left w:val="none" w:sz="0" w:space="0" w:color="auto"/>
                <w:bottom w:val="none" w:sz="0" w:space="0" w:color="auto"/>
                <w:right w:val="none" w:sz="0" w:space="0" w:color="auto"/>
              </w:divBdr>
            </w:div>
            <w:div w:id="609246398">
              <w:marLeft w:val="0"/>
              <w:marRight w:val="0"/>
              <w:marTop w:val="0"/>
              <w:marBottom w:val="240"/>
              <w:divBdr>
                <w:top w:val="none" w:sz="0" w:space="0" w:color="auto"/>
                <w:left w:val="none" w:sz="0" w:space="0" w:color="auto"/>
                <w:bottom w:val="none" w:sz="0" w:space="0" w:color="auto"/>
                <w:right w:val="none" w:sz="0" w:space="0" w:color="auto"/>
              </w:divBdr>
            </w:div>
            <w:div w:id="433939182">
              <w:marLeft w:val="0"/>
              <w:marRight w:val="0"/>
              <w:marTop w:val="0"/>
              <w:marBottom w:val="240"/>
              <w:divBdr>
                <w:top w:val="none" w:sz="0" w:space="0" w:color="auto"/>
                <w:left w:val="none" w:sz="0" w:space="0" w:color="auto"/>
                <w:bottom w:val="none" w:sz="0" w:space="0" w:color="auto"/>
                <w:right w:val="none" w:sz="0" w:space="0" w:color="auto"/>
              </w:divBdr>
            </w:div>
            <w:div w:id="1789159142">
              <w:marLeft w:val="0"/>
              <w:marRight w:val="0"/>
              <w:marTop w:val="0"/>
              <w:marBottom w:val="240"/>
              <w:divBdr>
                <w:top w:val="none" w:sz="0" w:space="0" w:color="auto"/>
                <w:left w:val="none" w:sz="0" w:space="0" w:color="auto"/>
                <w:bottom w:val="none" w:sz="0" w:space="0" w:color="auto"/>
                <w:right w:val="none" w:sz="0" w:space="0" w:color="auto"/>
              </w:divBdr>
            </w:div>
            <w:div w:id="666440694">
              <w:marLeft w:val="0"/>
              <w:marRight w:val="0"/>
              <w:marTop w:val="0"/>
              <w:marBottom w:val="240"/>
              <w:divBdr>
                <w:top w:val="none" w:sz="0" w:space="0" w:color="auto"/>
                <w:left w:val="none" w:sz="0" w:space="0" w:color="auto"/>
                <w:bottom w:val="none" w:sz="0" w:space="0" w:color="auto"/>
                <w:right w:val="none" w:sz="0" w:space="0" w:color="auto"/>
              </w:divBdr>
            </w:div>
            <w:div w:id="1628464319">
              <w:marLeft w:val="0"/>
              <w:marRight w:val="0"/>
              <w:marTop w:val="0"/>
              <w:marBottom w:val="240"/>
              <w:divBdr>
                <w:top w:val="none" w:sz="0" w:space="0" w:color="auto"/>
                <w:left w:val="none" w:sz="0" w:space="0" w:color="auto"/>
                <w:bottom w:val="none" w:sz="0" w:space="0" w:color="auto"/>
                <w:right w:val="none" w:sz="0" w:space="0" w:color="auto"/>
              </w:divBdr>
            </w:div>
            <w:div w:id="302974653">
              <w:marLeft w:val="0"/>
              <w:marRight w:val="0"/>
              <w:marTop w:val="0"/>
              <w:marBottom w:val="240"/>
              <w:divBdr>
                <w:top w:val="none" w:sz="0" w:space="0" w:color="auto"/>
                <w:left w:val="none" w:sz="0" w:space="0" w:color="auto"/>
                <w:bottom w:val="none" w:sz="0" w:space="0" w:color="auto"/>
                <w:right w:val="none" w:sz="0" w:space="0" w:color="auto"/>
              </w:divBdr>
            </w:div>
            <w:div w:id="271744415">
              <w:marLeft w:val="0"/>
              <w:marRight w:val="0"/>
              <w:marTop w:val="0"/>
              <w:marBottom w:val="240"/>
              <w:divBdr>
                <w:top w:val="none" w:sz="0" w:space="0" w:color="auto"/>
                <w:left w:val="none" w:sz="0" w:space="0" w:color="auto"/>
                <w:bottom w:val="none" w:sz="0" w:space="0" w:color="auto"/>
                <w:right w:val="none" w:sz="0" w:space="0" w:color="auto"/>
              </w:divBdr>
            </w:div>
            <w:div w:id="1668821908">
              <w:marLeft w:val="0"/>
              <w:marRight w:val="0"/>
              <w:marTop w:val="0"/>
              <w:marBottom w:val="240"/>
              <w:divBdr>
                <w:top w:val="none" w:sz="0" w:space="0" w:color="auto"/>
                <w:left w:val="none" w:sz="0" w:space="0" w:color="auto"/>
                <w:bottom w:val="none" w:sz="0" w:space="0" w:color="auto"/>
                <w:right w:val="none" w:sz="0" w:space="0" w:color="auto"/>
              </w:divBdr>
            </w:div>
            <w:div w:id="1121416619">
              <w:marLeft w:val="0"/>
              <w:marRight w:val="0"/>
              <w:marTop w:val="0"/>
              <w:marBottom w:val="240"/>
              <w:divBdr>
                <w:top w:val="none" w:sz="0" w:space="0" w:color="auto"/>
                <w:left w:val="none" w:sz="0" w:space="0" w:color="auto"/>
                <w:bottom w:val="none" w:sz="0" w:space="0" w:color="auto"/>
                <w:right w:val="none" w:sz="0" w:space="0" w:color="auto"/>
              </w:divBdr>
            </w:div>
            <w:div w:id="1119952557">
              <w:marLeft w:val="0"/>
              <w:marRight w:val="0"/>
              <w:marTop w:val="0"/>
              <w:marBottom w:val="240"/>
              <w:divBdr>
                <w:top w:val="none" w:sz="0" w:space="0" w:color="auto"/>
                <w:left w:val="none" w:sz="0" w:space="0" w:color="auto"/>
                <w:bottom w:val="none" w:sz="0" w:space="0" w:color="auto"/>
                <w:right w:val="none" w:sz="0" w:space="0" w:color="auto"/>
              </w:divBdr>
            </w:div>
            <w:div w:id="1430586878">
              <w:marLeft w:val="0"/>
              <w:marRight w:val="0"/>
              <w:marTop w:val="0"/>
              <w:marBottom w:val="240"/>
              <w:divBdr>
                <w:top w:val="none" w:sz="0" w:space="0" w:color="auto"/>
                <w:left w:val="none" w:sz="0" w:space="0" w:color="auto"/>
                <w:bottom w:val="none" w:sz="0" w:space="0" w:color="auto"/>
                <w:right w:val="none" w:sz="0" w:space="0" w:color="auto"/>
              </w:divBdr>
            </w:div>
            <w:div w:id="1988825358">
              <w:marLeft w:val="0"/>
              <w:marRight w:val="0"/>
              <w:marTop w:val="0"/>
              <w:marBottom w:val="240"/>
              <w:divBdr>
                <w:top w:val="none" w:sz="0" w:space="0" w:color="auto"/>
                <w:left w:val="none" w:sz="0" w:space="0" w:color="auto"/>
                <w:bottom w:val="none" w:sz="0" w:space="0" w:color="auto"/>
                <w:right w:val="none" w:sz="0" w:space="0" w:color="auto"/>
              </w:divBdr>
            </w:div>
            <w:div w:id="1580555332">
              <w:marLeft w:val="0"/>
              <w:marRight w:val="0"/>
              <w:marTop w:val="0"/>
              <w:marBottom w:val="240"/>
              <w:divBdr>
                <w:top w:val="none" w:sz="0" w:space="0" w:color="auto"/>
                <w:left w:val="none" w:sz="0" w:space="0" w:color="auto"/>
                <w:bottom w:val="none" w:sz="0" w:space="0" w:color="auto"/>
                <w:right w:val="none" w:sz="0" w:space="0" w:color="auto"/>
              </w:divBdr>
            </w:div>
            <w:div w:id="756169911">
              <w:marLeft w:val="0"/>
              <w:marRight w:val="0"/>
              <w:marTop w:val="0"/>
              <w:marBottom w:val="240"/>
              <w:divBdr>
                <w:top w:val="none" w:sz="0" w:space="0" w:color="auto"/>
                <w:left w:val="none" w:sz="0" w:space="0" w:color="auto"/>
                <w:bottom w:val="none" w:sz="0" w:space="0" w:color="auto"/>
                <w:right w:val="none" w:sz="0" w:space="0" w:color="auto"/>
              </w:divBdr>
            </w:div>
            <w:div w:id="1700356512">
              <w:marLeft w:val="0"/>
              <w:marRight w:val="0"/>
              <w:marTop w:val="0"/>
              <w:marBottom w:val="240"/>
              <w:divBdr>
                <w:top w:val="none" w:sz="0" w:space="0" w:color="auto"/>
                <w:left w:val="none" w:sz="0" w:space="0" w:color="auto"/>
                <w:bottom w:val="none" w:sz="0" w:space="0" w:color="auto"/>
                <w:right w:val="none" w:sz="0" w:space="0" w:color="auto"/>
              </w:divBdr>
            </w:div>
            <w:div w:id="1702245552">
              <w:marLeft w:val="0"/>
              <w:marRight w:val="0"/>
              <w:marTop w:val="0"/>
              <w:marBottom w:val="240"/>
              <w:divBdr>
                <w:top w:val="none" w:sz="0" w:space="0" w:color="auto"/>
                <w:left w:val="none" w:sz="0" w:space="0" w:color="auto"/>
                <w:bottom w:val="none" w:sz="0" w:space="0" w:color="auto"/>
                <w:right w:val="none" w:sz="0" w:space="0" w:color="auto"/>
              </w:divBdr>
            </w:div>
            <w:div w:id="1287854252">
              <w:marLeft w:val="0"/>
              <w:marRight w:val="0"/>
              <w:marTop w:val="0"/>
              <w:marBottom w:val="240"/>
              <w:divBdr>
                <w:top w:val="none" w:sz="0" w:space="0" w:color="auto"/>
                <w:left w:val="none" w:sz="0" w:space="0" w:color="auto"/>
                <w:bottom w:val="none" w:sz="0" w:space="0" w:color="auto"/>
                <w:right w:val="none" w:sz="0" w:space="0" w:color="auto"/>
              </w:divBdr>
            </w:div>
            <w:div w:id="281811339">
              <w:marLeft w:val="0"/>
              <w:marRight w:val="0"/>
              <w:marTop w:val="0"/>
              <w:marBottom w:val="240"/>
              <w:divBdr>
                <w:top w:val="none" w:sz="0" w:space="0" w:color="auto"/>
                <w:left w:val="none" w:sz="0" w:space="0" w:color="auto"/>
                <w:bottom w:val="none" w:sz="0" w:space="0" w:color="auto"/>
                <w:right w:val="none" w:sz="0" w:space="0" w:color="auto"/>
              </w:divBdr>
            </w:div>
            <w:div w:id="1990397399">
              <w:marLeft w:val="0"/>
              <w:marRight w:val="0"/>
              <w:marTop w:val="0"/>
              <w:marBottom w:val="240"/>
              <w:divBdr>
                <w:top w:val="none" w:sz="0" w:space="0" w:color="auto"/>
                <w:left w:val="none" w:sz="0" w:space="0" w:color="auto"/>
                <w:bottom w:val="none" w:sz="0" w:space="0" w:color="auto"/>
                <w:right w:val="none" w:sz="0" w:space="0" w:color="auto"/>
              </w:divBdr>
            </w:div>
            <w:div w:id="269363883">
              <w:marLeft w:val="0"/>
              <w:marRight w:val="0"/>
              <w:marTop w:val="0"/>
              <w:marBottom w:val="240"/>
              <w:divBdr>
                <w:top w:val="none" w:sz="0" w:space="0" w:color="auto"/>
                <w:left w:val="none" w:sz="0" w:space="0" w:color="auto"/>
                <w:bottom w:val="none" w:sz="0" w:space="0" w:color="auto"/>
                <w:right w:val="none" w:sz="0" w:space="0" w:color="auto"/>
              </w:divBdr>
            </w:div>
            <w:div w:id="1994411929">
              <w:marLeft w:val="0"/>
              <w:marRight w:val="0"/>
              <w:marTop w:val="0"/>
              <w:marBottom w:val="240"/>
              <w:divBdr>
                <w:top w:val="none" w:sz="0" w:space="0" w:color="auto"/>
                <w:left w:val="none" w:sz="0" w:space="0" w:color="auto"/>
                <w:bottom w:val="none" w:sz="0" w:space="0" w:color="auto"/>
                <w:right w:val="none" w:sz="0" w:space="0" w:color="auto"/>
              </w:divBdr>
            </w:div>
            <w:div w:id="1035934653">
              <w:marLeft w:val="0"/>
              <w:marRight w:val="0"/>
              <w:marTop w:val="0"/>
              <w:marBottom w:val="240"/>
              <w:divBdr>
                <w:top w:val="none" w:sz="0" w:space="0" w:color="auto"/>
                <w:left w:val="none" w:sz="0" w:space="0" w:color="auto"/>
                <w:bottom w:val="none" w:sz="0" w:space="0" w:color="auto"/>
                <w:right w:val="none" w:sz="0" w:space="0" w:color="auto"/>
              </w:divBdr>
            </w:div>
            <w:div w:id="578636105">
              <w:marLeft w:val="0"/>
              <w:marRight w:val="0"/>
              <w:marTop w:val="0"/>
              <w:marBottom w:val="240"/>
              <w:divBdr>
                <w:top w:val="none" w:sz="0" w:space="0" w:color="auto"/>
                <w:left w:val="none" w:sz="0" w:space="0" w:color="auto"/>
                <w:bottom w:val="none" w:sz="0" w:space="0" w:color="auto"/>
                <w:right w:val="none" w:sz="0" w:space="0" w:color="auto"/>
              </w:divBdr>
            </w:div>
            <w:div w:id="183132890">
              <w:marLeft w:val="0"/>
              <w:marRight w:val="0"/>
              <w:marTop w:val="0"/>
              <w:marBottom w:val="240"/>
              <w:divBdr>
                <w:top w:val="none" w:sz="0" w:space="0" w:color="auto"/>
                <w:left w:val="none" w:sz="0" w:space="0" w:color="auto"/>
                <w:bottom w:val="none" w:sz="0" w:space="0" w:color="auto"/>
                <w:right w:val="none" w:sz="0" w:space="0" w:color="auto"/>
              </w:divBdr>
            </w:div>
            <w:div w:id="1884056021">
              <w:marLeft w:val="0"/>
              <w:marRight w:val="0"/>
              <w:marTop w:val="0"/>
              <w:marBottom w:val="240"/>
              <w:divBdr>
                <w:top w:val="none" w:sz="0" w:space="0" w:color="auto"/>
                <w:left w:val="none" w:sz="0" w:space="0" w:color="auto"/>
                <w:bottom w:val="none" w:sz="0" w:space="0" w:color="auto"/>
                <w:right w:val="none" w:sz="0" w:space="0" w:color="auto"/>
              </w:divBdr>
            </w:div>
            <w:div w:id="783888175">
              <w:marLeft w:val="0"/>
              <w:marRight w:val="0"/>
              <w:marTop w:val="0"/>
              <w:marBottom w:val="240"/>
              <w:divBdr>
                <w:top w:val="none" w:sz="0" w:space="0" w:color="auto"/>
                <w:left w:val="none" w:sz="0" w:space="0" w:color="auto"/>
                <w:bottom w:val="none" w:sz="0" w:space="0" w:color="auto"/>
                <w:right w:val="none" w:sz="0" w:space="0" w:color="auto"/>
              </w:divBdr>
            </w:div>
            <w:div w:id="918170691">
              <w:marLeft w:val="0"/>
              <w:marRight w:val="0"/>
              <w:marTop w:val="0"/>
              <w:marBottom w:val="240"/>
              <w:divBdr>
                <w:top w:val="none" w:sz="0" w:space="0" w:color="auto"/>
                <w:left w:val="none" w:sz="0" w:space="0" w:color="auto"/>
                <w:bottom w:val="none" w:sz="0" w:space="0" w:color="auto"/>
                <w:right w:val="none" w:sz="0" w:space="0" w:color="auto"/>
              </w:divBdr>
            </w:div>
            <w:div w:id="714819591">
              <w:marLeft w:val="0"/>
              <w:marRight w:val="0"/>
              <w:marTop w:val="0"/>
              <w:marBottom w:val="240"/>
              <w:divBdr>
                <w:top w:val="none" w:sz="0" w:space="0" w:color="auto"/>
                <w:left w:val="none" w:sz="0" w:space="0" w:color="auto"/>
                <w:bottom w:val="none" w:sz="0" w:space="0" w:color="auto"/>
                <w:right w:val="none" w:sz="0" w:space="0" w:color="auto"/>
              </w:divBdr>
            </w:div>
            <w:div w:id="1528562758">
              <w:marLeft w:val="0"/>
              <w:marRight w:val="0"/>
              <w:marTop w:val="0"/>
              <w:marBottom w:val="240"/>
              <w:divBdr>
                <w:top w:val="none" w:sz="0" w:space="0" w:color="auto"/>
                <w:left w:val="none" w:sz="0" w:space="0" w:color="auto"/>
                <w:bottom w:val="none" w:sz="0" w:space="0" w:color="auto"/>
                <w:right w:val="none" w:sz="0" w:space="0" w:color="auto"/>
              </w:divBdr>
            </w:div>
            <w:div w:id="97911760">
              <w:marLeft w:val="0"/>
              <w:marRight w:val="0"/>
              <w:marTop w:val="0"/>
              <w:marBottom w:val="240"/>
              <w:divBdr>
                <w:top w:val="none" w:sz="0" w:space="0" w:color="auto"/>
                <w:left w:val="none" w:sz="0" w:space="0" w:color="auto"/>
                <w:bottom w:val="none" w:sz="0" w:space="0" w:color="auto"/>
                <w:right w:val="none" w:sz="0" w:space="0" w:color="auto"/>
              </w:divBdr>
            </w:div>
            <w:div w:id="109439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5267">
      <w:bodyDiv w:val="1"/>
      <w:marLeft w:val="0"/>
      <w:marRight w:val="0"/>
      <w:marTop w:val="0"/>
      <w:marBottom w:val="0"/>
      <w:divBdr>
        <w:top w:val="none" w:sz="0" w:space="0" w:color="auto"/>
        <w:left w:val="none" w:sz="0" w:space="0" w:color="auto"/>
        <w:bottom w:val="none" w:sz="0" w:space="0" w:color="auto"/>
        <w:right w:val="none" w:sz="0" w:space="0" w:color="auto"/>
      </w:divBdr>
      <w:divsChild>
        <w:div w:id="2118520620">
          <w:marLeft w:val="480"/>
          <w:marRight w:val="0"/>
          <w:marTop w:val="0"/>
          <w:marBottom w:val="0"/>
          <w:divBdr>
            <w:top w:val="none" w:sz="0" w:space="0" w:color="auto"/>
            <w:left w:val="none" w:sz="0" w:space="0" w:color="auto"/>
            <w:bottom w:val="none" w:sz="0" w:space="0" w:color="auto"/>
            <w:right w:val="none" w:sz="0" w:space="0" w:color="auto"/>
          </w:divBdr>
          <w:divsChild>
            <w:div w:id="69888724">
              <w:marLeft w:val="0"/>
              <w:marRight w:val="0"/>
              <w:marTop w:val="0"/>
              <w:marBottom w:val="240"/>
              <w:divBdr>
                <w:top w:val="none" w:sz="0" w:space="0" w:color="auto"/>
                <w:left w:val="none" w:sz="0" w:space="0" w:color="auto"/>
                <w:bottom w:val="none" w:sz="0" w:space="0" w:color="auto"/>
                <w:right w:val="none" w:sz="0" w:space="0" w:color="auto"/>
              </w:divBdr>
            </w:div>
            <w:div w:id="2114400398">
              <w:marLeft w:val="0"/>
              <w:marRight w:val="0"/>
              <w:marTop w:val="0"/>
              <w:marBottom w:val="240"/>
              <w:divBdr>
                <w:top w:val="none" w:sz="0" w:space="0" w:color="auto"/>
                <w:left w:val="none" w:sz="0" w:space="0" w:color="auto"/>
                <w:bottom w:val="none" w:sz="0" w:space="0" w:color="auto"/>
                <w:right w:val="none" w:sz="0" w:space="0" w:color="auto"/>
              </w:divBdr>
            </w:div>
            <w:div w:id="1177890922">
              <w:marLeft w:val="0"/>
              <w:marRight w:val="0"/>
              <w:marTop w:val="0"/>
              <w:marBottom w:val="240"/>
              <w:divBdr>
                <w:top w:val="none" w:sz="0" w:space="0" w:color="auto"/>
                <w:left w:val="none" w:sz="0" w:space="0" w:color="auto"/>
                <w:bottom w:val="none" w:sz="0" w:space="0" w:color="auto"/>
                <w:right w:val="none" w:sz="0" w:space="0" w:color="auto"/>
              </w:divBdr>
            </w:div>
            <w:div w:id="1867329173">
              <w:marLeft w:val="0"/>
              <w:marRight w:val="0"/>
              <w:marTop w:val="0"/>
              <w:marBottom w:val="240"/>
              <w:divBdr>
                <w:top w:val="none" w:sz="0" w:space="0" w:color="auto"/>
                <w:left w:val="none" w:sz="0" w:space="0" w:color="auto"/>
                <w:bottom w:val="none" w:sz="0" w:space="0" w:color="auto"/>
                <w:right w:val="none" w:sz="0" w:space="0" w:color="auto"/>
              </w:divBdr>
            </w:div>
            <w:div w:id="536433847">
              <w:marLeft w:val="0"/>
              <w:marRight w:val="0"/>
              <w:marTop w:val="0"/>
              <w:marBottom w:val="240"/>
              <w:divBdr>
                <w:top w:val="none" w:sz="0" w:space="0" w:color="auto"/>
                <w:left w:val="none" w:sz="0" w:space="0" w:color="auto"/>
                <w:bottom w:val="none" w:sz="0" w:space="0" w:color="auto"/>
                <w:right w:val="none" w:sz="0" w:space="0" w:color="auto"/>
              </w:divBdr>
            </w:div>
            <w:div w:id="608901359">
              <w:marLeft w:val="0"/>
              <w:marRight w:val="0"/>
              <w:marTop w:val="0"/>
              <w:marBottom w:val="240"/>
              <w:divBdr>
                <w:top w:val="none" w:sz="0" w:space="0" w:color="auto"/>
                <w:left w:val="none" w:sz="0" w:space="0" w:color="auto"/>
                <w:bottom w:val="none" w:sz="0" w:space="0" w:color="auto"/>
                <w:right w:val="none" w:sz="0" w:space="0" w:color="auto"/>
              </w:divBdr>
            </w:div>
            <w:div w:id="132331000">
              <w:marLeft w:val="0"/>
              <w:marRight w:val="0"/>
              <w:marTop w:val="0"/>
              <w:marBottom w:val="240"/>
              <w:divBdr>
                <w:top w:val="none" w:sz="0" w:space="0" w:color="auto"/>
                <w:left w:val="none" w:sz="0" w:space="0" w:color="auto"/>
                <w:bottom w:val="none" w:sz="0" w:space="0" w:color="auto"/>
                <w:right w:val="none" w:sz="0" w:space="0" w:color="auto"/>
              </w:divBdr>
            </w:div>
            <w:div w:id="330911429">
              <w:marLeft w:val="0"/>
              <w:marRight w:val="0"/>
              <w:marTop w:val="0"/>
              <w:marBottom w:val="240"/>
              <w:divBdr>
                <w:top w:val="none" w:sz="0" w:space="0" w:color="auto"/>
                <w:left w:val="none" w:sz="0" w:space="0" w:color="auto"/>
                <w:bottom w:val="none" w:sz="0" w:space="0" w:color="auto"/>
                <w:right w:val="none" w:sz="0" w:space="0" w:color="auto"/>
              </w:divBdr>
            </w:div>
            <w:div w:id="116261668">
              <w:marLeft w:val="0"/>
              <w:marRight w:val="0"/>
              <w:marTop w:val="0"/>
              <w:marBottom w:val="240"/>
              <w:divBdr>
                <w:top w:val="none" w:sz="0" w:space="0" w:color="auto"/>
                <w:left w:val="none" w:sz="0" w:space="0" w:color="auto"/>
                <w:bottom w:val="none" w:sz="0" w:space="0" w:color="auto"/>
                <w:right w:val="none" w:sz="0" w:space="0" w:color="auto"/>
              </w:divBdr>
            </w:div>
            <w:div w:id="1990623079">
              <w:marLeft w:val="0"/>
              <w:marRight w:val="0"/>
              <w:marTop w:val="0"/>
              <w:marBottom w:val="240"/>
              <w:divBdr>
                <w:top w:val="none" w:sz="0" w:space="0" w:color="auto"/>
                <w:left w:val="none" w:sz="0" w:space="0" w:color="auto"/>
                <w:bottom w:val="none" w:sz="0" w:space="0" w:color="auto"/>
                <w:right w:val="none" w:sz="0" w:space="0" w:color="auto"/>
              </w:divBdr>
            </w:div>
            <w:div w:id="957226341">
              <w:marLeft w:val="0"/>
              <w:marRight w:val="0"/>
              <w:marTop w:val="0"/>
              <w:marBottom w:val="240"/>
              <w:divBdr>
                <w:top w:val="none" w:sz="0" w:space="0" w:color="auto"/>
                <w:left w:val="none" w:sz="0" w:space="0" w:color="auto"/>
                <w:bottom w:val="none" w:sz="0" w:space="0" w:color="auto"/>
                <w:right w:val="none" w:sz="0" w:space="0" w:color="auto"/>
              </w:divBdr>
            </w:div>
            <w:div w:id="1161041478">
              <w:marLeft w:val="0"/>
              <w:marRight w:val="0"/>
              <w:marTop w:val="0"/>
              <w:marBottom w:val="240"/>
              <w:divBdr>
                <w:top w:val="none" w:sz="0" w:space="0" w:color="auto"/>
                <w:left w:val="none" w:sz="0" w:space="0" w:color="auto"/>
                <w:bottom w:val="none" w:sz="0" w:space="0" w:color="auto"/>
                <w:right w:val="none" w:sz="0" w:space="0" w:color="auto"/>
              </w:divBdr>
            </w:div>
            <w:div w:id="2119373822">
              <w:marLeft w:val="0"/>
              <w:marRight w:val="0"/>
              <w:marTop w:val="0"/>
              <w:marBottom w:val="240"/>
              <w:divBdr>
                <w:top w:val="none" w:sz="0" w:space="0" w:color="auto"/>
                <w:left w:val="none" w:sz="0" w:space="0" w:color="auto"/>
                <w:bottom w:val="none" w:sz="0" w:space="0" w:color="auto"/>
                <w:right w:val="none" w:sz="0" w:space="0" w:color="auto"/>
              </w:divBdr>
            </w:div>
            <w:div w:id="331877660">
              <w:marLeft w:val="0"/>
              <w:marRight w:val="0"/>
              <w:marTop w:val="0"/>
              <w:marBottom w:val="240"/>
              <w:divBdr>
                <w:top w:val="none" w:sz="0" w:space="0" w:color="auto"/>
                <w:left w:val="none" w:sz="0" w:space="0" w:color="auto"/>
                <w:bottom w:val="none" w:sz="0" w:space="0" w:color="auto"/>
                <w:right w:val="none" w:sz="0" w:space="0" w:color="auto"/>
              </w:divBdr>
            </w:div>
            <w:div w:id="1922791226">
              <w:marLeft w:val="0"/>
              <w:marRight w:val="0"/>
              <w:marTop w:val="0"/>
              <w:marBottom w:val="240"/>
              <w:divBdr>
                <w:top w:val="none" w:sz="0" w:space="0" w:color="auto"/>
                <w:left w:val="none" w:sz="0" w:space="0" w:color="auto"/>
                <w:bottom w:val="none" w:sz="0" w:space="0" w:color="auto"/>
                <w:right w:val="none" w:sz="0" w:space="0" w:color="auto"/>
              </w:divBdr>
            </w:div>
            <w:div w:id="311105488">
              <w:marLeft w:val="0"/>
              <w:marRight w:val="0"/>
              <w:marTop w:val="0"/>
              <w:marBottom w:val="240"/>
              <w:divBdr>
                <w:top w:val="none" w:sz="0" w:space="0" w:color="auto"/>
                <w:left w:val="none" w:sz="0" w:space="0" w:color="auto"/>
                <w:bottom w:val="none" w:sz="0" w:space="0" w:color="auto"/>
                <w:right w:val="none" w:sz="0" w:space="0" w:color="auto"/>
              </w:divBdr>
            </w:div>
            <w:div w:id="204299846">
              <w:marLeft w:val="0"/>
              <w:marRight w:val="0"/>
              <w:marTop w:val="0"/>
              <w:marBottom w:val="240"/>
              <w:divBdr>
                <w:top w:val="none" w:sz="0" w:space="0" w:color="auto"/>
                <w:left w:val="none" w:sz="0" w:space="0" w:color="auto"/>
                <w:bottom w:val="none" w:sz="0" w:space="0" w:color="auto"/>
                <w:right w:val="none" w:sz="0" w:space="0" w:color="auto"/>
              </w:divBdr>
            </w:div>
            <w:div w:id="1151942650">
              <w:marLeft w:val="0"/>
              <w:marRight w:val="0"/>
              <w:marTop w:val="0"/>
              <w:marBottom w:val="240"/>
              <w:divBdr>
                <w:top w:val="none" w:sz="0" w:space="0" w:color="auto"/>
                <w:left w:val="none" w:sz="0" w:space="0" w:color="auto"/>
                <w:bottom w:val="none" w:sz="0" w:space="0" w:color="auto"/>
                <w:right w:val="none" w:sz="0" w:space="0" w:color="auto"/>
              </w:divBdr>
            </w:div>
            <w:div w:id="1725568559">
              <w:marLeft w:val="0"/>
              <w:marRight w:val="0"/>
              <w:marTop w:val="0"/>
              <w:marBottom w:val="240"/>
              <w:divBdr>
                <w:top w:val="none" w:sz="0" w:space="0" w:color="auto"/>
                <w:left w:val="none" w:sz="0" w:space="0" w:color="auto"/>
                <w:bottom w:val="none" w:sz="0" w:space="0" w:color="auto"/>
                <w:right w:val="none" w:sz="0" w:space="0" w:color="auto"/>
              </w:divBdr>
            </w:div>
            <w:div w:id="521436052">
              <w:marLeft w:val="0"/>
              <w:marRight w:val="0"/>
              <w:marTop w:val="0"/>
              <w:marBottom w:val="240"/>
              <w:divBdr>
                <w:top w:val="none" w:sz="0" w:space="0" w:color="auto"/>
                <w:left w:val="none" w:sz="0" w:space="0" w:color="auto"/>
                <w:bottom w:val="none" w:sz="0" w:space="0" w:color="auto"/>
                <w:right w:val="none" w:sz="0" w:space="0" w:color="auto"/>
              </w:divBdr>
            </w:div>
            <w:div w:id="256718229">
              <w:marLeft w:val="0"/>
              <w:marRight w:val="0"/>
              <w:marTop w:val="0"/>
              <w:marBottom w:val="240"/>
              <w:divBdr>
                <w:top w:val="none" w:sz="0" w:space="0" w:color="auto"/>
                <w:left w:val="none" w:sz="0" w:space="0" w:color="auto"/>
                <w:bottom w:val="none" w:sz="0" w:space="0" w:color="auto"/>
                <w:right w:val="none" w:sz="0" w:space="0" w:color="auto"/>
              </w:divBdr>
            </w:div>
            <w:div w:id="631206470">
              <w:marLeft w:val="0"/>
              <w:marRight w:val="0"/>
              <w:marTop w:val="0"/>
              <w:marBottom w:val="240"/>
              <w:divBdr>
                <w:top w:val="none" w:sz="0" w:space="0" w:color="auto"/>
                <w:left w:val="none" w:sz="0" w:space="0" w:color="auto"/>
                <w:bottom w:val="none" w:sz="0" w:space="0" w:color="auto"/>
                <w:right w:val="none" w:sz="0" w:space="0" w:color="auto"/>
              </w:divBdr>
            </w:div>
            <w:div w:id="538786052">
              <w:marLeft w:val="0"/>
              <w:marRight w:val="0"/>
              <w:marTop w:val="0"/>
              <w:marBottom w:val="240"/>
              <w:divBdr>
                <w:top w:val="none" w:sz="0" w:space="0" w:color="auto"/>
                <w:left w:val="none" w:sz="0" w:space="0" w:color="auto"/>
                <w:bottom w:val="none" w:sz="0" w:space="0" w:color="auto"/>
                <w:right w:val="none" w:sz="0" w:space="0" w:color="auto"/>
              </w:divBdr>
            </w:div>
            <w:div w:id="1707834511">
              <w:marLeft w:val="0"/>
              <w:marRight w:val="0"/>
              <w:marTop w:val="0"/>
              <w:marBottom w:val="240"/>
              <w:divBdr>
                <w:top w:val="none" w:sz="0" w:space="0" w:color="auto"/>
                <w:left w:val="none" w:sz="0" w:space="0" w:color="auto"/>
                <w:bottom w:val="none" w:sz="0" w:space="0" w:color="auto"/>
                <w:right w:val="none" w:sz="0" w:space="0" w:color="auto"/>
              </w:divBdr>
            </w:div>
            <w:div w:id="570965567">
              <w:marLeft w:val="0"/>
              <w:marRight w:val="0"/>
              <w:marTop w:val="0"/>
              <w:marBottom w:val="240"/>
              <w:divBdr>
                <w:top w:val="none" w:sz="0" w:space="0" w:color="auto"/>
                <w:left w:val="none" w:sz="0" w:space="0" w:color="auto"/>
                <w:bottom w:val="none" w:sz="0" w:space="0" w:color="auto"/>
                <w:right w:val="none" w:sz="0" w:space="0" w:color="auto"/>
              </w:divBdr>
            </w:div>
            <w:div w:id="20790332">
              <w:marLeft w:val="0"/>
              <w:marRight w:val="0"/>
              <w:marTop w:val="0"/>
              <w:marBottom w:val="240"/>
              <w:divBdr>
                <w:top w:val="none" w:sz="0" w:space="0" w:color="auto"/>
                <w:left w:val="none" w:sz="0" w:space="0" w:color="auto"/>
                <w:bottom w:val="none" w:sz="0" w:space="0" w:color="auto"/>
                <w:right w:val="none" w:sz="0" w:space="0" w:color="auto"/>
              </w:divBdr>
            </w:div>
            <w:div w:id="1966764101">
              <w:marLeft w:val="0"/>
              <w:marRight w:val="0"/>
              <w:marTop w:val="0"/>
              <w:marBottom w:val="240"/>
              <w:divBdr>
                <w:top w:val="none" w:sz="0" w:space="0" w:color="auto"/>
                <w:left w:val="none" w:sz="0" w:space="0" w:color="auto"/>
                <w:bottom w:val="none" w:sz="0" w:space="0" w:color="auto"/>
                <w:right w:val="none" w:sz="0" w:space="0" w:color="auto"/>
              </w:divBdr>
            </w:div>
            <w:div w:id="799495733">
              <w:marLeft w:val="0"/>
              <w:marRight w:val="0"/>
              <w:marTop w:val="0"/>
              <w:marBottom w:val="240"/>
              <w:divBdr>
                <w:top w:val="none" w:sz="0" w:space="0" w:color="auto"/>
                <w:left w:val="none" w:sz="0" w:space="0" w:color="auto"/>
                <w:bottom w:val="none" w:sz="0" w:space="0" w:color="auto"/>
                <w:right w:val="none" w:sz="0" w:space="0" w:color="auto"/>
              </w:divBdr>
            </w:div>
            <w:div w:id="1267687158">
              <w:marLeft w:val="0"/>
              <w:marRight w:val="0"/>
              <w:marTop w:val="0"/>
              <w:marBottom w:val="240"/>
              <w:divBdr>
                <w:top w:val="none" w:sz="0" w:space="0" w:color="auto"/>
                <w:left w:val="none" w:sz="0" w:space="0" w:color="auto"/>
                <w:bottom w:val="none" w:sz="0" w:space="0" w:color="auto"/>
                <w:right w:val="none" w:sz="0" w:space="0" w:color="auto"/>
              </w:divBdr>
            </w:div>
            <w:div w:id="613483529">
              <w:marLeft w:val="0"/>
              <w:marRight w:val="0"/>
              <w:marTop w:val="0"/>
              <w:marBottom w:val="240"/>
              <w:divBdr>
                <w:top w:val="none" w:sz="0" w:space="0" w:color="auto"/>
                <w:left w:val="none" w:sz="0" w:space="0" w:color="auto"/>
                <w:bottom w:val="none" w:sz="0" w:space="0" w:color="auto"/>
                <w:right w:val="none" w:sz="0" w:space="0" w:color="auto"/>
              </w:divBdr>
            </w:div>
            <w:div w:id="1163010146">
              <w:marLeft w:val="0"/>
              <w:marRight w:val="0"/>
              <w:marTop w:val="0"/>
              <w:marBottom w:val="240"/>
              <w:divBdr>
                <w:top w:val="none" w:sz="0" w:space="0" w:color="auto"/>
                <w:left w:val="none" w:sz="0" w:space="0" w:color="auto"/>
                <w:bottom w:val="none" w:sz="0" w:space="0" w:color="auto"/>
                <w:right w:val="none" w:sz="0" w:space="0" w:color="auto"/>
              </w:divBdr>
            </w:div>
            <w:div w:id="1623151546">
              <w:marLeft w:val="0"/>
              <w:marRight w:val="0"/>
              <w:marTop w:val="0"/>
              <w:marBottom w:val="240"/>
              <w:divBdr>
                <w:top w:val="none" w:sz="0" w:space="0" w:color="auto"/>
                <w:left w:val="none" w:sz="0" w:space="0" w:color="auto"/>
                <w:bottom w:val="none" w:sz="0" w:space="0" w:color="auto"/>
                <w:right w:val="none" w:sz="0" w:space="0" w:color="auto"/>
              </w:divBdr>
            </w:div>
            <w:div w:id="586235144">
              <w:marLeft w:val="0"/>
              <w:marRight w:val="0"/>
              <w:marTop w:val="0"/>
              <w:marBottom w:val="240"/>
              <w:divBdr>
                <w:top w:val="none" w:sz="0" w:space="0" w:color="auto"/>
                <w:left w:val="none" w:sz="0" w:space="0" w:color="auto"/>
                <w:bottom w:val="none" w:sz="0" w:space="0" w:color="auto"/>
                <w:right w:val="none" w:sz="0" w:space="0" w:color="auto"/>
              </w:divBdr>
            </w:div>
            <w:div w:id="1958682545">
              <w:marLeft w:val="0"/>
              <w:marRight w:val="0"/>
              <w:marTop w:val="0"/>
              <w:marBottom w:val="240"/>
              <w:divBdr>
                <w:top w:val="none" w:sz="0" w:space="0" w:color="auto"/>
                <w:left w:val="none" w:sz="0" w:space="0" w:color="auto"/>
                <w:bottom w:val="none" w:sz="0" w:space="0" w:color="auto"/>
                <w:right w:val="none" w:sz="0" w:space="0" w:color="auto"/>
              </w:divBdr>
            </w:div>
            <w:div w:id="1661274211">
              <w:marLeft w:val="0"/>
              <w:marRight w:val="0"/>
              <w:marTop w:val="0"/>
              <w:marBottom w:val="240"/>
              <w:divBdr>
                <w:top w:val="none" w:sz="0" w:space="0" w:color="auto"/>
                <w:left w:val="none" w:sz="0" w:space="0" w:color="auto"/>
                <w:bottom w:val="none" w:sz="0" w:space="0" w:color="auto"/>
                <w:right w:val="none" w:sz="0" w:space="0" w:color="auto"/>
              </w:divBdr>
            </w:div>
            <w:div w:id="1316030040">
              <w:marLeft w:val="0"/>
              <w:marRight w:val="0"/>
              <w:marTop w:val="0"/>
              <w:marBottom w:val="240"/>
              <w:divBdr>
                <w:top w:val="none" w:sz="0" w:space="0" w:color="auto"/>
                <w:left w:val="none" w:sz="0" w:space="0" w:color="auto"/>
                <w:bottom w:val="none" w:sz="0" w:space="0" w:color="auto"/>
                <w:right w:val="none" w:sz="0" w:space="0" w:color="auto"/>
              </w:divBdr>
            </w:div>
            <w:div w:id="1973441876">
              <w:marLeft w:val="0"/>
              <w:marRight w:val="0"/>
              <w:marTop w:val="0"/>
              <w:marBottom w:val="240"/>
              <w:divBdr>
                <w:top w:val="none" w:sz="0" w:space="0" w:color="auto"/>
                <w:left w:val="none" w:sz="0" w:space="0" w:color="auto"/>
                <w:bottom w:val="none" w:sz="0" w:space="0" w:color="auto"/>
                <w:right w:val="none" w:sz="0" w:space="0" w:color="auto"/>
              </w:divBdr>
            </w:div>
            <w:div w:id="415438630">
              <w:marLeft w:val="0"/>
              <w:marRight w:val="0"/>
              <w:marTop w:val="0"/>
              <w:marBottom w:val="240"/>
              <w:divBdr>
                <w:top w:val="none" w:sz="0" w:space="0" w:color="auto"/>
                <w:left w:val="none" w:sz="0" w:space="0" w:color="auto"/>
                <w:bottom w:val="none" w:sz="0" w:space="0" w:color="auto"/>
                <w:right w:val="none" w:sz="0" w:space="0" w:color="auto"/>
              </w:divBdr>
            </w:div>
            <w:div w:id="461309037">
              <w:marLeft w:val="0"/>
              <w:marRight w:val="0"/>
              <w:marTop w:val="0"/>
              <w:marBottom w:val="240"/>
              <w:divBdr>
                <w:top w:val="none" w:sz="0" w:space="0" w:color="auto"/>
                <w:left w:val="none" w:sz="0" w:space="0" w:color="auto"/>
                <w:bottom w:val="none" w:sz="0" w:space="0" w:color="auto"/>
                <w:right w:val="none" w:sz="0" w:space="0" w:color="auto"/>
              </w:divBdr>
            </w:div>
            <w:div w:id="1425685767">
              <w:marLeft w:val="0"/>
              <w:marRight w:val="0"/>
              <w:marTop w:val="0"/>
              <w:marBottom w:val="240"/>
              <w:divBdr>
                <w:top w:val="none" w:sz="0" w:space="0" w:color="auto"/>
                <w:left w:val="none" w:sz="0" w:space="0" w:color="auto"/>
                <w:bottom w:val="none" w:sz="0" w:space="0" w:color="auto"/>
                <w:right w:val="none" w:sz="0" w:space="0" w:color="auto"/>
              </w:divBdr>
            </w:div>
            <w:div w:id="1380668304">
              <w:marLeft w:val="0"/>
              <w:marRight w:val="0"/>
              <w:marTop w:val="0"/>
              <w:marBottom w:val="240"/>
              <w:divBdr>
                <w:top w:val="none" w:sz="0" w:space="0" w:color="auto"/>
                <w:left w:val="none" w:sz="0" w:space="0" w:color="auto"/>
                <w:bottom w:val="none" w:sz="0" w:space="0" w:color="auto"/>
                <w:right w:val="none" w:sz="0" w:space="0" w:color="auto"/>
              </w:divBdr>
            </w:div>
            <w:div w:id="1344866821">
              <w:marLeft w:val="0"/>
              <w:marRight w:val="0"/>
              <w:marTop w:val="0"/>
              <w:marBottom w:val="240"/>
              <w:divBdr>
                <w:top w:val="none" w:sz="0" w:space="0" w:color="auto"/>
                <w:left w:val="none" w:sz="0" w:space="0" w:color="auto"/>
                <w:bottom w:val="none" w:sz="0" w:space="0" w:color="auto"/>
                <w:right w:val="none" w:sz="0" w:space="0" w:color="auto"/>
              </w:divBdr>
            </w:div>
            <w:div w:id="2018069677">
              <w:marLeft w:val="0"/>
              <w:marRight w:val="0"/>
              <w:marTop w:val="0"/>
              <w:marBottom w:val="240"/>
              <w:divBdr>
                <w:top w:val="none" w:sz="0" w:space="0" w:color="auto"/>
                <w:left w:val="none" w:sz="0" w:space="0" w:color="auto"/>
                <w:bottom w:val="none" w:sz="0" w:space="0" w:color="auto"/>
                <w:right w:val="none" w:sz="0" w:space="0" w:color="auto"/>
              </w:divBdr>
            </w:div>
            <w:div w:id="670453702">
              <w:marLeft w:val="0"/>
              <w:marRight w:val="0"/>
              <w:marTop w:val="0"/>
              <w:marBottom w:val="240"/>
              <w:divBdr>
                <w:top w:val="none" w:sz="0" w:space="0" w:color="auto"/>
                <w:left w:val="none" w:sz="0" w:space="0" w:color="auto"/>
                <w:bottom w:val="none" w:sz="0" w:space="0" w:color="auto"/>
                <w:right w:val="none" w:sz="0" w:space="0" w:color="auto"/>
              </w:divBdr>
            </w:div>
            <w:div w:id="2099255630">
              <w:marLeft w:val="0"/>
              <w:marRight w:val="0"/>
              <w:marTop w:val="0"/>
              <w:marBottom w:val="240"/>
              <w:divBdr>
                <w:top w:val="none" w:sz="0" w:space="0" w:color="auto"/>
                <w:left w:val="none" w:sz="0" w:space="0" w:color="auto"/>
                <w:bottom w:val="none" w:sz="0" w:space="0" w:color="auto"/>
                <w:right w:val="none" w:sz="0" w:space="0" w:color="auto"/>
              </w:divBdr>
            </w:div>
            <w:div w:id="1696880393">
              <w:marLeft w:val="0"/>
              <w:marRight w:val="0"/>
              <w:marTop w:val="0"/>
              <w:marBottom w:val="240"/>
              <w:divBdr>
                <w:top w:val="none" w:sz="0" w:space="0" w:color="auto"/>
                <w:left w:val="none" w:sz="0" w:space="0" w:color="auto"/>
                <w:bottom w:val="none" w:sz="0" w:space="0" w:color="auto"/>
                <w:right w:val="none" w:sz="0" w:space="0" w:color="auto"/>
              </w:divBdr>
            </w:div>
            <w:div w:id="495845455">
              <w:marLeft w:val="0"/>
              <w:marRight w:val="0"/>
              <w:marTop w:val="0"/>
              <w:marBottom w:val="240"/>
              <w:divBdr>
                <w:top w:val="none" w:sz="0" w:space="0" w:color="auto"/>
                <w:left w:val="none" w:sz="0" w:space="0" w:color="auto"/>
                <w:bottom w:val="none" w:sz="0" w:space="0" w:color="auto"/>
                <w:right w:val="none" w:sz="0" w:space="0" w:color="auto"/>
              </w:divBdr>
            </w:div>
            <w:div w:id="1847819558">
              <w:marLeft w:val="0"/>
              <w:marRight w:val="0"/>
              <w:marTop w:val="0"/>
              <w:marBottom w:val="240"/>
              <w:divBdr>
                <w:top w:val="none" w:sz="0" w:space="0" w:color="auto"/>
                <w:left w:val="none" w:sz="0" w:space="0" w:color="auto"/>
                <w:bottom w:val="none" w:sz="0" w:space="0" w:color="auto"/>
                <w:right w:val="none" w:sz="0" w:space="0" w:color="auto"/>
              </w:divBdr>
            </w:div>
            <w:div w:id="1300380185">
              <w:marLeft w:val="0"/>
              <w:marRight w:val="0"/>
              <w:marTop w:val="0"/>
              <w:marBottom w:val="240"/>
              <w:divBdr>
                <w:top w:val="none" w:sz="0" w:space="0" w:color="auto"/>
                <w:left w:val="none" w:sz="0" w:space="0" w:color="auto"/>
                <w:bottom w:val="none" w:sz="0" w:space="0" w:color="auto"/>
                <w:right w:val="none" w:sz="0" w:space="0" w:color="auto"/>
              </w:divBdr>
            </w:div>
            <w:div w:id="1836677667">
              <w:marLeft w:val="0"/>
              <w:marRight w:val="0"/>
              <w:marTop w:val="0"/>
              <w:marBottom w:val="240"/>
              <w:divBdr>
                <w:top w:val="none" w:sz="0" w:space="0" w:color="auto"/>
                <w:left w:val="none" w:sz="0" w:space="0" w:color="auto"/>
                <w:bottom w:val="none" w:sz="0" w:space="0" w:color="auto"/>
                <w:right w:val="none" w:sz="0" w:space="0" w:color="auto"/>
              </w:divBdr>
            </w:div>
            <w:div w:id="956909427">
              <w:marLeft w:val="0"/>
              <w:marRight w:val="0"/>
              <w:marTop w:val="0"/>
              <w:marBottom w:val="240"/>
              <w:divBdr>
                <w:top w:val="none" w:sz="0" w:space="0" w:color="auto"/>
                <w:left w:val="none" w:sz="0" w:space="0" w:color="auto"/>
                <w:bottom w:val="none" w:sz="0" w:space="0" w:color="auto"/>
                <w:right w:val="none" w:sz="0" w:space="0" w:color="auto"/>
              </w:divBdr>
            </w:div>
            <w:div w:id="600719636">
              <w:marLeft w:val="0"/>
              <w:marRight w:val="0"/>
              <w:marTop w:val="0"/>
              <w:marBottom w:val="240"/>
              <w:divBdr>
                <w:top w:val="none" w:sz="0" w:space="0" w:color="auto"/>
                <w:left w:val="none" w:sz="0" w:space="0" w:color="auto"/>
                <w:bottom w:val="none" w:sz="0" w:space="0" w:color="auto"/>
                <w:right w:val="none" w:sz="0" w:space="0" w:color="auto"/>
              </w:divBdr>
            </w:div>
            <w:div w:id="706493824">
              <w:marLeft w:val="0"/>
              <w:marRight w:val="0"/>
              <w:marTop w:val="0"/>
              <w:marBottom w:val="240"/>
              <w:divBdr>
                <w:top w:val="none" w:sz="0" w:space="0" w:color="auto"/>
                <w:left w:val="none" w:sz="0" w:space="0" w:color="auto"/>
                <w:bottom w:val="none" w:sz="0" w:space="0" w:color="auto"/>
                <w:right w:val="none" w:sz="0" w:space="0" w:color="auto"/>
              </w:divBdr>
            </w:div>
            <w:div w:id="1919173796">
              <w:marLeft w:val="0"/>
              <w:marRight w:val="0"/>
              <w:marTop w:val="0"/>
              <w:marBottom w:val="240"/>
              <w:divBdr>
                <w:top w:val="none" w:sz="0" w:space="0" w:color="auto"/>
                <w:left w:val="none" w:sz="0" w:space="0" w:color="auto"/>
                <w:bottom w:val="none" w:sz="0" w:space="0" w:color="auto"/>
                <w:right w:val="none" w:sz="0" w:space="0" w:color="auto"/>
              </w:divBdr>
            </w:div>
            <w:div w:id="1640188415">
              <w:marLeft w:val="0"/>
              <w:marRight w:val="0"/>
              <w:marTop w:val="0"/>
              <w:marBottom w:val="240"/>
              <w:divBdr>
                <w:top w:val="none" w:sz="0" w:space="0" w:color="auto"/>
                <w:left w:val="none" w:sz="0" w:space="0" w:color="auto"/>
                <w:bottom w:val="none" w:sz="0" w:space="0" w:color="auto"/>
                <w:right w:val="none" w:sz="0" w:space="0" w:color="auto"/>
              </w:divBdr>
            </w:div>
            <w:div w:id="1753312284">
              <w:marLeft w:val="0"/>
              <w:marRight w:val="0"/>
              <w:marTop w:val="0"/>
              <w:marBottom w:val="240"/>
              <w:divBdr>
                <w:top w:val="none" w:sz="0" w:space="0" w:color="auto"/>
                <w:left w:val="none" w:sz="0" w:space="0" w:color="auto"/>
                <w:bottom w:val="none" w:sz="0" w:space="0" w:color="auto"/>
                <w:right w:val="none" w:sz="0" w:space="0" w:color="auto"/>
              </w:divBdr>
            </w:div>
            <w:div w:id="154687267">
              <w:marLeft w:val="0"/>
              <w:marRight w:val="0"/>
              <w:marTop w:val="0"/>
              <w:marBottom w:val="240"/>
              <w:divBdr>
                <w:top w:val="none" w:sz="0" w:space="0" w:color="auto"/>
                <w:left w:val="none" w:sz="0" w:space="0" w:color="auto"/>
                <w:bottom w:val="none" w:sz="0" w:space="0" w:color="auto"/>
                <w:right w:val="none" w:sz="0" w:space="0" w:color="auto"/>
              </w:divBdr>
            </w:div>
            <w:div w:id="2117208553">
              <w:marLeft w:val="0"/>
              <w:marRight w:val="0"/>
              <w:marTop w:val="0"/>
              <w:marBottom w:val="240"/>
              <w:divBdr>
                <w:top w:val="none" w:sz="0" w:space="0" w:color="auto"/>
                <w:left w:val="none" w:sz="0" w:space="0" w:color="auto"/>
                <w:bottom w:val="none" w:sz="0" w:space="0" w:color="auto"/>
                <w:right w:val="none" w:sz="0" w:space="0" w:color="auto"/>
              </w:divBdr>
            </w:div>
            <w:div w:id="1262302774">
              <w:marLeft w:val="0"/>
              <w:marRight w:val="0"/>
              <w:marTop w:val="0"/>
              <w:marBottom w:val="240"/>
              <w:divBdr>
                <w:top w:val="none" w:sz="0" w:space="0" w:color="auto"/>
                <w:left w:val="none" w:sz="0" w:space="0" w:color="auto"/>
                <w:bottom w:val="none" w:sz="0" w:space="0" w:color="auto"/>
                <w:right w:val="none" w:sz="0" w:space="0" w:color="auto"/>
              </w:divBdr>
            </w:div>
            <w:div w:id="1147404775">
              <w:marLeft w:val="0"/>
              <w:marRight w:val="0"/>
              <w:marTop w:val="0"/>
              <w:marBottom w:val="240"/>
              <w:divBdr>
                <w:top w:val="none" w:sz="0" w:space="0" w:color="auto"/>
                <w:left w:val="none" w:sz="0" w:space="0" w:color="auto"/>
                <w:bottom w:val="none" w:sz="0" w:space="0" w:color="auto"/>
                <w:right w:val="none" w:sz="0" w:space="0" w:color="auto"/>
              </w:divBdr>
            </w:div>
            <w:div w:id="2009597066">
              <w:marLeft w:val="0"/>
              <w:marRight w:val="0"/>
              <w:marTop w:val="0"/>
              <w:marBottom w:val="240"/>
              <w:divBdr>
                <w:top w:val="none" w:sz="0" w:space="0" w:color="auto"/>
                <w:left w:val="none" w:sz="0" w:space="0" w:color="auto"/>
                <w:bottom w:val="none" w:sz="0" w:space="0" w:color="auto"/>
                <w:right w:val="none" w:sz="0" w:space="0" w:color="auto"/>
              </w:divBdr>
            </w:div>
            <w:div w:id="822312697">
              <w:marLeft w:val="0"/>
              <w:marRight w:val="0"/>
              <w:marTop w:val="0"/>
              <w:marBottom w:val="240"/>
              <w:divBdr>
                <w:top w:val="none" w:sz="0" w:space="0" w:color="auto"/>
                <w:left w:val="none" w:sz="0" w:space="0" w:color="auto"/>
                <w:bottom w:val="none" w:sz="0" w:space="0" w:color="auto"/>
                <w:right w:val="none" w:sz="0" w:space="0" w:color="auto"/>
              </w:divBdr>
            </w:div>
            <w:div w:id="1121535513">
              <w:marLeft w:val="0"/>
              <w:marRight w:val="0"/>
              <w:marTop w:val="0"/>
              <w:marBottom w:val="240"/>
              <w:divBdr>
                <w:top w:val="none" w:sz="0" w:space="0" w:color="auto"/>
                <w:left w:val="none" w:sz="0" w:space="0" w:color="auto"/>
                <w:bottom w:val="none" w:sz="0" w:space="0" w:color="auto"/>
                <w:right w:val="none" w:sz="0" w:space="0" w:color="auto"/>
              </w:divBdr>
            </w:div>
            <w:div w:id="1165584521">
              <w:marLeft w:val="0"/>
              <w:marRight w:val="0"/>
              <w:marTop w:val="0"/>
              <w:marBottom w:val="240"/>
              <w:divBdr>
                <w:top w:val="none" w:sz="0" w:space="0" w:color="auto"/>
                <w:left w:val="none" w:sz="0" w:space="0" w:color="auto"/>
                <w:bottom w:val="none" w:sz="0" w:space="0" w:color="auto"/>
                <w:right w:val="none" w:sz="0" w:space="0" w:color="auto"/>
              </w:divBdr>
            </w:div>
            <w:div w:id="1758095977">
              <w:marLeft w:val="0"/>
              <w:marRight w:val="0"/>
              <w:marTop w:val="0"/>
              <w:marBottom w:val="240"/>
              <w:divBdr>
                <w:top w:val="none" w:sz="0" w:space="0" w:color="auto"/>
                <w:left w:val="none" w:sz="0" w:space="0" w:color="auto"/>
                <w:bottom w:val="none" w:sz="0" w:space="0" w:color="auto"/>
                <w:right w:val="none" w:sz="0" w:space="0" w:color="auto"/>
              </w:divBdr>
            </w:div>
            <w:div w:id="1520241964">
              <w:marLeft w:val="0"/>
              <w:marRight w:val="0"/>
              <w:marTop w:val="0"/>
              <w:marBottom w:val="240"/>
              <w:divBdr>
                <w:top w:val="none" w:sz="0" w:space="0" w:color="auto"/>
                <w:left w:val="none" w:sz="0" w:space="0" w:color="auto"/>
                <w:bottom w:val="none" w:sz="0" w:space="0" w:color="auto"/>
                <w:right w:val="none" w:sz="0" w:space="0" w:color="auto"/>
              </w:divBdr>
            </w:div>
            <w:div w:id="1254705329">
              <w:marLeft w:val="0"/>
              <w:marRight w:val="0"/>
              <w:marTop w:val="0"/>
              <w:marBottom w:val="240"/>
              <w:divBdr>
                <w:top w:val="none" w:sz="0" w:space="0" w:color="auto"/>
                <w:left w:val="none" w:sz="0" w:space="0" w:color="auto"/>
                <w:bottom w:val="none" w:sz="0" w:space="0" w:color="auto"/>
                <w:right w:val="none" w:sz="0" w:space="0" w:color="auto"/>
              </w:divBdr>
            </w:div>
            <w:div w:id="1006977151">
              <w:marLeft w:val="0"/>
              <w:marRight w:val="0"/>
              <w:marTop w:val="0"/>
              <w:marBottom w:val="240"/>
              <w:divBdr>
                <w:top w:val="none" w:sz="0" w:space="0" w:color="auto"/>
                <w:left w:val="none" w:sz="0" w:space="0" w:color="auto"/>
                <w:bottom w:val="none" w:sz="0" w:space="0" w:color="auto"/>
                <w:right w:val="none" w:sz="0" w:space="0" w:color="auto"/>
              </w:divBdr>
            </w:div>
            <w:div w:id="1925868844">
              <w:marLeft w:val="0"/>
              <w:marRight w:val="0"/>
              <w:marTop w:val="0"/>
              <w:marBottom w:val="240"/>
              <w:divBdr>
                <w:top w:val="none" w:sz="0" w:space="0" w:color="auto"/>
                <w:left w:val="none" w:sz="0" w:space="0" w:color="auto"/>
                <w:bottom w:val="none" w:sz="0" w:space="0" w:color="auto"/>
                <w:right w:val="none" w:sz="0" w:space="0" w:color="auto"/>
              </w:divBdr>
            </w:div>
            <w:div w:id="1468469386">
              <w:marLeft w:val="0"/>
              <w:marRight w:val="0"/>
              <w:marTop w:val="0"/>
              <w:marBottom w:val="240"/>
              <w:divBdr>
                <w:top w:val="none" w:sz="0" w:space="0" w:color="auto"/>
                <w:left w:val="none" w:sz="0" w:space="0" w:color="auto"/>
                <w:bottom w:val="none" w:sz="0" w:space="0" w:color="auto"/>
                <w:right w:val="none" w:sz="0" w:space="0" w:color="auto"/>
              </w:divBdr>
            </w:div>
            <w:div w:id="306786028">
              <w:marLeft w:val="0"/>
              <w:marRight w:val="0"/>
              <w:marTop w:val="0"/>
              <w:marBottom w:val="240"/>
              <w:divBdr>
                <w:top w:val="none" w:sz="0" w:space="0" w:color="auto"/>
                <w:left w:val="none" w:sz="0" w:space="0" w:color="auto"/>
                <w:bottom w:val="none" w:sz="0" w:space="0" w:color="auto"/>
                <w:right w:val="none" w:sz="0" w:space="0" w:color="auto"/>
              </w:divBdr>
            </w:div>
            <w:div w:id="916792536">
              <w:marLeft w:val="0"/>
              <w:marRight w:val="0"/>
              <w:marTop w:val="0"/>
              <w:marBottom w:val="240"/>
              <w:divBdr>
                <w:top w:val="none" w:sz="0" w:space="0" w:color="auto"/>
                <w:left w:val="none" w:sz="0" w:space="0" w:color="auto"/>
                <w:bottom w:val="none" w:sz="0" w:space="0" w:color="auto"/>
                <w:right w:val="none" w:sz="0" w:space="0" w:color="auto"/>
              </w:divBdr>
            </w:div>
            <w:div w:id="254098313">
              <w:marLeft w:val="0"/>
              <w:marRight w:val="0"/>
              <w:marTop w:val="0"/>
              <w:marBottom w:val="240"/>
              <w:divBdr>
                <w:top w:val="none" w:sz="0" w:space="0" w:color="auto"/>
                <w:left w:val="none" w:sz="0" w:space="0" w:color="auto"/>
                <w:bottom w:val="none" w:sz="0" w:space="0" w:color="auto"/>
                <w:right w:val="none" w:sz="0" w:space="0" w:color="auto"/>
              </w:divBdr>
            </w:div>
            <w:div w:id="422648408">
              <w:marLeft w:val="0"/>
              <w:marRight w:val="0"/>
              <w:marTop w:val="0"/>
              <w:marBottom w:val="240"/>
              <w:divBdr>
                <w:top w:val="none" w:sz="0" w:space="0" w:color="auto"/>
                <w:left w:val="none" w:sz="0" w:space="0" w:color="auto"/>
                <w:bottom w:val="none" w:sz="0" w:space="0" w:color="auto"/>
                <w:right w:val="none" w:sz="0" w:space="0" w:color="auto"/>
              </w:divBdr>
            </w:div>
            <w:div w:id="832380820">
              <w:marLeft w:val="0"/>
              <w:marRight w:val="0"/>
              <w:marTop w:val="0"/>
              <w:marBottom w:val="240"/>
              <w:divBdr>
                <w:top w:val="none" w:sz="0" w:space="0" w:color="auto"/>
                <w:left w:val="none" w:sz="0" w:space="0" w:color="auto"/>
                <w:bottom w:val="none" w:sz="0" w:space="0" w:color="auto"/>
                <w:right w:val="none" w:sz="0" w:space="0" w:color="auto"/>
              </w:divBdr>
            </w:div>
            <w:div w:id="174080841">
              <w:marLeft w:val="0"/>
              <w:marRight w:val="0"/>
              <w:marTop w:val="0"/>
              <w:marBottom w:val="240"/>
              <w:divBdr>
                <w:top w:val="none" w:sz="0" w:space="0" w:color="auto"/>
                <w:left w:val="none" w:sz="0" w:space="0" w:color="auto"/>
                <w:bottom w:val="none" w:sz="0" w:space="0" w:color="auto"/>
                <w:right w:val="none" w:sz="0" w:space="0" w:color="auto"/>
              </w:divBdr>
            </w:div>
            <w:div w:id="1839878269">
              <w:marLeft w:val="0"/>
              <w:marRight w:val="0"/>
              <w:marTop w:val="0"/>
              <w:marBottom w:val="240"/>
              <w:divBdr>
                <w:top w:val="none" w:sz="0" w:space="0" w:color="auto"/>
                <w:left w:val="none" w:sz="0" w:space="0" w:color="auto"/>
                <w:bottom w:val="none" w:sz="0" w:space="0" w:color="auto"/>
                <w:right w:val="none" w:sz="0" w:space="0" w:color="auto"/>
              </w:divBdr>
            </w:div>
            <w:div w:id="1944730328">
              <w:marLeft w:val="0"/>
              <w:marRight w:val="0"/>
              <w:marTop w:val="0"/>
              <w:marBottom w:val="240"/>
              <w:divBdr>
                <w:top w:val="none" w:sz="0" w:space="0" w:color="auto"/>
                <w:left w:val="none" w:sz="0" w:space="0" w:color="auto"/>
                <w:bottom w:val="none" w:sz="0" w:space="0" w:color="auto"/>
                <w:right w:val="none" w:sz="0" w:space="0" w:color="auto"/>
              </w:divBdr>
            </w:div>
            <w:div w:id="67968238">
              <w:marLeft w:val="0"/>
              <w:marRight w:val="0"/>
              <w:marTop w:val="0"/>
              <w:marBottom w:val="240"/>
              <w:divBdr>
                <w:top w:val="none" w:sz="0" w:space="0" w:color="auto"/>
                <w:left w:val="none" w:sz="0" w:space="0" w:color="auto"/>
                <w:bottom w:val="none" w:sz="0" w:space="0" w:color="auto"/>
                <w:right w:val="none" w:sz="0" w:space="0" w:color="auto"/>
              </w:divBdr>
            </w:div>
            <w:div w:id="1900556463">
              <w:marLeft w:val="0"/>
              <w:marRight w:val="0"/>
              <w:marTop w:val="0"/>
              <w:marBottom w:val="240"/>
              <w:divBdr>
                <w:top w:val="none" w:sz="0" w:space="0" w:color="auto"/>
                <w:left w:val="none" w:sz="0" w:space="0" w:color="auto"/>
                <w:bottom w:val="none" w:sz="0" w:space="0" w:color="auto"/>
                <w:right w:val="none" w:sz="0" w:space="0" w:color="auto"/>
              </w:divBdr>
            </w:div>
            <w:div w:id="1077750278">
              <w:marLeft w:val="0"/>
              <w:marRight w:val="0"/>
              <w:marTop w:val="0"/>
              <w:marBottom w:val="240"/>
              <w:divBdr>
                <w:top w:val="none" w:sz="0" w:space="0" w:color="auto"/>
                <w:left w:val="none" w:sz="0" w:space="0" w:color="auto"/>
                <w:bottom w:val="none" w:sz="0" w:space="0" w:color="auto"/>
                <w:right w:val="none" w:sz="0" w:space="0" w:color="auto"/>
              </w:divBdr>
            </w:div>
            <w:div w:id="1114640920">
              <w:marLeft w:val="0"/>
              <w:marRight w:val="0"/>
              <w:marTop w:val="0"/>
              <w:marBottom w:val="240"/>
              <w:divBdr>
                <w:top w:val="none" w:sz="0" w:space="0" w:color="auto"/>
                <w:left w:val="none" w:sz="0" w:space="0" w:color="auto"/>
                <w:bottom w:val="none" w:sz="0" w:space="0" w:color="auto"/>
                <w:right w:val="none" w:sz="0" w:space="0" w:color="auto"/>
              </w:divBdr>
            </w:div>
            <w:div w:id="640187418">
              <w:marLeft w:val="0"/>
              <w:marRight w:val="0"/>
              <w:marTop w:val="0"/>
              <w:marBottom w:val="240"/>
              <w:divBdr>
                <w:top w:val="none" w:sz="0" w:space="0" w:color="auto"/>
                <w:left w:val="none" w:sz="0" w:space="0" w:color="auto"/>
                <w:bottom w:val="none" w:sz="0" w:space="0" w:color="auto"/>
                <w:right w:val="none" w:sz="0" w:space="0" w:color="auto"/>
              </w:divBdr>
            </w:div>
            <w:div w:id="744644500">
              <w:marLeft w:val="0"/>
              <w:marRight w:val="0"/>
              <w:marTop w:val="0"/>
              <w:marBottom w:val="240"/>
              <w:divBdr>
                <w:top w:val="none" w:sz="0" w:space="0" w:color="auto"/>
                <w:left w:val="none" w:sz="0" w:space="0" w:color="auto"/>
                <w:bottom w:val="none" w:sz="0" w:space="0" w:color="auto"/>
                <w:right w:val="none" w:sz="0" w:space="0" w:color="auto"/>
              </w:divBdr>
            </w:div>
            <w:div w:id="1556352395">
              <w:marLeft w:val="0"/>
              <w:marRight w:val="0"/>
              <w:marTop w:val="0"/>
              <w:marBottom w:val="240"/>
              <w:divBdr>
                <w:top w:val="none" w:sz="0" w:space="0" w:color="auto"/>
                <w:left w:val="none" w:sz="0" w:space="0" w:color="auto"/>
                <w:bottom w:val="none" w:sz="0" w:space="0" w:color="auto"/>
                <w:right w:val="none" w:sz="0" w:space="0" w:color="auto"/>
              </w:divBdr>
            </w:div>
            <w:div w:id="118186368">
              <w:marLeft w:val="0"/>
              <w:marRight w:val="0"/>
              <w:marTop w:val="0"/>
              <w:marBottom w:val="240"/>
              <w:divBdr>
                <w:top w:val="none" w:sz="0" w:space="0" w:color="auto"/>
                <w:left w:val="none" w:sz="0" w:space="0" w:color="auto"/>
                <w:bottom w:val="none" w:sz="0" w:space="0" w:color="auto"/>
                <w:right w:val="none" w:sz="0" w:space="0" w:color="auto"/>
              </w:divBdr>
            </w:div>
            <w:div w:id="518200473">
              <w:marLeft w:val="0"/>
              <w:marRight w:val="0"/>
              <w:marTop w:val="0"/>
              <w:marBottom w:val="240"/>
              <w:divBdr>
                <w:top w:val="none" w:sz="0" w:space="0" w:color="auto"/>
                <w:left w:val="none" w:sz="0" w:space="0" w:color="auto"/>
                <w:bottom w:val="none" w:sz="0" w:space="0" w:color="auto"/>
                <w:right w:val="none" w:sz="0" w:space="0" w:color="auto"/>
              </w:divBdr>
            </w:div>
            <w:div w:id="560363275">
              <w:marLeft w:val="0"/>
              <w:marRight w:val="0"/>
              <w:marTop w:val="0"/>
              <w:marBottom w:val="240"/>
              <w:divBdr>
                <w:top w:val="none" w:sz="0" w:space="0" w:color="auto"/>
                <w:left w:val="none" w:sz="0" w:space="0" w:color="auto"/>
                <w:bottom w:val="none" w:sz="0" w:space="0" w:color="auto"/>
                <w:right w:val="none" w:sz="0" w:space="0" w:color="auto"/>
              </w:divBdr>
            </w:div>
            <w:div w:id="2114469256">
              <w:marLeft w:val="0"/>
              <w:marRight w:val="0"/>
              <w:marTop w:val="0"/>
              <w:marBottom w:val="240"/>
              <w:divBdr>
                <w:top w:val="none" w:sz="0" w:space="0" w:color="auto"/>
                <w:left w:val="none" w:sz="0" w:space="0" w:color="auto"/>
                <w:bottom w:val="none" w:sz="0" w:space="0" w:color="auto"/>
                <w:right w:val="none" w:sz="0" w:space="0" w:color="auto"/>
              </w:divBdr>
            </w:div>
            <w:div w:id="829057412">
              <w:marLeft w:val="0"/>
              <w:marRight w:val="0"/>
              <w:marTop w:val="0"/>
              <w:marBottom w:val="240"/>
              <w:divBdr>
                <w:top w:val="none" w:sz="0" w:space="0" w:color="auto"/>
                <w:left w:val="none" w:sz="0" w:space="0" w:color="auto"/>
                <w:bottom w:val="none" w:sz="0" w:space="0" w:color="auto"/>
                <w:right w:val="none" w:sz="0" w:space="0" w:color="auto"/>
              </w:divBdr>
            </w:div>
            <w:div w:id="101076597">
              <w:marLeft w:val="0"/>
              <w:marRight w:val="0"/>
              <w:marTop w:val="0"/>
              <w:marBottom w:val="240"/>
              <w:divBdr>
                <w:top w:val="none" w:sz="0" w:space="0" w:color="auto"/>
                <w:left w:val="none" w:sz="0" w:space="0" w:color="auto"/>
                <w:bottom w:val="none" w:sz="0" w:space="0" w:color="auto"/>
                <w:right w:val="none" w:sz="0" w:space="0" w:color="auto"/>
              </w:divBdr>
            </w:div>
            <w:div w:id="2063478740">
              <w:marLeft w:val="0"/>
              <w:marRight w:val="0"/>
              <w:marTop w:val="0"/>
              <w:marBottom w:val="240"/>
              <w:divBdr>
                <w:top w:val="none" w:sz="0" w:space="0" w:color="auto"/>
                <w:left w:val="none" w:sz="0" w:space="0" w:color="auto"/>
                <w:bottom w:val="none" w:sz="0" w:space="0" w:color="auto"/>
                <w:right w:val="none" w:sz="0" w:space="0" w:color="auto"/>
              </w:divBdr>
            </w:div>
            <w:div w:id="1720931135">
              <w:marLeft w:val="0"/>
              <w:marRight w:val="0"/>
              <w:marTop w:val="0"/>
              <w:marBottom w:val="240"/>
              <w:divBdr>
                <w:top w:val="none" w:sz="0" w:space="0" w:color="auto"/>
                <w:left w:val="none" w:sz="0" w:space="0" w:color="auto"/>
                <w:bottom w:val="none" w:sz="0" w:space="0" w:color="auto"/>
                <w:right w:val="none" w:sz="0" w:space="0" w:color="auto"/>
              </w:divBdr>
            </w:div>
            <w:div w:id="713314849">
              <w:marLeft w:val="0"/>
              <w:marRight w:val="0"/>
              <w:marTop w:val="0"/>
              <w:marBottom w:val="240"/>
              <w:divBdr>
                <w:top w:val="none" w:sz="0" w:space="0" w:color="auto"/>
                <w:left w:val="none" w:sz="0" w:space="0" w:color="auto"/>
                <w:bottom w:val="none" w:sz="0" w:space="0" w:color="auto"/>
                <w:right w:val="none" w:sz="0" w:space="0" w:color="auto"/>
              </w:divBdr>
            </w:div>
            <w:div w:id="1832523436">
              <w:marLeft w:val="0"/>
              <w:marRight w:val="0"/>
              <w:marTop w:val="0"/>
              <w:marBottom w:val="240"/>
              <w:divBdr>
                <w:top w:val="none" w:sz="0" w:space="0" w:color="auto"/>
                <w:left w:val="none" w:sz="0" w:space="0" w:color="auto"/>
                <w:bottom w:val="none" w:sz="0" w:space="0" w:color="auto"/>
                <w:right w:val="none" w:sz="0" w:space="0" w:color="auto"/>
              </w:divBdr>
            </w:div>
            <w:div w:id="1107385020">
              <w:marLeft w:val="0"/>
              <w:marRight w:val="0"/>
              <w:marTop w:val="0"/>
              <w:marBottom w:val="240"/>
              <w:divBdr>
                <w:top w:val="none" w:sz="0" w:space="0" w:color="auto"/>
                <w:left w:val="none" w:sz="0" w:space="0" w:color="auto"/>
                <w:bottom w:val="none" w:sz="0" w:space="0" w:color="auto"/>
                <w:right w:val="none" w:sz="0" w:space="0" w:color="auto"/>
              </w:divBdr>
            </w:div>
            <w:div w:id="1860972311">
              <w:marLeft w:val="0"/>
              <w:marRight w:val="0"/>
              <w:marTop w:val="0"/>
              <w:marBottom w:val="240"/>
              <w:divBdr>
                <w:top w:val="none" w:sz="0" w:space="0" w:color="auto"/>
                <w:left w:val="none" w:sz="0" w:space="0" w:color="auto"/>
                <w:bottom w:val="none" w:sz="0" w:space="0" w:color="auto"/>
                <w:right w:val="none" w:sz="0" w:space="0" w:color="auto"/>
              </w:divBdr>
            </w:div>
            <w:div w:id="641034583">
              <w:marLeft w:val="0"/>
              <w:marRight w:val="0"/>
              <w:marTop w:val="0"/>
              <w:marBottom w:val="240"/>
              <w:divBdr>
                <w:top w:val="none" w:sz="0" w:space="0" w:color="auto"/>
                <w:left w:val="none" w:sz="0" w:space="0" w:color="auto"/>
                <w:bottom w:val="none" w:sz="0" w:space="0" w:color="auto"/>
                <w:right w:val="none" w:sz="0" w:space="0" w:color="auto"/>
              </w:divBdr>
            </w:div>
            <w:div w:id="1450272523">
              <w:marLeft w:val="0"/>
              <w:marRight w:val="0"/>
              <w:marTop w:val="0"/>
              <w:marBottom w:val="240"/>
              <w:divBdr>
                <w:top w:val="none" w:sz="0" w:space="0" w:color="auto"/>
                <w:left w:val="none" w:sz="0" w:space="0" w:color="auto"/>
                <w:bottom w:val="none" w:sz="0" w:space="0" w:color="auto"/>
                <w:right w:val="none" w:sz="0" w:space="0" w:color="auto"/>
              </w:divBdr>
            </w:div>
            <w:div w:id="924345287">
              <w:marLeft w:val="0"/>
              <w:marRight w:val="0"/>
              <w:marTop w:val="0"/>
              <w:marBottom w:val="240"/>
              <w:divBdr>
                <w:top w:val="none" w:sz="0" w:space="0" w:color="auto"/>
                <w:left w:val="none" w:sz="0" w:space="0" w:color="auto"/>
                <w:bottom w:val="none" w:sz="0" w:space="0" w:color="auto"/>
                <w:right w:val="none" w:sz="0" w:space="0" w:color="auto"/>
              </w:divBdr>
            </w:div>
            <w:div w:id="1756319221">
              <w:marLeft w:val="0"/>
              <w:marRight w:val="0"/>
              <w:marTop w:val="0"/>
              <w:marBottom w:val="240"/>
              <w:divBdr>
                <w:top w:val="none" w:sz="0" w:space="0" w:color="auto"/>
                <w:left w:val="none" w:sz="0" w:space="0" w:color="auto"/>
                <w:bottom w:val="none" w:sz="0" w:space="0" w:color="auto"/>
                <w:right w:val="none" w:sz="0" w:space="0" w:color="auto"/>
              </w:divBdr>
            </w:div>
            <w:div w:id="1621185049">
              <w:marLeft w:val="0"/>
              <w:marRight w:val="0"/>
              <w:marTop w:val="0"/>
              <w:marBottom w:val="240"/>
              <w:divBdr>
                <w:top w:val="none" w:sz="0" w:space="0" w:color="auto"/>
                <w:left w:val="none" w:sz="0" w:space="0" w:color="auto"/>
                <w:bottom w:val="none" w:sz="0" w:space="0" w:color="auto"/>
                <w:right w:val="none" w:sz="0" w:space="0" w:color="auto"/>
              </w:divBdr>
            </w:div>
            <w:div w:id="597253570">
              <w:marLeft w:val="0"/>
              <w:marRight w:val="0"/>
              <w:marTop w:val="0"/>
              <w:marBottom w:val="240"/>
              <w:divBdr>
                <w:top w:val="none" w:sz="0" w:space="0" w:color="auto"/>
                <w:left w:val="none" w:sz="0" w:space="0" w:color="auto"/>
                <w:bottom w:val="none" w:sz="0" w:space="0" w:color="auto"/>
                <w:right w:val="none" w:sz="0" w:space="0" w:color="auto"/>
              </w:divBdr>
            </w:div>
            <w:div w:id="1968468599">
              <w:marLeft w:val="0"/>
              <w:marRight w:val="0"/>
              <w:marTop w:val="0"/>
              <w:marBottom w:val="240"/>
              <w:divBdr>
                <w:top w:val="none" w:sz="0" w:space="0" w:color="auto"/>
                <w:left w:val="none" w:sz="0" w:space="0" w:color="auto"/>
                <w:bottom w:val="none" w:sz="0" w:space="0" w:color="auto"/>
                <w:right w:val="none" w:sz="0" w:space="0" w:color="auto"/>
              </w:divBdr>
            </w:div>
            <w:div w:id="1912692430">
              <w:marLeft w:val="0"/>
              <w:marRight w:val="0"/>
              <w:marTop w:val="0"/>
              <w:marBottom w:val="240"/>
              <w:divBdr>
                <w:top w:val="none" w:sz="0" w:space="0" w:color="auto"/>
                <w:left w:val="none" w:sz="0" w:space="0" w:color="auto"/>
                <w:bottom w:val="none" w:sz="0" w:space="0" w:color="auto"/>
                <w:right w:val="none" w:sz="0" w:space="0" w:color="auto"/>
              </w:divBdr>
            </w:div>
            <w:div w:id="426539649">
              <w:marLeft w:val="0"/>
              <w:marRight w:val="0"/>
              <w:marTop w:val="0"/>
              <w:marBottom w:val="240"/>
              <w:divBdr>
                <w:top w:val="none" w:sz="0" w:space="0" w:color="auto"/>
                <w:left w:val="none" w:sz="0" w:space="0" w:color="auto"/>
                <w:bottom w:val="none" w:sz="0" w:space="0" w:color="auto"/>
                <w:right w:val="none" w:sz="0" w:space="0" w:color="auto"/>
              </w:divBdr>
            </w:div>
            <w:div w:id="1369990842">
              <w:marLeft w:val="0"/>
              <w:marRight w:val="0"/>
              <w:marTop w:val="0"/>
              <w:marBottom w:val="240"/>
              <w:divBdr>
                <w:top w:val="none" w:sz="0" w:space="0" w:color="auto"/>
                <w:left w:val="none" w:sz="0" w:space="0" w:color="auto"/>
                <w:bottom w:val="none" w:sz="0" w:space="0" w:color="auto"/>
                <w:right w:val="none" w:sz="0" w:space="0" w:color="auto"/>
              </w:divBdr>
            </w:div>
            <w:div w:id="59989137">
              <w:marLeft w:val="0"/>
              <w:marRight w:val="0"/>
              <w:marTop w:val="0"/>
              <w:marBottom w:val="240"/>
              <w:divBdr>
                <w:top w:val="none" w:sz="0" w:space="0" w:color="auto"/>
                <w:left w:val="none" w:sz="0" w:space="0" w:color="auto"/>
                <w:bottom w:val="none" w:sz="0" w:space="0" w:color="auto"/>
                <w:right w:val="none" w:sz="0" w:space="0" w:color="auto"/>
              </w:divBdr>
            </w:div>
            <w:div w:id="1356231895">
              <w:marLeft w:val="0"/>
              <w:marRight w:val="0"/>
              <w:marTop w:val="0"/>
              <w:marBottom w:val="240"/>
              <w:divBdr>
                <w:top w:val="none" w:sz="0" w:space="0" w:color="auto"/>
                <w:left w:val="none" w:sz="0" w:space="0" w:color="auto"/>
                <w:bottom w:val="none" w:sz="0" w:space="0" w:color="auto"/>
                <w:right w:val="none" w:sz="0" w:space="0" w:color="auto"/>
              </w:divBdr>
            </w:div>
            <w:div w:id="2041778142">
              <w:marLeft w:val="0"/>
              <w:marRight w:val="0"/>
              <w:marTop w:val="0"/>
              <w:marBottom w:val="240"/>
              <w:divBdr>
                <w:top w:val="none" w:sz="0" w:space="0" w:color="auto"/>
                <w:left w:val="none" w:sz="0" w:space="0" w:color="auto"/>
                <w:bottom w:val="none" w:sz="0" w:space="0" w:color="auto"/>
                <w:right w:val="none" w:sz="0" w:space="0" w:color="auto"/>
              </w:divBdr>
            </w:div>
            <w:div w:id="1290814884">
              <w:marLeft w:val="0"/>
              <w:marRight w:val="0"/>
              <w:marTop w:val="0"/>
              <w:marBottom w:val="240"/>
              <w:divBdr>
                <w:top w:val="none" w:sz="0" w:space="0" w:color="auto"/>
                <w:left w:val="none" w:sz="0" w:space="0" w:color="auto"/>
                <w:bottom w:val="none" w:sz="0" w:space="0" w:color="auto"/>
                <w:right w:val="none" w:sz="0" w:space="0" w:color="auto"/>
              </w:divBdr>
            </w:div>
            <w:div w:id="100506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0855">
      <w:bodyDiv w:val="1"/>
      <w:marLeft w:val="0"/>
      <w:marRight w:val="0"/>
      <w:marTop w:val="0"/>
      <w:marBottom w:val="0"/>
      <w:divBdr>
        <w:top w:val="none" w:sz="0" w:space="0" w:color="auto"/>
        <w:left w:val="none" w:sz="0" w:space="0" w:color="auto"/>
        <w:bottom w:val="none" w:sz="0" w:space="0" w:color="auto"/>
        <w:right w:val="none" w:sz="0" w:space="0" w:color="auto"/>
      </w:divBdr>
    </w:div>
    <w:div w:id="184831680">
      <w:bodyDiv w:val="1"/>
      <w:marLeft w:val="0"/>
      <w:marRight w:val="0"/>
      <w:marTop w:val="0"/>
      <w:marBottom w:val="0"/>
      <w:divBdr>
        <w:top w:val="none" w:sz="0" w:space="0" w:color="auto"/>
        <w:left w:val="none" w:sz="0" w:space="0" w:color="auto"/>
        <w:bottom w:val="none" w:sz="0" w:space="0" w:color="auto"/>
        <w:right w:val="none" w:sz="0" w:space="0" w:color="auto"/>
      </w:divBdr>
    </w:div>
    <w:div w:id="185674754">
      <w:bodyDiv w:val="1"/>
      <w:marLeft w:val="0"/>
      <w:marRight w:val="0"/>
      <w:marTop w:val="0"/>
      <w:marBottom w:val="0"/>
      <w:divBdr>
        <w:top w:val="none" w:sz="0" w:space="0" w:color="auto"/>
        <w:left w:val="none" w:sz="0" w:space="0" w:color="auto"/>
        <w:bottom w:val="none" w:sz="0" w:space="0" w:color="auto"/>
        <w:right w:val="none" w:sz="0" w:space="0" w:color="auto"/>
      </w:divBdr>
    </w:div>
    <w:div w:id="188766809">
      <w:bodyDiv w:val="1"/>
      <w:marLeft w:val="0"/>
      <w:marRight w:val="0"/>
      <w:marTop w:val="0"/>
      <w:marBottom w:val="0"/>
      <w:divBdr>
        <w:top w:val="none" w:sz="0" w:space="0" w:color="auto"/>
        <w:left w:val="none" w:sz="0" w:space="0" w:color="auto"/>
        <w:bottom w:val="none" w:sz="0" w:space="0" w:color="auto"/>
        <w:right w:val="none" w:sz="0" w:space="0" w:color="auto"/>
      </w:divBdr>
    </w:div>
    <w:div w:id="192229752">
      <w:bodyDiv w:val="1"/>
      <w:marLeft w:val="0"/>
      <w:marRight w:val="0"/>
      <w:marTop w:val="0"/>
      <w:marBottom w:val="0"/>
      <w:divBdr>
        <w:top w:val="none" w:sz="0" w:space="0" w:color="auto"/>
        <w:left w:val="none" w:sz="0" w:space="0" w:color="auto"/>
        <w:bottom w:val="none" w:sz="0" w:space="0" w:color="auto"/>
        <w:right w:val="none" w:sz="0" w:space="0" w:color="auto"/>
      </w:divBdr>
    </w:div>
    <w:div w:id="192963401">
      <w:bodyDiv w:val="1"/>
      <w:marLeft w:val="0"/>
      <w:marRight w:val="0"/>
      <w:marTop w:val="0"/>
      <w:marBottom w:val="0"/>
      <w:divBdr>
        <w:top w:val="none" w:sz="0" w:space="0" w:color="auto"/>
        <w:left w:val="none" w:sz="0" w:space="0" w:color="auto"/>
        <w:bottom w:val="none" w:sz="0" w:space="0" w:color="auto"/>
        <w:right w:val="none" w:sz="0" w:space="0" w:color="auto"/>
      </w:divBdr>
    </w:div>
    <w:div w:id="196745169">
      <w:bodyDiv w:val="1"/>
      <w:marLeft w:val="0"/>
      <w:marRight w:val="0"/>
      <w:marTop w:val="0"/>
      <w:marBottom w:val="0"/>
      <w:divBdr>
        <w:top w:val="none" w:sz="0" w:space="0" w:color="auto"/>
        <w:left w:val="none" w:sz="0" w:space="0" w:color="auto"/>
        <w:bottom w:val="none" w:sz="0" w:space="0" w:color="auto"/>
        <w:right w:val="none" w:sz="0" w:space="0" w:color="auto"/>
      </w:divBdr>
      <w:divsChild>
        <w:div w:id="548347526">
          <w:marLeft w:val="480"/>
          <w:marRight w:val="0"/>
          <w:marTop w:val="0"/>
          <w:marBottom w:val="0"/>
          <w:divBdr>
            <w:top w:val="none" w:sz="0" w:space="0" w:color="auto"/>
            <w:left w:val="none" w:sz="0" w:space="0" w:color="auto"/>
            <w:bottom w:val="none" w:sz="0" w:space="0" w:color="auto"/>
            <w:right w:val="none" w:sz="0" w:space="0" w:color="auto"/>
          </w:divBdr>
          <w:divsChild>
            <w:div w:id="1316109168">
              <w:marLeft w:val="0"/>
              <w:marRight w:val="0"/>
              <w:marTop w:val="0"/>
              <w:marBottom w:val="240"/>
              <w:divBdr>
                <w:top w:val="none" w:sz="0" w:space="0" w:color="auto"/>
                <w:left w:val="none" w:sz="0" w:space="0" w:color="auto"/>
                <w:bottom w:val="none" w:sz="0" w:space="0" w:color="auto"/>
                <w:right w:val="none" w:sz="0" w:space="0" w:color="auto"/>
              </w:divBdr>
            </w:div>
            <w:div w:id="1678196286">
              <w:marLeft w:val="0"/>
              <w:marRight w:val="0"/>
              <w:marTop w:val="0"/>
              <w:marBottom w:val="240"/>
              <w:divBdr>
                <w:top w:val="none" w:sz="0" w:space="0" w:color="auto"/>
                <w:left w:val="none" w:sz="0" w:space="0" w:color="auto"/>
                <w:bottom w:val="none" w:sz="0" w:space="0" w:color="auto"/>
                <w:right w:val="none" w:sz="0" w:space="0" w:color="auto"/>
              </w:divBdr>
            </w:div>
            <w:div w:id="1553153448">
              <w:marLeft w:val="0"/>
              <w:marRight w:val="0"/>
              <w:marTop w:val="0"/>
              <w:marBottom w:val="240"/>
              <w:divBdr>
                <w:top w:val="none" w:sz="0" w:space="0" w:color="auto"/>
                <w:left w:val="none" w:sz="0" w:space="0" w:color="auto"/>
                <w:bottom w:val="none" w:sz="0" w:space="0" w:color="auto"/>
                <w:right w:val="none" w:sz="0" w:space="0" w:color="auto"/>
              </w:divBdr>
            </w:div>
            <w:div w:id="2097363757">
              <w:marLeft w:val="0"/>
              <w:marRight w:val="0"/>
              <w:marTop w:val="0"/>
              <w:marBottom w:val="240"/>
              <w:divBdr>
                <w:top w:val="none" w:sz="0" w:space="0" w:color="auto"/>
                <w:left w:val="none" w:sz="0" w:space="0" w:color="auto"/>
                <w:bottom w:val="none" w:sz="0" w:space="0" w:color="auto"/>
                <w:right w:val="none" w:sz="0" w:space="0" w:color="auto"/>
              </w:divBdr>
            </w:div>
            <w:div w:id="1286813075">
              <w:marLeft w:val="0"/>
              <w:marRight w:val="0"/>
              <w:marTop w:val="0"/>
              <w:marBottom w:val="240"/>
              <w:divBdr>
                <w:top w:val="none" w:sz="0" w:space="0" w:color="auto"/>
                <w:left w:val="none" w:sz="0" w:space="0" w:color="auto"/>
                <w:bottom w:val="none" w:sz="0" w:space="0" w:color="auto"/>
                <w:right w:val="none" w:sz="0" w:space="0" w:color="auto"/>
              </w:divBdr>
            </w:div>
            <w:div w:id="1562400900">
              <w:marLeft w:val="0"/>
              <w:marRight w:val="0"/>
              <w:marTop w:val="0"/>
              <w:marBottom w:val="240"/>
              <w:divBdr>
                <w:top w:val="none" w:sz="0" w:space="0" w:color="auto"/>
                <w:left w:val="none" w:sz="0" w:space="0" w:color="auto"/>
                <w:bottom w:val="none" w:sz="0" w:space="0" w:color="auto"/>
                <w:right w:val="none" w:sz="0" w:space="0" w:color="auto"/>
              </w:divBdr>
            </w:div>
            <w:div w:id="1615476507">
              <w:marLeft w:val="0"/>
              <w:marRight w:val="0"/>
              <w:marTop w:val="0"/>
              <w:marBottom w:val="240"/>
              <w:divBdr>
                <w:top w:val="none" w:sz="0" w:space="0" w:color="auto"/>
                <w:left w:val="none" w:sz="0" w:space="0" w:color="auto"/>
                <w:bottom w:val="none" w:sz="0" w:space="0" w:color="auto"/>
                <w:right w:val="none" w:sz="0" w:space="0" w:color="auto"/>
              </w:divBdr>
            </w:div>
            <w:div w:id="354960310">
              <w:marLeft w:val="0"/>
              <w:marRight w:val="0"/>
              <w:marTop w:val="0"/>
              <w:marBottom w:val="240"/>
              <w:divBdr>
                <w:top w:val="none" w:sz="0" w:space="0" w:color="auto"/>
                <w:left w:val="none" w:sz="0" w:space="0" w:color="auto"/>
                <w:bottom w:val="none" w:sz="0" w:space="0" w:color="auto"/>
                <w:right w:val="none" w:sz="0" w:space="0" w:color="auto"/>
              </w:divBdr>
            </w:div>
            <w:div w:id="870873755">
              <w:marLeft w:val="0"/>
              <w:marRight w:val="0"/>
              <w:marTop w:val="0"/>
              <w:marBottom w:val="240"/>
              <w:divBdr>
                <w:top w:val="none" w:sz="0" w:space="0" w:color="auto"/>
                <w:left w:val="none" w:sz="0" w:space="0" w:color="auto"/>
                <w:bottom w:val="none" w:sz="0" w:space="0" w:color="auto"/>
                <w:right w:val="none" w:sz="0" w:space="0" w:color="auto"/>
              </w:divBdr>
            </w:div>
            <w:div w:id="828643574">
              <w:marLeft w:val="0"/>
              <w:marRight w:val="0"/>
              <w:marTop w:val="0"/>
              <w:marBottom w:val="240"/>
              <w:divBdr>
                <w:top w:val="none" w:sz="0" w:space="0" w:color="auto"/>
                <w:left w:val="none" w:sz="0" w:space="0" w:color="auto"/>
                <w:bottom w:val="none" w:sz="0" w:space="0" w:color="auto"/>
                <w:right w:val="none" w:sz="0" w:space="0" w:color="auto"/>
              </w:divBdr>
            </w:div>
            <w:div w:id="903368074">
              <w:marLeft w:val="0"/>
              <w:marRight w:val="0"/>
              <w:marTop w:val="0"/>
              <w:marBottom w:val="240"/>
              <w:divBdr>
                <w:top w:val="none" w:sz="0" w:space="0" w:color="auto"/>
                <w:left w:val="none" w:sz="0" w:space="0" w:color="auto"/>
                <w:bottom w:val="none" w:sz="0" w:space="0" w:color="auto"/>
                <w:right w:val="none" w:sz="0" w:space="0" w:color="auto"/>
              </w:divBdr>
            </w:div>
            <w:div w:id="933168464">
              <w:marLeft w:val="0"/>
              <w:marRight w:val="0"/>
              <w:marTop w:val="0"/>
              <w:marBottom w:val="240"/>
              <w:divBdr>
                <w:top w:val="none" w:sz="0" w:space="0" w:color="auto"/>
                <w:left w:val="none" w:sz="0" w:space="0" w:color="auto"/>
                <w:bottom w:val="none" w:sz="0" w:space="0" w:color="auto"/>
                <w:right w:val="none" w:sz="0" w:space="0" w:color="auto"/>
              </w:divBdr>
            </w:div>
            <w:div w:id="1500853351">
              <w:marLeft w:val="0"/>
              <w:marRight w:val="0"/>
              <w:marTop w:val="0"/>
              <w:marBottom w:val="240"/>
              <w:divBdr>
                <w:top w:val="none" w:sz="0" w:space="0" w:color="auto"/>
                <w:left w:val="none" w:sz="0" w:space="0" w:color="auto"/>
                <w:bottom w:val="none" w:sz="0" w:space="0" w:color="auto"/>
                <w:right w:val="none" w:sz="0" w:space="0" w:color="auto"/>
              </w:divBdr>
            </w:div>
            <w:div w:id="1585917978">
              <w:marLeft w:val="0"/>
              <w:marRight w:val="0"/>
              <w:marTop w:val="0"/>
              <w:marBottom w:val="240"/>
              <w:divBdr>
                <w:top w:val="none" w:sz="0" w:space="0" w:color="auto"/>
                <w:left w:val="none" w:sz="0" w:space="0" w:color="auto"/>
                <w:bottom w:val="none" w:sz="0" w:space="0" w:color="auto"/>
                <w:right w:val="none" w:sz="0" w:space="0" w:color="auto"/>
              </w:divBdr>
            </w:div>
            <w:div w:id="1684548451">
              <w:marLeft w:val="0"/>
              <w:marRight w:val="0"/>
              <w:marTop w:val="0"/>
              <w:marBottom w:val="240"/>
              <w:divBdr>
                <w:top w:val="none" w:sz="0" w:space="0" w:color="auto"/>
                <w:left w:val="none" w:sz="0" w:space="0" w:color="auto"/>
                <w:bottom w:val="none" w:sz="0" w:space="0" w:color="auto"/>
                <w:right w:val="none" w:sz="0" w:space="0" w:color="auto"/>
              </w:divBdr>
            </w:div>
            <w:div w:id="402997271">
              <w:marLeft w:val="0"/>
              <w:marRight w:val="0"/>
              <w:marTop w:val="0"/>
              <w:marBottom w:val="240"/>
              <w:divBdr>
                <w:top w:val="none" w:sz="0" w:space="0" w:color="auto"/>
                <w:left w:val="none" w:sz="0" w:space="0" w:color="auto"/>
                <w:bottom w:val="none" w:sz="0" w:space="0" w:color="auto"/>
                <w:right w:val="none" w:sz="0" w:space="0" w:color="auto"/>
              </w:divBdr>
            </w:div>
            <w:div w:id="138798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6213">
      <w:bodyDiv w:val="1"/>
      <w:marLeft w:val="0"/>
      <w:marRight w:val="0"/>
      <w:marTop w:val="0"/>
      <w:marBottom w:val="0"/>
      <w:divBdr>
        <w:top w:val="none" w:sz="0" w:space="0" w:color="auto"/>
        <w:left w:val="none" w:sz="0" w:space="0" w:color="auto"/>
        <w:bottom w:val="none" w:sz="0" w:space="0" w:color="auto"/>
        <w:right w:val="none" w:sz="0" w:space="0" w:color="auto"/>
      </w:divBdr>
    </w:div>
    <w:div w:id="201133789">
      <w:bodyDiv w:val="1"/>
      <w:marLeft w:val="0"/>
      <w:marRight w:val="0"/>
      <w:marTop w:val="0"/>
      <w:marBottom w:val="0"/>
      <w:divBdr>
        <w:top w:val="none" w:sz="0" w:space="0" w:color="auto"/>
        <w:left w:val="none" w:sz="0" w:space="0" w:color="auto"/>
        <w:bottom w:val="none" w:sz="0" w:space="0" w:color="auto"/>
        <w:right w:val="none" w:sz="0" w:space="0" w:color="auto"/>
      </w:divBdr>
    </w:div>
    <w:div w:id="204486748">
      <w:bodyDiv w:val="1"/>
      <w:marLeft w:val="0"/>
      <w:marRight w:val="0"/>
      <w:marTop w:val="0"/>
      <w:marBottom w:val="0"/>
      <w:divBdr>
        <w:top w:val="none" w:sz="0" w:space="0" w:color="auto"/>
        <w:left w:val="none" w:sz="0" w:space="0" w:color="auto"/>
        <w:bottom w:val="none" w:sz="0" w:space="0" w:color="auto"/>
        <w:right w:val="none" w:sz="0" w:space="0" w:color="auto"/>
      </w:divBdr>
    </w:div>
    <w:div w:id="213539618">
      <w:bodyDiv w:val="1"/>
      <w:marLeft w:val="0"/>
      <w:marRight w:val="0"/>
      <w:marTop w:val="0"/>
      <w:marBottom w:val="0"/>
      <w:divBdr>
        <w:top w:val="none" w:sz="0" w:space="0" w:color="auto"/>
        <w:left w:val="none" w:sz="0" w:space="0" w:color="auto"/>
        <w:bottom w:val="none" w:sz="0" w:space="0" w:color="auto"/>
        <w:right w:val="none" w:sz="0" w:space="0" w:color="auto"/>
      </w:divBdr>
    </w:div>
    <w:div w:id="224144184">
      <w:bodyDiv w:val="1"/>
      <w:marLeft w:val="0"/>
      <w:marRight w:val="0"/>
      <w:marTop w:val="0"/>
      <w:marBottom w:val="0"/>
      <w:divBdr>
        <w:top w:val="none" w:sz="0" w:space="0" w:color="auto"/>
        <w:left w:val="none" w:sz="0" w:space="0" w:color="auto"/>
        <w:bottom w:val="none" w:sz="0" w:space="0" w:color="auto"/>
        <w:right w:val="none" w:sz="0" w:space="0" w:color="auto"/>
      </w:divBdr>
    </w:div>
    <w:div w:id="240139064">
      <w:bodyDiv w:val="1"/>
      <w:marLeft w:val="0"/>
      <w:marRight w:val="0"/>
      <w:marTop w:val="0"/>
      <w:marBottom w:val="0"/>
      <w:divBdr>
        <w:top w:val="none" w:sz="0" w:space="0" w:color="auto"/>
        <w:left w:val="none" w:sz="0" w:space="0" w:color="auto"/>
        <w:bottom w:val="none" w:sz="0" w:space="0" w:color="auto"/>
        <w:right w:val="none" w:sz="0" w:space="0" w:color="auto"/>
      </w:divBdr>
    </w:div>
    <w:div w:id="246499413">
      <w:bodyDiv w:val="1"/>
      <w:marLeft w:val="0"/>
      <w:marRight w:val="0"/>
      <w:marTop w:val="0"/>
      <w:marBottom w:val="0"/>
      <w:divBdr>
        <w:top w:val="none" w:sz="0" w:space="0" w:color="auto"/>
        <w:left w:val="none" w:sz="0" w:space="0" w:color="auto"/>
        <w:bottom w:val="none" w:sz="0" w:space="0" w:color="auto"/>
        <w:right w:val="none" w:sz="0" w:space="0" w:color="auto"/>
      </w:divBdr>
      <w:divsChild>
        <w:div w:id="1609310808">
          <w:marLeft w:val="480"/>
          <w:marRight w:val="0"/>
          <w:marTop w:val="0"/>
          <w:marBottom w:val="0"/>
          <w:divBdr>
            <w:top w:val="none" w:sz="0" w:space="0" w:color="auto"/>
            <w:left w:val="none" w:sz="0" w:space="0" w:color="auto"/>
            <w:bottom w:val="none" w:sz="0" w:space="0" w:color="auto"/>
            <w:right w:val="none" w:sz="0" w:space="0" w:color="auto"/>
          </w:divBdr>
          <w:divsChild>
            <w:div w:id="825897192">
              <w:marLeft w:val="0"/>
              <w:marRight w:val="0"/>
              <w:marTop w:val="0"/>
              <w:marBottom w:val="240"/>
              <w:divBdr>
                <w:top w:val="none" w:sz="0" w:space="0" w:color="auto"/>
                <w:left w:val="none" w:sz="0" w:space="0" w:color="auto"/>
                <w:bottom w:val="none" w:sz="0" w:space="0" w:color="auto"/>
                <w:right w:val="none" w:sz="0" w:space="0" w:color="auto"/>
              </w:divBdr>
            </w:div>
            <w:div w:id="1386875407">
              <w:marLeft w:val="0"/>
              <w:marRight w:val="0"/>
              <w:marTop w:val="0"/>
              <w:marBottom w:val="240"/>
              <w:divBdr>
                <w:top w:val="none" w:sz="0" w:space="0" w:color="auto"/>
                <w:left w:val="none" w:sz="0" w:space="0" w:color="auto"/>
                <w:bottom w:val="none" w:sz="0" w:space="0" w:color="auto"/>
                <w:right w:val="none" w:sz="0" w:space="0" w:color="auto"/>
              </w:divBdr>
            </w:div>
            <w:div w:id="1617642355">
              <w:marLeft w:val="0"/>
              <w:marRight w:val="0"/>
              <w:marTop w:val="0"/>
              <w:marBottom w:val="240"/>
              <w:divBdr>
                <w:top w:val="none" w:sz="0" w:space="0" w:color="auto"/>
                <w:left w:val="none" w:sz="0" w:space="0" w:color="auto"/>
                <w:bottom w:val="none" w:sz="0" w:space="0" w:color="auto"/>
                <w:right w:val="none" w:sz="0" w:space="0" w:color="auto"/>
              </w:divBdr>
            </w:div>
            <w:div w:id="485777837">
              <w:marLeft w:val="0"/>
              <w:marRight w:val="0"/>
              <w:marTop w:val="0"/>
              <w:marBottom w:val="240"/>
              <w:divBdr>
                <w:top w:val="none" w:sz="0" w:space="0" w:color="auto"/>
                <w:left w:val="none" w:sz="0" w:space="0" w:color="auto"/>
                <w:bottom w:val="none" w:sz="0" w:space="0" w:color="auto"/>
                <w:right w:val="none" w:sz="0" w:space="0" w:color="auto"/>
              </w:divBdr>
            </w:div>
            <w:div w:id="1051922627">
              <w:marLeft w:val="0"/>
              <w:marRight w:val="0"/>
              <w:marTop w:val="0"/>
              <w:marBottom w:val="240"/>
              <w:divBdr>
                <w:top w:val="none" w:sz="0" w:space="0" w:color="auto"/>
                <w:left w:val="none" w:sz="0" w:space="0" w:color="auto"/>
                <w:bottom w:val="none" w:sz="0" w:space="0" w:color="auto"/>
                <w:right w:val="none" w:sz="0" w:space="0" w:color="auto"/>
              </w:divBdr>
            </w:div>
            <w:div w:id="345983112">
              <w:marLeft w:val="0"/>
              <w:marRight w:val="0"/>
              <w:marTop w:val="0"/>
              <w:marBottom w:val="240"/>
              <w:divBdr>
                <w:top w:val="none" w:sz="0" w:space="0" w:color="auto"/>
                <w:left w:val="none" w:sz="0" w:space="0" w:color="auto"/>
                <w:bottom w:val="none" w:sz="0" w:space="0" w:color="auto"/>
                <w:right w:val="none" w:sz="0" w:space="0" w:color="auto"/>
              </w:divBdr>
            </w:div>
            <w:div w:id="885995462">
              <w:marLeft w:val="0"/>
              <w:marRight w:val="0"/>
              <w:marTop w:val="0"/>
              <w:marBottom w:val="240"/>
              <w:divBdr>
                <w:top w:val="none" w:sz="0" w:space="0" w:color="auto"/>
                <w:left w:val="none" w:sz="0" w:space="0" w:color="auto"/>
                <w:bottom w:val="none" w:sz="0" w:space="0" w:color="auto"/>
                <w:right w:val="none" w:sz="0" w:space="0" w:color="auto"/>
              </w:divBdr>
            </w:div>
            <w:div w:id="1044789112">
              <w:marLeft w:val="0"/>
              <w:marRight w:val="0"/>
              <w:marTop w:val="0"/>
              <w:marBottom w:val="240"/>
              <w:divBdr>
                <w:top w:val="none" w:sz="0" w:space="0" w:color="auto"/>
                <w:left w:val="none" w:sz="0" w:space="0" w:color="auto"/>
                <w:bottom w:val="none" w:sz="0" w:space="0" w:color="auto"/>
                <w:right w:val="none" w:sz="0" w:space="0" w:color="auto"/>
              </w:divBdr>
            </w:div>
            <w:div w:id="188682994">
              <w:marLeft w:val="0"/>
              <w:marRight w:val="0"/>
              <w:marTop w:val="0"/>
              <w:marBottom w:val="240"/>
              <w:divBdr>
                <w:top w:val="none" w:sz="0" w:space="0" w:color="auto"/>
                <w:left w:val="none" w:sz="0" w:space="0" w:color="auto"/>
                <w:bottom w:val="none" w:sz="0" w:space="0" w:color="auto"/>
                <w:right w:val="none" w:sz="0" w:space="0" w:color="auto"/>
              </w:divBdr>
            </w:div>
            <w:div w:id="1476488356">
              <w:marLeft w:val="0"/>
              <w:marRight w:val="0"/>
              <w:marTop w:val="0"/>
              <w:marBottom w:val="240"/>
              <w:divBdr>
                <w:top w:val="none" w:sz="0" w:space="0" w:color="auto"/>
                <w:left w:val="none" w:sz="0" w:space="0" w:color="auto"/>
                <w:bottom w:val="none" w:sz="0" w:space="0" w:color="auto"/>
                <w:right w:val="none" w:sz="0" w:space="0" w:color="auto"/>
              </w:divBdr>
            </w:div>
            <w:div w:id="2081555652">
              <w:marLeft w:val="0"/>
              <w:marRight w:val="0"/>
              <w:marTop w:val="0"/>
              <w:marBottom w:val="240"/>
              <w:divBdr>
                <w:top w:val="none" w:sz="0" w:space="0" w:color="auto"/>
                <w:left w:val="none" w:sz="0" w:space="0" w:color="auto"/>
                <w:bottom w:val="none" w:sz="0" w:space="0" w:color="auto"/>
                <w:right w:val="none" w:sz="0" w:space="0" w:color="auto"/>
              </w:divBdr>
            </w:div>
            <w:div w:id="1673947754">
              <w:marLeft w:val="0"/>
              <w:marRight w:val="0"/>
              <w:marTop w:val="0"/>
              <w:marBottom w:val="240"/>
              <w:divBdr>
                <w:top w:val="none" w:sz="0" w:space="0" w:color="auto"/>
                <w:left w:val="none" w:sz="0" w:space="0" w:color="auto"/>
                <w:bottom w:val="none" w:sz="0" w:space="0" w:color="auto"/>
                <w:right w:val="none" w:sz="0" w:space="0" w:color="auto"/>
              </w:divBdr>
            </w:div>
            <w:div w:id="288123283">
              <w:marLeft w:val="0"/>
              <w:marRight w:val="0"/>
              <w:marTop w:val="0"/>
              <w:marBottom w:val="240"/>
              <w:divBdr>
                <w:top w:val="none" w:sz="0" w:space="0" w:color="auto"/>
                <w:left w:val="none" w:sz="0" w:space="0" w:color="auto"/>
                <w:bottom w:val="none" w:sz="0" w:space="0" w:color="auto"/>
                <w:right w:val="none" w:sz="0" w:space="0" w:color="auto"/>
              </w:divBdr>
            </w:div>
            <w:div w:id="1469516772">
              <w:marLeft w:val="0"/>
              <w:marRight w:val="0"/>
              <w:marTop w:val="0"/>
              <w:marBottom w:val="240"/>
              <w:divBdr>
                <w:top w:val="none" w:sz="0" w:space="0" w:color="auto"/>
                <w:left w:val="none" w:sz="0" w:space="0" w:color="auto"/>
                <w:bottom w:val="none" w:sz="0" w:space="0" w:color="auto"/>
                <w:right w:val="none" w:sz="0" w:space="0" w:color="auto"/>
              </w:divBdr>
            </w:div>
            <w:div w:id="925458320">
              <w:marLeft w:val="0"/>
              <w:marRight w:val="0"/>
              <w:marTop w:val="0"/>
              <w:marBottom w:val="240"/>
              <w:divBdr>
                <w:top w:val="none" w:sz="0" w:space="0" w:color="auto"/>
                <w:left w:val="none" w:sz="0" w:space="0" w:color="auto"/>
                <w:bottom w:val="none" w:sz="0" w:space="0" w:color="auto"/>
                <w:right w:val="none" w:sz="0" w:space="0" w:color="auto"/>
              </w:divBdr>
            </w:div>
            <w:div w:id="787628421">
              <w:marLeft w:val="0"/>
              <w:marRight w:val="0"/>
              <w:marTop w:val="0"/>
              <w:marBottom w:val="240"/>
              <w:divBdr>
                <w:top w:val="none" w:sz="0" w:space="0" w:color="auto"/>
                <w:left w:val="none" w:sz="0" w:space="0" w:color="auto"/>
                <w:bottom w:val="none" w:sz="0" w:space="0" w:color="auto"/>
                <w:right w:val="none" w:sz="0" w:space="0" w:color="auto"/>
              </w:divBdr>
            </w:div>
            <w:div w:id="549848363">
              <w:marLeft w:val="0"/>
              <w:marRight w:val="0"/>
              <w:marTop w:val="0"/>
              <w:marBottom w:val="240"/>
              <w:divBdr>
                <w:top w:val="none" w:sz="0" w:space="0" w:color="auto"/>
                <w:left w:val="none" w:sz="0" w:space="0" w:color="auto"/>
                <w:bottom w:val="none" w:sz="0" w:space="0" w:color="auto"/>
                <w:right w:val="none" w:sz="0" w:space="0" w:color="auto"/>
              </w:divBdr>
            </w:div>
            <w:div w:id="1333412325">
              <w:marLeft w:val="0"/>
              <w:marRight w:val="0"/>
              <w:marTop w:val="0"/>
              <w:marBottom w:val="240"/>
              <w:divBdr>
                <w:top w:val="none" w:sz="0" w:space="0" w:color="auto"/>
                <w:left w:val="none" w:sz="0" w:space="0" w:color="auto"/>
                <w:bottom w:val="none" w:sz="0" w:space="0" w:color="auto"/>
                <w:right w:val="none" w:sz="0" w:space="0" w:color="auto"/>
              </w:divBdr>
            </w:div>
            <w:div w:id="426391497">
              <w:marLeft w:val="0"/>
              <w:marRight w:val="0"/>
              <w:marTop w:val="0"/>
              <w:marBottom w:val="240"/>
              <w:divBdr>
                <w:top w:val="none" w:sz="0" w:space="0" w:color="auto"/>
                <w:left w:val="none" w:sz="0" w:space="0" w:color="auto"/>
                <w:bottom w:val="none" w:sz="0" w:space="0" w:color="auto"/>
                <w:right w:val="none" w:sz="0" w:space="0" w:color="auto"/>
              </w:divBdr>
            </w:div>
            <w:div w:id="611977860">
              <w:marLeft w:val="0"/>
              <w:marRight w:val="0"/>
              <w:marTop w:val="0"/>
              <w:marBottom w:val="240"/>
              <w:divBdr>
                <w:top w:val="none" w:sz="0" w:space="0" w:color="auto"/>
                <w:left w:val="none" w:sz="0" w:space="0" w:color="auto"/>
                <w:bottom w:val="none" w:sz="0" w:space="0" w:color="auto"/>
                <w:right w:val="none" w:sz="0" w:space="0" w:color="auto"/>
              </w:divBdr>
            </w:div>
            <w:div w:id="2089573384">
              <w:marLeft w:val="0"/>
              <w:marRight w:val="0"/>
              <w:marTop w:val="0"/>
              <w:marBottom w:val="240"/>
              <w:divBdr>
                <w:top w:val="none" w:sz="0" w:space="0" w:color="auto"/>
                <w:left w:val="none" w:sz="0" w:space="0" w:color="auto"/>
                <w:bottom w:val="none" w:sz="0" w:space="0" w:color="auto"/>
                <w:right w:val="none" w:sz="0" w:space="0" w:color="auto"/>
              </w:divBdr>
            </w:div>
            <w:div w:id="1311980457">
              <w:marLeft w:val="0"/>
              <w:marRight w:val="0"/>
              <w:marTop w:val="0"/>
              <w:marBottom w:val="240"/>
              <w:divBdr>
                <w:top w:val="none" w:sz="0" w:space="0" w:color="auto"/>
                <w:left w:val="none" w:sz="0" w:space="0" w:color="auto"/>
                <w:bottom w:val="none" w:sz="0" w:space="0" w:color="auto"/>
                <w:right w:val="none" w:sz="0" w:space="0" w:color="auto"/>
              </w:divBdr>
            </w:div>
            <w:div w:id="1755472813">
              <w:marLeft w:val="0"/>
              <w:marRight w:val="0"/>
              <w:marTop w:val="0"/>
              <w:marBottom w:val="240"/>
              <w:divBdr>
                <w:top w:val="none" w:sz="0" w:space="0" w:color="auto"/>
                <w:left w:val="none" w:sz="0" w:space="0" w:color="auto"/>
                <w:bottom w:val="none" w:sz="0" w:space="0" w:color="auto"/>
                <w:right w:val="none" w:sz="0" w:space="0" w:color="auto"/>
              </w:divBdr>
            </w:div>
            <w:div w:id="2137261799">
              <w:marLeft w:val="0"/>
              <w:marRight w:val="0"/>
              <w:marTop w:val="0"/>
              <w:marBottom w:val="240"/>
              <w:divBdr>
                <w:top w:val="none" w:sz="0" w:space="0" w:color="auto"/>
                <w:left w:val="none" w:sz="0" w:space="0" w:color="auto"/>
                <w:bottom w:val="none" w:sz="0" w:space="0" w:color="auto"/>
                <w:right w:val="none" w:sz="0" w:space="0" w:color="auto"/>
              </w:divBdr>
            </w:div>
            <w:div w:id="1530952577">
              <w:marLeft w:val="0"/>
              <w:marRight w:val="0"/>
              <w:marTop w:val="0"/>
              <w:marBottom w:val="240"/>
              <w:divBdr>
                <w:top w:val="none" w:sz="0" w:space="0" w:color="auto"/>
                <w:left w:val="none" w:sz="0" w:space="0" w:color="auto"/>
                <w:bottom w:val="none" w:sz="0" w:space="0" w:color="auto"/>
                <w:right w:val="none" w:sz="0" w:space="0" w:color="auto"/>
              </w:divBdr>
            </w:div>
            <w:div w:id="827669284">
              <w:marLeft w:val="0"/>
              <w:marRight w:val="0"/>
              <w:marTop w:val="0"/>
              <w:marBottom w:val="240"/>
              <w:divBdr>
                <w:top w:val="none" w:sz="0" w:space="0" w:color="auto"/>
                <w:left w:val="none" w:sz="0" w:space="0" w:color="auto"/>
                <w:bottom w:val="none" w:sz="0" w:space="0" w:color="auto"/>
                <w:right w:val="none" w:sz="0" w:space="0" w:color="auto"/>
              </w:divBdr>
            </w:div>
            <w:div w:id="1733045016">
              <w:marLeft w:val="0"/>
              <w:marRight w:val="0"/>
              <w:marTop w:val="0"/>
              <w:marBottom w:val="240"/>
              <w:divBdr>
                <w:top w:val="none" w:sz="0" w:space="0" w:color="auto"/>
                <w:left w:val="none" w:sz="0" w:space="0" w:color="auto"/>
                <w:bottom w:val="none" w:sz="0" w:space="0" w:color="auto"/>
                <w:right w:val="none" w:sz="0" w:space="0" w:color="auto"/>
              </w:divBdr>
            </w:div>
            <w:div w:id="1172725464">
              <w:marLeft w:val="0"/>
              <w:marRight w:val="0"/>
              <w:marTop w:val="0"/>
              <w:marBottom w:val="240"/>
              <w:divBdr>
                <w:top w:val="none" w:sz="0" w:space="0" w:color="auto"/>
                <w:left w:val="none" w:sz="0" w:space="0" w:color="auto"/>
                <w:bottom w:val="none" w:sz="0" w:space="0" w:color="auto"/>
                <w:right w:val="none" w:sz="0" w:space="0" w:color="auto"/>
              </w:divBdr>
            </w:div>
            <w:div w:id="675036592">
              <w:marLeft w:val="0"/>
              <w:marRight w:val="0"/>
              <w:marTop w:val="0"/>
              <w:marBottom w:val="240"/>
              <w:divBdr>
                <w:top w:val="none" w:sz="0" w:space="0" w:color="auto"/>
                <w:left w:val="none" w:sz="0" w:space="0" w:color="auto"/>
                <w:bottom w:val="none" w:sz="0" w:space="0" w:color="auto"/>
                <w:right w:val="none" w:sz="0" w:space="0" w:color="auto"/>
              </w:divBdr>
            </w:div>
            <w:div w:id="278682987">
              <w:marLeft w:val="0"/>
              <w:marRight w:val="0"/>
              <w:marTop w:val="0"/>
              <w:marBottom w:val="240"/>
              <w:divBdr>
                <w:top w:val="none" w:sz="0" w:space="0" w:color="auto"/>
                <w:left w:val="none" w:sz="0" w:space="0" w:color="auto"/>
                <w:bottom w:val="none" w:sz="0" w:space="0" w:color="auto"/>
                <w:right w:val="none" w:sz="0" w:space="0" w:color="auto"/>
              </w:divBdr>
            </w:div>
            <w:div w:id="1894581701">
              <w:marLeft w:val="0"/>
              <w:marRight w:val="0"/>
              <w:marTop w:val="0"/>
              <w:marBottom w:val="240"/>
              <w:divBdr>
                <w:top w:val="none" w:sz="0" w:space="0" w:color="auto"/>
                <w:left w:val="none" w:sz="0" w:space="0" w:color="auto"/>
                <w:bottom w:val="none" w:sz="0" w:space="0" w:color="auto"/>
                <w:right w:val="none" w:sz="0" w:space="0" w:color="auto"/>
              </w:divBdr>
            </w:div>
            <w:div w:id="1510489249">
              <w:marLeft w:val="0"/>
              <w:marRight w:val="0"/>
              <w:marTop w:val="0"/>
              <w:marBottom w:val="240"/>
              <w:divBdr>
                <w:top w:val="none" w:sz="0" w:space="0" w:color="auto"/>
                <w:left w:val="none" w:sz="0" w:space="0" w:color="auto"/>
                <w:bottom w:val="none" w:sz="0" w:space="0" w:color="auto"/>
                <w:right w:val="none" w:sz="0" w:space="0" w:color="auto"/>
              </w:divBdr>
            </w:div>
            <w:div w:id="411507239">
              <w:marLeft w:val="0"/>
              <w:marRight w:val="0"/>
              <w:marTop w:val="0"/>
              <w:marBottom w:val="240"/>
              <w:divBdr>
                <w:top w:val="none" w:sz="0" w:space="0" w:color="auto"/>
                <w:left w:val="none" w:sz="0" w:space="0" w:color="auto"/>
                <w:bottom w:val="none" w:sz="0" w:space="0" w:color="auto"/>
                <w:right w:val="none" w:sz="0" w:space="0" w:color="auto"/>
              </w:divBdr>
            </w:div>
            <w:div w:id="1354957074">
              <w:marLeft w:val="0"/>
              <w:marRight w:val="0"/>
              <w:marTop w:val="0"/>
              <w:marBottom w:val="240"/>
              <w:divBdr>
                <w:top w:val="none" w:sz="0" w:space="0" w:color="auto"/>
                <w:left w:val="none" w:sz="0" w:space="0" w:color="auto"/>
                <w:bottom w:val="none" w:sz="0" w:space="0" w:color="auto"/>
                <w:right w:val="none" w:sz="0" w:space="0" w:color="auto"/>
              </w:divBdr>
            </w:div>
            <w:div w:id="609972755">
              <w:marLeft w:val="0"/>
              <w:marRight w:val="0"/>
              <w:marTop w:val="0"/>
              <w:marBottom w:val="240"/>
              <w:divBdr>
                <w:top w:val="none" w:sz="0" w:space="0" w:color="auto"/>
                <w:left w:val="none" w:sz="0" w:space="0" w:color="auto"/>
                <w:bottom w:val="none" w:sz="0" w:space="0" w:color="auto"/>
                <w:right w:val="none" w:sz="0" w:space="0" w:color="auto"/>
              </w:divBdr>
            </w:div>
            <w:div w:id="1649093765">
              <w:marLeft w:val="0"/>
              <w:marRight w:val="0"/>
              <w:marTop w:val="0"/>
              <w:marBottom w:val="240"/>
              <w:divBdr>
                <w:top w:val="none" w:sz="0" w:space="0" w:color="auto"/>
                <w:left w:val="none" w:sz="0" w:space="0" w:color="auto"/>
                <w:bottom w:val="none" w:sz="0" w:space="0" w:color="auto"/>
                <w:right w:val="none" w:sz="0" w:space="0" w:color="auto"/>
              </w:divBdr>
            </w:div>
            <w:div w:id="2060855809">
              <w:marLeft w:val="0"/>
              <w:marRight w:val="0"/>
              <w:marTop w:val="0"/>
              <w:marBottom w:val="240"/>
              <w:divBdr>
                <w:top w:val="none" w:sz="0" w:space="0" w:color="auto"/>
                <w:left w:val="none" w:sz="0" w:space="0" w:color="auto"/>
                <w:bottom w:val="none" w:sz="0" w:space="0" w:color="auto"/>
                <w:right w:val="none" w:sz="0" w:space="0" w:color="auto"/>
              </w:divBdr>
            </w:div>
            <w:div w:id="1932617038">
              <w:marLeft w:val="0"/>
              <w:marRight w:val="0"/>
              <w:marTop w:val="0"/>
              <w:marBottom w:val="240"/>
              <w:divBdr>
                <w:top w:val="none" w:sz="0" w:space="0" w:color="auto"/>
                <w:left w:val="none" w:sz="0" w:space="0" w:color="auto"/>
                <w:bottom w:val="none" w:sz="0" w:space="0" w:color="auto"/>
                <w:right w:val="none" w:sz="0" w:space="0" w:color="auto"/>
              </w:divBdr>
            </w:div>
            <w:div w:id="2065178406">
              <w:marLeft w:val="0"/>
              <w:marRight w:val="0"/>
              <w:marTop w:val="0"/>
              <w:marBottom w:val="240"/>
              <w:divBdr>
                <w:top w:val="none" w:sz="0" w:space="0" w:color="auto"/>
                <w:left w:val="none" w:sz="0" w:space="0" w:color="auto"/>
                <w:bottom w:val="none" w:sz="0" w:space="0" w:color="auto"/>
                <w:right w:val="none" w:sz="0" w:space="0" w:color="auto"/>
              </w:divBdr>
            </w:div>
            <w:div w:id="395209470">
              <w:marLeft w:val="0"/>
              <w:marRight w:val="0"/>
              <w:marTop w:val="0"/>
              <w:marBottom w:val="240"/>
              <w:divBdr>
                <w:top w:val="none" w:sz="0" w:space="0" w:color="auto"/>
                <w:left w:val="none" w:sz="0" w:space="0" w:color="auto"/>
                <w:bottom w:val="none" w:sz="0" w:space="0" w:color="auto"/>
                <w:right w:val="none" w:sz="0" w:space="0" w:color="auto"/>
              </w:divBdr>
            </w:div>
            <w:div w:id="847599787">
              <w:marLeft w:val="0"/>
              <w:marRight w:val="0"/>
              <w:marTop w:val="0"/>
              <w:marBottom w:val="240"/>
              <w:divBdr>
                <w:top w:val="none" w:sz="0" w:space="0" w:color="auto"/>
                <w:left w:val="none" w:sz="0" w:space="0" w:color="auto"/>
                <w:bottom w:val="none" w:sz="0" w:space="0" w:color="auto"/>
                <w:right w:val="none" w:sz="0" w:space="0" w:color="auto"/>
              </w:divBdr>
            </w:div>
            <w:div w:id="1251811831">
              <w:marLeft w:val="0"/>
              <w:marRight w:val="0"/>
              <w:marTop w:val="0"/>
              <w:marBottom w:val="240"/>
              <w:divBdr>
                <w:top w:val="none" w:sz="0" w:space="0" w:color="auto"/>
                <w:left w:val="none" w:sz="0" w:space="0" w:color="auto"/>
                <w:bottom w:val="none" w:sz="0" w:space="0" w:color="auto"/>
                <w:right w:val="none" w:sz="0" w:space="0" w:color="auto"/>
              </w:divBdr>
            </w:div>
            <w:div w:id="431097268">
              <w:marLeft w:val="0"/>
              <w:marRight w:val="0"/>
              <w:marTop w:val="0"/>
              <w:marBottom w:val="240"/>
              <w:divBdr>
                <w:top w:val="none" w:sz="0" w:space="0" w:color="auto"/>
                <w:left w:val="none" w:sz="0" w:space="0" w:color="auto"/>
                <w:bottom w:val="none" w:sz="0" w:space="0" w:color="auto"/>
                <w:right w:val="none" w:sz="0" w:space="0" w:color="auto"/>
              </w:divBdr>
            </w:div>
            <w:div w:id="1428572606">
              <w:marLeft w:val="0"/>
              <w:marRight w:val="0"/>
              <w:marTop w:val="0"/>
              <w:marBottom w:val="240"/>
              <w:divBdr>
                <w:top w:val="none" w:sz="0" w:space="0" w:color="auto"/>
                <w:left w:val="none" w:sz="0" w:space="0" w:color="auto"/>
                <w:bottom w:val="none" w:sz="0" w:space="0" w:color="auto"/>
                <w:right w:val="none" w:sz="0" w:space="0" w:color="auto"/>
              </w:divBdr>
            </w:div>
            <w:div w:id="652105816">
              <w:marLeft w:val="0"/>
              <w:marRight w:val="0"/>
              <w:marTop w:val="0"/>
              <w:marBottom w:val="240"/>
              <w:divBdr>
                <w:top w:val="none" w:sz="0" w:space="0" w:color="auto"/>
                <w:left w:val="none" w:sz="0" w:space="0" w:color="auto"/>
                <w:bottom w:val="none" w:sz="0" w:space="0" w:color="auto"/>
                <w:right w:val="none" w:sz="0" w:space="0" w:color="auto"/>
              </w:divBdr>
            </w:div>
            <w:div w:id="1014843266">
              <w:marLeft w:val="0"/>
              <w:marRight w:val="0"/>
              <w:marTop w:val="0"/>
              <w:marBottom w:val="240"/>
              <w:divBdr>
                <w:top w:val="none" w:sz="0" w:space="0" w:color="auto"/>
                <w:left w:val="none" w:sz="0" w:space="0" w:color="auto"/>
                <w:bottom w:val="none" w:sz="0" w:space="0" w:color="auto"/>
                <w:right w:val="none" w:sz="0" w:space="0" w:color="auto"/>
              </w:divBdr>
            </w:div>
            <w:div w:id="1751196686">
              <w:marLeft w:val="0"/>
              <w:marRight w:val="0"/>
              <w:marTop w:val="0"/>
              <w:marBottom w:val="240"/>
              <w:divBdr>
                <w:top w:val="none" w:sz="0" w:space="0" w:color="auto"/>
                <w:left w:val="none" w:sz="0" w:space="0" w:color="auto"/>
                <w:bottom w:val="none" w:sz="0" w:space="0" w:color="auto"/>
                <w:right w:val="none" w:sz="0" w:space="0" w:color="auto"/>
              </w:divBdr>
            </w:div>
            <w:div w:id="804466932">
              <w:marLeft w:val="0"/>
              <w:marRight w:val="0"/>
              <w:marTop w:val="0"/>
              <w:marBottom w:val="240"/>
              <w:divBdr>
                <w:top w:val="none" w:sz="0" w:space="0" w:color="auto"/>
                <w:left w:val="none" w:sz="0" w:space="0" w:color="auto"/>
                <w:bottom w:val="none" w:sz="0" w:space="0" w:color="auto"/>
                <w:right w:val="none" w:sz="0" w:space="0" w:color="auto"/>
              </w:divBdr>
            </w:div>
            <w:div w:id="299188757">
              <w:marLeft w:val="0"/>
              <w:marRight w:val="0"/>
              <w:marTop w:val="0"/>
              <w:marBottom w:val="240"/>
              <w:divBdr>
                <w:top w:val="none" w:sz="0" w:space="0" w:color="auto"/>
                <w:left w:val="none" w:sz="0" w:space="0" w:color="auto"/>
                <w:bottom w:val="none" w:sz="0" w:space="0" w:color="auto"/>
                <w:right w:val="none" w:sz="0" w:space="0" w:color="auto"/>
              </w:divBdr>
            </w:div>
            <w:div w:id="978536985">
              <w:marLeft w:val="0"/>
              <w:marRight w:val="0"/>
              <w:marTop w:val="0"/>
              <w:marBottom w:val="240"/>
              <w:divBdr>
                <w:top w:val="none" w:sz="0" w:space="0" w:color="auto"/>
                <w:left w:val="none" w:sz="0" w:space="0" w:color="auto"/>
                <w:bottom w:val="none" w:sz="0" w:space="0" w:color="auto"/>
                <w:right w:val="none" w:sz="0" w:space="0" w:color="auto"/>
              </w:divBdr>
            </w:div>
            <w:div w:id="1030453913">
              <w:marLeft w:val="0"/>
              <w:marRight w:val="0"/>
              <w:marTop w:val="0"/>
              <w:marBottom w:val="240"/>
              <w:divBdr>
                <w:top w:val="none" w:sz="0" w:space="0" w:color="auto"/>
                <w:left w:val="none" w:sz="0" w:space="0" w:color="auto"/>
                <w:bottom w:val="none" w:sz="0" w:space="0" w:color="auto"/>
                <w:right w:val="none" w:sz="0" w:space="0" w:color="auto"/>
              </w:divBdr>
            </w:div>
            <w:div w:id="2054885417">
              <w:marLeft w:val="0"/>
              <w:marRight w:val="0"/>
              <w:marTop w:val="0"/>
              <w:marBottom w:val="240"/>
              <w:divBdr>
                <w:top w:val="none" w:sz="0" w:space="0" w:color="auto"/>
                <w:left w:val="none" w:sz="0" w:space="0" w:color="auto"/>
                <w:bottom w:val="none" w:sz="0" w:space="0" w:color="auto"/>
                <w:right w:val="none" w:sz="0" w:space="0" w:color="auto"/>
              </w:divBdr>
            </w:div>
            <w:div w:id="325017641">
              <w:marLeft w:val="0"/>
              <w:marRight w:val="0"/>
              <w:marTop w:val="0"/>
              <w:marBottom w:val="240"/>
              <w:divBdr>
                <w:top w:val="none" w:sz="0" w:space="0" w:color="auto"/>
                <w:left w:val="none" w:sz="0" w:space="0" w:color="auto"/>
                <w:bottom w:val="none" w:sz="0" w:space="0" w:color="auto"/>
                <w:right w:val="none" w:sz="0" w:space="0" w:color="auto"/>
              </w:divBdr>
            </w:div>
            <w:div w:id="473760500">
              <w:marLeft w:val="0"/>
              <w:marRight w:val="0"/>
              <w:marTop w:val="0"/>
              <w:marBottom w:val="240"/>
              <w:divBdr>
                <w:top w:val="none" w:sz="0" w:space="0" w:color="auto"/>
                <w:left w:val="none" w:sz="0" w:space="0" w:color="auto"/>
                <w:bottom w:val="none" w:sz="0" w:space="0" w:color="auto"/>
                <w:right w:val="none" w:sz="0" w:space="0" w:color="auto"/>
              </w:divBdr>
            </w:div>
            <w:div w:id="1554346669">
              <w:marLeft w:val="0"/>
              <w:marRight w:val="0"/>
              <w:marTop w:val="0"/>
              <w:marBottom w:val="240"/>
              <w:divBdr>
                <w:top w:val="none" w:sz="0" w:space="0" w:color="auto"/>
                <w:left w:val="none" w:sz="0" w:space="0" w:color="auto"/>
                <w:bottom w:val="none" w:sz="0" w:space="0" w:color="auto"/>
                <w:right w:val="none" w:sz="0" w:space="0" w:color="auto"/>
              </w:divBdr>
            </w:div>
            <w:div w:id="267087211">
              <w:marLeft w:val="0"/>
              <w:marRight w:val="0"/>
              <w:marTop w:val="0"/>
              <w:marBottom w:val="240"/>
              <w:divBdr>
                <w:top w:val="none" w:sz="0" w:space="0" w:color="auto"/>
                <w:left w:val="none" w:sz="0" w:space="0" w:color="auto"/>
                <w:bottom w:val="none" w:sz="0" w:space="0" w:color="auto"/>
                <w:right w:val="none" w:sz="0" w:space="0" w:color="auto"/>
              </w:divBdr>
            </w:div>
            <w:div w:id="967007167">
              <w:marLeft w:val="0"/>
              <w:marRight w:val="0"/>
              <w:marTop w:val="0"/>
              <w:marBottom w:val="240"/>
              <w:divBdr>
                <w:top w:val="none" w:sz="0" w:space="0" w:color="auto"/>
                <w:left w:val="none" w:sz="0" w:space="0" w:color="auto"/>
                <w:bottom w:val="none" w:sz="0" w:space="0" w:color="auto"/>
                <w:right w:val="none" w:sz="0" w:space="0" w:color="auto"/>
              </w:divBdr>
            </w:div>
            <w:div w:id="1186478679">
              <w:marLeft w:val="0"/>
              <w:marRight w:val="0"/>
              <w:marTop w:val="0"/>
              <w:marBottom w:val="240"/>
              <w:divBdr>
                <w:top w:val="none" w:sz="0" w:space="0" w:color="auto"/>
                <w:left w:val="none" w:sz="0" w:space="0" w:color="auto"/>
                <w:bottom w:val="none" w:sz="0" w:space="0" w:color="auto"/>
                <w:right w:val="none" w:sz="0" w:space="0" w:color="auto"/>
              </w:divBdr>
            </w:div>
            <w:div w:id="1020469173">
              <w:marLeft w:val="0"/>
              <w:marRight w:val="0"/>
              <w:marTop w:val="0"/>
              <w:marBottom w:val="240"/>
              <w:divBdr>
                <w:top w:val="none" w:sz="0" w:space="0" w:color="auto"/>
                <w:left w:val="none" w:sz="0" w:space="0" w:color="auto"/>
                <w:bottom w:val="none" w:sz="0" w:space="0" w:color="auto"/>
                <w:right w:val="none" w:sz="0" w:space="0" w:color="auto"/>
              </w:divBdr>
            </w:div>
            <w:div w:id="1770421746">
              <w:marLeft w:val="0"/>
              <w:marRight w:val="0"/>
              <w:marTop w:val="0"/>
              <w:marBottom w:val="240"/>
              <w:divBdr>
                <w:top w:val="none" w:sz="0" w:space="0" w:color="auto"/>
                <w:left w:val="none" w:sz="0" w:space="0" w:color="auto"/>
                <w:bottom w:val="none" w:sz="0" w:space="0" w:color="auto"/>
                <w:right w:val="none" w:sz="0" w:space="0" w:color="auto"/>
              </w:divBdr>
            </w:div>
            <w:div w:id="1368993117">
              <w:marLeft w:val="0"/>
              <w:marRight w:val="0"/>
              <w:marTop w:val="0"/>
              <w:marBottom w:val="240"/>
              <w:divBdr>
                <w:top w:val="none" w:sz="0" w:space="0" w:color="auto"/>
                <w:left w:val="none" w:sz="0" w:space="0" w:color="auto"/>
                <w:bottom w:val="none" w:sz="0" w:space="0" w:color="auto"/>
                <w:right w:val="none" w:sz="0" w:space="0" w:color="auto"/>
              </w:divBdr>
            </w:div>
            <w:div w:id="1466433898">
              <w:marLeft w:val="0"/>
              <w:marRight w:val="0"/>
              <w:marTop w:val="0"/>
              <w:marBottom w:val="240"/>
              <w:divBdr>
                <w:top w:val="none" w:sz="0" w:space="0" w:color="auto"/>
                <w:left w:val="none" w:sz="0" w:space="0" w:color="auto"/>
                <w:bottom w:val="none" w:sz="0" w:space="0" w:color="auto"/>
                <w:right w:val="none" w:sz="0" w:space="0" w:color="auto"/>
              </w:divBdr>
            </w:div>
            <w:div w:id="1483424145">
              <w:marLeft w:val="0"/>
              <w:marRight w:val="0"/>
              <w:marTop w:val="0"/>
              <w:marBottom w:val="240"/>
              <w:divBdr>
                <w:top w:val="none" w:sz="0" w:space="0" w:color="auto"/>
                <w:left w:val="none" w:sz="0" w:space="0" w:color="auto"/>
                <w:bottom w:val="none" w:sz="0" w:space="0" w:color="auto"/>
                <w:right w:val="none" w:sz="0" w:space="0" w:color="auto"/>
              </w:divBdr>
            </w:div>
            <w:div w:id="2014604250">
              <w:marLeft w:val="0"/>
              <w:marRight w:val="0"/>
              <w:marTop w:val="0"/>
              <w:marBottom w:val="240"/>
              <w:divBdr>
                <w:top w:val="none" w:sz="0" w:space="0" w:color="auto"/>
                <w:left w:val="none" w:sz="0" w:space="0" w:color="auto"/>
                <w:bottom w:val="none" w:sz="0" w:space="0" w:color="auto"/>
                <w:right w:val="none" w:sz="0" w:space="0" w:color="auto"/>
              </w:divBdr>
            </w:div>
            <w:div w:id="889153861">
              <w:marLeft w:val="0"/>
              <w:marRight w:val="0"/>
              <w:marTop w:val="0"/>
              <w:marBottom w:val="240"/>
              <w:divBdr>
                <w:top w:val="none" w:sz="0" w:space="0" w:color="auto"/>
                <w:left w:val="none" w:sz="0" w:space="0" w:color="auto"/>
                <w:bottom w:val="none" w:sz="0" w:space="0" w:color="auto"/>
                <w:right w:val="none" w:sz="0" w:space="0" w:color="auto"/>
              </w:divBdr>
            </w:div>
            <w:div w:id="760641461">
              <w:marLeft w:val="0"/>
              <w:marRight w:val="0"/>
              <w:marTop w:val="0"/>
              <w:marBottom w:val="240"/>
              <w:divBdr>
                <w:top w:val="none" w:sz="0" w:space="0" w:color="auto"/>
                <w:left w:val="none" w:sz="0" w:space="0" w:color="auto"/>
                <w:bottom w:val="none" w:sz="0" w:space="0" w:color="auto"/>
                <w:right w:val="none" w:sz="0" w:space="0" w:color="auto"/>
              </w:divBdr>
            </w:div>
            <w:div w:id="33699107">
              <w:marLeft w:val="0"/>
              <w:marRight w:val="0"/>
              <w:marTop w:val="0"/>
              <w:marBottom w:val="240"/>
              <w:divBdr>
                <w:top w:val="none" w:sz="0" w:space="0" w:color="auto"/>
                <w:left w:val="none" w:sz="0" w:space="0" w:color="auto"/>
                <w:bottom w:val="none" w:sz="0" w:space="0" w:color="auto"/>
                <w:right w:val="none" w:sz="0" w:space="0" w:color="auto"/>
              </w:divBdr>
            </w:div>
            <w:div w:id="518203350">
              <w:marLeft w:val="0"/>
              <w:marRight w:val="0"/>
              <w:marTop w:val="0"/>
              <w:marBottom w:val="240"/>
              <w:divBdr>
                <w:top w:val="none" w:sz="0" w:space="0" w:color="auto"/>
                <w:left w:val="none" w:sz="0" w:space="0" w:color="auto"/>
                <w:bottom w:val="none" w:sz="0" w:space="0" w:color="auto"/>
                <w:right w:val="none" w:sz="0" w:space="0" w:color="auto"/>
              </w:divBdr>
            </w:div>
            <w:div w:id="1060132313">
              <w:marLeft w:val="0"/>
              <w:marRight w:val="0"/>
              <w:marTop w:val="0"/>
              <w:marBottom w:val="240"/>
              <w:divBdr>
                <w:top w:val="none" w:sz="0" w:space="0" w:color="auto"/>
                <w:left w:val="none" w:sz="0" w:space="0" w:color="auto"/>
                <w:bottom w:val="none" w:sz="0" w:space="0" w:color="auto"/>
                <w:right w:val="none" w:sz="0" w:space="0" w:color="auto"/>
              </w:divBdr>
            </w:div>
            <w:div w:id="2118207532">
              <w:marLeft w:val="0"/>
              <w:marRight w:val="0"/>
              <w:marTop w:val="0"/>
              <w:marBottom w:val="240"/>
              <w:divBdr>
                <w:top w:val="none" w:sz="0" w:space="0" w:color="auto"/>
                <w:left w:val="none" w:sz="0" w:space="0" w:color="auto"/>
                <w:bottom w:val="none" w:sz="0" w:space="0" w:color="auto"/>
                <w:right w:val="none" w:sz="0" w:space="0" w:color="auto"/>
              </w:divBdr>
            </w:div>
            <w:div w:id="1585338562">
              <w:marLeft w:val="0"/>
              <w:marRight w:val="0"/>
              <w:marTop w:val="0"/>
              <w:marBottom w:val="240"/>
              <w:divBdr>
                <w:top w:val="none" w:sz="0" w:space="0" w:color="auto"/>
                <w:left w:val="none" w:sz="0" w:space="0" w:color="auto"/>
                <w:bottom w:val="none" w:sz="0" w:space="0" w:color="auto"/>
                <w:right w:val="none" w:sz="0" w:space="0" w:color="auto"/>
              </w:divBdr>
            </w:div>
            <w:div w:id="745761329">
              <w:marLeft w:val="0"/>
              <w:marRight w:val="0"/>
              <w:marTop w:val="0"/>
              <w:marBottom w:val="240"/>
              <w:divBdr>
                <w:top w:val="none" w:sz="0" w:space="0" w:color="auto"/>
                <w:left w:val="none" w:sz="0" w:space="0" w:color="auto"/>
                <w:bottom w:val="none" w:sz="0" w:space="0" w:color="auto"/>
                <w:right w:val="none" w:sz="0" w:space="0" w:color="auto"/>
              </w:divBdr>
            </w:div>
            <w:div w:id="36902090">
              <w:marLeft w:val="0"/>
              <w:marRight w:val="0"/>
              <w:marTop w:val="0"/>
              <w:marBottom w:val="240"/>
              <w:divBdr>
                <w:top w:val="none" w:sz="0" w:space="0" w:color="auto"/>
                <w:left w:val="none" w:sz="0" w:space="0" w:color="auto"/>
                <w:bottom w:val="none" w:sz="0" w:space="0" w:color="auto"/>
                <w:right w:val="none" w:sz="0" w:space="0" w:color="auto"/>
              </w:divBdr>
            </w:div>
            <w:div w:id="394161257">
              <w:marLeft w:val="0"/>
              <w:marRight w:val="0"/>
              <w:marTop w:val="0"/>
              <w:marBottom w:val="240"/>
              <w:divBdr>
                <w:top w:val="none" w:sz="0" w:space="0" w:color="auto"/>
                <w:left w:val="none" w:sz="0" w:space="0" w:color="auto"/>
                <w:bottom w:val="none" w:sz="0" w:space="0" w:color="auto"/>
                <w:right w:val="none" w:sz="0" w:space="0" w:color="auto"/>
              </w:divBdr>
            </w:div>
            <w:div w:id="804011677">
              <w:marLeft w:val="0"/>
              <w:marRight w:val="0"/>
              <w:marTop w:val="0"/>
              <w:marBottom w:val="240"/>
              <w:divBdr>
                <w:top w:val="none" w:sz="0" w:space="0" w:color="auto"/>
                <w:left w:val="none" w:sz="0" w:space="0" w:color="auto"/>
                <w:bottom w:val="none" w:sz="0" w:space="0" w:color="auto"/>
                <w:right w:val="none" w:sz="0" w:space="0" w:color="auto"/>
              </w:divBdr>
            </w:div>
            <w:div w:id="661004802">
              <w:marLeft w:val="0"/>
              <w:marRight w:val="0"/>
              <w:marTop w:val="0"/>
              <w:marBottom w:val="240"/>
              <w:divBdr>
                <w:top w:val="none" w:sz="0" w:space="0" w:color="auto"/>
                <w:left w:val="none" w:sz="0" w:space="0" w:color="auto"/>
                <w:bottom w:val="none" w:sz="0" w:space="0" w:color="auto"/>
                <w:right w:val="none" w:sz="0" w:space="0" w:color="auto"/>
              </w:divBdr>
            </w:div>
            <w:div w:id="886382173">
              <w:marLeft w:val="0"/>
              <w:marRight w:val="0"/>
              <w:marTop w:val="0"/>
              <w:marBottom w:val="240"/>
              <w:divBdr>
                <w:top w:val="none" w:sz="0" w:space="0" w:color="auto"/>
                <w:left w:val="none" w:sz="0" w:space="0" w:color="auto"/>
                <w:bottom w:val="none" w:sz="0" w:space="0" w:color="auto"/>
                <w:right w:val="none" w:sz="0" w:space="0" w:color="auto"/>
              </w:divBdr>
            </w:div>
            <w:div w:id="1957250452">
              <w:marLeft w:val="0"/>
              <w:marRight w:val="0"/>
              <w:marTop w:val="0"/>
              <w:marBottom w:val="240"/>
              <w:divBdr>
                <w:top w:val="none" w:sz="0" w:space="0" w:color="auto"/>
                <w:left w:val="none" w:sz="0" w:space="0" w:color="auto"/>
                <w:bottom w:val="none" w:sz="0" w:space="0" w:color="auto"/>
                <w:right w:val="none" w:sz="0" w:space="0" w:color="auto"/>
              </w:divBdr>
            </w:div>
            <w:div w:id="1627806564">
              <w:marLeft w:val="0"/>
              <w:marRight w:val="0"/>
              <w:marTop w:val="0"/>
              <w:marBottom w:val="240"/>
              <w:divBdr>
                <w:top w:val="none" w:sz="0" w:space="0" w:color="auto"/>
                <w:left w:val="none" w:sz="0" w:space="0" w:color="auto"/>
                <w:bottom w:val="none" w:sz="0" w:space="0" w:color="auto"/>
                <w:right w:val="none" w:sz="0" w:space="0" w:color="auto"/>
              </w:divBdr>
            </w:div>
            <w:div w:id="701516152">
              <w:marLeft w:val="0"/>
              <w:marRight w:val="0"/>
              <w:marTop w:val="0"/>
              <w:marBottom w:val="240"/>
              <w:divBdr>
                <w:top w:val="none" w:sz="0" w:space="0" w:color="auto"/>
                <w:left w:val="none" w:sz="0" w:space="0" w:color="auto"/>
                <w:bottom w:val="none" w:sz="0" w:space="0" w:color="auto"/>
                <w:right w:val="none" w:sz="0" w:space="0" w:color="auto"/>
              </w:divBdr>
            </w:div>
            <w:div w:id="540829891">
              <w:marLeft w:val="0"/>
              <w:marRight w:val="0"/>
              <w:marTop w:val="0"/>
              <w:marBottom w:val="240"/>
              <w:divBdr>
                <w:top w:val="none" w:sz="0" w:space="0" w:color="auto"/>
                <w:left w:val="none" w:sz="0" w:space="0" w:color="auto"/>
                <w:bottom w:val="none" w:sz="0" w:space="0" w:color="auto"/>
                <w:right w:val="none" w:sz="0" w:space="0" w:color="auto"/>
              </w:divBdr>
            </w:div>
            <w:div w:id="572620779">
              <w:marLeft w:val="0"/>
              <w:marRight w:val="0"/>
              <w:marTop w:val="0"/>
              <w:marBottom w:val="240"/>
              <w:divBdr>
                <w:top w:val="none" w:sz="0" w:space="0" w:color="auto"/>
                <w:left w:val="none" w:sz="0" w:space="0" w:color="auto"/>
                <w:bottom w:val="none" w:sz="0" w:space="0" w:color="auto"/>
                <w:right w:val="none" w:sz="0" w:space="0" w:color="auto"/>
              </w:divBdr>
            </w:div>
            <w:div w:id="195124246">
              <w:marLeft w:val="0"/>
              <w:marRight w:val="0"/>
              <w:marTop w:val="0"/>
              <w:marBottom w:val="240"/>
              <w:divBdr>
                <w:top w:val="none" w:sz="0" w:space="0" w:color="auto"/>
                <w:left w:val="none" w:sz="0" w:space="0" w:color="auto"/>
                <w:bottom w:val="none" w:sz="0" w:space="0" w:color="auto"/>
                <w:right w:val="none" w:sz="0" w:space="0" w:color="auto"/>
              </w:divBdr>
            </w:div>
            <w:div w:id="1438526088">
              <w:marLeft w:val="0"/>
              <w:marRight w:val="0"/>
              <w:marTop w:val="0"/>
              <w:marBottom w:val="240"/>
              <w:divBdr>
                <w:top w:val="none" w:sz="0" w:space="0" w:color="auto"/>
                <w:left w:val="none" w:sz="0" w:space="0" w:color="auto"/>
                <w:bottom w:val="none" w:sz="0" w:space="0" w:color="auto"/>
                <w:right w:val="none" w:sz="0" w:space="0" w:color="auto"/>
              </w:divBdr>
            </w:div>
            <w:div w:id="996345490">
              <w:marLeft w:val="0"/>
              <w:marRight w:val="0"/>
              <w:marTop w:val="0"/>
              <w:marBottom w:val="240"/>
              <w:divBdr>
                <w:top w:val="none" w:sz="0" w:space="0" w:color="auto"/>
                <w:left w:val="none" w:sz="0" w:space="0" w:color="auto"/>
                <w:bottom w:val="none" w:sz="0" w:space="0" w:color="auto"/>
                <w:right w:val="none" w:sz="0" w:space="0" w:color="auto"/>
              </w:divBdr>
            </w:div>
            <w:div w:id="471604337">
              <w:marLeft w:val="0"/>
              <w:marRight w:val="0"/>
              <w:marTop w:val="0"/>
              <w:marBottom w:val="240"/>
              <w:divBdr>
                <w:top w:val="none" w:sz="0" w:space="0" w:color="auto"/>
                <w:left w:val="none" w:sz="0" w:space="0" w:color="auto"/>
                <w:bottom w:val="none" w:sz="0" w:space="0" w:color="auto"/>
                <w:right w:val="none" w:sz="0" w:space="0" w:color="auto"/>
              </w:divBdr>
            </w:div>
            <w:div w:id="418984171">
              <w:marLeft w:val="0"/>
              <w:marRight w:val="0"/>
              <w:marTop w:val="0"/>
              <w:marBottom w:val="240"/>
              <w:divBdr>
                <w:top w:val="none" w:sz="0" w:space="0" w:color="auto"/>
                <w:left w:val="none" w:sz="0" w:space="0" w:color="auto"/>
                <w:bottom w:val="none" w:sz="0" w:space="0" w:color="auto"/>
                <w:right w:val="none" w:sz="0" w:space="0" w:color="auto"/>
              </w:divBdr>
            </w:div>
            <w:div w:id="1359893863">
              <w:marLeft w:val="0"/>
              <w:marRight w:val="0"/>
              <w:marTop w:val="0"/>
              <w:marBottom w:val="240"/>
              <w:divBdr>
                <w:top w:val="none" w:sz="0" w:space="0" w:color="auto"/>
                <w:left w:val="none" w:sz="0" w:space="0" w:color="auto"/>
                <w:bottom w:val="none" w:sz="0" w:space="0" w:color="auto"/>
                <w:right w:val="none" w:sz="0" w:space="0" w:color="auto"/>
              </w:divBdr>
            </w:div>
            <w:div w:id="1840267738">
              <w:marLeft w:val="0"/>
              <w:marRight w:val="0"/>
              <w:marTop w:val="0"/>
              <w:marBottom w:val="240"/>
              <w:divBdr>
                <w:top w:val="none" w:sz="0" w:space="0" w:color="auto"/>
                <w:left w:val="none" w:sz="0" w:space="0" w:color="auto"/>
                <w:bottom w:val="none" w:sz="0" w:space="0" w:color="auto"/>
                <w:right w:val="none" w:sz="0" w:space="0" w:color="auto"/>
              </w:divBdr>
            </w:div>
            <w:div w:id="1863934863">
              <w:marLeft w:val="0"/>
              <w:marRight w:val="0"/>
              <w:marTop w:val="0"/>
              <w:marBottom w:val="240"/>
              <w:divBdr>
                <w:top w:val="none" w:sz="0" w:space="0" w:color="auto"/>
                <w:left w:val="none" w:sz="0" w:space="0" w:color="auto"/>
                <w:bottom w:val="none" w:sz="0" w:space="0" w:color="auto"/>
                <w:right w:val="none" w:sz="0" w:space="0" w:color="auto"/>
              </w:divBdr>
            </w:div>
            <w:div w:id="157306217">
              <w:marLeft w:val="0"/>
              <w:marRight w:val="0"/>
              <w:marTop w:val="0"/>
              <w:marBottom w:val="240"/>
              <w:divBdr>
                <w:top w:val="none" w:sz="0" w:space="0" w:color="auto"/>
                <w:left w:val="none" w:sz="0" w:space="0" w:color="auto"/>
                <w:bottom w:val="none" w:sz="0" w:space="0" w:color="auto"/>
                <w:right w:val="none" w:sz="0" w:space="0" w:color="auto"/>
              </w:divBdr>
            </w:div>
            <w:div w:id="1507859831">
              <w:marLeft w:val="0"/>
              <w:marRight w:val="0"/>
              <w:marTop w:val="0"/>
              <w:marBottom w:val="240"/>
              <w:divBdr>
                <w:top w:val="none" w:sz="0" w:space="0" w:color="auto"/>
                <w:left w:val="none" w:sz="0" w:space="0" w:color="auto"/>
                <w:bottom w:val="none" w:sz="0" w:space="0" w:color="auto"/>
                <w:right w:val="none" w:sz="0" w:space="0" w:color="auto"/>
              </w:divBdr>
            </w:div>
            <w:div w:id="1767649333">
              <w:marLeft w:val="0"/>
              <w:marRight w:val="0"/>
              <w:marTop w:val="0"/>
              <w:marBottom w:val="240"/>
              <w:divBdr>
                <w:top w:val="none" w:sz="0" w:space="0" w:color="auto"/>
                <w:left w:val="none" w:sz="0" w:space="0" w:color="auto"/>
                <w:bottom w:val="none" w:sz="0" w:space="0" w:color="auto"/>
                <w:right w:val="none" w:sz="0" w:space="0" w:color="auto"/>
              </w:divBdr>
            </w:div>
            <w:div w:id="2102869125">
              <w:marLeft w:val="0"/>
              <w:marRight w:val="0"/>
              <w:marTop w:val="0"/>
              <w:marBottom w:val="240"/>
              <w:divBdr>
                <w:top w:val="none" w:sz="0" w:space="0" w:color="auto"/>
                <w:left w:val="none" w:sz="0" w:space="0" w:color="auto"/>
                <w:bottom w:val="none" w:sz="0" w:space="0" w:color="auto"/>
                <w:right w:val="none" w:sz="0" w:space="0" w:color="auto"/>
              </w:divBdr>
            </w:div>
            <w:div w:id="1345747568">
              <w:marLeft w:val="0"/>
              <w:marRight w:val="0"/>
              <w:marTop w:val="0"/>
              <w:marBottom w:val="240"/>
              <w:divBdr>
                <w:top w:val="none" w:sz="0" w:space="0" w:color="auto"/>
                <w:left w:val="none" w:sz="0" w:space="0" w:color="auto"/>
                <w:bottom w:val="none" w:sz="0" w:space="0" w:color="auto"/>
                <w:right w:val="none" w:sz="0" w:space="0" w:color="auto"/>
              </w:divBdr>
            </w:div>
            <w:div w:id="1492019315">
              <w:marLeft w:val="0"/>
              <w:marRight w:val="0"/>
              <w:marTop w:val="0"/>
              <w:marBottom w:val="240"/>
              <w:divBdr>
                <w:top w:val="none" w:sz="0" w:space="0" w:color="auto"/>
                <w:left w:val="none" w:sz="0" w:space="0" w:color="auto"/>
                <w:bottom w:val="none" w:sz="0" w:space="0" w:color="auto"/>
                <w:right w:val="none" w:sz="0" w:space="0" w:color="auto"/>
              </w:divBdr>
            </w:div>
            <w:div w:id="800071624">
              <w:marLeft w:val="0"/>
              <w:marRight w:val="0"/>
              <w:marTop w:val="0"/>
              <w:marBottom w:val="240"/>
              <w:divBdr>
                <w:top w:val="none" w:sz="0" w:space="0" w:color="auto"/>
                <w:left w:val="none" w:sz="0" w:space="0" w:color="auto"/>
                <w:bottom w:val="none" w:sz="0" w:space="0" w:color="auto"/>
                <w:right w:val="none" w:sz="0" w:space="0" w:color="auto"/>
              </w:divBdr>
            </w:div>
            <w:div w:id="1320504525">
              <w:marLeft w:val="0"/>
              <w:marRight w:val="0"/>
              <w:marTop w:val="0"/>
              <w:marBottom w:val="240"/>
              <w:divBdr>
                <w:top w:val="none" w:sz="0" w:space="0" w:color="auto"/>
                <w:left w:val="none" w:sz="0" w:space="0" w:color="auto"/>
                <w:bottom w:val="none" w:sz="0" w:space="0" w:color="auto"/>
                <w:right w:val="none" w:sz="0" w:space="0" w:color="auto"/>
              </w:divBdr>
            </w:div>
            <w:div w:id="179182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199820">
      <w:bodyDiv w:val="1"/>
      <w:marLeft w:val="0"/>
      <w:marRight w:val="0"/>
      <w:marTop w:val="0"/>
      <w:marBottom w:val="0"/>
      <w:divBdr>
        <w:top w:val="none" w:sz="0" w:space="0" w:color="auto"/>
        <w:left w:val="none" w:sz="0" w:space="0" w:color="auto"/>
        <w:bottom w:val="none" w:sz="0" w:space="0" w:color="auto"/>
        <w:right w:val="none" w:sz="0" w:space="0" w:color="auto"/>
      </w:divBdr>
    </w:div>
    <w:div w:id="254049157">
      <w:bodyDiv w:val="1"/>
      <w:marLeft w:val="0"/>
      <w:marRight w:val="0"/>
      <w:marTop w:val="0"/>
      <w:marBottom w:val="0"/>
      <w:divBdr>
        <w:top w:val="none" w:sz="0" w:space="0" w:color="auto"/>
        <w:left w:val="none" w:sz="0" w:space="0" w:color="auto"/>
        <w:bottom w:val="none" w:sz="0" w:space="0" w:color="auto"/>
        <w:right w:val="none" w:sz="0" w:space="0" w:color="auto"/>
      </w:divBdr>
    </w:div>
    <w:div w:id="256792977">
      <w:bodyDiv w:val="1"/>
      <w:marLeft w:val="0"/>
      <w:marRight w:val="0"/>
      <w:marTop w:val="0"/>
      <w:marBottom w:val="0"/>
      <w:divBdr>
        <w:top w:val="none" w:sz="0" w:space="0" w:color="auto"/>
        <w:left w:val="none" w:sz="0" w:space="0" w:color="auto"/>
        <w:bottom w:val="none" w:sz="0" w:space="0" w:color="auto"/>
        <w:right w:val="none" w:sz="0" w:space="0" w:color="auto"/>
      </w:divBdr>
      <w:divsChild>
        <w:div w:id="208693562">
          <w:marLeft w:val="480"/>
          <w:marRight w:val="0"/>
          <w:marTop w:val="0"/>
          <w:marBottom w:val="0"/>
          <w:divBdr>
            <w:top w:val="none" w:sz="0" w:space="0" w:color="auto"/>
            <w:left w:val="none" w:sz="0" w:space="0" w:color="auto"/>
            <w:bottom w:val="none" w:sz="0" w:space="0" w:color="auto"/>
            <w:right w:val="none" w:sz="0" w:space="0" w:color="auto"/>
          </w:divBdr>
          <w:divsChild>
            <w:div w:id="526987368">
              <w:marLeft w:val="0"/>
              <w:marRight w:val="0"/>
              <w:marTop w:val="0"/>
              <w:marBottom w:val="240"/>
              <w:divBdr>
                <w:top w:val="none" w:sz="0" w:space="0" w:color="auto"/>
                <w:left w:val="none" w:sz="0" w:space="0" w:color="auto"/>
                <w:bottom w:val="none" w:sz="0" w:space="0" w:color="auto"/>
                <w:right w:val="none" w:sz="0" w:space="0" w:color="auto"/>
              </w:divBdr>
            </w:div>
            <w:div w:id="508637589">
              <w:marLeft w:val="0"/>
              <w:marRight w:val="0"/>
              <w:marTop w:val="0"/>
              <w:marBottom w:val="240"/>
              <w:divBdr>
                <w:top w:val="none" w:sz="0" w:space="0" w:color="auto"/>
                <w:left w:val="none" w:sz="0" w:space="0" w:color="auto"/>
                <w:bottom w:val="none" w:sz="0" w:space="0" w:color="auto"/>
                <w:right w:val="none" w:sz="0" w:space="0" w:color="auto"/>
              </w:divBdr>
            </w:div>
            <w:div w:id="1211840138">
              <w:marLeft w:val="0"/>
              <w:marRight w:val="0"/>
              <w:marTop w:val="0"/>
              <w:marBottom w:val="240"/>
              <w:divBdr>
                <w:top w:val="none" w:sz="0" w:space="0" w:color="auto"/>
                <w:left w:val="none" w:sz="0" w:space="0" w:color="auto"/>
                <w:bottom w:val="none" w:sz="0" w:space="0" w:color="auto"/>
                <w:right w:val="none" w:sz="0" w:space="0" w:color="auto"/>
              </w:divBdr>
            </w:div>
            <w:div w:id="1830902442">
              <w:marLeft w:val="0"/>
              <w:marRight w:val="0"/>
              <w:marTop w:val="0"/>
              <w:marBottom w:val="240"/>
              <w:divBdr>
                <w:top w:val="none" w:sz="0" w:space="0" w:color="auto"/>
                <w:left w:val="none" w:sz="0" w:space="0" w:color="auto"/>
                <w:bottom w:val="none" w:sz="0" w:space="0" w:color="auto"/>
                <w:right w:val="none" w:sz="0" w:space="0" w:color="auto"/>
              </w:divBdr>
            </w:div>
            <w:div w:id="1529217236">
              <w:marLeft w:val="0"/>
              <w:marRight w:val="0"/>
              <w:marTop w:val="0"/>
              <w:marBottom w:val="240"/>
              <w:divBdr>
                <w:top w:val="none" w:sz="0" w:space="0" w:color="auto"/>
                <w:left w:val="none" w:sz="0" w:space="0" w:color="auto"/>
                <w:bottom w:val="none" w:sz="0" w:space="0" w:color="auto"/>
                <w:right w:val="none" w:sz="0" w:space="0" w:color="auto"/>
              </w:divBdr>
            </w:div>
            <w:div w:id="1413355656">
              <w:marLeft w:val="0"/>
              <w:marRight w:val="0"/>
              <w:marTop w:val="0"/>
              <w:marBottom w:val="240"/>
              <w:divBdr>
                <w:top w:val="none" w:sz="0" w:space="0" w:color="auto"/>
                <w:left w:val="none" w:sz="0" w:space="0" w:color="auto"/>
                <w:bottom w:val="none" w:sz="0" w:space="0" w:color="auto"/>
                <w:right w:val="none" w:sz="0" w:space="0" w:color="auto"/>
              </w:divBdr>
            </w:div>
            <w:div w:id="775833250">
              <w:marLeft w:val="0"/>
              <w:marRight w:val="0"/>
              <w:marTop w:val="0"/>
              <w:marBottom w:val="240"/>
              <w:divBdr>
                <w:top w:val="none" w:sz="0" w:space="0" w:color="auto"/>
                <w:left w:val="none" w:sz="0" w:space="0" w:color="auto"/>
                <w:bottom w:val="none" w:sz="0" w:space="0" w:color="auto"/>
                <w:right w:val="none" w:sz="0" w:space="0" w:color="auto"/>
              </w:divBdr>
            </w:div>
            <w:div w:id="1410735123">
              <w:marLeft w:val="0"/>
              <w:marRight w:val="0"/>
              <w:marTop w:val="0"/>
              <w:marBottom w:val="240"/>
              <w:divBdr>
                <w:top w:val="none" w:sz="0" w:space="0" w:color="auto"/>
                <w:left w:val="none" w:sz="0" w:space="0" w:color="auto"/>
                <w:bottom w:val="none" w:sz="0" w:space="0" w:color="auto"/>
                <w:right w:val="none" w:sz="0" w:space="0" w:color="auto"/>
              </w:divBdr>
            </w:div>
            <w:div w:id="530194296">
              <w:marLeft w:val="0"/>
              <w:marRight w:val="0"/>
              <w:marTop w:val="0"/>
              <w:marBottom w:val="240"/>
              <w:divBdr>
                <w:top w:val="none" w:sz="0" w:space="0" w:color="auto"/>
                <w:left w:val="none" w:sz="0" w:space="0" w:color="auto"/>
                <w:bottom w:val="none" w:sz="0" w:space="0" w:color="auto"/>
                <w:right w:val="none" w:sz="0" w:space="0" w:color="auto"/>
              </w:divBdr>
            </w:div>
            <w:div w:id="1363432134">
              <w:marLeft w:val="0"/>
              <w:marRight w:val="0"/>
              <w:marTop w:val="0"/>
              <w:marBottom w:val="240"/>
              <w:divBdr>
                <w:top w:val="none" w:sz="0" w:space="0" w:color="auto"/>
                <w:left w:val="none" w:sz="0" w:space="0" w:color="auto"/>
                <w:bottom w:val="none" w:sz="0" w:space="0" w:color="auto"/>
                <w:right w:val="none" w:sz="0" w:space="0" w:color="auto"/>
              </w:divBdr>
            </w:div>
            <w:div w:id="495387466">
              <w:marLeft w:val="0"/>
              <w:marRight w:val="0"/>
              <w:marTop w:val="0"/>
              <w:marBottom w:val="240"/>
              <w:divBdr>
                <w:top w:val="none" w:sz="0" w:space="0" w:color="auto"/>
                <w:left w:val="none" w:sz="0" w:space="0" w:color="auto"/>
                <w:bottom w:val="none" w:sz="0" w:space="0" w:color="auto"/>
                <w:right w:val="none" w:sz="0" w:space="0" w:color="auto"/>
              </w:divBdr>
            </w:div>
            <w:div w:id="877666623">
              <w:marLeft w:val="0"/>
              <w:marRight w:val="0"/>
              <w:marTop w:val="0"/>
              <w:marBottom w:val="240"/>
              <w:divBdr>
                <w:top w:val="none" w:sz="0" w:space="0" w:color="auto"/>
                <w:left w:val="none" w:sz="0" w:space="0" w:color="auto"/>
                <w:bottom w:val="none" w:sz="0" w:space="0" w:color="auto"/>
                <w:right w:val="none" w:sz="0" w:space="0" w:color="auto"/>
              </w:divBdr>
            </w:div>
            <w:div w:id="2037730270">
              <w:marLeft w:val="0"/>
              <w:marRight w:val="0"/>
              <w:marTop w:val="0"/>
              <w:marBottom w:val="240"/>
              <w:divBdr>
                <w:top w:val="none" w:sz="0" w:space="0" w:color="auto"/>
                <w:left w:val="none" w:sz="0" w:space="0" w:color="auto"/>
                <w:bottom w:val="none" w:sz="0" w:space="0" w:color="auto"/>
                <w:right w:val="none" w:sz="0" w:space="0" w:color="auto"/>
              </w:divBdr>
            </w:div>
            <w:div w:id="465902972">
              <w:marLeft w:val="0"/>
              <w:marRight w:val="0"/>
              <w:marTop w:val="0"/>
              <w:marBottom w:val="240"/>
              <w:divBdr>
                <w:top w:val="none" w:sz="0" w:space="0" w:color="auto"/>
                <w:left w:val="none" w:sz="0" w:space="0" w:color="auto"/>
                <w:bottom w:val="none" w:sz="0" w:space="0" w:color="auto"/>
                <w:right w:val="none" w:sz="0" w:space="0" w:color="auto"/>
              </w:divBdr>
            </w:div>
            <w:div w:id="987393092">
              <w:marLeft w:val="0"/>
              <w:marRight w:val="0"/>
              <w:marTop w:val="0"/>
              <w:marBottom w:val="240"/>
              <w:divBdr>
                <w:top w:val="none" w:sz="0" w:space="0" w:color="auto"/>
                <w:left w:val="none" w:sz="0" w:space="0" w:color="auto"/>
                <w:bottom w:val="none" w:sz="0" w:space="0" w:color="auto"/>
                <w:right w:val="none" w:sz="0" w:space="0" w:color="auto"/>
              </w:divBdr>
            </w:div>
            <w:div w:id="445582068">
              <w:marLeft w:val="0"/>
              <w:marRight w:val="0"/>
              <w:marTop w:val="0"/>
              <w:marBottom w:val="240"/>
              <w:divBdr>
                <w:top w:val="none" w:sz="0" w:space="0" w:color="auto"/>
                <w:left w:val="none" w:sz="0" w:space="0" w:color="auto"/>
                <w:bottom w:val="none" w:sz="0" w:space="0" w:color="auto"/>
                <w:right w:val="none" w:sz="0" w:space="0" w:color="auto"/>
              </w:divBdr>
            </w:div>
            <w:div w:id="952051989">
              <w:marLeft w:val="0"/>
              <w:marRight w:val="0"/>
              <w:marTop w:val="0"/>
              <w:marBottom w:val="240"/>
              <w:divBdr>
                <w:top w:val="none" w:sz="0" w:space="0" w:color="auto"/>
                <w:left w:val="none" w:sz="0" w:space="0" w:color="auto"/>
                <w:bottom w:val="none" w:sz="0" w:space="0" w:color="auto"/>
                <w:right w:val="none" w:sz="0" w:space="0" w:color="auto"/>
              </w:divBdr>
            </w:div>
            <w:div w:id="635989350">
              <w:marLeft w:val="0"/>
              <w:marRight w:val="0"/>
              <w:marTop w:val="0"/>
              <w:marBottom w:val="240"/>
              <w:divBdr>
                <w:top w:val="none" w:sz="0" w:space="0" w:color="auto"/>
                <w:left w:val="none" w:sz="0" w:space="0" w:color="auto"/>
                <w:bottom w:val="none" w:sz="0" w:space="0" w:color="auto"/>
                <w:right w:val="none" w:sz="0" w:space="0" w:color="auto"/>
              </w:divBdr>
            </w:div>
            <w:div w:id="319776673">
              <w:marLeft w:val="0"/>
              <w:marRight w:val="0"/>
              <w:marTop w:val="0"/>
              <w:marBottom w:val="240"/>
              <w:divBdr>
                <w:top w:val="none" w:sz="0" w:space="0" w:color="auto"/>
                <w:left w:val="none" w:sz="0" w:space="0" w:color="auto"/>
                <w:bottom w:val="none" w:sz="0" w:space="0" w:color="auto"/>
                <w:right w:val="none" w:sz="0" w:space="0" w:color="auto"/>
              </w:divBdr>
            </w:div>
            <w:div w:id="601104990">
              <w:marLeft w:val="0"/>
              <w:marRight w:val="0"/>
              <w:marTop w:val="0"/>
              <w:marBottom w:val="240"/>
              <w:divBdr>
                <w:top w:val="none" w:sz="0" w:space="0" w:color="auto"/>
                <w:left w:val="none" w:sz="0" w:space="0" w:color="auto"/>
                <w:bottom w:val="none" w:sz="0" w:space="0" w:color="auto"/>
                <w:right w:val="none" w:sz="0" w:space="0" w:color="auto"/>
              </w:divBdr>
            </w:div>
            <w:div w:id="2058703325">
              <w:marLeft w:val="0"/>
              <w:marRight w:val="0"/>
              <w:marTop w:val="0"/>
              <w:marBottom w:val="240"/>
              <w:divBdr>
                <w:top w:val="none" w:sz="0" w:space="0" w:color="auto"/>
                <w:left w:val="none" w:sz="0" w:space="0" w:color="auto"/>
                <w:bottom w:val="none" w:sz="0" w:space="0" w:color="auto"/>
                <w:right w:val="none" w:sz="0" w:space="0" w:color="auto"/>
              </w:divBdr>
            </w:div>
            <w:div w:id="664405876">
              <w:marLeft w:val="0"/>
              <w:marRight w:val="0"/>
              <w:marTop w:val="0"/>
              <w:marBottom w:val="240"/>
              <w:divBdr>
                <w:top w:val="none" w:sz="0" w:space="0" w:color="auto"/>
                <w:left w:val="none" w:sz="0" w:space="0" w:color="auto"/>
                <w:bottom w:val="none" w:sz="0" w:space="0" w:color="auto"/>
                <w:right w:val="none" w:sz="0" w:space="0" w:color="auto"/>
              </w:divBdr>
            </w:div>
            <w:div w:id="1863543755">
              <w:marLeft w:val="0"/>
              <w:marRight w:val="0"/>
              <w:marTop w:val="0"/>
              <w:marBottom w:val="240"/>
              <w:divBdr>
                <w:top w:val="none" w:sz="0" w:space="0" w:color="auto"/>
                <w:left w:val="none" w:sz="0" w:space="0" w:color="auto"/>
                <w:bottom w:val="none" w:sz="0" w:space="0" w:color="auto"/>
                <w:right w:val="none" w:sz="0" w:space="0" w:color="auto"/>
              </w:divBdr>
            </w:div>
            <w:div w:id="1614707290">
              <w:marLeft w:val="0"/>
              <w:marRight w:val="0"/>
              <w:marTop w:val="0"/>
              <w:marBottom w:val="240"/>
              <w:divBdr>
                <w:top w:val="none" w:sz="0" w:space="0" w:color="auto"/>
                <w:left w:val="none" w:sz="0" w:space="0" w:color="auto"/>
                <w:bottom w:val="none" w:sz="0" w:space="0" w:color="auto"/>
                <w:right w:val="none" w:sz="0" w:space="0" w:color="auto"/>
              </w:divBdr>
            </w:div>
            <w:div w:id="1841001456">
              <w:marLeft w:val="0"/>
              <w:marRight w:val="0"/>
              <w:marTop w:val="0"/>
              <w:marBottom w:val="240"/>
              <w:divBdr>
                <w:top w:val="none" w:sz="0" w:space="0" w:color="auto"/>
                <w:left w:val="none" w:sz="0" w:space="0" w:color="auto"/>
                <w:bottom w:val="none" w:sz="0" w:space="0" w:color="auto"/>
                <w:right w:val="none" w:sz="0" w:space="0" w:color="auto"/>
              </w:divBdr>
            </w:div>
            <w:div w:id="1571692395">
              <w:marLeft w:val="0"/>
              <w:marRight w:val="0"/>
              <w:marTop w:val="0"/>
              <w:marBottom w:val="240"/>
              <w:divBdr>
                <w:top w:val="none" w:sz="0" w:space="0" w:color="auto"/>
                <w:left w:val="none" w:sz="0" w:space="0" w:color="auto"/>
                <w:bottom w:val="none" w:sz="0" w:space="0" w:color="auto"/>
                <w:right w:val="none" w:sz="0" w:space="0" w:color="auto"/>
              </w:divBdr>
            </w:div>
            <w:div w:id="1308317622">
              <w:marLeft w:val="0"/>
              <w:marRight w:val="0"/>
              <w:marTop w:val="0"/>
              <w:marBottom w:val="240"/>
              <w:divBdr>
                <w:top w:val="none" w:sz="0" w:space="0" w:color="auto"/>
                <w:left w:val="none" w:sz="0" w:space="0" w:color="auto"/>
                <w:bottom w:val="none" w:sz="0" w:space="0" w:color="auto"/>
                <w:right w:val="none" w:sz="0" w:space="0" w:color="auto"/>
              </w:divBdr>
            </w:div>
            <w:div w:id="248974931">
              <w:marLeft w:val="0"/>
              <w:marRight w:val="0"/>
              <w:marTop w:val="0"/>
              <w:marBottom w:val="240"/>
              <w:divBdr>
                <w:top w:val="none" w:sz="0" w:space="0" w:color="auto"/>
                <w:left w:val="none" w:sz="0" w:space="0" w:color="auto"/>
                <w:bottom w:val="none" w:sz="0" w:space="0" w:color="auto"/>
                <w:right w:val="none" w:sz="0" w:space="0" w:color="auto"/>
              </w:divBdr>
            </w:div>
            <w:div w:id="272635555">
              <w:marLeft w:val="0"/>
              <w:marRight w:val="0"/>
              <w:marTop w:val="0"/>
              <w:marBottom w:val="240"/>
              <w:divBdr>
                <w:top w:val="none" w:sz="0" w:space="0" w:color="auto"/>
                <w:left w:val="none" w:sz="0" w:space="0" w:color="auto"/>
                <w:bottom w:val="none" w:sz="0" w:space="0" w:color="auto"/>
                <w:right w:val="none" w:sz="0" w:space="0" w:color="auto"/>
              </w:divBdr>
            </w:div>
            <w:div w:id="196893899">
              <w:marLeft w:val="0"/>
              <w:marRight w:val="0"/>
              <w:marTop w:val="0"/>
              <w:marBottom w:val="240"/>
              <w:divBdr>
                <w:top w:val="none" w:sz="0" w:space="0" w:color="auto"/>
                <w:left w:val="none" w:sz="0" w:space="0" w:color="auto"/>
                <w:bottom w:val="none" w:sz="0" w:space="0" w:color="auto"/>
                <w:right w:val="none" w:sz="0" w:space="0" w:color="auto"/>
              </w:divBdr>
            </w:div>
            <w:div w:id="154687722">
              <w:marLeft w:val="0"/>
              <w:marRight w:val="0"/>
              <w:marTop w:val="0"/>
              <w:marBottom w:val="240"/>
              <w:divBdr>
                <w:top w:val="none" w:sz="0" w:space="0" w:color="auto"/>
                <w:left w:val="none" w:sz="0" w:space="0" w:color="auto"/>
                <w:bottom w:val="none" w:sz="0" w:space="0" w:color="auto"/>
                <w:right w:val="none" w:sz="0" w:space="0" w:color="auto"/>
              </w:divBdr>
            </w:div>
            <w:div w:id="992028922">
              <w:marLeft w:val="0"/>
              <w:marRight w:val="0"/>
              <w:marTop w:val="0"/>
              <w:marBottom w:val="240"/>
              <w:divBdr>
                <w:top w:val="none" w:sz="0" w:space="0" w:color="auto"/>
                <w:left w:val="none" w:sz="0" w:space="0" w:color="auto"/>
                <w:bottom w:val="none" w:sz="0" w:space="0" w:color="auto"/>
                <w:right w:val="none" w:sz="0" w:space="0" w:color="auto"/>
              </w:divBdr>
            </w:div>
            <w:div w:id="265306591">
              <w:marLeft w:val="0"/>
              <w:marRight w:val="0"/>
              <w:marTop w:val="0"/>
              <w:marBottom w:val="240"/>
              <w:divBdr>
                <w:top w:val="none" w:sz="0" w:space="0" w:color="auto"/>
                <w:left w:val="none" w:sz="0" w:space="0" w:color="auto"/>
                <w:bottom w:val="none" w:sz="0" w:space="0" w:color="auto"/>
                <w:right w:val="none" w:sz="0" w:space="0" w:color="auto"/>
              </w:divBdr>
            </w:div>
            <w:div w:id="784007311">
              <w:marLeft w:val="0"/>
              <w:marRight w:val="0"/>
              <w:marTop w:val="0"/>
              <w:marBottom w:val="240"/>
              <w:divBdr>
                <w:top w:val="none" w:sz="0" w:space="0" w:color="auto"/>
                <w:left w:val="none" w:sz="0" w:space="0" w:color="auto"/>
                <w:bottom w:val="none" w:sz="0" w:space="0" w:color="auto"/>
                <w:right w:val="none" w:sz="0" w:space="0" w:color="auto"/>
              </w:divBdr>
            </w:div>
            <w:div w:id="2021346167">
              <w:marLeft w:val="0"/>
              <w:marRight w:val="0"/>
              <w:marTop w:val="0"/>
              <w:marBottom w:val="240"/>
              <w:divBdr>
                <w:top w:val="none" w:sz="0" w:space="0" w:color="auto"/>
                <w:left w:val="none" w:sz="0" w:space="0" w:color="auto"/>
                <w:bottom w:val="none" w:sz="0" w:space="0" w:color="auto"/>
                <w:right w:val="none" w:sz="0" w:space="0" w:color="auto"/>
              </w:divBdr>
            </w:div>
            <w:div w:id="854076744">
              <w:marLeft w:val="0"/>
              <w:marRight w:val="0"/>
              <w:marTop w:val="0"/>
              <w:marBottom w:val="240"/>
              <w:divBdr>
                <w:top w:val="none" w:sz="0" w:space="0" w:color="auto"/>
                <w:left w:val="none" w:sz="0" w:space="0" w:color="auto"/>
                <w:bottom w:val="none" w:sz="0" w:space="0" w:color="auto"/>
                <w:right w:val="none" w:sz="0" w:space="0" w:color="auto"/>
              </w:divBdr>
            </w:div>
            <w:div w:id="896818369">
              <w:marLeft w:val="0"/>
              <w:marRight w:val="0"/>
              <w:marTop w:val="0"/>
              <w:marBottom w:val="240"/>
              <w:divBdr>
                <w:top w:val="none" w:sz="0" w:space="0" w:color="auto"/>
                <w:left w:val="none" w:sz="0" w:space="0" w:color="auto"/>
                <w:bottom w:val="none" w:sz="0" w:space="0" w:color="auto"/>
                <w:right w:val="none" w:sz="0" w:space="0" w:color="auto"/>
              </w:divBdr>
            </w:div>
            <w:div w:id="69932343">
              <w:marLeft w:val="0"/>
              <w:marRight w:val="0"/>
              <w:marTop w:val="0"/>
              <w:marBottom w:val="240"/>
              <w:divBdr>
                <w:top w:val="none" w:sz="0" w:space="0" w:color="auto"/>
                <w:left w:val="none" w:sz="0" w:space="0" w:color="auto"/>
                <w:bottom w:val="none" w:sz="0" w:space="0" w:color="auto"/>
                <w:right w:val="none" w:sz="0" w:space="0" w:color="auto"/>
              </w:divBdr>
            </w:div>
            <w:div w:id="1681156192">
              <w:marLeft w:val="0"/>
              <w:marRight w:val="0"/>
              <w:marTop w:val="0"/>
              <w:marBottom w:val="240"/>
              <w:divBdr>
                <w:top w:val="none" w:sz="0" w:space="0" w:color="auto"/>
                <w:left w:val="none" w:sz="0" w:space="0" w:color="auto"/>
                <w:bottom w:val="none" w:sz="0" w:space="0" w:color="auto"/>
                <w:right w:val="none" w:sz="0" w:space="0" w:color="auto"/>
              </w:divBdr>
            </w:div>
            <w:div w:id="1260406320">
              <w:marLeft w:val="0"/>
              <w:marRight w:val="0"/>
              <w:marTop w:val="0"/>
              <w:marBottom w:val="240"/>
              <w:divBdr>
                <w:top w:val="none" w:sz="0" w:space="0" w:color="auto"/>
                <w:left w:val="none" w:sz="0" w:space="0" w:color="auto"/>
                <w:bottom w:val="none" w:sz="0" w:space="0" w:color="auto"/>
                <w:right w:val="none" w:sz="0" w:space="0" w:color="auto"/>
              </w:divBdr>
            </w:div>
            <w:div w:id="1206715396">
              <w:marLeft w:val="0"/>
              <w:marRight w:val="0"/>
              <w:marTop w:val="0"/>
              <w:marBottom w:val="240"/>
              <w:divBdr>
                <w:top w:val="none" w:sz="0" w:space="0" w:color="auto"/>
                <w:left w:val="none" w:sz="0" w:space="0" w:color="auto"/>
                <w:bottom w:val="none" w:sz="0" w:space="0" w:color="auto"/>
                <w:right w:val="none" w:sz="0" w:space="0" w:color="auto"/>
              </w:divBdr>
            </w:div>
            <w:div w:id="213153798">
              <w:marLeft w:val="0"/>
              <w:marRight w:val="0"/>
              <w:marTop w:val="0"/>
              <w:marBottom w:val="240"/>
              <w:divBdr>
                <w:top w:val="none" w:sz="0" w:space="0" w:color="auto"/>
                <w:left w:val="none" w:sz="0" w:space="0" w:color="auto"/>
                <w:bottom w:val="none" w:sz="0" w:space="0" w:color="auto"/>
                <w:right w:val="none" w:sz="0" w:space="0" w:color="auto"/>
              </w:divBdr>
            </w:div>
            <w:div w:id="539363938">
              <w:marLeft w:val="0"/>
              <w:marRight w:val="0"/>
              <w:marTop w:val="0"/>
              <w:marBottom w:val="240"/>
              <w:divBdr>
                <w:top w:val="none" w:sz="0" w:space="0" w:color="auto"/>
                <w:left w:val="none" w:sz="0" w:space="0" w:color="auto"/>
                <w:bottom w:val="none" w:sz="0" w:space="0" w:color="auto"/>
                <w:right w:val="none" w:sz="0" w:space="0" w:color="auto"/>
              </w:divBdr>
            </w:div>
            <w:div w:id="1370452641">
              <w:marLeft w:val="0"/>
              <w:marRight w:val="0"/>
              <w:marTop w:val="0"/>
              <w:marBottom w:val="240"/>
              <w:divBdr>
                <w:top w:val="none" w:sz="0" w:space="0" w:color="auto"/>
                <w:left w:val="none" w:sz="0" w:space="0" w:color="auto"/>
                <w:bottom w:val="none" w:sz="0" w:space="0" w:color="auto"/>
                <w:right w:val="none" w:sz="0" w:space="0" w:color="auto"/>
              </w:divBdr>
            </w:div>
            <w:div w:id="986785545">
              <w:marLeft w:val="0"/>
              <w:marRight w:val="0"/>
              <w:marTop w:val="0"/>
              <w:marBottom w:val="240"/>
              <w:divBdr>
                <w:top w:val="none" w:sz="0" w:space="0" w:color="auto"/>
                <w:left w:val="none" w:sz="0" w:space="0" w:color="auto"/>
                <w:bottom w:val="none" w:sz="0" w:space="0" w:color="auto"/>
                <w:right w:val="none" w:sz="0" w:space="0" w:color="auto"/>
              </w:divBdr>
            </w:div>
            <w:div w:id="486634996">
              <w:marLeft w:val="0"/>
              <w:marRight w:val="0"/>
              <w:marTop w:val="0"/>
              <w:marBottom w:val="240"/>
              <w:divBdr>
                <w:top w:val="none" w:sz="0" w:space="0" w:color="auto"/>
                <w:left w:val="none" w:sz="0" w:space="0" w:color="auto"/>
                <w:bottom w:val="none" w:sz="0" w:space="0" w:color="auto"/>
                <w:right w:val="none" w:sz="0" w:space="0" w:color="auto"/>
              </w:divBdr>
            </w:div>
            <w:div w:id="939072679">
              <w:marLeft w:val="0"/>
              <w:marRight w:val="0"/>
              <w:marTop w:val="0"/>
              <w:marBottom w:val="240"/>
              <w:divBdr>
                <w:top w:val="none" w:sz="0" w:space="0" w:color="auto"/>
                <w:left w:val="none" w:sz="0" w:space="0" w:color="auto"/>
                <w:bottom w:val="none" w:sz="0" w:space="0" w:color="auto"/>
                <w:right w:val="none" w:sz="0" w:space="0" w:color="auto"/>
              </w:divBdr>
            </w:div>
            <w:div w:id="903219034">
              <w:marLeft w:val="0"/>
              <w:marRight w:val="0"/>
              <w:marTop w:val="0"/>
              <w:marBottom w:val="240"/>
              <w:divBdr>
                <w:top w:val="none" w:sz="0" w:space="0" w:color="auto"/>
                <w:left w:val="none" w:sz="0" w:space="0" w:color="auto"/>
                <w:bottom w:val="none" w:sz="0" w:space="0" w:color="auto"/>
                <w:right w:val="none" w:sz="0" w:space="0" w:color="auto"/>
              </w:divBdr>
            </w:div>
            <w:div w:id="469247635">
              <w:marLeft w:val="0"/>
              <w:marRight w:val="0"/>
              <w:marTop w:val="0"/>
              <w:marBottom w:val="240"/>
              <w:divBdr>
                <w:top w:val="none" w:sz="0" w:space="0" w:color="auto"/>
                <w:left w:val="none" w:sz="0" w:space="0" w:color="auto"/>
                <w:bottom w:val="none" w:sz="0" w:space="0" w:color="auto"/>
                <w:right w:val="none" w:sz="0" w:space="0" w:color="auto"/>
              </w:divBdr>
            </w:div>
            <w:div w:id="1732536285">
              <w:marLeft w:val="0"/>
              <w:marRight w:val="0"/>
              <w:marTop w:val="0"/>
              <w:marBottom w:val="240"/>
              <w:divBdr>
                <w:top w:val="none" w:sz="0" w:space="0" w:color="auto"/>
                <w:left w:val="none" w:sz="0" w:space="0" w:color="auto"/>
                <w:bottom w:val="none" w:sz="0" w:space="0" w:color="auto"/>
                <w:right w:val="none" w:sz="0" w:space="0" w:color="auto"/>
              </w:divBdr>
            </w:div>
            <w:div w:id="654259205">
              <w:marLeft w:val="0"/>
              <w:marRight w:val="0"/>
              <w:marTop w:val="0"/>
              <w:marBottom w:val="240"/>
              <w:divBdr>
                <w:top w:val="none" w:sz="0" w:space="0" w:color="auto"/>
                <w:left w:val="none" w:sz="0" w:space="0" w:color="auto"/>
                <w:bottom w:val="none" w:sz="0" w:space="0" w:color="auto"/>
                <w:right w:val="none" w:sz="0" w:space="0" w:color="auto"/>
              </w:divBdr>
            </w:div>
            <w:div w:id="1164249293">
              <w:marLeft w:val="0"/>
              <w:marRight w:val="0"/>
              <w:marTop w:val="0"/>
              <w:marBottom w:val="240"/>
              <w:divBdr>
                <w:top w:val="none" w:sz="0" w:space="0" w:color="auto"/>
                <w:left w:val="none" w:sz="0" w:space="0" w:color="auto"/>
                <w:bottom w:val="none" w:sz="0" w:space="0" w:color="auto"/>
                <w:right w:val="none" w:sz="0" w:space="0" w:color="auto"/>
              </w:divBdr>
            </w:div>
            <w:div w:id="668870803">
              <w:marLeft w:val="0"/>
              <w:marRight w:val="0"/>
              <w:marTop w:val="0"/>
              <w:marBottom w:val="240"/>
              <w:divBdr>
                <w:top w:val="none" w:sz="0" w:space="0" w:color="auto"/>
                <w:left w:val="none" w:sz="0" w:space="0" w:color="auto"/>
                <w:bottom w:val="none" w:sz="0" w:space="0" w:color="auto"/>
                <w:right w:val="none" w:sz="0" w:space="0" w:color="auto"/>
              </w:divBdr>
            </w:div>
            <w:div w:id="617106527">
              <w:marLeft w:val="0"/>
              <w:marRight w:val="0"/>
              <w:marTop w:val="0"/>
              <w:marBottom w:val="240"/>
              <w:divBdr>
                <w:top w:val="none" w:sz="0" w:space="0" w:color="auto"/>
                <w:left w:val="none" w:sz="0" w:space="0" w:color="auto"/>
                <w:bottom w:val="none" w:sz="0" w:space="0" w:color="auto"/>
                <w:right w:val="none" w:sz="0" w:space="0" w:color="auto"/>
              </w:divBdr>
            </w:div>
            <w:div w:id="2089033637">
              <w:marLeft w:val="0"/>
              <w:marRight w:val="0"/>
              <w:marTop w:val="0"/>
              <w:marBottom w:val="240"/>
              <w:divBdr>
                <w:top w:val="none" w:sz="0" w:space="0" w:color="auto"/>
                <w:left w:val="none" w:sz="0" w:space="0" w:color="auto"/>
                <w:bottom w:val="none" w:sz="0" w:space="0" w:color="auto"/>
                <w:right w:val="none" w:sz="0" w:space="0" w:color="auto"/>
              </w:divBdr>
            </w:div>
            <w:div w:id="2111198939">
              <w:marLeft w:val="0"/>
              <w:marRight w:val="0"/>
              <w:marTop w:val="0"/>
              <w:marBottom w:val="240"/>
              <w:divBdr>
                <w:top w:val="none" w:sz="0" w:space="0" w:color="auto"/>
                <w:left w:val="none" w:sz="0" w:space="0" w:color="auto"/>
                <w:bottom w:val="none" w:sz="0" w:space="0" w:color="auto"/>
                <w:right w:val="none" w:sz="0" w:space="0" w:color="auto"/>
              </w:divBdr>
            </w:div>
            <w:div w:id="1004625879">
              <w:marLeft w:val="0"/>
              <w:marRight w:val="0"/>
              <w:marTop w:val="0"/>
              <w:marBottom w:val="240"/>
              <w:divBdr>
                <w:top w:val="none" w:sz="0" w:space="0" w:color="auto"/>
                <w:left w:val="none" w:sz="0" w:space="0" w:color="auto"/>
                <w:bottom w:val="none" w:sz="0" w:space="0" w:color="auto"/>
                <w:right w:val="none" w:sz="0" w:space="0" w:color="auto"/>
              </w:divBdr>
            </w:div>
            <w:div w:id="1854413591">
              <w:marLeft w:val="0"/>
              <w:marRight w:val="0"/>
              <w:marTop w:val="0"/>
              <w:marBottom w:val="240"/>
              <w:divBdr>
                <w:top w:val="none" w:sz="0" w:space="0" w:color="auto"/>
                <w:left w:val="none" w:sz="0" w:space="0" w:color="auto"/>
                <w:bottom w:val="none" w:sz="0" w:space="0" w:color="auto"/>
                <w:right w:val="none" w:sz="0" w:space="0" w:color="auto"/>
              </w:divBdr>
            </w:div>
            <w:div w:id="1115253463">
              <w:marLeft w:val="0"/>
              <w:marRight w:val="0"/>
              <w:marTop w:val="0"/>
              <w:marBottom w:val="240"/>
              <w:divBdr>
                <w:top w:val="none" w:sz="0" w:space="0" w:color="auto"/>
                <w:left w:val="none" w:sz="0" w:space="0" w:color="auto"/>
                <w:bottom w:val="none" w:sz="0" w:space="0" w:color="auto"/>
                <w:right w:val="none" w:sz="0" w:space="0" w:color="auto"/>
              </w:divBdr>
            </w:div>
            <w:div w:id="1855802439">
              <w:marLeft w:val="0"/>
              <w:marRight w:val="0"/>
              <w:marTop w:val="0"/>
              <w:marBottom w:val="240"/>
              <w:divBdr>
                <w:top w:val="none" w:sz="0" w:space="0" w:color="auto"/>
                <w:left w:val="none" w:sz="0" w:space="0" w:color="auto"/>
                <w:bottom w:val="none" w:sz="0" w:space="0" w:color="auto"/>
                <w:right w:val="none" w:sz="0" w:space="0" w:color="auto"/>
              </w:divBdr>
            </w:div>
            <w:div w:id="1655061319">
              <w:marLeft w:val="0"/>
              <w:marRight w:val="0"/>
              <w:marTop w:val="0"/>
              <w:marBottom w:val="240"/>
              <w:divBdr>
                <w:top w:val="none" w:sz="0" w:space="0" w:color="auto"/>
                <w:left w:val="none" w:sz="0" w:space="0" w:color="auto"/>
                <w:bottom w:val="none" w:sz="0" w:space="0" w:color="auto"/>
                <w:right w:val="none" w:sz="0" w:space="0" w:color="auto"/>
              </w:divBdr>
            </w:div>
            <w:div w:id="523330378">
              <w:marLeft w:val="0"/>
              <w:marRight w:val="0"/>
              <w:marTop w:val="0"/>
              <w:marBottom w:val="240"/>
              <w:divBdr>
                <w:top w:val="none" w:sz="0" w:space="0" w:color="auto"/>
                <w:left w:val="none" w:sz="0" w:space="0" w:color="auto"/>
                <w:bottom w:val="none" w:sz="0" w:space="0" w:color="auto"/>
                <w:right w:val="none" w:sz="0" w:space="0" w:color="auto"/>
              </w:divBdr>
            </w:div>
            <w:div w:id="543253686">
              <w:marLeft w:val="0"/>
              <w:marRight w:val="0"/>
              <w:marTop w:val="0"/>
              <w:marBottom w:val="240"/>
              <w:divBdr>
                <w:top w:val="none" w:sz="0" w:space="0" w:color="auto"/>
                <w:left w:val="none" w:sz="0" w:space="0" w:color="auto"/>
                <w:bottom w:val="none" w:sz="0" w:space="0" w:color="auto"/>
                <w:right w:val="none" w:sz="0" w:space="0" w:color="auto"/>
              </w:divBdr>
            </w:div>
            <w:div w:id="785151706">
              <w:marLeft w:val="0"/>
              <w:marRight w:val="0"/>
              <w:marTop w:val="0"/>
              <w:marBottom w:val="240"/>
              <w:divBdr>
                <w:top w:val="none" w:sz="0" w:space="0" w:color="auto"/>
                <w:left w:val="none" w:sz="0" w:space="0" w:color="auto"/>
                <w:bottom w:val="none" w:sz="0" w:space="0" w:color="auto"/>
                <w:right w:val="none" w:sz="0" w:space="0" w:color="auto"/>
              </w:divBdr>
            </w:div>
            <w:div w:id="817452265">
              <w:marLeft w:val="0"/>
              <w:marRight w:val="0"/>
              <w:marTop w:val="0"/>
              <w:marBottom w:val="240"/>
              <w:divBdr>
                <w:top w:val="none" w:sz="0" w:space="0" w:color="auto"/>
                <w:left w:val="none" w:sz="0" w:space="0" w:color="auto"/>
                <w:bottom w:val="none" w:sz="0" w:space="0" w:color="auto"/>
                <w:right w:val="none" w:sz="0" w:space="0" w:color="auto"/>
              </w:divBdr>
            </w:div>
            <w:div w:id="345986913">
              <w:marLeft w:val="0"/>
              <w:marRight w:val="0"/>
              <w:marTop w:val="0"/>
              <w:marBottom w:val="240"/>
              <w:divBdr>
                <w:top w:val="none" w:sz="0" w:space="0" w:color="auto"/>
                <w:left w:val="none" w:sz="0" w:space="0" w:color="auto"/>
                <w:bottom w:val="none" w:sz="0" w:space="0" w:color="auto"/>
                <w:right w:val="none" w:sz="0" w:space="0" w:color="auto"/>
              </w:divBdr>
            </w:div>
            <w:div w:id="890531750">
              <w:marLeft w:val="0"/>
              <w:marRight w:val="0"/>
              <w:marTop w:val="0"/>
              <w:marBottom w:val="240"/>
              <w:divBdr>
                <w:top w:val="none" w:sz="0" w:space="0" w:color="auto"/>
                <w:left w:val="none" w:sz="0" w:space="0" w:color="auto"/>
                <w:bottom w:val="none" w:sz="0" w:space="0" w:color="auto"/>
                <w:right w:val="none" w:sz="0" w:space="0" w:color="auto"/>
              </w:divBdr>
            </w:div>
            <w:div w:id="1684473686">
              <w:marLeft w:val="0"/>
              <w:marRight w:val="0"/>
              <w:marTop w:val="0"/>
              <w:marBottom w:val="240"/>
              <w:divBdr>
                <w:top w:val="none" w:sz="0" w:space="0" w:color="auto"/>
                <w:left w:val="none" w:sz="0" w:space="0" w:color="auto"/>
                <w:bottom w:val="none" w:sz="0" w:space="0" w:color="auto"/>
                <w:right w:val="none" w:sz="0" w:space="0" w:color="auto"/>
              </w:divBdr>
            </w:div>
            <w:div w:id="1744528974">
              <w:marLeft w:val="0"/>
              <w:marRight w:val="0"/>
              <w:marTop w:val="0"/>
              <w:marBottom w:val="240"/>
              <w:divBdr>
                <w:top w:val="none" w:sz="0" w:space="0" w:color="auto"/>
                <w:left w:val="none" w:sz="0" w:space="0" w:color="auto"/>
                <w:bottom w:val="none" w:sz="0" w:space="0" w:color="auto"/>
                <w:right w:val="none" w:sz="0" w:space="0" w:color="auto"/>
              </w:divBdr>
            </w:div>
            <w:div w:id="1826775325">
              <w:marLeft w:val="0"/>
              <w:marRight w:val="0"/>
              <w:marTop w:val="0"/>
              <w:marBottom w:val="240"/>
              <w:divBdr>
                <w:top w:val="none" w:sz="0" w:space="0" w:color="auto"/>
                <w:left w:val="none" w:sz="0" w:space="0" w:color="auto"/>
                <w:bottom w:val="none" w:sz="0" w:space="0" w:color="auto"/>
                <w:right w:val="none" w:sz="0" w:space="0" w:color="auto"/>
              </w:divBdr>
            </w:div>
            <w:div w:id="1180269928">
              <w:marLeft w:val="0"/>
              <w:marRight w:val="0"/>
              <w:marTop w:val="0"/>
              <w:marBottom w:val="240"/>
              <w:divBdr>
                <w:top w:val="none" w:sz="0" w:space="0" w:color="auto"/>
                <w:left w:val="none" w:sz="0" w:space="0" w:color="auto"/>
                <w:bottom w:val="none" w:sz="0" w:space="0" w:color="auto"/>
                <w:right w:val="none" w:sz="0" w:space="0" w:color="auto"/>
              </w:divBdr>
            </w:div>
            <w:div w:id="910967136">
              <w:marLeft w:val="0"/>
              <w:marRight w:val="0"/>
              <w:marTop w:val="0"/>
              <w:marBottom w:val="240"/>
              <w:divBdr>
                <w:top w:val="none" w:sz="0" w:space="0" w:color="auto"/>
                <w:left w:val="none" w:sz="0" w:space="0" w:color="auto"/>
                <w:bottom w:val="none" w:sz="0" w:space="0" w:color="auto"/>
                <w:right w:val="none" w:sz="0" w:space="0" w:color="auto"/>
              </w:divBdr>
            </w:div>
            <w:div w:id="698506448">
              <w:marLeft w:val="0"/>
              <w:marRight w:val="0"/>
              <w:marTop w:val="0"/>
              <w:marBottom w:val="240"/>
              <w:divBdr>
                <w:top w:val="none" w:sz="0" w:space="0" w:color="auto"/>
                <w:left w:val="none" w:sz="0" w:space="0" w:color="auto"/>
                <w:bottom w:val="none" w:sz="0" w:space="0" w:color="auto"/>
                <w:right w:val="none" w:sz="0" w:space="0" w:color="auto"/>
              </w:divBdr>
            </w:div>
            <w:div w:id="932594098">
              <w:marLeft w:val="0"/>
              <w:marRight w:val="0"/>
              <w:marTop w:val="0"/>
              <w:marBottom w:val="240"/>
              <w:divBdr>
                <w:top w:val="none" w:sz="0" w:space="0" w:color="auto"/>
                <w:left w:val="none" w:sz="0" w:space="0" w:color="auto"/>
                <w:bottom w:val="none" w:sz="0" w:space="0" w:color="auto"/>
                <w:right w:val="none" w:sz="0" w:space="0" w:color="auto"/>
              </w:divBdr>
            </w:div>
            <w:div w:id="1583104533">
              <w:marLeft w:val="0"/>
              <w:marRight w:val="0"/>
              <w:marTop w:val="0"/>
              <w:marBottom w:val="240"/>
              <w:divBdr>
                <w:top w:val="none" w:sz="0" w:space="0" w:color="auto"/>
                <w:left w:val="none" w:sz="0" w:space="0" w:color="auto"/>
                <w:bottom w:val="none" w:sz="0" w:space="0" w:color="auto"/>
                <w:right w:val="none" w:sz="0" w:space="0" w:color="auto"/>
              </w:divBdr>
            </w:div>
            <w:div w:id="778791189">
              <w:marLeft w:val="0"/>
              <w:marRight w:val="0"/>
              <w:marTop w:val="0"/>
              <w:marBottom w:val="240"/>
              <w:divBdr>
                <w:top w:val="none" w:sz="0" w:space="0" w:color="auto"/>
                <w:left w:val="none" w:sz="0" w:space="0" w:color="auto"/>
                <w:bottom w:val="none" w:sz="0" w:space="0" w:color="auto"/>
                <w:right w:val="none" w:sz="0" w:space="0" w:color="auto"/>
              </w:divBdr>
            </w:div>
            <w:div w:id="1676957332">
              <w:marLeft w:val="0"/>
              <w:marRight w:val="0"/>
              <w:marTop w:val="0"/>
              <w:marBottom w:val="240"/>
              <w:divBdr>
                <w:top w:val="none" w:sz="0" w:space="0" w:color="auto"/>
                <w:left w:val="none" w:sz="0" w:space="0" w:color="auto"/>
                <w:bottom w:val="none" w:sz="0" w:space="0" w:color="auto"/>
                <w:right w:val="none" w:sz="0" w:space="0" w:color="auto"/>
              </w:divBdr>
            </w:div>
            <w:div w:id="142309168">
              <w:marLeft w:val="0"/>
              <w:marRight w:val="0"/>
              <w:marTop w:val="0"/>
              <w:marBottom w:val="240"/>
              <w:divBdr>
                <w:top w:val="none" w:sz="0" w:space="0" w:color="auto"/>
                <w:left w:val="none" w:sz="0" w:space="0" w:color="auto"/>
                <w:bottom w:val="none" w:sz="0" w:space="0" w:color="auto"/>
                <w:right w:val="none" w:sz="0" w:space="0" w:color="auto"/>
              </w:divBdr>
            </w:div>
            <w:div w:id="588002998">
              <w:marLeft w:val="0"/>
              <w:marRight w:val="0"/>
              <w:marTop w:val="0"/>
              <w:marBottom w:val="240"/>
              <w:divBdr>
                <w:top w:val="none" w:sz="0" w:space="0" w:color="auto"/>
                <w:left w:val="none" w:sz="0" w:space="0" w:color="auto"/>
                <w:bottom w:val="none" w:sz="0" w:space="0" w:color="auto"/>
                <w:right w:val="none" w:sz="0" w:space="0" w:color="auto"/>
              </w:divBdr>
            </w:div>
            <w:div w:id="2131898832">
              <w:marLeft w:val="0"/>
              <w:marRight w:val="0"/>
              <w:marTop w:val="0"/>
              <w:marBottom w:val="240"/>
              <w:divBdr>
                <w:top w:val="none" w:sz="0" w:space="0" w:color="auto"/>
                <w:left w:val="none" w:sz="0" w:space="0" w:color="auto"/>
                <w:bottom w:val="none" w:sz="0" w:space="0" w:color="auto"/>
                <w:right w:val="none" w:sz="0" w:space="0" w:color="auto"/>
              </w:divBdr>
            </w:div>
            <w:div w:id="299001523">
              <w:marLeft w:val="0"/>
              <w:marRight w:val="0"/>
              <w:marTop w:val="0"/>
              <w:marBottom w:val="240"/>
              <w:divBdr>
                <w:top w:val="none" w:sz="0" w:space="0" w:color="auto"/>
                <w:left w:val="none" w:sz="0" w:space="0" w:color="auto"/>
                <w:bottom w:val="none" w:sz="0" w:space="0" w:color="auto"/>
                <w:right w:val="none" w:sz="0" w:space="0" w:color="auto"/>
              </w:divBdr>
            </w:div>
            <w:div w:id="1997293178">
              <w:marLeft w:val="0"/>
              <w:marRight w:val="0"/>
              <w:marTop w:val="0"/>
              <w:marBottom w:val="240"/>
              <w:divBdr>
                <w:top w:val="none" w:sz="0" w:space="0" w:color="auto"/>
                <w:left w:val="none" w:sz="0" w:space="0" w:color="auto"/>
                <w:bottom w:val="none" w:sz="0" w:space="0" w:color="auto"/>
                <w:right w:val="none" w:sz="0" w:space="0" w:color="auto"/>
              </w:divBdr>
            </w:div>
            <w:div w:id="1089816142">
              <w:marLeft w:val="0"/>
              <w:marRight w:val="0"/>
              <w:marTop w:val="0"/>
              <w:marBottom w:val="240"/>
              <w:divBdr>
                <w:top w:val="none" w:sz="0" w:space="0" w:color="auto"/>
                <w:left w:val="none" w:sz="0" w:space="0" w:color="auto"/>
                <w:bottom w:val="none" w:sz="0" w:space="0" w:color="auto"/>
                <w:right w:val="none" w:sz="0" w:space="0" w:color="auto"/>
              </w:divBdr>
            </w:div>
            <w:div w:id="894849723">
              <w:marLeft w:val="0"/>
              <w:marRight w:val="0"/>
              <w:marTop w:val="0"/>
              <w:marBottom w:val="240"/>
              <w:divBdr>
                <w:top w:val="none" w:sz="0" w:space="0" w:color="auto"/>
                <w:left w:val="none" w:sz="0" w:space="0" w:color="auto"/>
                <w:bottom w:val="none" w:sz="0" w:space="0" w:color="auto"/>
                <w:right w:val="none" w:sz="0" w:space="0" w:color="auto"/>
              </w:divBdr>
            </w:div>
            <w:div w:id="2017153288">
              <w:marLeft w:val="0"/>
              <w:marRight w:val="0"/>
              <w:marTop w:val="0"/>
              <w:marBottom w:val="240"/>
              <w:divBdr>
                <w:top w:val="none" w:sz="0" w:space="0" w:color="auto"/>
                <w:left w:val="none" w:sz="0" w:space="0" w:color="auto"/>
                <w:bottom w:val="none" w:sz="0" w:space="0" w:color="auto"/>
                <w:right w:val="none" w:sz="0" w:space="0" w:color="auto"/>
              </w:divBdr>
            </w:div>
            <w:div w:id="1046222093">
              <w:marLeft w:val="0"/>
              <w:marRight w:val="0"/>
              <w:marTop w:val="0"/>
              <w:marBottom w:val="240"/>
              <w:divBdr>
                <w:top w:val="none" w:sz="0" w:space="0" w:color="auto"/>
                <w:left w:val="none" w:sz="0" w:space="0" w:color="auto"/>
                <w:bottom w:val="none" w:sz="0" w:space="0" w:color="auto"/>
                <w:right w:val="none" w:sz="0" w:space="0" w:color="auto"/>
              </w:divBdr>
            </w:div>
            <w:div w:id="369845623">
              <w:marLeft w:val="0"/>
              <w:marRight w:val="0"/>
              <w:marTop w:val="0"/>
              <w:marBottom w:val="240"/>
              <w:divBdr>
                <w:top w:val="none" w:sz="0" w:space="0" w:color="auto"/>
                <w:left w:val="none" w:sz="0" w:space="0" w:color="auto"/>
                <w:bottom w:val="none" w:sz="0" w:space="0" w:color="auto"/>
                <w:right w:val="none" w:sz="0" w:space="0" w:color="auto"/>
              </w:divBdr>
            </w:div>
            <w:div w:id="500898592">
              <w:marLeft w:val="0"/>
              <w:marRight w:val="0"/>
              <w:marTop w:val="0"/>
              <w:marBottom w:val="240"/>
              <w:divBdr>
                <w:top w:val="none" w:sz="0" w:space="0" w:color="auto"/>
                <w:left w:val="none" w:sz="0" w:space="0" w:color="auto"/>
                <w:bottom w:val="none" w:sz="0" w:space="0" w:color="auto"/>
                <w:right w:val="none" w:sz="0" w:space="0" w:color="auto"/>
              </w:divBdr>
            </w:div>
            <w:div w:id="979577841">
              <w:marLeft w:val="0"/>
              <w:marRight w:val="0"/>
              <w:marTop w:val="0"/>
              <w:marBottom w:val="240"/>
              <w:divBdr>
                <w:top w:val="none" w:sz="0" w:space="0" w:color="auto"/>
                <w:left w:val="none" w:sz="0" w:space="0" w:color="auto"/>
                <w:bottom w:val="none" w:sz="0" w:space="0" w:color="auto"/>
                <w:right w:val="none" w:sz="0" w:space="0" w:color="auto"/>
              </w:divBdr>
            </w:div>
            <w:div w:id="1129398655">
              <w:marLeft w:val="0"/>
              <w:marRight w:val="0"/>
              <w:marTop w:val="0"/>
              <w:marBottom w:val="240"/>
              <w:divBdr>
                <w:top w:val="none" w:sz="0" w:space="0" w:color="auto"/>
                <w:left w:val="none" w:sz="0" w:space="0" w:color="auto"/>
                <w:bottom w:val="none" w:sz="0" w:space="0" w:color="auto"/>
                <w:right w:val="none" w:sz="0" w:space="0" w:color="auto"/>
              </w:divBdr>
            </w:div>
            <w:div w:id="900596037">
              <w:marLeft w:val="0"/>
              <w:marRight w:val="0"/>
              <w:marTop w:val="0"/>
              <w:marBottom w:val="240"/>
              <w:divBdr>
                <w:top w:val="none" w:sz="0" w:space="0" w:color="auto"/>
                <w:left w:val="none" w:sz="0" w:space="0" w:color="auto"/>
                <w:bottom w:val="none" w:sz="0" w:space="0" w:color="auto"/>
                <w:right w:val="none" w:sz="0" w:space="0" w:color="auto"/>
              </w:divBdr>
            </w:div>
            <w:div w:id="992758320">
              <w:marLeft w:val="0"/>
              <w:marRight w:val="0"/>
              <w:marTop w:val="0"/>
              <w:marBottom w:val="240"/>
              <w:divBdr>
                <w:top w:val="none" w:sz="0" w:space="0" w:color="auto"/>
                <w:left w:val="none" w:sz="0" w:space="0" w:color="auto"/>
                <w:bottom w:val="none" w:sz="0" w:space="0" w:color="auto"/>
                <w:right w:val="none" w:sz="0" w:space="0" w:color="auto"/>
              </w:divBdr>
            </w:div>
            <w:div w:id="933395992">
              <w:marLeft w:val="0"/>
              <w:marRight w:val="0"/>
              <w:marTop w:val="0"/>
              <w:marBottom w:val="240"/>
              <w:divBdr>
                <w:top w:val="none" w:sz="0" w:space="0" w:color="auto"/>
                <w:left w:val="none" w:sz="0" w:space="0" w:color="auto"/>
                <w:bottom w:val="none" w:sz="0" w:space="0" w:color="auto"/>
                <w:right w:val="none" w:sz="0" w:space="0" w:color="auto"/>
              </w:divBdr>
            </w:div>
            <w:div w:id="339164980">
              <w:marLeft w:val="0"/>
              <w:marRight w:val="0"/>
              <w:marTop w:val="0"/>
              <w:marBottom w:val="240"/>
              <w:divBdr>
                <w:top w:val="none" w:sz="0" w:space="0" w:color="auto"/>
                <w:left w:val="none" w:sz="0" w:space="0" w:color="auto"/>
                <w:bottom w:val="none" w:sz="0" w:space="0" w:color="auto"/>
                <w:right w:val="none" w:sz="0" w:space="0" w:color="auto"/>
              </w:divBdr>
            </w:div>
            <w:div w:id="1199389493">
              <w:marLeft w:val="0"/>
              <w:marRight w:val="0"/>
              <w:marTop w:val="0"/>
              <w:marBottom w:val="240"/>
              <w:divBdr>
                <w:top w:val="none" w:sz="0" w:space="0" w:color="auto"/>
                <w:left w:val="none" w:sz="0" w:space="0" w:color="auto"/>
                <w:bottom w:val="none" w:sz="0" w:space="0" w:color="auto"/>
                <w:right w:val="none" w:sz="0" w:space="0" w:color="auto"/>
              </w:divBdr>
            </w:div>
            <w:div w:id="17657198">
              <w:marLeft w:val="0"/>
              <w:marRight w:val="0"/>
              <w:marTop w:val="0"/>
              <w:marBottom w:val="240"/>
              <w:divBdr>
                <w:top w:val="none" w:sz="0" w:space="0" w:color="auto"/>
                <w:left w:val="none" w:sz="0" w:space="0" w:color="auto"/>
                <w:bottom w:val="none" w:sz="0" w:space="0" w:color="auto"/>
                <w:right w:val="none" w:sz="0" w:space="0" w:color="auto"/>
              </w:divBdr>
            </w:div>
            <w:div w:id="759983378">
              <w:marLeft w:val="0"/>
              <w:marRight w:val="0"/>
              <w:marTop w:val="0"/>
              <w:marBottom w:val="240"/>
              <w:divBdr>
                <w:top w:val="none" w:sz="0" w:space="0" w:color="auto"/>
                <w:left w:val="none" w:sz="0" w:space="0" w:color="auto"/>
                <w:bottom w:val="none" w:sz="0" w:space="0" w:color="auto"/>
                <w:right w:val="none" w:sz="0" w:space="0" w:color="auto"/>
              </w:divBdr>
            </w:div>
            <w:div w:id="1969780113">
              <w:marLeft w:val="0"/>
              <w:marRight w:val="0"/>
              <w:marTop w:val="0"/>
              <w:marBottom w:val="240"/>
              <w:divBdr>
                <w:top w:val="none" w:sz="0" w:space="0" w:color="auto"/>
                <w:left w:val="none" w:sz="0" w:space="0" w:color="auto"/>
                <w:bottom w:val="none" w:sz="0" w:space="0" w:color="auto"/>
                <w:right w:val="none" w:sz="0" w:space="0" w:color="auto"/>
              </w:divBdr>
            </w:div>
            <w:div w:id="1770812605">
              <w:marLeft w:val="0"/>
              <w:marRight w:val="0"/>
              <w:marTop w:val="0"/>
              <w:marBottom w:val="240"/>
              <w:divBdr>
                <w:top w:val="none" w:sz="0" w:space="0" w:color="auto"/>
                <w:left w:val="none" w:sz="0" w:space="0" w:color="auto"/>
                <w:bottom w:val="none" w:sz="0" w:space="0" w:color="auto"/>
                <w:right w:val="none" w:sz="0" w:space="0" w:color="auto"/>
              </w:divBdr>
            </w:div>
            <w:div w:id="403986860">
              <w:marLeft w:val="0"/>
              <w:marRight w:val="0"/>
              <w:marTop w:val="0"/>
              <w:marBottom w:val="240"/>
              <w:divBdr>
                <w:top w:val="none" w:sz="0" w:space="0" w:color="auto"/>
                <w:left w:val="none" w:sz="0" w:space="0" w:color="auto"/>
                <w:bottom w:val="none" w:sz="0" w:space="0" w:color="auto"/>
                <w:right w:val="none" w:sz="0" w:space="0" w:color="auto"/>
              </w:divBdr>
            </w:div>
            <w:div w:id="937559923">
              <w:marLeft w:val="0"/>
              <w:marRight w:val="0"/>
              <w:marTop w:val="0"/>
              <w:marBottom w:val="240"/>
              <w:divBdr>
                <w:top w:val="none" w:sz="0" w:space="0" w:color="auto"/>
                <w:left w:val="none" w:sz="0" w:space="0" w:color="auto"/>
                <w:bottom w:val="none" w:sz="0" w:space="0" w:color="auto"/>
                <w:right w:val="none" w:sz="0" w:space="0" w:color="auto"/>
              </w:divBdr>
            </w:div>
            <w:div w:id="1577741186">
              <w:marLeft w:val="0"/>
              <w:marRight w:val="0"/>
              <w:marTop w:val="0"/>
              <w:marBottom w:val="240"/>
              <w:divBdr>
                <w:top w:val="none" w:sz="0" w:space="0" w:color="auto"/>
                <w:left w:val="none" w:sz="0" w:space="0" w:color="auto"/>
                <w:bottom w:val="none" w:sz="0" w:space="0" w:color="auto"/>
                <w:right w:val="none" w:sz="0" w:space="0" w:color="auto"/>
              </w:divBdr>
            </w:div>
            <w:div w:id="2145539986">
              <w:marLeft w:val="0"/>
              <w:marRight w:val="0"/>
              <w:marTop w:val="0"/>
              <w:marBottom w:val="240"/>
              <w:divBdr>
                <w:top w:val="none" w:sz="0" w:space="0" w:color="auto"/>
                <w:left w:val="none" w:sz="0" w:space="0" w:color="auto"/>
                <w:bottom w:val="none" w:sz="0" w:space="0" w:color="auto"/>
                <w:right w:val="none" w:sz="0" w:space="0" w:color="auto"/>
              </w:divBdr>
            </w:div>
            <w:div w:id="379594521">
              <w:marLeft w:val="0"/>
              <w:marRight w:val="0"/>
              <w:marTop w:val="0"/>
              <w:marBottom w:val="240"/>
              <w:divBdr>
                <w:top w:val="none" w:sz="0" w:space="0" w:color="auto"/>
                <w:left w:val="none" w:sz="0" w:space="0" w:color="auto"/>
                <w:bottom w:val="none" w:sz="0" w:space="0" w:color="auto"/>
                <w:right w:val="none" w:sz="0" w:space="0" w:color="auto"/>
              </w:divBdr>
            </w:div>
            <w:div w:id="1982542095">
              <w:marLeft w:val="0"/>
              <w:marRight w:val="0"/>
              <w:marTop w:val="0"/>
              <w:marBottom w:val="240"/>
              <w:divBdr>
                <w:top w:val="none" w:sz="0" w:space="0" w:color="auto"/>
                <w:left w:val="none" w:sz="0" w:space="0" w:color="auto"/>
                <w:bottom w:val="none" w:sz="0" w:space="0" w:color="auto"/>
                <w:right w:val="none" w:sz="0" w:space="0" w:color="auto"/>
              </w:divBdr>
            </w:div>
            <w:div w:id="652489417">
              <w:marLeft w:val="0"/>
              <w:marRight w:val="0"/>
              <w:marTop w:val="0"/>
              <w:marBottom w:val="240"/>
              <w:divBdr>
                <w:top w:val="none" w:sz="0" w:space="0" w:color="auto"/>
                <w:left w:val="none" w:sz="0" w:space="0" w:color="auto"/>
                <w:bottom w:val="none" w:sz="0" w:space="0" w:color="auto"/>
                <w:right w:val="none" w:sz="0" w:space="0" w:color="auto"/>
              </w:divBdr>
            </w:div>
            <w:div w:id="1342703306">
              <w:marLeft w:val="0"/>
              <w:marRight w:val="0"/>
              <w:marTop w:val="0"/>
              <w:marBottom w:val="240"/>
              <w:divBdr>
                <w:top w:val="none" w:sz="0" w:space="0" w:color="auto"/>
                <w:left w:val="none" w:sz="0" w:space="0" w:color="auto"/>
                <w:bottom w:val="none" w:sz="0" w:space="0" w:color="auto"/>
                <w:right w:val="none" w:sz="0" w:space="0" w:color="auto"/>
              </w:divBdr>
            </w:div>
            <w:div w:id="166094214">
              <w:marLeft w:val="0"/>
              <w:marRight w:val="0"/>
              <w:marTop w:val="0"/>
              <w:marBottom w:val="240"/>
              <w:divBdr>
                <w:top w:val="none" w:sz="0" w:space="0" w:color="auto"/>
                <w:left w:val="none" w:sz="0" w:space="0" w:color="auto"/>
                <w:bottom w:val="none" w:sz="0" w:space="0" w:color="auto"/>
                <w:right w:val="none" w:sz="0" w:space="0" w:color="auto"/>
              </w:divBdr>
            </w:div>
            <w:div w:id="1859154345">
              <w:marLeft w:val="0"/>
              <w:marRight w:val="0"/>
              <w:marTop w:val="0"/>
              <w:marBottom w:val="240"/>
              <w:divBdr>
                <w:top w:val="none" w:sz="0" w:space="0" w:color="auto"/>
                <w:left w:val="none" w:sz="0" w:space="0" w:color="auto"/>
                <w:bottom w:val="none" w:sz="0" w:space="0" w:color="auto"/>
                <w:right w:val="none" w:sz="0" w:space="0" w:color="auto"/>
              </w:divBdr>
            </w:div>
            <w:div w:id="92871386">
              <w:marLeft w:val="0"/>
              <w:marRight w:val="0"/>
              <w:marTop w:val="0"/>
              <w:marBottom w:val="240"/>
              <w:divBdr>
                <w:top w:val="none" w:sz="0" w:space="0" w:color="auto"/>
                <w:left w:val="none" w:sz="0" w:space="0" w:color="auto"/>
                <w:bottom w:val="none" w:sz="0" w:space="0" w:color="auto"/>
                <w:right w:val="none" w:sz="0" w:space="0" w:color="auto"/>
              </w:divBdr>
            </w:div>
            <w:div w:id="693458285">
              <w:marLeft w:val="0"/>
              <w:marRight w:val="0"/>
              <w:marTop w:val="0"/>
              <w:marBottom w:val="240"/>
              <w:divBdr>
                <w:top w:val="none" w:sz="0" w:space="0" w:color="auto"/>
                <w:left w:val="none" w:sz="0" w:space="0" w:color="auto"/>
                <w:bottom w:val="none" w:sz="0" w:space="0" w:color="auto"/>
                <w:right w:val="none" w:sz="0" w:space="0" w:color="auto"/>
              </w:divBdr>
            </w:div>
            <w:div w:id="1682467680">
              <w:marLeft w:val="0"/>
              <w:marRight w:val="0"/>
              <w:marTop w:val="0"/>
              <w:marBottom w:val="240"/>
              <w:divBdr>
                <w:top w:val="none" w:sz="0" w:space="0" w:color="auto"/>
                <w:left w:val="none" w:sz="0" w:space="0" w:color="auto"/>
                <w:bottom w:val="none" w:sz="0" w:space="0" w:color="auto"/>
                <w:right w:val="none" w:sz="0" w:space="0" w:color="auto"/>
              </w:divBdr>
            </w:div>
            <w:div w:id="1708989029">
              <w:marLeft w:val="0"/>
              <w:marRight w:val="0"/>
              <w:marTop w:val="0"/>
              <w:marBottom w:val="240"/>
              <w:divBdr>
                <w:top w:val="none" w:sz="0" w:space="0" w:color="auto"/>
                <w:left w:val="none" w:sz="0" w:space="0" w:color="auto"/>
                <w:bottom w:val="none" w:sz="0" w:space="0" w:color="auto"/>
                <w:right w:val="none" w:sz="0" w:space="0" w:color="auto"/>
              </w:divBdr>
            </w:div>
            <w:div w:id="800272101">
              <w:marLeft w:val="0"/>
              <w:marRight w:val="0"/>
              <w:marTop w:val="0"/>
              <w:marBottom w:val="240"/>
              <w:divBdr>
                <w:top w:val="none" w:sz="0" w:space="0" w:color="auto"/>
                <w:left w:val="none" w:sz="0" w:space="0" w:color="auto"/>
                <w:bottom w:val="none" w:sz="0" w:space="0" w:color="auto"/>
                <w:right w:val="none" w:sz="0" w:space="0" w:color="auto"/>
              </w:divBdr>
            </w:div>
            <w:div w:id="357312795">
              <w:marLeft w:val="0"/>
              <w:marRight w:val="0"/>
              <w:marTop w:val="0"/>
              <w:marBottom w:val="240"/>
              <w:divBdr>
                <w:top w:val="none" w:sz="0" w:space="0" w:color="auto"/>
                <w:left w:val="none" w:sz="0" w:space="0" w:color="auto"/>
                <w:bottom w:val="none" w:sz="0" w:space="0" w:color="auto"/>
                <w:right w:val="none" w:sz="0" w:space="0" w:color="auto"/>
              </w:divBdr>
            </w:div>
            <w:div w:id="206331877">
              <w:marLeft w:val="0"/>
              <w:marRight w:val="0"/>
              <w:marTop w:val="0"/>
              <w:marBottom w:val="240"/>
              <w:divBdr>
                <w:top w:val="none" w:sz="0" w:space="0" w:color="auto"/>
                <w:left w:val="none" w:sz="0" w:space="0" w:color="auto"/>
                <w:bottom w:val="none" w:sz="0" w:space="0" w:color="auto"/>
                <w:right w:val="none" w:sz="0" w:space="0" w:color="auto"/>
              </w:divBdr>
            </w:div>
            <w:div w:id="16347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906998">
      <w:bodyDiv w:val="1"/>
      <w:marLeft w:val="0"/>
      <w:marRight w:val="0"/>
      <w:marTop w:val="0"/>
      <w:marBottom w:val="0"/>
      <w:divBdr>
        <w:top w:val="none" w:sz="0" w:space="0" w:color="auto"/>
        <w:left w:val="none" w:sz="0" w:space="0" w:color="auto"/>
        <w:bottom w:val="none" w:sz="0" w:space="0" w:color="auto"/>
        <w:right w:val="none" w:sz="0" w:space="0" w:color="auto"/>
      </w:divBdr>
    </w:div>
    <w:div w:id="262148996">
      <w:bodyDiv w:val="1"/>
      <w:marLeft w:val="0"/>
      <w:marRight w:val="0"/>
      <w:marTop w:val="0"/>
      <w:marBottom w:val="0"/>
      <w:divBdr>
        <w:top w:val="none" w:sz="0" w:space="0" w:color="auto"/>
        <w:left w:val="none" w:sz="0" w:space="0" w:color="auto"/>
        <w:bottom w:val="none" w:sz="0" w:space="0" w:color="auto"/>
        <w:right w:val="none" w:sz="0" w:space="0" w:color="auto"/>
      </w:divBdr>
    </w:div>
    <w:div w:id="262999872">
      <w:bodyDiv w:val="1"/>
      <w:marLeft w:val="0"/>
      <w:marRight w:val="0"/>
      <w:marTop w:val="0"/>
      <w:marBottom w:val="0"/>
      <w:divBdr>
        <w:top w:val="none" w:sz="0" w:space="0" w:color="auto"/>
        <w:left w:val="none" w:sz="0" w:space="0" w:color="auto"/>
        <w:bottom w:val="none" w:sz="0" w:space="0" w:color="auto"/>
        <w:right w:val="none" w:sz="0" w:space="0" w:color="auto"/>
      </w:divBdr>
    </w:div>
    <w:div w:id="270018797">
      <w:bodyDiv w:val="1"/>
      <w:marLeft w:val="0"/>
      <w:marRight w:val="0"/>
      <w:marTop w:val="0"/>
      <w:marBottom w:val="0"/>
      <w:divBdr>
        <w:top w:val="none" w:sz="0" w:space="0" w:color="auto"/>
        <w:left w:val="none" w:sz="0" w:space="0" w:color="auto"/>
        <w:bottom w:val="none" w:sz="0" w:space="0" w:color="auto"/>
        <w:right w:val="none" w:sz="0" w:space="0" w:color="auto"/>
      </w:divBdr>
    </w:div>
    <w:div w:id="270551411">
      <w:bodyDiv w:val="1"/>
      <w:marLeft w:val="0"/>
      <w:marRight w:val="0"/>
      <w:marTop w:val="0"/>
      <w:marBottom w:val="0"/>
      <w:divBdr>
        <w:top w:val="none" w:sz="0" w:space="0" w:color="auto"/>
        <w:left w:val="none" w:sz="0" w:space="0" w:color="auto"/>
        <w:bottom w:val="none" w:sz="0" w:space="0" w:color="auto"/>
        <w:right w:val="none" w:sz="0" w:space="0" w:color="auto"/>
      </w:divBdr>
    </w:div>
    <w:div w:id="285241296">
      <w:bodyDiv w:val="1"/>
      <w:marLeft w:val="0"/>
      <w:marRight w:val="0"/>
      <w:marTop w:val="0"/>
      <w:marBottom w:val="0"/>
      <w:divBdr>
        <w:top w:val="none" w:sz="0" w:space="0" w:color="auto"/>
        <w:left w:val="none" w:sz="0" w:space="0" w:color="auto"/>
        <w:bottom w:val="none" w:sz="0" w:space="0" w:color="auto"/>
        <w:right w:val="none" w:sz="0" w:space="0" w:color="auto"/>
      </w:divBdr>
    </w:div>
    <w:div w:id="294994944">
      <w:bodyDiv w:val="1"/>
      <w:marLeft w:val="0"/>
      <w:marRight w:val="0"/>
      <w:marTop w:val="0"/>
      <w:marBottom w:val="0"/>
      <w:divBdr>
        <w:top w:val="none" w:sz="0" w:space="0" w:color="auto"/>
        <w:left w:val="none" w:sz="0" w:space="0" w:color="auto"/>
        <w:bottom w:val="none" w:sz="0" w:space="0" w:color="auto"/>
        <w:right w:val="none" w:sz="0" w:space="0" w:color="auto"/>
      </w:divBdr>
      <w:divsChild>
        <w:div w:id="2019381678">
          <w:marLeft w:val="480"/>
          <w:marRight w:val="0"/>
          <w:marTop w:val="0"/>
          <w:marBottom w:val="0"/>
          <w:divBdr>
            <w:top w:val="none" w:sz="0" w:space="0" w:color="auto"/>
            <w:left w:val="none" w:sz="0" w:space="0" w:color="auto"/>
            <w:bottom w:val="none" w:sz="0" w:space="0" w:color="auto"/>
            <w:right w:val="none" w:sz="0" w:space="0" w:color="auto"/>
          </w:divBdr>
          <w:divsChild>
            <w:div w:id="134418979">
              <w:marLeft w:val="0"/>
              <w:marRight w:val="0"/>
              <w:marTop w:val="0"/>
              <w:marBottom w:val="240"/>
              <w:divBdr>
                <w:top w:val="none" w:sz="0" w:space="0" w:color="auto"/>
                <w:left w:val="none" w:sz="0" w:space="0" w:color="auto"/>
                <w:bottom w:val="none" w:sz="0" w:space="0" w:color="auto"/>
                <w:right w:val="none" w:sz="0" w:space="0" w:color="auto"/>
              </w:divBdr>
            </w:div>
            <w:div w:id="1568032073">
              <w:marLeft w:val="0"/>
              <w:marRight w:val="0"/>
              <w:marTop w:val="0"/>
              <w:marBottom w:val="240"/>
              <w:divBdr>
                <w:top w:val="none" w:sz="0" w:space="0" w:color="auto"/>
                <w:left w:val="none" w:sz="0" w:space="0" w:color="auto"/>
                <w:bottom w:val="none" w:sz="0" w:space="0" w:color="auto"/>
                <w:right w:val="none" w:sz="0" w:space="0" w:color="auto"/>
              </w:divBdr>
            </w:div>
            <w:div w:id="384909435">
              <w:marLeft w:val="0"/>
              <w:marRight w:val="0"/>
              <w:marTop w:val="0"/>
              <w:marBottom w:val="240"/>
              <w:divBdr>
                <w:top w:val="none" w:sz="0" w:space="0" w:color="auto"/>
                <w:left w:val="none" w:sz="0" w:space="0" w:color="auto"/>
                <w:bottom w:val="none" w:sz="0" w:space="0" w:color="auto"/>
                <w:right w:val="none" w:sz="0" w:space="0" w:color="auto"/>
              </w:divBdr>
            </w:div>
            <w:div w:id="1126120809">
              <w:marLeft w:val="0"/>
              <w:marRight w:val="0"/>
              <w:marTop w:val="0"/>
              <w:marBottom w:val="240"/>
              <w:divBdr>
                <w:top w:val="none" w:sz="0" w:space="0" w:color="auto"/>
                <w:left w:val="none" w:sz="0" w:space="0" w:color="auto"/>
                <w:bottom w:val="none" w:sz="0" w:space="0" w:color="auto"/>
                <w:right w:val="none" w:sz="0" w:space="0" w:color="auto"/>
              </w:divBdr>
            </w:div>
            <w:div w:id="169875548">
              <w:marLeft w:val="0"/>
              <w:marRight w:val="0"/>
              <w:marTop w:val="0"/>
              <w:marBottom w:val="240"/>
              <w:divBdr>
                <w:top w:val="none" w:sz="0" w:space="0" w:color="auto"/>
                <w:left w:val="none" w:sz="0" w:space="0" w:color="auto"/>
                <w:bottom w:val="none" w:sz="0" w:space="0" w:color="auto"/>
                <w:right w:val="none" w:sz="0" w:space="0" w:color="auto"/>
              </w:divBdr>
            </w:div>
            <w:div w:id="109053230">
              <w:marLeft w:val="0"/>
              <w:marRight w:val="0"/>
              <w:marTop w:val="0"/>
              <w:marBottom w:val="240"/>
              <w:divBdr>
                <w:top w:val="none" w:sz="0" w:space="0" w:color="auto"/>
                <w:left w:val="none" w:sz="0" w:space="0" w:color="auto"/>
                <w:bottom w:val="none" w:sz="0" w:space="0" w:color="auto"/>
                <w:right w:val="none" w:sz="0" w:space="0" w:color="auto"/>
              </w:divBdr>
            </w:div>
            <w:div w:id="1016035197">
              <w:marLeft w:val="0"/>
              <w:marRight w:val="0"/>
              <w:marTop w:val="0"/>
              <w:marBottom w:val="240"/>
              <w:divBdr>
                <w:top w:val="none" w:sz="0" w:space="0" w:color="auto"/>
                <w:left w:val="none" w:sz="0" w:space="0" w:color="auto"/>
                <w:bottom w:val="none" w:sz="0" w:space="0" w:color="auto"/>
                <w:right w:val="none" w:sz="0" w:space="0" w:color="auto"/>
              </w:divBdr>
            </w:div>
            <w:div w:id="556094022">
              <w:marLeft w:val="0"/>
              <w:marRight w:val="0"/>
              <w:marTop w:val="0"/>
              <w:marBottom w:val="240"/>
              <w:divBdr>
                <w:top w:val="none" w:sz="0" w:space="0" w:color="auto"/>
                <w:left w:val="none" w:sz="0" w:space="0" w:color="auto"/>
                <w:bottom w:val="none" w:sz="0" w:space="0" w:color="auto"/>
                <w:right w:val="none" w:sz="0" w:space="0" w:color="auto"/>
              </w:divBdr>
            </w:div>
            <w:div w:id="1579630854">
              <w:marLeft w:val="0"/>
              <w:marRight w:val="0"/>
              <w:marTop w:val="0"/>
              <w:marBottom w:val="240"/>
              <w:divBdr>
                <w:top w:val="none" w:sz="0" w:space="0" w:color="auto"/>
                <w:left w:val="none" w:sz="0" w:space="0" w:color="auto"/>
                <w:bottom w:val="none" w:sz="0" w:space="0" w:color="auto"/>
                <w:right w:val="none" w:sz="0" w:space="0" w:color="auto"/>
              </w:divBdr>
            </w:div>
            <w:div w:id="249629631">
              <w:marLeft w:val="0"/>
              <w:marRight w:val="0"/>
              <w:marTop w:val="0"/>
              <w:marBottom w:val="240"/>
              <w:divBdr>
                <w:top w:val="none" w:sz="0" w:space="0" w:color="auto"/>
                <w:left w:val="none" w:sz="0" w:space="0" w:color="auto"/>
                <w:bottom w:val="none" w:sz="0" w:space="0" w:color="auto"/>
                <w:right w:val="none" w:sz="0" w:space="0" w:color="auto"/>
              </w:divBdr>
            </w:div>
            <w:div w:id="530344100">
              <w:marLeft w:val="0"/>
              <w:marRight w:val="0"/>
              <w:marTop w:val="0"/>
              <w:marBottom w:val="240"/>
              <w:divBdr>
                <w:top w:val="none" w:sz="0" w:space="0" w:color="auto"/>
                <w:left w:val="none" w:sz="0" w:space="0" w:color="auto"/>
                <w:bottom w:val="none" w:sz="0" w:space="0" w:color="auto"/>
                <w:right w:val="none" w:sz="0" w:space="0" w:color="auto"/>
              </w:divBdr>
            </w:div>
            <w:div w:id="1914925115">
              <w:marLeft w:val="0"/>
              <w:marRight w:val="0"/>
              <w:marTop w:val="0"/>
              <w:marBottom w:val="240"/>
              <w:divBdr>
                <w:top w:val="none" w:sz="0" w:space="0" w:color="auto"/>
                <w:left w:val="none" w:sz="0" w:space="0" w:color="auto"/>
                <w:bottom w:val="none" w:sz="0" w:space="0" w:color="auto"/>
                <w:right w:val="none" w:sz="0" w:space="0" w:color="auto"/>
              </w:divBdr>
            </w:div>
            <w:div w:id="663438829">
              <w:marLeft w:val="0"/>
              <w:marRight w:val="0"/>
              <w:marTop w:val="0"/>
              <w:marBottom w:val="240"/>
              <w:divBdr>
                <w:top w:val="none" w:sz="0" w:space="0" w:color="auto"/>
                <w:left w:val="none" w:sz="0" w:space="0" w:color="auto"/>
                <w:bottom w:val="none" w:sz="0" w:space="0" w:color="auto"/>
                <w:right w:val="none" w:sz="0" w:space="0" w:color="auto"/>
              </w:divBdr>
            </w:div>
            <w:div w:id="645355029">
              <w:marLeft w:val="0"/>
              <w:marRight w:val="0"/>
              <w:marTop w:val="0"/>
              <w:marBottom w:val="240"/>
              <w:divBdr>
                <w:top w:val="none" w:sz="0" w:space="0" w:color="auto"/>
                <w:left w:val="none" w:sz="0" w:space="0" w:color="auto"/>
                <w:bottom w:val="none" w:sz="0" w:space="0" w:color="auto"/>
                <w:right w:val="none" w:sz="0" w:space="0" w:color="auto"/>
              </w:divBdr>
            </w:div>
            <w:div w:id="402217249">
              <w:marLeft w:val="0"/>
              <w:marRight w:val="0"/>
              <w:marTop w:val="0"/>
              <w:marBottom w:val="240"/>
              <w:divBdr>
                <w:top w:val="none" w:sz="0" w:space="0" w:color="auto"/>
                <w:left w:val="none" w:sz="0" w:space="0" w:color="auto"/>
                <w:bottom w:val="none" w:sz="0" w:space="0" w:color="auto"/>
                <w:right w:val="none" w:sz="0" w:space="0" w:color="auto"/>
              </w:divBdr>
            </w:div>
            <w:div w:id="1696535554">
              <w:marLeft w:val="0"/>
              <w:marRight w:val="0"/>
              <w:marTop w:val="0"/>
              <w:marBottom w:val="240"/>
              <w:divBdr>
                <w:top w:val="none" w:sz="0" w:space="0" w:color="auto"/>
                <w:left w:val="none" w:sz="0" w:space="0" w:color="auto"/>
                <w:bottom w:val="none" w:sz="0" w:space="0" w:color="auto"/>
                <w:right w:val="none" w:sz="0" w:space="0" w:color="auto"/>
              </w:divBdr>
            </w:div>
            <w:div w:id="809445108">
              <w:marLeft w:val="0"/>
              <w:marRight w:val="0"/>
              <w:marTop w:val="0"/>
              <w:marBottom w:val="240"/>
              <w:divBdr>
                <w:top w:val="none" w:sz="0" w:space="0" w:color="auto"/>
                <w:left w:val="none" w:sz="0" w:space="0" w:color="auto"/>
                <w:bottom w:val="none" w:sz="0" w:space="0" w:color="auto"/>
                <w:right w:val="none" w:sz="0" w:space="0" w:color="auto"/>
              </w:divBdr>
            </w:div>
            <w:div w:id="1889680507">
              <w:marLeft w:val="0"/>
              <w:marRight w:val="0"/>
              <w:marTop w:val="0"/>
              <w:marBottom w:val="240"/>
              <w:divBdr>
                <w:top w:val="none" w:sz="0" w:space="0" w:color="auto"/>
                <w:left w:val="none" w:sz="0" w:space="0" w:color="auto"/>
                <w:bottom w:val="none" w:sz="0" w:space="0" w:color="auto"/>
                <w:right w:val="none" w:sz="0" w:space="0" w:color="auto"/>
              </w:divBdr>
            </w:div>
            <w:div w:id="1216551110">
              <w:marLeft w:val="0"/>
              <w:marRight w:val="0"/>
              <w:marTop w:val="0"/>
              <w:marBottom w:val="240"/>
              <w:divBdr>
                <w:top w:val="none" w:sz="0" w:space="0" w:color="auto"/>
                <w:left w:val="none" w:sz="0" w:space="0" w:color="auto"/>
                <w:bottom w:val="none" w:sz="0" w:space="0" w:color="auto"/>
                <w:right w:val="none" w:sz="0" w:space="0" w:color="auto"/>
              </w:divBdr>
            </w:div>
            <w:div w:id="1976834873">
              <w:marLeft w:val="0"/>
              <w:marRight w:val="0"/>
              <w:marTop w:val="0"/>
              <w:marBottom w:val="240"/>
              <w:divBdr>
                <w:top w:val="none" w:sz="0" w:space="0" w:color="auto"/>
                <w:left w:val="none" w:sz="0" w:space="0" w:color="auto"/>
                <w:bottom w:val="none" w:sz="0" w:space="0" w:color="auto"/>
                <w:right w:val="none" w:sz="0" w:space="0" w:color="auto"/>
              </w:divBdr>
            </w:div>
            <w:div w:id="1800109098">
              <w:marLeft w:val="0"/>
              <w:marRight w:val="0"/>
              <w:marTop w:val="0"/>
              <w:marBottom w:val="240"/>
              <w:divBdr>
                <w:top w:val="none" w:sz="0" w:space="0" w:color="auto"/>
                <w:left w:val="none" w:sz="0" w:space="0" w:color="auto"/>
                <w:bottom w:val="none" w:sz="0" w:space="0" w:color="auto"/>
                <w:right w:val="none" w:sz="0" w:space="0" w:color="auto"/>
              </w:divBdr>
            </w:div>
            <w:div w:id="1982805174">
              <w:marLeft w:val="0"/>
              <w:marRight w:val="0"/>
              <w:marTop w:val="0"/>
              <w:marBottom w:val="240"/>
              <w:divBdr>
                <w:top w:val="none" w:sz="0" w:space="0" w:color="auto"/>
                <w:left w:val="none" w:sz="0" w:space="0" w:color="auto"/>
                <w:bottom w:val="none" w:sz="0" w:space="0" w:color="auto"/>
                <w:right w:val="none" w:sz="0" w:space="0" w:color="auto"/>
              </w:divBdr>
            </w:div>
            <w:div w:id="1314792632">
              <w:marLeft w:val="0"/>
              <w:marRight w:val="0"/>
              <w:marTop w:val="0"/>
              <w:marBottom w:val="240"/>
              <w:divBdr>
                <w:top w:val="none" w:sz="0" w:space="0" w:color="auto"/>
                <w:left w:val="none" w:sz="0" w:space="0" w:color="auto"/>
                <w:bottom w:val="none" w:sz="0" w:space="0" w:color="auto"/>
                <w:right w:val="none" w:sz="0" w:space="0" w:color="auto"/>
              </w:divBdr>
            </w:div>
            <w:div w:id="826090697">
              <w:marLeft w:val="0"/>
              <w:marRight w:val="0"/>
              <w:marTop w:val="0"/>
              <w:marBottom w:val="240"/>
              <w:divBdr>
                <w:top w:val="none" w:sz="0" w:space="0" w:color="auto"/>
                <w:left w:val="none" w:sz="0" w:space="0" w:color="auto"/>
                <w:bottom w:val="none" w:sz="0" w:space="0" w:color="auto"/>
                <w:right w:val="none" w:sz="0" w:space="0" w:color="auto"/>
              </w:divBdr>
            </w:div>
            <w:div w:id="1246259856">
              <w:marLeft w:val="0"/>
              <w:marRight w:val="0"/>
              <w:marTop w:val="0"/>
              <w:marBottom w:val="240"/>
              <w:divBdr>
                <w:top w:val="none" w:sz="0" w:space="0" w:color="auto"/>
                <w:left w:val="none" w:sz="0" w:space="0" w:color="auto"/>
                <w:bottom w:val="none" w:sz="0" w:space="0" w:color="auto"/>
                <w:right w:val="none" w:sz="0" w:space="0" w:color="auto"/>
              </w:divBdr>
            </w:div>
            <w:div w:id="1302811531">
              <w:marLeft w:val="0"/>
              <w:marRight w:val="0"/>
              <w:marTop w:val="0"/>
              <w:marBottom w:val="240"/>
              <w:divBdr>
                <w:top w:val="none" w:sz="0" w:space="0" w:color="auto"/>
                <w:left w:val="none" w:sz="0" w:space="0" w:color="auto"/>
                <w:bottom w:val="none" w:sz="0" w:space="0" w:color="auto"/>
                <w:right w:val="none" w:sz="0" w:space="0" w:color="auto"/>
              </w:divBdr>
            </w:div>
            <w:div w:id="795375179">
              <w:marLeft w:val="0"/>
              <w:marRight w:val="0"/>
              <w:marTop w:val="0"/>
              <w:marBottom w:val="240"/>
              <w:divBdr>
                <w:top w:val="none" w:sz="0" w:space="0" w:color="auto"/>
                <w:left w:val="none" w:sz="0" w:space="0" w:color="auto"/>
                <w:bottom w:val="none" w:sz="0" w:space="0" w:color="auto"/>
                <w:right w:val="none" w:sz="0" w:space="0" w:color="auto"/>
              </w:divBdr>
            </w:div>
            <w:div w:id="980690911">
              <w:marLeft w:val="0"/>
              <w:marRight w:val="0"/>
              <w:marTop w:val="0"/>
              <w:marBottom w:val="240"/>
              <w:divBdr>
                <w:top w:val="none" w:sz="0" w:space="0" w:color="auto"/>
                <w:left w:val="none" w:sz="0" w:space="0" w:color="auto"/>
                <w:bottom w:val="none" w:sz="0" w:space="0" w:color="auto"/>
                <w:right w:val="none" w:sz="0" w:space="0" w:color="auto"/>
              </w:divBdr>
            </w:div>
            <w:div w:id="690448079">
              <w:marLeft w:val="0"/>
              <w:marRight w:val="0"/>
              <w:marTop w:val="0"/>
              <w:marBottom w:val="240"/>
              <w:divBdr>
                <w:top w:val="none" w:sz="0" w:space="0" w:color="auto"/>
                <w:left w:val="none" w:sz="0" w:space="0" w:color="auto"/>
                <w:bottom w:val="none" w:sz="0" w:space="0" w:color="auto"/>
                <w:right w:val="none" w:sz="0" w:space="0" w:color="auto"/>
              </w:divBdr>
            </w:div>
            <w:div w:id="757871881">
              <w:marLeft w:val="0"/>
              <w:marRight w:val="0"/>
              <w:marTop w:val="0"/>
              <w:marBottom w:val="240"/>
              <w:divBdr>
                <w:top w:val="none" w:sz="0" w:space="0" w:color="auto"/>
                <w:left w:val="none" w:sz="0" w:space="0" w:color="auto"/>
                <w:bottom w:val="none" w:sz="0" w:space="0" w:color="auto"/>
                <w:right w:val="none" w:sz="0" w:space="0" w:color="auto"/>
              </w:divBdr>
            </w:div>
            <w:div w:id="745225064">
              <w:marLeft w:val="0"/>
              <w:marRight w:val="0"/>
              <w:marTop w:val="0"/>
              <w:marBottom w:val="240"/>
              <w:divBdr>
                <w:top w:val="none" w:sz="0" w:space="0" w:color="auto"/>
                <w:left w:val="none" w:sz="0" w:space="0" w:color="auto"/>
                <w:bottom w:val="none" w:sz="0" w:space="0" w:color="auto"/>
                <w:right w:val="none" w:sz="0" w:space="0" w:color="auto"/>
              </w:divBdr>
            </w:div>
            <w:div w:id="723674530">
              <w:marLeft w:val="0"/>
              <w:marRight w:val="0"/>
              <w:marTop w:val="0"/>
              <w:marBottom w:val="240"/>
              <w:divBdr>
                <w:top w:val="none" w:sz="0" w:space="0" w:color="auto"/>
                <w:left w:val="none" w:sz="0" w:space="0" w:color="auto"/>
                <w:bottom w:val="none" w:sz="0" w:space="0" w:color="auto"/>
                <w:right w:val="none" w:sz="0" w:space="0" w:color="auto"/>
              </w:divBdr>
            </w:div>
            <w:div w:id="682782383">
              <w:marLeft w:val="0"/>
              <w:marRight w:val="0"/>
              <w:marTop w:val="0"/>
              <w:marBottom w:val="240"/>
              <w:divBdr>
                <w:top w:val="none" w:sz="0" w:space="0" w:color="auto"/>
                <w:left w:val="none" w:sz="0" w:space="0" w:color="auto"/>
                <w:bottom w:val="none" w:sz="0" w:space="0" w:color="auto"/>
                <w:right w:val="none" w:sz="0" w:space="0" w:color="auto"/>
              </w:divBdr>
            </w:div>
            <w:div w:id="1745300719">
              <w:marLeft w:val="0"/>
              <w:marRight w:val="0"/>
              <w:marTop w:val="0"/>
              <w:marBottom w:val="240"/>
              <w:divBdr>
                <w:top w:val="none" w:sz="0" w:space="0" w:color="auto"/>
                <w:left w:val="none" w:sz="0" w:space="0" w:color="auto"/>
                <w:bottom w:val="none" w:sz="0" w:space="0" w:color="auto"/>
                <w:right w:val="none" w:sz="0" w:space="0" w:color="auto"/>
              </w:divBdr>
            </w:div>
            <w:div w:id="1686051847">
              <w:marLeft w:val="0"/>
              <w:marRight w:val="0"/>
              <w:marTop w:val="0"/>
              <w:marBottom w:val="240"/>
              <w:divBdr>
                <w:top w:val="none" w:sz="0" w:space="0" w:color="auto"/>
                <w:left w:val="none" w:sz="0" w:space="0" w:color="auto"/>
                <w:bottom w:val="none" w:sz="0" w:space="0" w:color="auto"/>
                <w:right w:val="none" w:sz="0" w:space="0" w:color="auto"/>
              </w:divBdr>
            </w:div>
            <w:div w:id="1445149126">
              <w:marLeft w:val="0"/>
              <w:marRight w:val="0"/>
              <w:marTop w:val="0"/>
              <w:marBottom w:val="240"/>
              <w:divBdr>
                <w:top w:val="none" w:sz="0" w:space="0" w:color="auto"/>
                <w:left w:val="none" w:sz="0" w:space="0" w:color="auto"/>
                <w:bottom w:val="none" w:sz="0" w:space="0" w:color="auto"/>
                <w:right w:val="none" w:sz="0" w:space="0" w:color="auto"/>
              </w:divBdr>
            </w:div>
            <w:div w:id="148059556">
              <w:marLeft w:val="0"/>
              <w:marRight w:val="0"/>
              <w:marTop w:val="0"/>
              <w:marBottom w:val="240"/>
              <w:divBdr>
                <w:top w:val="none" w:sz="0" w:space="0" w:color="auto"/>
                <w:left w:val="none" w:sz="0" w:space="0" w:color="auto"/>
                <w:bottom w:val="none" w:sz="0" w:space="0" w:color="auto"/>
                <w:right w:val="none" w:sz="0" w:space="0" w:color="auto"/>
              </w:divBdr>
            </w:div>
            <w:div w:id="2045400967">
              <w:marLeft w:val="0"/>
              <w:marRight w:val="0"/>
              <w:marTop w:val="0"/>
              <w:marBottom w:val="240"/>
              <w:divBdr>
                <w:top w:val="none" w:sz="0" w:space="0" w:color="auto"/>
                <w:left w:val="none" w:sz="0" w:space="0" w:color="auto"/>
                <w:bottom w:val="none" w:sz="0" w:space="0" w:color="auto"/>
                <w:right w:val="none" w:sz="0" w:space="0" w:color="auto"/>
              </w:divBdr>
            </w:div>
            <w:div w:id="1891922223">
              <w:marLeft w:val="0"/>
              <w:marRight w:val="0"/>
              <w:marTop w:val="0"/>
              <w:marBottom w:val="240"/>
              <w:divBdr>
                <w:top w:val="none" w:sz="0" w:space="0" w:color="auto"/>
                <w:left w:val="none" w:sz="0" w:space="0" w:color="auto"/>
                <w:bottom w:val="none" w:sz="0" w:space="0" w:color="auto"/>
                <w:right w:val="none" w:sz="0" w:space="0" w:color="auto"/>
              </w:divBdr>
            </w:div>
            <w:div w:id="1118525521">
              <w:marLeft w:val="0"/>
              <w:marRight w:val="0"/>
              <w:marTop w:val="0"/>
              <w:marBottom w:val="240"/>
              <w:divBdr>
                <w:top w:val="none" w:sz="0" w:space="0" w:color="auto"/>
                <w:left w:val="none" w:sz="0" w:space="0" w:color="auto"/>
                <w:bottom w:val="none" w:sz="0" w:space="0" w:color="auto"/>
                <w:right w:val="none" w:sz="0" w:space="0" w:color="auto"/>
              </w:divBdr>
            </w:div>
            <w:div w:id="783041781">
              <w:marLeft w:val="0"/>
              <w:marRight w:val="0"/>
              <w:marTop w:val="0"/>
              <w:marBottom w:val="240"/>
              <w:divBdr>
                <w:top w:val="none" w:sz="0" w:space="0" w:color="auto"/>
                <w:left w:val="none" w:sz="0" w:space="0" w:color="auto"/>
                <w:bottom w:val="none" w:sz="0" w:space="0" w:color="auto"/>
                <w:right w:val="none" w:sz="0" w:space="0" w:color="auto"/>
              </w:divBdr>
            </w:div>
            <w:div w:id="2077127603">
              <w:marLeft w:val="0"/>
              <w:marRight w:val="0"/>
              <w:marTop w:val="0"/>
              <w:marBottom w:val="240"/>
              <w:divBdr>
                <w:top w:val="none" w:sz="0" w:space="0" w:color="auto"/>
                <w:left w:val="none" w:sz="0" w:space="0" w:color="auto"/>
                <w:bottom w:val="none" w:sz="0" w:space="0" w:color="auto"/>
                <w:right w:val="none" w:sz="0" w:space="0" w:color="auto"/>
              </w:divBdr>
            </w:div>
            <w:div w:id="1298292916">
              <w:marLeft w:val="0"/>
              <w:marRight w:val="0"/>
              <w:marTop w:val="0"/>
              <w:marBottom w:val="240"/>
              <w:divBdr>
                <w:top w:val="none" w:sz="0" w:space="0" w:color="auto"/>
                <w:left w:val="none" w:sz="0" w:space="0" w:color="auto"/>
                <w:bottom w:val="none" w:sz="0" w:space="0" w:color="auto"/>
                <w:right w:val="none" w:sz="0" w:space="0" w:color="auto"/>
              </w:divBdr>
            </w:div>
            <w:div w:id="2058583451">
              <w:marLeft w:val="0"/>
              <w:marRight w:val="0"/>
              <w:marTop w:val="0"/>
              <w:marBottom w:val="240"/>
              <w:divBdr>
                <w:top w:val="none" w:sz="0" w:space="0" w:color="auto"/>
                <w:left w:val="none" w:sz="0" w:space="0" w:color="auto"/>
                <w:bottom w:val="none" w:sz="0" w:space="0" w:color="auto"/>
                <w:right w:val="none" w:sz="0" w:space="0" w:color="auto"/>
              </w:divBdr>
            </w:div>
            <w:div w:id="1641570628">
              <w:marLeft w:val="0"/>
              <w:marRight w:val="0"/>
              <w:marTop w:val="0"/>
              <w:marBottom w:val="240"/>
              <w:divBdr>
                <w:top w:val="none" w:sz="0" w:space="0" w:color="auto"/>
                <w:left w:val="none" w:sz="0" w:space="0" w:color="auto"/>
                <w:bottom w:val="none" w:sz="0" w:space="0" w:color="auto"/>
                <w:right w:val="none" w:sz="0" w:space="0" w:color="auto"/>
              </w:divBdr>
            </w:div>
            <w:div w:id="467668005">
              <w:marLeft w:val="0"/>
              <w:marRight w:val="0"/>
              <w:marTop w:val="0"/>
              <w:marBottom w:val="240"/>
              <w:divBdr>
                <w:top w:val="none" w:sz="0" w:space="0" w:color="auto"/>
                <w:left w:val="none" w:sz="0" w:space="0" w:color="auto"/>
                <w:bottom w:val="none" w:sz="0" w:space="0" w:color="auto"/>
                <w:right w:val="none" w:sz="0" w:space="0" w:color="auto"/>
              </w:divBdr>
            </w:div>
            <w:div w:id="34503789">
              <w:marLeft w:val="0"/>
              <w:marRight w:val="0"/>
              <w:marTop w:val="0"/>
              <w:marBottom w:val="240"/>
              <w:divBdr>
                <w:top w:val="none" w:sz="0" w:space="0" w:color="auto"/>
                <w:left w:val="none" w:sz="0" w:space="0" w:color="auto"/>
                <w:bottom w:val="none" w:sz="0" w:space="0" w:color="auto"/>
                <w:right w:val="none" w:sz="0" w:space="0" w:color="auto"/>
              </w:divBdr>
            </w:div>
            <w:div w:id="527067917">
              <w:marLeft w:val="0"/>
              <w:marRight w:val="0"/>
              <w:marTop w:val="0"/>
              <w:marBottom w:val="240"/>
              <w:divBdr>
                <w:top w:val="none" w:sz="0" w:space="0" w:color="auto"/>
                <w:left w:val="none" w:sz="0" w:space="0" w:color="auto"/>
                <w:bottom w:val="none" w:sz="0" w:space="0" w:color="auto"/>
                <w:right w:val="none" w:sz="0" w:space="0" w:color="auto"/>
              </w:divBdr>
            </w:div>
            <w:div w:id="197358380">
              <w:marLeft w:val="0"/>
              <w:marRight w:val="0"/>
              <w:marTop w:val="0"/>
              <w:marBottom w:val="240"/>
              <w:divBdr>
                <w:top w:val="none" w:sz="0" w:space="0" w:color="auto"/>
                <w:left w:val="none" w:sz="0" w:space="0" w:color="auto"/>
                <w:bottom w:val="none" w:sz="0" w:space="0" w:color="auto"/>
                <w:right w:val="none" w:sz="0" w:space="0" w:color="auto"/>
              </w:divBdr>
            </w:div>
            <w:div w:id="199322638">
              <w:marLeft w:val="0"/>
              <w:marRight w:val="0"/>
              <w:marTop w:val="0"/>
              <w:marBottom w:val="240"/>
              <w:divBdr>
                <w:top w:val="none" w:sz="0" w:space="0" w:color="auto"/>
                <w:left w:val="none" w:sz="0" w:space="0" w:color="auto"/>
                <w:bottom w:val="none" w:sz="0" w:space="0" w:color="auto"/>
                <w:right w:val="none" w:sz="0" w:space="0" w:color="auto"/>
              </w:divBdr>
            </w:div>
            <w:div w:id="2016496242">
              <w:marLeft w:val="0"/>
              <w:marRight w:val="0"/>
              <w:marTop w:val="0"/>
              <w:marBottom w:val="240"/>
              <w:divBdr>
                <w:top w:val="none" w:sz="0" w:space="0" w:color="auto"/>
                <w:left w:val="none" w:sz="0" w:space="0" w:color="auto"/>
                <w:bottom w:val="none" w:sz="0" w:space="0" w:color="auto"/>
                <w:right w:val="none" w:sz="0" w:space="0" w:color="auto"/>
              </w:divBdr>
            </w:div>
            <w:div w:id="551111154">
              <w:marLeft w:val="0"/>
              <w:marRight w:val="0"/>
              <w:marTop w:val="0"/>
              <w:marBottom w:val="240"/>
              <w:divBdr>
                <w:top w:val="none" w:sz="0" w:space="0" w:color="auto"/>
                <w:left w:val="none" w:sz="0" w:space="0" w:color="auto"/>
                <w:bottom w:val="none" w:sz="0" w:space="0" w:color="auto"/>
                <w:right w:val="none" w:sz="0" w:space="0" w:color="auto"/>
              </w:divBdr>
            </w:div>
            <w:div w:id="1706322850">
              <w:marLeft w:val="0"/>
              <w:marRight w:val="0"/>
              <w:marTop w:val="0"/>
              <w:marBottom w:val="240"/>
              <w:divBdr>
                <w:top w:val="none" w:sz="0" w:space="0" w:color="auto"/>
                <w:left w:val="none" w:sz="0" w:space="0" w:color="auto"/>
                <w:bottom w:val="none" w:sz="0" w:space="0" w:color="auto"/>
                <w:right w:val="none" w:sz="0" w:space="0" w:color="auto"/>
              </w:divBdr>
            </w:div>
            <w:div w:id="1459952075">
              <w:marLeft w:val="0"/>
              <w:marRight w:val="0"/>
              <w:marTop w:val="0"/>
              <w:marBottom w:val="240"/>
              <w:divBdr>
                <w:top w:val="none" w:sz="0" w:space="0" w:color="auto"/>
                <w:left w:val="none" w:sz="0" w:space="0" w:color="auto"/>
                <w:bottom w:val="none" w:sz="0" w:space="0" w:color="auto"/>
                <w:right w:val="none" w:sz="0" w:space="0" w:color="auto"/>
              </w:divBdr>
            </w:div>
            <w:div w:id="409277423">
              <w:marLeft w:val="0"/>
              <w:marRight w:val="0"/>
              <w:marTop w:val="0"/>
              <w:marBottom w:val="240"/>
              <w:divBdr>
                <w:top w:val="none" w:sz="0" w:space="0" w:color="auto"/>
                <w:left w:val="none" w:sz="0" w:space="0" w:color="auto"/>
                <w:bottom w:val="none" w:sz="0" w:space="0" w:color="auto"/>
                <w:right w:val="none" w:sz="0" w:space="0" w:color="auto"/>
              </w:divBdr>
            </w:div>
            <w:div w:id="889414114">
              <w:marLeft w:val="0"/>
              <w:marRight w:val="0"/>
              <w:marTop w:val="0"/>
              <w:marBottom w:val="240"/>
              <w:divBdr>
                <w:top w:val="none" w:sz="0" w:space="0" w:color="auto"/>
                <w:left w:val="none" w:sz="0" w:space="0" w:color="auto"/>
                <w:bottom w:val="none" w:sz="0" w:space="0" w:color="auto"/>
                <w:right w:val="none" w:sz="0" w:space="0" w:color="auto"/>
              </w:divBdr>
            </w:div>
            <w:div w:id="1152257472">
              <w:marLeft w:val="0"/>
              <w:marRight w:val="0"/>
              <w:marTop w:val="0"/>
              <w:marBottom w:val="240"/>
              <w:divBdr>
                <w:top w:val="none" w:sz="0" w:space="0" w:color="auto"/>
                <w:left w:val="none" w:sz="0" w:space="0" w:color="auto"/>
                <w:bottom w:val="none" w:sz="0" w:space="0" w:color="auto"/>
                <w:right w:val="none" w:sz="0" w:space="0" w:color="auto"/>
              </w:divBdr>
            </w:div>
            <w:div w:id="307172960">
              <w:marLeft w:val="0"/>
              <w:marRight w:val="0"/>
              <w:marTop w:val="0"/>
              <w:marBottom w:val="240"/>
              <w:divBdr>
                <w:top w:val="none" w:sz="0" w:space="0" w:color="auto"/>
                <w:left w:val="none" w:sz="0" w:space="0" w:color="auto"/>
                <w:bottom w:val="none" w:sz="0" w:space="0" w:color="auto"/>
                <w:right w:val="none" w:sz="0" w:space="0" w:color="auto"/>
              </w:divBdr>
            </w:div>
            <w:div w:id="1917518350">
              <w:marLeft w:val="0"/>
              <w:marRight w:val="0"/>
              <w:marTop w:val="0"/>
              <w:marBottom w:val="240"/>
              <w:divBdr>
                <w:top w:val="none" w:sz="0" w:space="0" w:color="auto"/>
                <w:left w:val="none" w:sz="0" w:space="0" w:color="auto"/>
                <w:bottom w:val="none" w:sz="0" w:space="0" w:color="auto"/>
                <w:right w:val="none" w:sz="0" w:space="0" w:color="auto"/>
              </w:divBdr>
            </w:div>
            <w:div w:id="1637833477">
              <w:marLeft w:val="0"/>
              <w:marRight w:val="0"/>
              <w:marTop w:val="0"/>
              <w:marBottom w:val="240"/>
              <w:divBdr>
                <w:top w:val="none" w:sz="0" w:space="0" w:color="auto"/>
                <w:left w:val="none" w:sz="0" w:space="0" w:color="auto"/>
                <w:bottom w:val="none" w:sz="0" w:space="0" w:color="auto"/>
                <w:right w:val="none" w:sz="0" w:space="0" w:color="auto"/>
              </w:divBdr>
            </w:div>
            <w:div w:id="1665429914">
              <w:marLeft w:val="0"/>
              <w:marRight w:val="0"/>
              <w:marTop w:val="0"/>
              <w:marBottom w:val="240"/>
              <w:divBdr>
                <w:top w:val="none" w:sz="0" w:space="0" w:color="auto"/>
                <w:left w:val="none" w:sz="0" w:space="0" w:color="auto"/>
                <w:bottom w:val="none" w:sz="0" w:space="0" w:color="auto"/>
                <w:right w:val="none" w:sz="0" w:space="0" w:color="auto"/>
              </w:divBdr>
            </w:div>
            <w:div w:id="1046568896">
              <w:marLeft w:val="0"/>
              <w:marRight w:val="0"/>
              <w:marTop w:val="0"/>
              <w:marBottom w:val="240"/>
              <w:divBdr>
                <w:top w:val="none" w:sz="0" w:space="0" w:color="auto"/>
                <w:left w:val="none" w:sz="0" w:space="0" w:color="auto"/>
                <w:bottom w:val="none" w:sz="0" w:space="0" w:color="auto"/>
                <w:right w:val="none" w:sz="0" w:space="0" w:color="auto"/>
              </w:divBdr>
            </w:div>
            <w:div w:id="2141149768">
              <w:marLeft w:val="0"/>
              <w:marRight w:val="0"/>
              <w:marTop w:val="0"/>
              <w:marBottom w:val="240"/>
              <w:divBdr>
                <w:top w:val="none" w:sz="0" w:space="0" w:color="auto"/>
                <w:left w:val="none" w:sz="0" w:space="0" w:color="auto"/>
                <w:bottom w:val="none" w:sz="0" w:space="0" w:color="auto"/>
                <w:right w:val="none" w:sz="0" w:space="0" w:color="auto"/>
              </w:divBdr>
            </w:div>
            <w:div w:id="349987487">
              <w:marLeft w:val="0"/>
              <w:marRight w:val="0"/>
              <w:marTop w:val="0"/>
              <w:marBottom w:val="240"/>
              <w:divBdr>
                <w:top w:val="none" w:sz="0" w:space="0" w:color="auto"/>
                <w:left w:val="none" w:sz="0" w:space="0" w:color="auto"/>
                <w:bottom w:val="none" w:sz="0" w:space="0" w:color="auto"/>
                <w:right w:val="none" w:sz="0" w:space="0" w:color="auto"/>
              </w:divBdr>
            </w:div>
            <w:div w:id="252056205">
              <w:marLeft w:val="0"/>
              <w:marRight w:val="0"/>
              <w:marTop w:val="0"/>
              <w:marBottom w:val="240"/>
              <w:divBdr>
                <w:top w:val="none" w:sz="0" w:space="0" w:color="auto"/>
                <w:left w:val="none" w:sz="0" w:space="0" w:color="auto"/>
                <w:bottom w:val="none" w:sz="0" w:space="0" w:color="auto"/>
                <w:right w:val="none" w:sz="0" w:space="0" w:color="auto"/>
              </w:divBdr>
            </w:div>
            <w:div w:id="803306405">
              <w:marLeft w:val="0"/>
              <w:marRight w:val="0"/>
              <w:marTop w:val="0"/>
              <w:marBottom w:val="240"/>
              <w:divBdr>
                <w:top w:val="none" w:sz="0" w:space="0" w:color="auto"/>
                <w:left w:val="none" w:sz="0" w:space="0" w:color="auto"/>
                <w:bottom w:val="none" w:sz="0" w:space="0" w:color="auto"/>
                <w:right w:val="none" w:sz="0" w:space="0" w:color="auto"/>
              </w:divBdr>
            </w:div>
            <w:div w:id="73863842">
              <w:marLeft w:val="0"/>
              <w:marRight w:val="0"/>
              <w:marTop w:val="0"/>
              <w:marBottom w:val="240"/>
              <w:divBdr>
                <w:top w:val="none" w:sz="0" w:space="0" w:color="auto"/>
                <w:left w:val="none" w:sz="0" w:space="0" w:color="auto"/>
                <w:bottom w:val="none" w:sz="0" w:space="0" w:color="auto"/>
                <w:right w:val="none" w:sz="0" w:space="0" w:color="auto"/>
              </w:divBdr>
            </w:div>
            <w:div w:id="1473330887">
              <w:marLeft w:val="0"/>
              <w:marRight w:val="0"/>
              <w:marTop w:val="0"/>
              <w:marBottom w:val="240"/>
              <w:divBdr>
                <w:top w:val="none" w:sz="0" w:space="0" w:color="auto"/>
                <w:left w:val="none" w:sz="0" w:space="0" w:color="auto"/>
                <w:bottom w:val="none" w:sz="0" w:space="0" w:color="auto"/>
                <w:right w:val="none" w:sz="0" w:space="0" w:color="auto"/>
              </w:divBdr>
            </w:div>
            <w:div w:id="6637764">
              <w:marLeft w:val="0"/>
              <w:marRight w:val="0"/>
              <w:marTop w:val="0"/>
              <w:marBottom w:val="240"/>
              <w:divBdr>
                <w:top w:val="none" w:sz="0" w:space="0" w:color="auto"/>
                <w:left w:val="none" w:sz="0" w:space="0" w:color="auto"/>
                <w:bottom w:val="none" w:sz="0" w:space="0" w:color="auto"/>
                <w:right w:val="none" w:sz="0" w:space="0" w:color="auto"/>
              </w:divBdr>
            </w:div>
            <w:div w:id="858815842">
              <w:marLeft w:val="0"/>
              <w:marRight w:val="0"/>
              <w:marTop w:val="0"/>
              <w:marBottom w:val="240"/>
              <w:divBdr>
                <w:top w:val="none" w:sz="0" w:space="0" w:color="auto"/>
                <w:left w:val="none" w:sz="0" w:space="0" w:color="auto"/>
                <w:bottom w:val="none" w:sz="0" w:space="0" w:color="auto"/>
                <w:right w:val="none" w:sz="0" w:space="0" w:color="auto"/>
              </w:divBdr>
            </w:div>
            <w:div w:id="1007825879">
              <w:marLeft w:val="0"/>
              <w:marRight w:val="0"/>
              <w:marTop w:val="0"/>
              <w:marBottom w:val="240"/>
              <w:divBdr>
                <w:top w:val="none" w:sz="0" w:space="0" w:color="auto"/>
                <w:left w:val="none" w:sz="0" w:space="0" w:color="auto"/>
                <w:bottom w:val="none" w:sz="0" w:space="0" w:color="auto"/>
                <w:right w:val="none" w:sz="0" w:space="0" w:color="auto"/>
              </w:divBdr>
            </w:div>
            <w:div w:id="1697191063">
              <w:marLeft w:val="0"/>
              <w:marRight w:val="0"/>
              <w:marTop w:val="0"/>
              <w:marBottom w:val="240"/>
              <w:divBdr>
                <w:top w:val="none" w:sz="0" w:space="0" w:color="auto"/>
                <w:left w:val="none" w:sz="0" w:space="0" w:color="auto"/>
                <w:bottom w:val="none" w:sz="0" w:space="0" w:color="auto"/>
                <w:right w:val="none" w:sz="0" w:space="0" w:color="auto"/>
              </w:divBdr>
            </w:div>
            <w:div w:id="1931570">
              <w:marLeft w:val="0"/>
              <w:marRight w:val="0"/>
              <w:marTop w:val="0"/>
              <w:marBottom w:val="240"/>
              <w:divBdr>
                <w:top w:val="none" w:sz="0" w:space="0" w:color="auto"/>
                <w:left w:val="none" w:sz="0" w:space="0" w:color="auto"/>
                <w:bottom w:val="none" w:sz="0" w:space="0" w:color="auto"/>
                <w:right w:val="none" w:sz="0" w:space="0" w:color="auto"/>
              </w:divBdr>
            </w:div>
            <w:div w:id="726104988">
              <w:marLeft w:val="0"/>
              <w:marRight w:val="0"/>
              <w:marTop w:val="0"/>
              <w:marBottom w:val="240"/>
              <w:divBdr>
                <w:top w:val="none" w:sz="0" w:space="0" w:color="auto"/>
                <w:left w:val="none" w:sz="0" w:space="0" w:color="auto"/>
                <w:bottom w:val="none" w:sz="0" w:space="0" w:color="auto"/>
                <w:right w:val="none" w:sz="0" w:space="0" w:color="auto"/>
              </w:divBdr>
            </w:div>
            <w:div w:id="1070469096">
              <w:marLeft w:val="0"/>
              <w:marRight w:val="0"/>
              <w:marTop w:val="0"/>
              <w:marBottom w:val="240"/>
              <w:divBdr>
                <w:top w:val="none" w:sz="0" w:space="0" w:color="auto"/>
                <w:left w:val="none" w:sz="0" w:space="0" w:color="auto"/>
                <w:bottom w:val="none" w:sz="0" w:space="0" w:color="auto"/>
                <w:right w:val="none" w:sz="0" w:space="0" w:color="auto"/>
              </w:divBdr>
            </w:div>
            <w:div w:id="1056778253">
              <w:marLeft w:val="0"/>
              <w:marRight w:val="0"/>
              <w:marTop w:val="0"/>
              <w:marBottom w:val="240"/>
              <w:divBdr>
                <w:top w:val="none" w:sz="0" w:space="0" w:color="auto"/>
                <w:left w:val="none" w:sz="0" w:space="0" w:color="auto"/>
                <w:bottom w:val="none" w:sz="0" w:space="0" w:color="auto"/>
                <w:right w:val="none" w:sz="0" w:space="0" w:color="auto"/>
              </w:divBdr>
            </w:div>
            <w:div w:id="80832075">
              <w:marLeft w:val="0"/>
              <w:marRight w:val="0"/>
              <w:marTop w:val="0"/>
              <w:marBottom w:val="240"/>
              <w:divBdr>
                <w:top w:val="none" w:sz="0" w:space="0" w:color="auto"/>
                <w:left w:val="none" w:sz="0" w:space="0" w:color="auto"/>
                <w:bottom w:val="none" w:sz="0" w:space="0" w:color="auto"/>
                <w:right w:val="none" w:sz="0" w:space="0" w:color="auto"/>
              </w:divBdr>
            </w:div>
            <w:div w:id="79983740">
              <w:marLeft w:val="0"/>
              <w:marRight w:val="0"/>
              <w:marTop w:val="0"/>
              <w:marBottom w:val="240"/>
              <w:divBdr>
                <w:top w:val="none" w:sz="0" w:space="0" w:color="auto"/>
                <w:left w:val="none" w:sz="0" w:space="0" w:color="auto"/>
                <w:bottom w:val="none" w:sz="0" w:space="0" w:color="auto"/>
                <w:right w:val="none" w:sz="0" w:space="0" w:color="auto"/>
              </w:divBdr>
            </w:div>
            <w:div w:id="1535770895">
              <w:marLeft w:val="0"/>
              <w:marRight w:val="0"/>
              <w:marTop w:val="0"/>
              <w:marBottom w:val="240"/>
              <w:divBdr>
                <w:top w:val="none" w:sz="0" w:space="0" w:color="auto"/>
                <w:left w:val="none" w:sz="0" w:space="0" w:color="auto"/>
                <w:bottom w:val="none" w:sz="0" w:space="0" w:color="auto"/>
                <w:right w:val="none" w:sz="0" w:space="0" w:color="auto"/>
              </w:divBdr>
            </w:div>
            <w:div w:id="369843674">
              <w:marLeft w:val="0"/>
              <w:marRight w:val="0"/>
              <w:marTop w:val="0"/>
              <w:marBottom w:val="240"/>
              <w:divBdr>
                <w:top w:val="none" w:sz="0" w:space="0" w:color="auto"/>
                <w:left w:val="none" w:sz="0" w:space="0" w:color="auto"/>
                <w:bottom w:val="none" w:sz="0" w:space="0" w:color="auto"/>
                <w:right w:val="none" w:sz="0" w:space="0" w:color="auto"/>
              </w:divBdr>
            </w:div>
            <w:div w:id="578713383">
              <w:marLeft w:val="0"/>
              <w:marRight w:val="0"/>
              <w:marTop w:val="0"/>
              <w:marBottom w:val="240"/>
              <w:divBdr>
                <w:top w:val="none" w:sz="0" w:space="0" w:color="auto"/>
                <w:left w:val="none" w:sz="0" w:space="0" w:color="auto"/>
                <w:bottom w:val="none" w:sz="0" w:space="0" w:color="auto"/>
                <w:right w:val="none" w:sz="0" w:space="0" w:color="auto"/>
              </w:divBdr>
            </w:div>
            <w:div w:id="1011419187">
              <w:marLeft w:val="0"/>
              <w:marRight w:val="0"/>
              <w:marTop w:val="0"/>
              <w:marBottom w:val="240"/>
              <w:divBdr>
                <w:top w:val="none" w:sz="0" w:space="0" w:color="auto"/>
                <w:left w:val="none" w:sz="0" w:space="0" w:color="auto"/>
                <w:bottom w:val="none" w:sz="0" w:space="0" w:color="auto"/>
                <w:right w:val="none" w:sz="0" w:space="0" w:color="auto"/>
              </w:divBdr>
            </w:div>
            <w:div w:id="577835341">
              <w:marLeft w:val="0"/>
              <w:marRight w:val="0"/>
              <w:marTop w:val="0"/>
              <w:marBottom w:val="240"/>
              <w:divBdr>
                <w:top w:val="none" w:sz="0" w:space="0" w:color="auto"/>
                <w:left w:val="none" w:sz="0" w:space="0" w:color="auto"/>
                <w:bottom w:val="none" w:sz="0" w:space="0" w:color="auto"/>
                <w:right w:val="none" w:sz="0" w:space="0" w:color="auto"/>
              </w:divBdr>
            </w:div>
            <w:div w:id="821503518">
              <w:marLeft w:val="0"/>
              <w:marRight w:val="0"/>
              <w:marTop w:val="0"/>
              <w:marBottom w:val="240"/>
              <w:divBdr>
                <w:top w:val="none" w:sz="0" w:space="0" w:color="auto"/>
                <w:left w:val="none" w:sz="0" w:space="0" w:color="auto"/>
                <w:bottom w:val="none" w:sz="0" w:space="0" w:color="auto"/>
                <w:right w:val="none" w:sz="0" w:space="0" w:color="auto"/>
              </w:divBdr>
            </w:div>
            <w:div w:id="1928154408">
              <w:marLeft w:val="0"/>
              <w:marRight w:val="0"/>
              <w:marTop w:val="0"/>
              <w:marBottom w:val="240"/>
              <w:divBdr>
                <w:top w:val="none" w:sz="0" w:space="0" w:color="auto"/>
                <w:left w:val="none" w:sz="0" w:space="0" w:color="auto"/>
                <w:bottom w:val="none" w:sz="0" w:space="0" w:color="auto"/>
                <w:right w:val="none" w:sz="0" w:space="0" w:color="auto"/>
              </w:divBdr>
            </w:div>
            <w:div w:id="235362807">
              <w:marLeft w:val="0"/>
              <w:marRight w:val="0"/>
              <w:marTop w:val="0"/>
              <w:marBottom w:val="240"/>
              <w:divBdr>
                <w:top w:val="none" w:sz="0" w:space="0" w:color="auto"/>
                <w:left w:val="none" w:sz="0" w:space="0" w:color="auto"/>
                <w:bottom w:val="none" w:sz="0" w:space="0" w:color="auto"/>
                <w:right w:val="none" w:sz="0" w:space="0" w:color="auto"/>
              </w:divBdr>
            </w:div>
            <w:div w:id="1843934627">
              <w:marLeft w:val="0"/>
              <w:marRight w:val="0"/>
              <w:marTop w:val="0"/>
              <w:marBottom w:val="240"/>
              <w:divBdr>
                <w:top w:val="none" w:sz="0" w:space="0" w:color="auto"/>
                <w:left w:val="none" w:sz="0" w:space="0" w:color="auto"/>
                <w:bottom w:val="none" w:sz="0" w:space="0" w:color="auto"/>
                <w:right w:val="none" w:sz="0" w:space="0" w:color="auto"/>
              </w:divBdr>
            </w:div>
            <w:div w:id="908465200">
              <w:marLeft w:val="0"/>
              <w:marRight w:val="0"/>
              <w:marTop w:val="0"/>
              <w:marBottom w:val="240"/>
              <w:divBdr>
                <w:top w:val="none" w:sz="0" w:space="0" w:color="auto"/>
                <w:left w:val="none" w:sz="0" w:space="0" w:color="auto"/>
                <w:bottom w:val="none" w:sz="0" w:space="0" w:color="auto"/>
                <w:right w:val="none" w:sz="0" w:space="0" w:color="auto"/>
              </w:divBdr>
            </w:div>
            <w:div w:id="1957131531">
              <w:marLeft w:val="0"/>
              <w:marRight w:val="0"/>
              <w:marTop w:val="0"/>
              <w:marBottom w:val="240"/>
              <w:divBdr>
                <w:top w:val="none" w:sz="0" w:space="0" w:color="auto"/>
                <w:left w:val="none" w:sz="0" w:space="0" w:color="auto"/>
                <w:bottom w:val="none" w:sz="0" w:space="0" w:color="auto"/>
                <w:right w:val="none" w:sz="0" w:space="0" w:color="auto"/>
              </w:divBdr>
            </w:div>
            <w:div w:id="1221551368">
              <w:marLeft w:val="0"/>
              <w:marRight w:val="0"/>
              <w:marTop w:val="0"/>
              <w:marBottom w:val="240"/>
              <w:divBdr>
                <w:top w:val="none" w:sz="0" w:space="0" w:color="auto"/>
                <w:left w:val="none" w:sz="0" w:space="0" w:color="auto"/>
                <w:bottom w:val="none" w:sz="0" w:space="0" w:color="auto"/>
                <w:right w:val="none" w:sz="0" w:space="0" w:color="auto"/>
              </w:divBdr>
            </w:div>
            <w:div w:id="381682091">
              <w:marLeft w:val="0"/>
              <w:marRight w:val="0"/>
              <w:marTop w:val="0"/>
              <w:marBottom w:val="240"/>
              <w:divBdr>
                <w:top w:val="none" w:sz="0" w:space="0" w:color="auto"/>
                <w:left w:val="none" w:sz="0" w:space="0" w:color="auto"/>
                <w:bottom w:val="none" w:sz="0" w:space="0" w:color="auto"/>
                <w:right w:val="none" w:sz="0" w:space="0" w:color="auto"/>
              </w:divBdr>
            </w:div>
            <w:div w:id="1994211987">
              <w:marLeft w:val="0"/>
              <w:marRight w:val="0"/>
              <w:marTop w:val="0"/>
              <w:marBottom w:val="240"/>
              <w:divBdr>
                <w:top w:val="none" w:sz="0" w:space="0" w:color="auto"/>
                <w:left w:val="none" w:sz="0" w:space="0" w:color="auto"/>
                <w:bottom w:val="none" w:sz="0" w:space="0" w:color="auto"/>
                <w:right w:val="none" w:sz="0" w:space="0" w:color="auto"/>
              </w:divBdr>
            </w:div>
            <w:div w:id="544678142">
              <w:marLeft w:val="0"/>
              <w:marRight w:val="0"/>
              <w:marTop w:val="0"/>
              <w:marBottom w:val="240"/>
              <w:divBdr>
                <w:top w:val="none" w:sz="0" w:space="0" w:color="auto"/>
                <w:left w:val="none" w:sz="0" w:space="0" w:color="auto"/>
                <w:bottom w:val="none" w:sz="0" w:space="0" w:color="auto"/>
                <w:right w:val="none" w:sz="0" w:space="0" w:color="auto"/>
              </w:divBdr>
            </w:div>
            <w:div w:id="950891469">
              <w:marLeft w:val="0"/>
              <w:marRight w:val="0"/>
              <w:marTop w:val="0"/>
              <w:marBottom w:val="240"/>
              <w:divBdr>
                <w:top w:val="none" w:sz="0" w:space="0" w:color="auto"/>
                <w:left w:val="none" w:sz="0" w:space="0" w:color="auto"/>
                <w:bottom w:val="none" w:sz="0" w:space="0" w:color="auto"/>
                <w:right w:val="none" w:sz="0" w:space="0" w:color="auto"/>
              </w:divBdr>
            </w:div>
            <w:div w:id="843326640">
              <w:marLeft w:val="0"/>
              <w:marRight w:val="0"/>
              <w:marTop w:val="0"/>
              <w:marBottom w:val="240"/>
              <w:divBdr>
                <w:top w:val="none" w:sz="0" w:space="0" w:color="auto"/>
                <w:left w:val="none" w:sz="0" w:space="0" w:color="auto"/>
                <w:bottom w:val="none" w:sz="0" w:space="0" w:color="auto"/>
                <w:right w:val="none" w:sz="0" w:space="0" w:color="auto"/>
              </w:divBdr>
            </w:div>
            <w:div w:id="27534280">
              <w:marLeft w:val="0"/>
              <w:marRight w:val="0"/>
              <w:marTop w:val="0"/>
              <w:marBottom w:val="240"/>
              <w:divBdr>
                <w:top w:val="none" w:sz="0" w:space="0" w:color="auto"/>
                <w:left w:val="none" w:sz="0" w:space="0" w:color="auto"/>
                <w:bottom w:val="none" w:sz="0" w:space="0" w:color="auto"/>
                <w:right w:val="none" w:sz="0" w:space="0" w:color="auto"/>
              </w:divBdr>
            </w:div>
            <w:div w:id="1335189040">
              <w:marLeft w:val="0"/>
              <w:marRight w:val="0"/>
              <w:marTop w:val="0"/>
              <w:marBottom w:val="240"/>
              <w:divBdr>
                <w:top w:val="none" w:sz="0" w:space="0" w:color="auto"/>
                <w:left w:val="none" w:sz="0" w:space="0" w:color="auto"/>
                <w:bottom w:val="none" w:sz="0" w:space="0" w:color="auto"/>
                <w:right w:val="none" w:sz="0" w:space="0" w:color="auto"/>
              </w:divBdr>
            </w:div>
            <w:div w:id="121316334">
              <w:marLeft w:val="0"/>
              <w:marRight w:val="0"/>
              <w:marTop w:val="0"/>
              <w:marBottom w:val="240"/>
              <w:divBdr>
                <w:top w:val="none" w:sz="0" w:space="0" w:color="auto"/>
                <w:left w:val="none" w:sz="0" w:space="0" w:color="auto"/>
                <w:bottom w:val="none" w:sz="0" w:space="0" w:color="auto"/>
                <w:right w:val="none" w:sz="0" w:space="0" w:color="auto"/>
              </w:divBdr>
            </w:div>
            <w:div w:id="1910656237">
              <w:marLeft w:val="0"/>
              <w:marRight w:val="0"/>
              <w:marTop w:val="0"/>
              <w:marBottom w:val="240"/>
              <w:divBdr>
                <w:top w:val="none" w:sz="0" w:space="0" w:color="auto"/>
                <w:left w:val="none" w:sz="0" w:space="0" w:color="auto"/>
                <w:bottom w:val="none" w:sz="0" w:space="0" w:color="auto"/>
                <w:right w:val="none" w:sz="0" w:space="0" w:color="auto"/>
              </w:divBdr>
            </w:div>
            <w:div w:id="1305695936">
              <w:marLeft w:val="0"/>
              <w:marRight w:val="0"/>
              <w:marTop w:val="0"/>
              <w:marBottom w:val="240"/>
              <w:divBdr>
                <w:top w:val="none" w:sz="0" w:space="0" w:color="auto"/>
                <w:left w:val="none" w:sz="0" w:space="0" w:color="auto"/>
                <w:bottom w:val="none" w:sz="0" w:space="0" w:color="auto"/>
                <w:right w:val="none" w:sz="0" w:space="0" w:color="auto"/>
              </w:divBdr>
            </w:div>
            <w:div w:id="682435926">
              <w:marLeft w:val="0"/>
              <w:marRight w:val="0"/>
              <w:marTop w:val="0"/>
              <w:marBottom w:val="240"/>
              <w:divBdr>
                <w:top w:val="none" w:sz="0" w:space="0" w:color="auto"/>
                <w:left w:val="none" w:sz="0" w:space="0" w:color="auto"/>
                <w:bottom w:val="none" w:sz="0" w:space="0" w:color="auto"/>
                <w:right w:val="none" w:sz="0" w:space="0" w:color="auto"/>
              </w:divBdr>
            </w:div>
            <w:div w:id="1437406252">
              <w:marLeft w:val="0"/>
              <w:marRight w:val="0"/>
              <w:marTop w:val="0"/>
              <w:marBottom w:val="240"/>
              <w:divBdr>
                <w:top w:val="none" w:sz="0" w:space="0" w:color="auto"/>
                <w:left w:val="none" w:sz="0" w:space="0" w:color="auto"/>
                <w:bottom w:val="none" w:sz="0" w:space="0" w:color="auto"/>
                <w:right w:val="none" w:sz="0" w:space="0" w:color="auto"/>
              </w:divBdr>
            </w:div>
            <w:div w:id="1670908574">
              <w:marLeft w:val="0"/>
              <w:marRight w:val="0"/>
              <w:marTop w:val="0"/>
              <w:marBottom w:val="240"/>
              <w:divBdr>
                <w:top w:val="none" w:sz="0" w:space="0" w:color="auto"/>
                <w:left w:val="none" w:sz="0" w:space="0" w:color="auto"/>
                <w:bottom w:val="none" w:sz="0" w:space="0" w:color="auto"/>
                <w:right w:val="none" w:sz="0" w:space="0" w:color="auto"/>
              </w:divBdr>
            </w:div>
            <w:div w:id="1252659322">
              <w:marLeft w:val="0"/>
              <w:marRight w:val="0"/>
              <w:marTop w:val="0"/>
              <w:marBottom w:val="240"/>
              <w:divBdr>
                <w:top w:val="none" w:sz="0" w:space="0" w:color="auto"/>
                <w:left w:val="none" w:sz="0" w:space="0" w:color="auto"/>
                <w:bottom w:val="none" w:sz="0" w:space="0" w:color="auto"/>
                <w:right w:val="none" w:sz="0" w:space="0" w:color="auto"/>
              </w:divBdr>
            </w:div>
            <w:div w:id="303239171">
              <w:marLeft w:val="0"/>
              <w:marRight w:val="0"/>
              <w:marTop w:val="0"/>
              <w:marBottom w:val="240"/>
              <w:divBdr>
                <w:top w:val="none" w:sz="0" w:space="0" w:color="auto"/>
                <w:left w:val="none" w:sz="0" w:space="0" w:color="auto"/>
                <w:bottom w:val="none" w:sz="0" w:space="0" w:color="auto"/>
                <w:right w:val="none" w:sz="0" w:space="0" w:color="auto"/>
              </w:divBdr>
            </w:div>
            <w:div w:id="1054549792">
              <w:marLeft w:val="0"/>
              <w:marRight w:val="0"/>
              <w:marTop w:val="0"/>
              <w:marBottom w:val="240"/>
              <w:divBdr>
                <w:top w:val="none" w:sz="0" w:space="0" w:color="auto"/>
                <w:left w:val="none" w:sz="0" w:space="0" w:color="auto"/>
                <w:bottom w:val="none" w:sz="0" w:space="0" w:color="auto"/>
                <w:right w:val="none" w:sz="0" w:space="0" w:color="auto"/>
              </w:divBdr>
            </w:div>
            <w:div w:id="2120027463">
              <w:marLeft w:val="0"/>
              <w:marRight w:val="0"/>
              <w:marTop w:val="0"/>
              <w:marBottom w:val="240"/>
              <w:divBdr>
                <w:top w:val="none" w:sz="0" w:space="0" w:color="auto"/>
                <w:left w:val="none" w:sz="0" w:space="0" w:color="auto"/>
                <w:bottom w:val="none" w:sz="0" w:space="0" w:color="auto"/>
                <w:right w:val="none" w:sz="0" w:space="0" w:color="auto"/>
              </w:divBdr>
            </w:div>
            <w:div w:id="1826848323">
              <w:marLeft w:val="0"/>
              <w:marRight w:val="0"/>
              <w:marTop w:val="0"/>
              <w:marBottom w:val="240"/>
              <w:divBdr>
                <w:top w:val="none" w:sz="0" w:space="0" w:color="auto"/>
                <w:left w:val="none" w:sz="0" w:space="0" w:color="auto"/>
                <w:bottom w:val="none" w:sz="0" w:space="0" w:color="auto"/>
                <w:right w:val="none" w:sz="0" w:space="0" w:color="auto"/>
              </w:divBdr>
            </w:div>
            <w:div w:id="2101832002">
              <w:marLeft w:val="0"/>
              <w:marRight w:val="0"/>
              <w:marTop w:val="0"/>
              <w:marBottom w:val="240"/>
              <w:divBdr>
                <w:top w:val="none" w:sz="0" w:space="0" w:color="auto"/>
                <w:left w:val="none" w:sz="0" w:space="0" w:color="auto"/>
                <w:bottom w:val="none" w:sz="0" w:space="0" w:color="auto"/>
                <w:right w:val="none" w:sz="0" w:space="0" w:color="auto"/>
              </w:divBdr>
            </w:div>
            <w:div w:id="499926164">
              <w:marLeft w:val="0"/>
              <w:marRight w:val="0"/>
              <w:marTop w:val="0"/>
              <w:marBottom w:val="240"/>
              <w:divBdr>
                <w:top w:val="none" w:sz="0" w:space="0" w:color="auto"/>
                <w:left w:val="none" w:sz="0" w:space="0" w:color="auto"/>
                <w:bottom w:val="none" w:sz="0" w:space="0" w:color="auto"/>
                <w:right w:val="none" w:sz="0" w:space="0" w:color="auto"/>
              </w:divBdr>
            </w:div>
            <w:div w:id="221211816">
              <w:marLeft w:val="0"/>
              <w:marRight w:val="0"/>
              <w:marTop w:val="0"/>
              <w:marBottom w:val="240"/>
              <w:divBdr>
                <w:top w:val="none" w:sz="0" w:space="0" w:color="auto"/>
                <w:left w:val="none" w:sz="0" w:space="0" w:color="auto"/>
                <w:bottom w:val="none" w:sz="0" w:space="0" w:color="auto"/>
                <w:right w:val="none" w:sz="0" w:space="0" w:color="auto"/>
              </w:divBdr>
            </w:div>
            <w:div w:id="283200413">
              <w:marLeft w:val="0"/>
              <w:marRight w:val="0"/>
              <w:marTop w:val="0"/>
              <w:marBottom w:val="240"/>
              <w:divBdr>
                <w:top w:val="none" w:sz="0" w:space="0" w:color="auto"/>
                <w:left w:val="none" w:sz="0" w:space="0" w:color="auto"/>
                <w:bottom w:val="none" w:sz="0" w:space="0" w:color="auto"/>
                <w:right w:val="none" w:sz="0" w:space="0" w:color="auto"/>
              </w:divBdr>
            </w:div>
            <w:div w:id="1896350214">
              <w:marLeft w:val="0"/>
              <w:marRight w:val="0"/>
              <w:marTop w:val="0"/>
              <w:marBottom w:val="240"/>
              <w:divBdr>
                <w:top w:val="none" w:sz="0" w:space="0" w:color="auto"/>
                <w:left w:val="none" w:sz="0" w:space="0" w:color="auto"/>
                <w:bottom w:val="none" w:sz="0" w:space="0" w:color="auto"/>
                <w:right w:val="none" w:sz="0" w:space="0" w:color="auto"/>
              </w:divBdr>
            </w:div>
            <w:div w:id="650913147">
              <w:marLeft w:val="0"/>
              <w:marRight w:val="0"/>
              <w:marTop w:val="0"/>
              <w:marBottom w:val="240"/>
              <w:divBdr>
                <w:top w:val="none" w:sz="0" w:space="0" w:color="auto"/>
                <w:left w:val="none" w:sz="0" w:space="0" w:color="auto"/>
                <w:bottom w:val="none" w:sz="0" w:space="0" w:color="auto"/>
                <w:right w:val="none" w:sz="0" w:space="0" w:color="auto"/>
              </w:divBdr>
            </w:div>
            <w:div w:id="1976674">
              <w:marLeft w:val="0"/>
              <w:marRight w:val="0"/>
              <w:marTop w:val="0"/>
              <w:marBottom w:val="240"/>
              <w:divBdr>
                <w:top w:val="none" w:sz="0" w:space="0" w:color="auto"/>
                <w:left w:val="none" w:sz="0" w:space="0" w:color="auto"/>
                <w:bottom w:val="none" w:sz="0" w:space="0" w:color="auto"/>
                <w:right w:val="none" w:sz="0" w:space="0" w:color="auto"/>
              </w:divBdr>
            </w:div>
            <w:div w:id="556168282">
              <w:marLeft w:val="0"/>
              <w:marRight w:val="0"/>
              <w:marTop w:val="0"/>
              <w:marBottom w:val="240"/>
              <w:divBdr>
                <w:top w:val="none" w:sz="0" w:space="0" w:color="auto"/>
                <w:left w:val="none" w:sz="0" w:space="0" w:color="auto"/>
                <w:bottom w:val="none" w:sz="0" w:space="0" w:color="auto"/>
                <w:right w:val="none" w:sz="0" w:space="0" w:color="auto"/>
              </w:divBdr>
            </w:div>
            <w:div w:id="1164975597">
              <w:marLeft w:val="0"/>
              <w:marRight w:val="0"/>
              <w:marTop w:val="0"/>
              <w:marBottom w:val="240"/>
              <w:divBdr>
                <w:top w:val="none" w:sz="0" w:space="0" w:color="auto"/>
                <w:left w:val="none" w:sz="0" w:space="0" w:color="auto"/>
                <w:bottom w:val="none" w:sz="0" w:space="0" w:color="auto"/>
                <w:right w:val="none" w:sz="0" w:space="0" w:color="auto"/>
              </w:divBdr>
            </w:div>
            <w:div w:id="796488217">
              <w:marLeft w:val="0"/>
              <w:marRight w:val="0"/>
              <w:marTop w:val="0"/>
              <w:marBottom w:val="240"/>
              <w:divBdr>
                <w:top w:val="none" w:sz="0" w:space="0" w:color="auto"/>
                <w:left w:val="none" w:sz="0" w:space="0" w:color="auto"/>
                <w:bottom w:val="none" w:sz="0" w:space="0" w:color="auto"/>
                <w:right w:val="none" w:sz="0" w:space="0" w:color="auto"/>
              </w:divBdr>
            </w:div>
            <w:div w:id="1119183238">
              <w:marLeft w:val="0"/>
              <w:marRight w:val="0"/>
              <w:marTop w:val="0"/>
              <w:marBottom w:val="240"/>
              <w:divBdr>
                <w:top w:val="none" w:sz="0" w:space="0" w:color="auto"/>
                <w:left w:val="none" w:sz="0" w:space="0" w:color="auto"/>
                <w:bottom w:val="none" w:sz="0" w:space="0" w:color="auto"/>
                <w:right w:val="none" w:sz="0" w:space="0" w:color="auto"/>
              </w:divBdr>
            </w:div>
            <w:div w:id="2122842242">
              <w:marLeft w:val="0"/>
              <w:marRight w:val="0"/>
              <w:marTop w:val="0"/>
              <w:marBottom w:val="240"/>
              <w:divBdr>
                <w:top w:val="none" w:sz="0" w:space="0" w:color="auto"/>
                <w:left w:val="none" w:sz="0" w:space="0" w:color="auto"/>
                <w:bottom w:val="none" w:sz="0" w:space="0" w:color="auto"/>
                <w:right w:val="none" w:sz="0" w:space="0" w:color="auto"/>
              </w:divBdr>
            </w:div>
            <w:div w:id="1932663291">
              <w:marLeft w:val="0"/>
              <w:marRight w:val="0"/>
              <w:marTop w:val="0"/>
              <w:marBottom w:val="240"/>
              <w:divBdr>
                <w:top w:val="none" w:sz="0" w:space="0" w:color="auto"/>
                <w:left w:val="none" w:sz="0" w:space="0" w:color="auto"/>
                <w:bottom w:val="none" w:sz="0" w:space="0" w:color="auto"/>
                <w:right w:val="none" w:sz="0" w:space="0" w:color="auto"/>
              </w:divBdr>
            </w:div>
            <w:div w:id="92761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186655">
      <w:bodyDiv w:val="1"/>
      <w:marLeft w:val="0"/>
      <w:marRight w:val="0"/>
      <w:marTop w:val="0"/>
      <w:marBottom w:val="0"/>
      <w:divBdr>
        <w:top w:val="none" w:sz="0" w:space="0" w:color="auto"/>
        <w:left w:val="none" w:sz="0" w:space="0" w:color="auto"/>
        <w:bottom w:val="none" w:sz="0" w:space="0" w:color="auto"/>
        <w:right w:val="none" w:sz="0" w:space="0" w:color="auto"/>
      </w:divBdr>
    </w:div>
    <w:div w:id="306325955">
      <w:bodyDiv w:val="1"/>
      <w:marLeft w:val="0"/>
      <w:marRight w:val="0"/>
      <w:marTop w:val="0"/>
      <w:marBottom w:val="0"/>
      <w:divBdr>
        <w:top w:val="none" w:sz="0" w:space="0" w:color="auto"/>
        <w:left w:val="none" w:sz="0" w:space="0" w:color="auto"/>
        <w:bottom w:val="none" w:sz="0" w:space="0" w:color="auto"/>
        <w:right w:val="none" w:sz="0" w:space="0" w:color="auto"/>
      </w:divBdr>
    </w:div>
    <w:div w:id="306712035">
      <w:bodyDiv w:val="1"/>
      <w:marLeft w:val="0"/>
      <w:marRight w:val="0"/>
      <w:marTop w:val="0"/>
      <w:marBottom w:val="0"/>
      <w:divBdr>
        <w:top w:val="none" w:sz="0" w:space="0" w:color="auto"/>
        <w:left w:val="none" w:sz="0" w:space="0" w:color="auto"/>
        <w:bottom w:val="none" w:sz="0" w:space="0" w:color="auto"/>
        <w:right w:val="none" w:sz="0" w:space="0" w:color="auto"/>
      </w:divBdr>
      <w:divsChild>
        <w:div w:id="1439595419">
          <w:marLeft w:val="480"/>
          <w:marRight w:val="0"/>
          <w:marTop w:val="0"/>
          <w:marBottom w:val="0"/>
          <w:divBdr>
            <w:top w:val="none" w:sz="0" w:space="0" w:color="auto"/>
            <w:left w:val="none" w:sz="0" w:space="0" w:color="auto"/>
            <w:bottom w:val="none" w:sz="0" w:space="0" w:color="auto"/>
            <w:right w:val="none" w:sz="0" w:space="0" w:color="auto"/>
          </w:divBdr>
          <w:divsChild>
            <w:div w:id="419571247">
              <w:marLeft w:val="0"/>
              <w:marRight w:val="0"/>
              <w:marTop w:val="0"/>
              <w:marBottom w:val="240"/>
              <w:divBdr>
                <w:top w:val="none" w:sz="0" w:space="0" w:color="auto"/>
                <w:left w:val="none" w:sz="0" w:space="0" w:color="auto"/>
                <w:bottom w:val="none" w:sz="0" w:space="0" w:color="auto"/>
                <w:right w:val="none" w:sz="0" w:space="0" w:color="auto"/>
              </w:divBdr>
            </w:div>
            <w:div w:id="1649751193">
              <w:marLeft w:val="0"/>
              <w:marRight w:val="0"/>
              <w:marTop w:val="0"/>
              <w:marBottom w:val="240"/>
              <w:divBdr>
                <w:top w:val="none" w:sz="0" w:space="0" w:color="auto"/>
                <w:left w:val="none" w:sz="0" w:space="0" w:color="auto"/>
                <w:bottom w:val="none" w:sz="0" w:space="0" w:color="auto"/>
                <w:right w:val="none" w:sz="0" w:space="0" w:color="auto"/>
              </w:divBdr>
            </w:div>
            <w:div w:id="1514957369">
              <w:marLeft w:val="0"/>
              <w:marRight w:val="0"/>
              <w:marTop w:val="0"/>
              <w:marBottom w:val="240"/>
              <w:divBdr>
                <w:top w:val="none" w:sz="0" w:space="0" w:color="auto"/>
                <w:left w:val="none" w:sz="0" w:space="0" w:color="auto"/>
                <w:bottom w:val="none" w:sz="0" w:space="0" w:color="auto"/>
                <w:right w:val="none" w:sz="0" w:space="0" w:color="auto"/>
              </w:divBdr>
            </w:div>
            <w:div w:id="1049956301">
              <w:marLeft w:val="0"/>
              <w:marRight w:val="0"/>
              <w:marTop w:val="0"/>
              <w:marBottom w:val="240"/>
              <w:divBdr>
                <w:top w:val="none" w:sz="0" w:space="0" w:color="auto"/>
                <w:left w:val="none" w:sz="0" w:space="0" w:color="auto"/>
                <w:bottom w:val="none" w:sz="0" w:space="0" w:color="auto"/>
                <w:right w:val="none" w:sz="0" w:space="0" w:color="auto"/>
              </w:divBdr>
            </w:div>
            <w:div w:id="1134566041">
              <w:marLeft w:val="0"/>
              <w:marRight w:val="0"/>
              <w:marTop w:val="0"/>
              <w:marBottom w:val="240"/>
              <w:divBdr>
                <w:top w:val="none" w:sz="0" w:space="0" w:color="auto"/>
                <w:left w:val="none" w:sz="0" w:space="0" w:color="auto"/>
                <w:bottom w:val="none" w:sz="0" w:space="0" w:color="auto"/>
                <w:right w:val="none" w:sz="0" w:space="0" w:color="auto"/>
              </w:divBdr>
            </w:div>
            <w:div w:id="1711689710">
              <w:marLeft w:val="0"/>
              <w:marRight w:val="0"/>
              <w:marTop w:val="0"/>
              <w:marBottom w:val="240"/>
              <w:divBdr>
                <w:top w:val="none" w:sz="0" w:space="0" w:color="auto"/>
                <w:left w:val="none" w:sz="0" w:space="0" w:color="auto"/>
                <w:bottom w:val="none" w:sz="0" w:space="0" w:color="auto"/>
                <w:right w:val="none" w:sz="0" w:space="0" w:color="auto"/>
              </w:divBdr>
            </w:div>
            <w:div w:id="2056079171">
              <w:marLeft w:val="0"/>
              <w:marRight w:val="0"/>
              <w:marTop w:val="0"/>
              <w:marBottom w:val="240"/>
              <w:divBdr>
                <w:top w:val="none" w:sz="0" w:space="0" w:color="auto"/>
                <w:left w:val="none" w:sz="0" w:space="0" w:color="auto"/>
                <w:bottom w:val="none" w:sz="0" w:space="0" w:color="auto"/>
                <w:right w:val="none" w:sz="0" w:space="0" w:color="auto"/>
              </w:divBdr>
            </w:div>
            <w:div w:id="1775712968">
              <w:marLeft w:val="0"/>
              <w:marRight w:val="0"/>
              <w:marTop w:val="0"/>
              <w:marBottom w:val="240"/>
              <w:divBdr>
                <w:top w:val="none" w:sz="0" w:space="0" w:color="auto"/>
                <w:left w:val="none" w:sz="0" w:space="0" w:color="auto"/>
                <w:bottom w:val="none" w:sz="0" w:space="0" w:color="auto"/>
                <w:right w:val="none" w:sz="0" w:space="0" w:color="auto"/>
              </w:divBdr>
            </w:div>
            <w:div w:id="381294766">
              <w:marLeft w:val="0"/>
              <w:marRight w:val="0"/>
              <w:marTop w:val="0"/>
              <w:marBottom w:val="240"/>
              <w:divBdr>
                <w:top w:val="none" w:sz="0" w:space="0" w:color="auto"/>
                <w:left w:val="none" w:sz="0" w:space="0" w:color="auto"/>
                <w:bottom w:val="none" w:sz="0" w:space="0" w:color="auto"/>
                <w:right w:val="none" w:sz="0" w:space="0" w:color="auto"/>
              </w:divBdr>
            </w:div>
            <w:div w:id="1466311201">
              <w:marLeft w:val="0"/>
              <w:marRight w:val="0"/>
              <w:marTop w:val="0"/>
              <w:marBottom w:val="240"/>
              <w:divBdr>
                <w:top w:val="none" w:sz="0" w:space="0" w:color="auto"/>
                <w:left w:val="none" w:sz="0" w:space="0" w:color="auto"/>
                <w:bottom w:val="none" w:sz="0" w:space="0" w:color="auto"/>
                <w:right w:val="none" w:sz="0" w:space="0" w:color="auto"/>
              </w:divBdr>
            </w:div>
            <w:div w:id="1374305313">
              <w:marLeft w:val="0"/>
              <w:marRight w:val="0"/>
              <w:marTop w:val="0"/>
              <w:marBottom w:val="240"/>
              <w:divBdr>
                <w:top w:val="none" w:sz="0" w:space="0" w:color="auto"/>
                <w:left w:val="none" w:sz="0" w:space="0" w:color="auto"/>
                <w:bottom w:val="none" w:sz="0" w:space="0" w:color="auto"/>
                <w:right w:val="none" w:sz="0" w:space="0" w:color="auto"/>
              </w:divBdr>
            </w:div>
            <w:div w:id="1473015996">
              <w:marLeft w:val="0"/>
              <w:marRight w:val="0"/>
              <w:marTop w:val="0"/>
              <w:marBottom w:val="240"/>
              <w:divBdr>
                <w:top w:val="none" w:sz="0" w:space="0" w:color="auto"/>
                <w:left w:val="none" w:sz="0" w:space="0" w:color="auto"/>
                <w:bottom w:val="none" w:sz="0" w:space="0" w:color="auto"/>
                <w:right w:val="none" w:sz="0" w:space="0" w:color="auto"/>
              </w:divBdr>
            </w:div>
            <w:div w:id="2101293246">
              <w:marLeft w:val="0"/>
              <w:marRight w:val="0"/>
              <w:marTop w:val="0"/>
              <w:marBottom w:val="240"/>
              <w:divBdr>
                <w:top w:val="none" w:sz="0" w:space="0" w:color="auto"/>
                <w:left w:val="none" w:sz="0" w:space="0" w:color="auto"/>
                <w:bottom w:val="none" w:sz="0" w:space="0" w:color="auto"/>
                <w:right w:val="none" w:sz="0" w:space="0" w:color="auto"/>
              </w:divBdr>
            </w:div>
            <w:div w:id="16586923">
              <w:marLeft w:val="0"/>
              <w:marRight w:val="0"/>
              <w:marTop w:val="0"/>
              <w:marBottom w:val="240"/>
              <w:divBdr>
                <w:top w:val="none" w:sz="0" w:space="0" w:color="auto"/>
                <w:left w:val="none" w:sz="0" w:space="0" w:color="auto"/>
                <w:bottom w:val="none" w:sz="0" w:space="0" w:color="auto"/>
                <w:right w:val="none" w:sz="0" w:space="0" w:color="auto"/>
              </w:divBdr>
            </w:div>
            <w:div w:id="1618491187">
              <w:marLeft w:val="0"/>
              <w:marRight w:val="0"/>
              <w:marTop w:val="0"/>
              <w:marBottom w:val="240"/>
              <w:divBdr>
                <w:top w:val="none" w:sz="0" w:space="0" w:color="auto"/>
                <w:left w:val="none" w:sz="0" w:space="0" w:color="auto"/>
                <w:bottom w:val="none" w:sz="0" w:space="0" w:color="auto"/>
                <w:right w:val="none" w:sz="0" w:space="0" w:color="auto"/>
              </w:divBdr>
            </w:div>
            <w:div w:id="866259384">
              <w:marLeft w:val="0"/>
              <w:marRight w:val="0"/>
              <w:marTop w:val="0"/>
              <w:marBottom w:val="240"/>
              <w:divBdr>
                <w:top w:val="none" w:sz="0" w:space="0" w:color="auto"/>
                <w:left w:val="none" w:sz="0" w:space="0" w:color="auto"/>
                <w:bottom w:val="none" w:sz="0" w:space="0" w:color="auto"/>
                <w:right w:val="none" w:sz="0" w:space="0" w:color="auto"/>
              </w:divBdr>
            </w:div>
            <w:div w:id="1506360972">
              <w:marLeft w:val="0"/>
              <w:marRight w:val="0"/>
              <w:marTop w:val="0"/>
              <w:marBottom w:val="240"/>
              <w:divBdr>
                <w:top w:val="none" w:sz="0" w:space="0" w:color="auto"/>
                <w:left w:val="none" w:sz="0" w:space="0" w:color="auto"/>
                <w:bottom w:val="none" w:sz="0" w:space="0" w:color="auto"/>
                <w:right w:val="none" w:sz="0" w:space="0" w:color="auto"/>
              </w:divBdr>
            </w:div>
            <w:div w:id="329600691">
              <w:marLeft w:val="0"/>
              <w:marRight w:val="0"/>
              <w:marTop w:val="0"/>
              <w:marBottom w:val="240"/>
              <w:divBdr>
                <w:top w:val="none" w:sz="0" w:space="0" w:color="auto"/>
                <w:left w:val="none" w:sz="0" w:space="0" w:color="auto"/>
                <w:bottom w:val="none" w:sz="0" w:space="0" w:color="auto"/>
                <w:right w:val="none" w:sz="0" w:space="0" w:color="auto"/>
              </w:divBdr>
            </w:div>
            <w:div w:id="1047070331">
              <w:marLeft w:val="0"/>
              <w:marRight w:val="0"/>
              <w:marTop w:val="0"/>
              <w:marBottom w:val="240"/>
              <w:divBdr>
                <w:top w:val="none" w:sz="0" w:space="0" w:color="auto"/>
                <w:left w:val="none" w:sz="0" w:space="0" w:color="auto"/>
                <w:bottom w:val="none" w:sz="0" w:space="0" w:color="auto"/>
                <w:right w:val="none" w:sz="0" w:space="0" w:color="auto"/>
              </w:divBdr>
            </w:div>
            <w:div w:id="806121699">
              <w:marLeft w:val="0"/>
              <w:marRight w:val="0"/>
              <w:marTop w:val="0"/>
              <w:marBottom w:val="240"/>
              <w:divBdr>
                <w:top w:val="none" w:sz="0" w:space="0" w:color="auto"/>
                <w:left w:val="none" w:sz="0" w:space="0" w:color="auto"/>
                <w:bottom w:val="none" w:sz="0" w:space="0" w:color="auto"/>
                <w:right w:val="none" w:sz="0" w:space="0" w:color="auto"/>
              </w:divBdr>
            </w:div>
            <w:div w:id="1720396057">
              <w:marLeft w:val="0"/>
              <w:marRight w:val="0"/>
              <w:marTop w:val="0"/>
              <w:marBottom w:val="240"/>
              <w:divBdr>
                <w:top w:val="none" w:sz="0" w:space="0" w:color="auto"/>
                <w:left w:val="none" w:sz="0" w:space="0" w:color="auto"/>
                <w:bottom w:val="none" w:sz="0" w:space="0" w:color="auto"/>
                <w:right w:val="none" w:sz="0" w:space="0" w:color="auto"/>
              </w:divBdr>
            </w:div>
            <w:div w:id="1082726808">
              <w:marLeft w:val="0"/>
              <w:marRight w:val="0"/>
              <w:marTop w:val="0"/>
              <w:marBottom w:val="240"/>
              <w:divBdr>
                <w:top w:val="none" w:sz="0" w:space="0" w:color="auto"/>
                <w:left w:val="none" w:sz="0" w:space="0" w:color="auto"/>
                <w:bottom w:val="none" w:sz="0" w:space="0" w:color="auto"/>
                <w:right w:val="none" w:sz="0" w:space="0" w:color="auto"/>
              </w:divBdr>
            </w:div>
            <w:div w:id="2091847463">
              <w:marLeft w:val="0"/>
              <w:marRight w:val="0"/>
              <w:marTop w:val="0"/>
              <w:marBottom w:val="240"/>
              <w:divBdr>
                <w:top w:val="none" w:sz="0" w:space="0" w:color="auto"/>
                <w:left w:val="none" w:sz="0" w:space="0" w:color="auto"/>
                <w:bottom w:val="none" w:sz="0" w:space="0" w:color="auto"/>
                <w:right w:val="none" w:sz="0" w:space="0" w:color="auto"/>
              </w:divBdr>
            </w:div>
            <w:div w:id="1499347561">
              <w:marLeft w:val="0"/>
              <w:marRight w:val="0"/>
              <w:marTop w:val="0"/>
              <w:marBottom w:val="240"/>
              <w:divBdr>
                <w:top w:val="none" w:sz="0" w:space="0" w:color="auto"/>
                <w:left w:val="none" w:sz="0" w:space="0" w:color="auto"/>
                <w:bottom w:val="none" w:sz="0" w:space="0" w:color="auto"/>
                <w:right w:val="none" w:sz="0" w:space="0" w:color="auto"/>
              </w:divBdr>
            </w:div>
            <w:div w:id="1628732350">
              <w:marLeft w:val="0"/>
              <w:marRight w:val="0"/>
              <w:marTop w:val="0"/>
              <w:marBottom w:val="240"/>
              <w:divBdr>
                <w:top w:val="none" w:sz="0" w:space="0" w:color="auto"/>
                <w:left w:val="none" w:sz="0" w:space="0" w:color="auto"/>
                <w:bottom w:val="none" w:sz="0" w:space="0" w:color="auto"/>
                <w:right w:val="none" w:sz="0" w:space="0" w:color="auto"/>
              </w:divBdr>
            </w:div>
            <w:div w:id="1345521862">
              <w:marLeft w:val="0"/>
              <w:marRight w:val="0"/>
              <w:marTop w:val="0"/>
              <w:marBottom w:val="240"/>
              <w:divBdr>
                <w:top w:val="none" w:sz="0" w:space="0" w:color="auto"/>
                <w:left w:val="none" w:sz="0" w:space="0" w:color="auto"/>
                <w:bottom w:val="none" w:sz="0" w:space="0" w:color="auto"/>
                <w:right w:val="none" w:sz="0" w:space="0" w:color="auto"/>
              </w:divBdr>
            </w:div>
            <w:div w:id="270556205">
              <w:marLeft w:val="0"/>
              <w:marRight w:val="0"/>
              <w:marTop w:val="0"/>
              <w:marBottom w:val="240"/>
              <w:divBdr>
                <w:top w:val="none" w:sz="0" w:space="0" w:color="auto"/>
                <w:left w:val="none" w:sz="0" w:space="0" w:color="auto"/>
                <w:bottom w:val="none" w:sz="0" w:space="0" w:color="auto"/>
                <w:right w:val="none" w:sz="0" w:space="0" w:color="auto"/>
              </w:divBdr>
            </w:div>
            <w:div w:id="1285044018">
              <w:marLeft w:val="0"/>
              <w:marRight w:val="0"/>
              <w:marTop w:val="0"/>
              <w:marBottom w:val="240"/>
              <w:divBdr>
                <w:top w:val="none" w:sz="0" w:space="0" w:color="auto"/>
                <w:left w:val="none" w:sz="0" w:space="0" w:color="auto"/>
                <w:bottom w:val="none" w:sz="0" w:space="0" w:color="auto"/>
                <w:right w:val="none" w:sz="0" w:space="0" w:color="auto"/>
              </w:divBdr>
            </w:div>
            <w:div w:id="431364625">
              <w:marLeft w:val="0"/>
              <w:marRight w:val="0"/>
              <w:marTop w:val="0"/>
              <w:marBottom w:val="240"/>
              <w:divBdr>
                <w:top w:val="none" w:sz="0" w:space="0" w:color="auto"/>
                <w:left w:val="none" w:sz="0" w:space="0" w:color="auto"/>
                <w:bottom w:val="none" w:sz="0" w:space="0" w:color="auto"/>
                <w:right w:val="none" w:sz="0" w:space="0" w:color="auto"/>
              </w:divBdr>
            </w:div>
            <w:div w:id="196281118">
              <w:marLeft w:val="0"/>
              <w:marRight w:val="0"/>
              <w:marTop w:val="0"/>
              <w:marBottom w:val="240"/>
              <w:divBdr>
                <w:top w:val="none" w:sz="0" w:space="0" w:color="auto"/>
                <w:left w:val="none" w:sz="0" w:space="0" w:color="auto"/>
                <w:bottom w:val="none" w:sz="0" w:space="0" w:color="auto"/>
                <w:right w:val="none" w:sz="0" w:space="0" w:color="auto"/>
              </w:divBdr>
            </w:div>
            <w:div w:id="575407857">
              <w:marLeft w:val="0"/>
              <w:marRight w:val="0"/>
              <w:marTop w:val="0"/>
              <w:marBottom w:val="240"/>
              <w:divBdr>
                <w:top w:val="none" w:sz="0" w:space="0" w:color="auto"/>
                <w:left w:val="none" w:sz="0" w:space="0" w:color="auto"/>
                <w:bottom w:val="none" w:sz="0" w:space="0" w:color="auto"/>
                <w:right w:val="none" w:sz="0" w:space="0" w:color="auto"/>
              </w:divBdr>
            </w:div>
            <w:div w:id="1312098059">
              <w:marLeft w:val="0"/>
              <w:marRight w:val="0"/>
              <w:marTop w:val="0"/>
              <w:marBottom w:val="240"/>
              <w:divBdr>
                <w:top w:val="none" w:sz="0" w:space="0" w:color="auto"/>
                <w:left w:val="none" w:sz="0" w:space="0" w:color="auto"/>
                <w:bottom w:val="none" w:sz="0" w:space="0" w:color="auto"/>
                <w:right w:val="none" w:sz="0" w:space="0" w:color="auto"/>
              </w:divBdr>
            </w:div>
            <w:div w:id="1147622739">
              <w:marLeft w:val="0"/>
              <w:marRight w:val="0"/>
              <w:marTop w:val="0"/>
              <w:marBottom w:val="240"/>
              <w:divBdr>
                <w:top w:val="none" w:sz="0" w:space="0" w:color="auto"/>
                <w:left w:val="none" w:sz="0" w:space="0" w:color="auto"/>
                <w:bottom w:val="none" w:sz="0" w:space="0" w:color="auto"/>
                <w:right w:val="none" w:sz="0" w:space="0" w:color="auto"/>
              </w:divBdr>
            </w:div>
            <w:div w:id="1884437338">
              <w:marLeft w:val="0"/>
              <w:marRight w:val="0"/>
              <w:marTop w:val="0"/>
              <w:marBottom w:val="240"/>
              <w:divBdr>
                <w:top w:val="none" w:sz="0" w:space="0" w:color="auto"/>
                <w:left w:val="none" w:sz="0" w:space="0" w:color="auto"/>
                <w:bottom w:val="none" w:sz="0" w:space="0" w:color="auto"/>
                <w:right w:val="none" w:sz="0" w:space="0" w:color="auto"/>
              </w:divBdr>
            </w:div>
            <w:div w:id="229735040">
              <w:marLeft w:val="0"/>
              <w:marRight w:val="0"/>
              <w:marTop w:val="0"/>
              <w:marBottom w:val="240"/>
              <w:divBdr>
                <w:top w:val="none" w:sz="0" w:space="0" w:color="auto"/>
                <w:left w:val="none" w:sz="0" w:space="0" w:color="auto"/>
                <w:bottom w:val="none" w:sz="0" w:space="0" w:color="auto"/>
                <w:right w:val="none" w:sz="0" w:space="0" w:color="auto"/>
              </w:divBdr>
            </w:div>
            <w:div w:id="685402373">
              <w:marLeft w:val="0"/>
              <w:marRight w:val="0"/>
              <w:marTop w:val="0"/>
              <w:marBottom w:val="240"/>
              <w:divBdr>
                <w:top w:val="none" w:sz="0" w:space="0" w:color="auto"/>
                <w:left w:val="none" w:sz="0" w:space="0" w:color="auto"/>
                <w:bottom w:val="none" w:sz="0" w:space="0" w:color="auto"/>
                <w:right w:val="none" w:sz="0" w:space="0" w:color="auto"/>
              </w:divBdr>
            </w:div>
            <w:div w:id="90783950">
              <w:marLeft w:val="0"/>
              <w:marRight w:val="0"/>
              <w:marTop w:val="0"/>
              <w:marBottom w:val="240"/>
              <w:divBdr>
                <w:top w:val="none" w:sz="0" w:space="0" w:color="auto"/>
                <w:left w:val="none" w:sz="0" w:space="0" w:color="auto"/>
                <w:bottom w:val="none" w:sz="0" w:space="0" w:color="auto"/>
                <w:right w:val="none" w:sz="0" w:space="0" w:color="auto"/>
              </w:divBdr>
            </w:div>
            <w:div w:id="1095521674">
              <w:marLeft w:val="0"/>
              <w:marRight w:val="0"/>
              <w:marTop w:val="0"/>
              <w:marBottom w:val="240"/>
              <w:divBdr>
                <w:top w:val="none" w:sz="0" w:space="0" w:color="auto"/>
                <w:left w:val="none" w:sz="0" w:space="0" w:color="auto"/>
                <w:bottom w:val="none" w:sz="0" w:space="0" w:color="auto"/>
                <w:right w:val="none" w:sz="0" w:space="0" w:color="auto"/>
              </w:divBdr>
            </w:div>
            <w:div w:id="978455676">
              <w:marLeft w:val="0"/>
              <w:marRight w:val="0"/>
              <w:marTop w:val="0"/>
              <w:marBottom w:val="240"/>
              <w:divBdr>
                <w:top w:val="none" w:sz="0" w:space="0" w:color="auto"/>
                <w:left w:val="none" w:sz="0" w:space="0" w:color="auto"/>
                <w:bottom w:val="none" w:sz="0" w:space="0" w:color="auto"/>
                <w:right w:val="none" w:sz="0" w:space="0" w:color="auto"/>
              </w:divBdr>
            </w:div>
            <w:div w:id="156266552">
              <w:marLeft w:val="0"/>
              <w:marRight w:val="0"/>
              <w:marTop w:val="0"/>
              <w:marBottom w:val="240"/>
              <w:divBdr>
                <w:top w:val="none" w:sz="0" w:space="0" w:color="auto"/>
                <w:left w:val="none" w:sz="0" w:space="0" w:color="auto"/>
                <w:bottom w:val="none" w:sz="0" w:space="0" w:color="auto"/>
                <w:right w:val="none" w:sz="0" w:space="0" w:color="auto"/>
              </w:divBdr>
            </w:div>
            <w:div w:id="112519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454060">
      <w:bodyDiv w:val="1"/>
      <w:marLeft w:val="0"/>
      <w:marRight w:val="0"/>
      <w:marTop w:val="0"/>
      <w:marBottom w:val="0"/>
      <w:divBdr>
        <w:top w:val="none" w:sz="0" w:space="0" w:color="auto"/>
        <w:left w:val="none" w:sz="0" w:space="0" w:color="auto"/>
        <w:bottom w:val="none" w:sz="0" w:space="0" w:color="auto"/>
        <w:right w:val="none" w:sz="0" w:space="0" w:color="auto"/>
      </w:divBdr>
      <w:divsChild>
        <w:div w:id="1778479136">
          <w:marLeft w:val="480"/>
          <w:marRight w:val="0"/>
          <w:marTop w:val="0"/>
          <w:marBottom w:val="0"/>
          <w:divBdr>
            <w:top w:val="none" w:sz="0" w:space="0" w:color="auto"/>
            <w:left w:val="none" w:sz="0" w:space="0" w:color="auto"/>
            <w:bottom w:val="none" w:sz="0" w:space="0" w:color="auto"/>
            <w:right w:val="none" w:sz="0" w:space="0" w:color="auto"/>
          </w:divBdr>
          <w:divsChild>
            <w:div w:id="489641433">
              <w:marLeft w:val="0"/>
              <w:marRight w:val="0"/>
              <w:marTop w:val="0"/>
              <w:marBottom w:val="240"/>
              <w:divBdr>
                <w:top w:val="none" w:sz="0" w:space="0" w:color="auto"/>
                <w:left w:val="none" w:sz="0" w:space="0" w:color="auto"/>
                <w:bottom w:val="none" w:sz="0" w:space="0" w:color="auto"/>
                <w:right w:val="none" w:sz="0" w:space="0" w:color="auto"/>
              </w:divBdr>
            </w:div>
            <w:div w:id="258177861">
              <w:marLeft w:val="0"/>
              <w:marRight w:val="0"/>
              <w:marTop w:val="0"/>
              <w:marBottom w:val="240"/>
              <w:divBdr>
                <w:top w:val="none" w:sz="0" w:space="0" w:color="auto"/>
                <w:left w:val="none" w:sz="0" w:space="0" w:color="auto"/>
                <w:bottom w:val="none" w:sz="0" w:space="0" w:color="auto"/>
                <w:right w:val="none" w:sz="0" w:space="0" w:color="auto"/>
              </w:divBdr>
            </w:div>
            <w:div w:id="722094749">
              <w:marLeft w:val="0"/>
              <w:marRight w:val="0"/>
              <w:marTop w:val="0"/>
              <w:marBottom w:val="240"/>
              <w:divBdr>
                <w:top w:val="none" w:sz="0" w:space="0" w:color="auto"/>
                <w:left w:val="none" w:sz="0" w:space="0" w:color="auto"/>
                <w:bottom w:val="none" w:sz="0" w:space="0" w:color="auto"/>
                <w:right w:val="none" w:sz="0" w:space="0" w:color="auto"/>
              </w:divBdr>
            </w:div>
            <w:div w:id="115760702">
              <w:marLeft w:val="0"/>
              <w:marRight w:val="0"/>
              <w:marTop w:val="0"/>
              <w:marBottom w:val="240"/>
              <w:divBdr>
                <w:top w:val="none" w:sz="0" w:space="0" w:color="auto"/>
                <w:left w:val="none" w:sz="0" w:space="0" w:color="auto"/>
                <w:bottom w:val="none" w:sz="0" w:space="0" w:color="auto"/>
                <w:right w:val="none" w:sz="0" w:space="0" w:color="auto"/>
              </w:divBdr>
            </w:div>
            <w:div w:id="154221425">
              <w:marLeft w:val="0"/>
              <w:marRight w:val="0"/>
              <w:marTop w:val="0"/>
              <w:marBottom w:val="240"/>
              <w:divBdr>
                <w:top w:val="none" w:sz="0" w:space="0" w:color="auto"/>
                <w:left w:val="none" w:sz="0" w:space="0" w:color="auto"/>
                <w:bottom w:val="none" w:sz="0" w:space="0" w:color="auto"/>
                <w:right w:val="none" w:sz="0" w:space="0" w:color="auto"/>
              </w:divBdr>
            </w:div>
            <w:div w:id="163210012">
              <w:marLeft w:val="0"/>
              <w:marRight w:val="0"/>
              <w:marTop w:val="0"/>
              <w:marBottom w:val="240"/>
              <w:divBdr>
                <w:top w:val="none" w:sz="0" w:space="0" w:color="auto"/>
                <w:left w:val="none" w:sz="0" w:space="0" w:color="auto"/>
                <w:bottom w:val="none" w:sz="0" w:space="0" w:color="auto"/>
                <w:right w:val="none" w:sz="0" w:space="0" w:color="auto"/>
              </w:divBdr>
            </w:div>
            <w:div w:id="1180044521">
              <w:marLeft w:val="0"/>
              <w:marRight w:val="0"/>
              <w:marTop w:val="0"/>
              <w:marBottom w:val="240"/>
              <w:divBdr>
                <w:top w:val="none" w:sz="0" w:space="0" w:color="auto"/>
                <w:left w:val="none" w:sz="0" w:space="0" w:color="auto"/>
                <w:bottom w:val="none" w:sz="0" w:space="0" w:color="auto"/>
                <w:right w:val="none" w:sz="0" w:space="0" w:color="auto"/>
              </w:divBdr>
            </w:div>
            <w:div w:id="1643462795">
              <w:marLeft w:val="0"/>
              <w:marRight w:val="0"/>
              <w:marTop w:val="0"/>
              <w:marBottom w:val="240"/>
              <w:divBdr>
                <w:top w:val="none" w:sz="0" w:space="0" w:color="auto"/>
                <w:left w:val="none" w:sz="0" w:space="0" w:color="auto"/>
                <w:bottom w:val="none" w:sz="0" w:space="0" w:color="auto"/>
                <w:right w:val="none" w:sz="0" w:space="0" w:color="auto"/>
              </w:divBdr>
            </w:div>
            <w:div w:id="874661936">
              <w:marLeft w:val="0"/>
              <w:marRight w:val="0"/>
              <w:marTop w:val="0"/>
              <w:marBottom w:val="240"/>
              <w:divBdr>
                <w:top w:val="none" w:sz="0" w:space="0" w:color="auto"/>
                <w:left w:val="none" w:sz="0" w:space="0" w:color="auto"/>
                <w:bottom w:val="none" w:sz="0" w:space="0" w:color="auto"/>
                <w:right w:val="none" w:sz="0" w:space="0" w:color="auto"/>
              </w:divBdr>
            </w:div>
            <w:div w:id="2098747156">
              <w:marLeft w:val="0"/>
              <w:marRight w:val="0"/>
              <w:marTop w:val="0"/>
              <w:marBottom w:val="240"/>
              <w:divBdr>
                <w:top w:val="none" w:sz="0" w:space="0" w:color="auto"/>
                <w:left w:val="none" w:sz="0" w:space="0" w:color="auto"/>
                <w:bottom w:val="none" w:sz="0" w:space="0" w:color="auto"/>
                <w:right w:val="none" w:sz="0" w:space="0" w:color="auto"/>
              </w:divBdr>
            </w:div>
            <w:div w:id="1214193450">
              <w:marLeft w:val="0"/>
              <w:marRight w:val="0"/>
              <w:marTop w:val="0"/>
              <w:marBottom w:val="240"/>
              <w:divBdr>
                <w:top w:val="none" w:sz="0" w:space="0" w:color="auto"/>
                <w:left w:val="none" w:sz="0" w:space="0" w:color="auto"/>
                <w:bottom w:val="none" w:sz="0" w:space="0" w:color="auto"/>
                <w:right w:val="none" w:sz="0" w:space="0" w:color="auto"/>
              </w:divBdr>
            </w:div>
            <w:div w:id="233514253">
              <w:marLeft w:val="0"/>
              <w:marRight w:val="0"/>
              <w:marTop w:val="0"/>
              <w:marBottom w:val="240"/>
              <w:divBdr>
                <w:top w:val="none" w:sz="0" w:space="0" w:color="auto"/>
                <w:left w:val="none" w:sz="0" w:space="0" w:color="auto"/>
                <w:bottom w:val="none" w:sz="0" w:space="0" w:color="auto"/>
                <w:right w:val="none" w:sz="0" w:space="0" w:color="auto"/>
              </w:divBdr>
            </w:div>
            <w:div w:id="1733653582">
              <w:marLeft w:val="0"/>
              <w:marRight w:val="0"/>
              <w:marTop w:val="0"/>
              <w:marBottom w:val="240"/>
              <w:divBdr>
                <w:top w:val="none" w:sz="0" w:space="0" w:color="auto"/>
                <w:left w:val="none" w:sz="0" w:space="0" w:color="auto"/>
                <w:bottom w:val="none" w:sz="0" w:space="0" w:color="auto"/>
                <w:right w:val="none" w:sz="0" w:space="0" w:color="auto"/>
              </w:divBdr>
            </w:div>
            <w:div w:id="1926185960">
              <w:marLeft w:val="0"/>
              <w:marRight w:val="0"/>
              <w:marTop w:val="0"/>
              <w:marBottom w:val="240"/>
              <w:divBdr>
                <w:top w:val="none" w:sz="0" w:space="0" w:color="auto"/>
                <w:left w:val="none" w:sz="0" w:space="0" w:color="auto"/>
                <w:bottom w:val="none" w:sz="0" w:space="0" w:color="auto"/>
                <w:right w:val="none" w:sz="0" w:space="0" w:color="auto"/>
              </w:divBdr>
            </w:div>
            <w:div w:id="781069483">
              <w:marLeft w:val="0"/>
              <w:marRight w:val="0"/>
              <w:marTop w:val="0"/>
              <w:marBottom w:val="240"/>
              <w:divBdr>
                <w:top w:val="none" w:sz="0" w:space="0" w:color="auto"/>
                <w:left w:val="none" w:sz="0" w:space="0" w:color="auto"/>
                <w:bottom w:val="none" w:sz="0" w:space="0" w:color="auto"/>
                <w:right w:val="none" w:sz="0" w:space="0" w:color="auto"/>
              </w:divBdr>
            </w:div>
            <w:div w:id="873006927">
              <w:marLeft w:val="0"/>
              <w:marRight w:val="0"/>
              <w:marTop w:val="0"/>
              <w:marBottom w:val="240"/>
              <w:divBdr>
                <w:top w:val="none" w:sz="0" w:space="0" w:color="auto"/>
                <w:left w:val="none" w:sz="0" w:space="0" w:color="auto"/>
                <w:bottom w:val="none" w:sz="0" w:space="0" w:color="auto"/>
                <w:right w:val="none" w:sz="0" w:space="0" w:color="auto"/>
              </w:divBdr>
            </w:div>
            <w:div w:id="2075546806">
              <w:marLeft w:val="0"/>
              <w:marRight w:val="0"/>
              <w:marTop w:val="0"/>
              <w:marBottom w:val="240"/>
              <w:divBdr>
                <w:top w:val="none" w:sz="0" w:space="0" w:color="auto"/>
                <w:left w:val="none" w:sz="0" w:space="0" w:color="auto"/>
                <w:bottom w:val="none" w:sz="0" w:space="0" w:color="auto"/>
                <w:right w:val="none" w:sz="0" w:space="0" w:color="auto"/>
              </w:divBdr>
            </w:div>
            <w:div w:id="1628899581">
              <w:marLeft w:val="0"/>
              <w:marRight w:val="0"/>
              <w:marTop w:val="0"/>
              <w:marBottom w:val="240"/>
              <w:divBdr>
                <w:top w:val="none" w:sz="0" w:space="0" w:color="auto"/>
                <w:left w:val="none" w:sz="0" w:space="0" w:color="auto"/>
                <w:bottom w:val="none" w:sz="0" w:space="0" w:color="auto"/>
                <w:right w:val="none" w:sz="0" w:space="0" w:color="auto"/>
              </w:divBdr>
            </w:div>
            <w:div w:id="1658342887">
              <w:marLeft w:val="0"/>
              <w:marRight w:val="0"/>
              <w:marTop w:val="0"/>
              <w:marBottom w:val="240"/>
              <w:divBdr>
                <w:top w:val="none" w:sz="0" w:space="0" w:color="auto"/>
                <w:left w:val="none" w:sz="0" w:space="0" w:color="auto"/>
                <w:bottom w:val="none" w:sz="0" w:space="0" w:color="auto"/>
                <w:right w:val="none" w:sz="0" w:space="0" w:color="auto"/>
              </w:divBdr>
            </w:div>
            <w:div w:id="879516276">
              <w:marLeft w:val="0"/>
              <w:marRight w:val="0"/>
              <w:marTop w:val="0"/>
              <w:marBottom w:val="240"/>
              <w:divBdr>
                <w:top w:val="none" w:sz="0" w:space="0" w:color="auto"/>
                <w:left w:val="none" w:sz="0" w:space="0" w:color="auto"/>
                <w:bottom w:val="none" w:sz="0" w:space="0" w:color="auto"/>
                <w:right w:val="none" w:sz="0" w:space="0" w:color="auto"/>
              </w:divBdr>
            </w:div>
            <w:div w:id="920867609">
              <w:marLeft w:val="0"/>
              <w:marRight w:val="0"/>
              <w:marTop w:val="0"/>
              <w:marBottom w:val="240"/>
              <w:divBdr>
                <w:top w:val="none" w:sz="0" w:space="0" w:color="auto"/>
                <w:left w:val="none" w:sz="0" w:space="0" w:color="auto"/>
                <w:bottom w:val="none" w:sz="0" w:space="0" w:color="auto"/>
                <w:right w:val="none" w:sz="0" w:space="0" w:color="auto"/>
              </w:divBdr>
            </w:div>
            <w:div w:id="1961253292">
              <w:marLeft w:val="0"/>
              <w:marRight w:val="0"/>
              <w:marTop w:val="0"/>
              <w:marBottom w:val="240"/>
              <w:divBdr>
                <w:top w:val="none" w:sz="0" w:space="0" w:color="auto"/>
                <w:left w:val="none" w:sz="0" w:space="0" w:color="auto"/>
                <w:bottom w:val="none" w:sz="0" w:space="0" w:color="auto"/>
                <w:right w:val="none" w:sz="0" w:space="0" w:color="auto"/>
              </w:divBdr>
            </w:div>
            <w:div w:id="820005818">
              <w:marLeft w:val="0"/>
              <w:marRight w:val="0"/>
              <w:marTop w:val="0"/>
              <w:marBottom w:val="240"/>
              <w:divBdr>
                <w:top w:val="none" w:sz="0" w:space="0" w:color="auto"/>
                <w:left w:val="none" w:sz="0" w:space="0" w:color="auto"/>
                <w:bottom w:val="none" w:sz="0" w:space="0" w:color="auto"/>
                <w:right w:val="none" w:sz="0" w:space="0" w:color="auto"/>
              </w:divBdr>
            </w:div>
            <w:div w:id="935789790">
              <w:marLeft w:val="0"/>
              <w:marRight w:val="0"/>
              <w:marTop w:val="0"/>
              <w:marBottom w:val="240"/>
              <w:divBdr>
                <w:top w:val="none" w:sz="0" w:space="0" w:color="auto"/>
                <w:left w:val="none" w:sz="0" w:space="0" w:color="auto"/>
                <w:bottom w:val="none" w:sz="0" w:space="0" w:color="auto"/>
                <w:right w:val="none" w:sz="0" w:space="0" w:color="auto"/>
              </w:divBdr>
            </w:div>
            <w:div w:id="921178886">
              <w:marLeft w:val="0"/>
              <w:marRight w:val="0"/>
              <w:marTop w:val="0"/>
              <w:marBottom w:val="240"/>
              <w:divBdr>
                <w:top w:val="none" w:sz="0" w:space="0" w:color="auto"/>
                <w:left w:val="none" w:sz="0" w:space="0" w:color="auto"/>
                <w:bottom w:val="none" w:sz="0" w:space="0" w:color="auto"/>
                <w:right w:val="none" w:sz="0" w:space="0" w:color="auto"/>
              </w:divBdr>
            </w:div>
            <w:div w:id="1715495389">
              <w:marLeft w:val="0"/>
              <w:marRight w:val="0"/>
              <w:marTop w:val="0"/>
              <w:marBottom w:val="240"/>
              <w:divBdr>
                <w:top w:val="none" w:sz="0" w:space="0" w:color="auto"/>
                <w:left w:val="none" w:sz="0" w:space="0" w:color="auto"/>
                <w:bottom w:val="none" w:sz="0" w:space="0" w:color="auto"/>
                <w:right w:val="none" w:sz="0" w:space="0" w:color="auto"/>
              </w:divBdr>
            </w:div>
            <w:div w:id="1941835511">
              <w:marLeft w:val="0"/>
              <w:marRight w:val="0"/>
              <w:marTop w:val="0"/>
              <w:marBottom w:val="240"/>
              <w:divBdr>
                <w:top w:val="none" w:sz="0" w:space="0" w:color="auto"/>
                <w:left w:val="none" w:sz="0" w:space="0" w:color="auto"/>
                <w:bottom w:val="none" w:sz="0" w:space="0" w:color="auto"/>
                <w:right w:val="none" w:sz="0" w:space="0" w:color="auto"/>
              </w:divBdr>
            </w:div>
            <w:div w:id="781997063">
              <w:marLeft w:val="0"/>
              <w:marRight w:val="0"/>
              <w:marTop w:val="0"/>
              <w:marBottom w:val="240"/>
              <w:divBdr>
                <w:top w:val="none" w:sz="0" w:space="0" w:color="auto"/>
                <w:left w:val="none" w:sz="0" w:space="0" w:color="auto"/>
                <w:bottom w:val="none" w:sz="0" w:space="0" w:color="auto"/>
                <w:right w:val="none" w:sz="0" w:space="0" w:color="auto"/>
              </w:divBdr>
            </w:div>
            <w:div w:id="822745504">
              <w:marLeft w:val="0"/>
              <w:marRight w:val="0"/>
              <w:marTop w:val="0"/>
              <w:marBottom w:val="240"/>
              <w:divBdr>
                <w:top w:val="none" w:sz="0" w:space="0" w:color="auto"/>
                <w:left w:val="none" w:sz="0" w:space="0" w:color="auto"/>
                <w:bottom w:val="none" w:sz="0" w:space="0" w:color="auto"/>
                <w:right w:val="none" w:sz="0" w:space="0" w:color="auto"/>
              </w:divBdr>
            </w:div>
            <w:div w:id="758064532">
              <w:marLeft w:val="0"/>
              <w:marRight w:val="0"/>
              <w:marTop w:val="0"/>
              <w:marBottom w:val="240"/>
              <w:divBdr>
                <w:top w:val="none" w:sz="0" w:space="0" w:color="auto"/>
                <w:left w:val="none" w:sz="0" w:space="0" w:color="auto"/>
                <w:bottom w:val="none" w:sz="0" w:space="0" w:color="auto"/>
                <w:right w:val="none" w:sz="0" w:space="0" w:color="auto"/>
              </w:divBdr>
            </w:div>
            <w:div w:id="562259230">
              <w:marLeft w:val="0"/>
              <w:marRight w:val="0"/>
              <w:marTop w:val="0"/>
              <w:marBottom w:val="240"/>
              <w:divBdr>
                <w:top w:val="none" w:sz="0" w:space="0" w:color="auto"/>
                <w:left w:val="none" w:sz="0" w:space="0" w:color="auto"/>
                <w:bottom w:val="none" w:sz="0" w:space="0" w:color="auto"/>
                <w:right w:val="none" w:sz="0" w:space="0" w:color="auto"/>
              </w:divBdr>
            </w:div>
            <w:div w:id="1289358198">
              <w:marLeft w:val="0"/>
              <w:marRight w:val="0"/>
              <w:marTop w:val="0"/>
              <w:marBottom w:val="240"/>
              <w:divBdr>
                <w:top w:val="none" w:sz="0" w:space="0" w:color="auto"/>
                <w:left w:val="none" w:sz="0" w:space="0" w:color="auto"/>
                <w:bottom w:val="none" w:sz="0" w:space="0" w:color="auto"/>
                <w:right w:val="none" w:sz="0" w:space="0" w:color="auto"/>
              </w:divBdr>
            </w:div>
            <w:div w:id="707798832">
              <w:marLeft w:val="0"/>
              <w:marRight w:val="0"/>
              <w:marTop w:val="0"/>
              <w:marBottom w:val="240"/>
              <w:divBdr>
                <w:top w:val="none" w:sz="0" w:space="0" w:color="auto"/>
                <w:left w:val="none" w:sz="0" w:space="0" w:color="auto"/>
                <w:bottom w:val="none" w:sz="0" w:space="0" w:color="auto"/>
                <w:right w:val="none" w:sz="0" w:space="0" w:color="auto"/>
              </w:divBdr>
            </w:div>
            <w:div w:id="1783763326">
              <w:marLeft w:val="0"/>
              <w:marRight w:val="0"/>
              <w:marTop w:val="0"/>
              <w:marBottom w:val="240"/>
              <w:divBdr>
                <w:top w:val="none" w:sz="0" w:space="0" w:color="auto"/>
                <w:left w:val="none" w:sz="0" w:space="0" w:color="auto"/>
                <w:bottom w:val="none" w:sz="0" w:space="0" w:color="auto"/>
                <w:right w:val="none" w:sz="0" w:space="0" w:color="auto"/>
              </w:divBdr>
            </w:div>
            <w:div w:id="395470606">
              <w:marLeft w:val="0"/>
              <w:marRight w:val="0"/>
              <w:marTop w:val="0"/>
              <w:marBottom w:val="240"/>
              <w:divBdr>
                <w:top w:val="none" w:sz="0" w:space="0" w:color="auto"/>
                <w:left w:val="none" w:sz="0" w:space="0" w:color="auto"/>
                <w:bottom w:val="none" w:sz="0" w:space="0" w:color="auto"/>
                <w:right w:val="none" w:sz="0" w:space="0" w:color="auto"/>
              </w:divBdr>
            </w:div>
            <w:div w:id="986130840">
              <w:marLeft w:val="0"/>
              <w:marRight w:val="0"/>
              <w:marTop w:val="0"/>
              <w:marBottom w:val="240"/>
              <w:divBdr>
                <w:top w:val="none" w:sz="0" w:space="0" w:color="auto"/>
                <w:left w:val="none" w:sz="0" w:space="0" w:color="auto"/>
                <w:bottom w:val="none" w:sz="0" w:space="0" w:color="auto"/>
                <w:right w:val="none" w:sz="0" w:space="0" w:color="auto"/>
              </w:divBdr>
            </w:div>
            <w:div w:id="918440373">
              <w:marLeft w:val="0"/>
              <w:marRight w:val="0"/>
              <w:marTop w:val="0"/>
              <w:marBottom w:val="240"/>
              <w:divBdr>
                <w:top w:val="none" w:sz="0" w:space="0" w:color="auto"/>
                <w:left w:val="none" w:sz="0" w:space="0" w:color="auto"/>
                <w:bottom w:val="none" w:sz="0" w:space="0" w:color="auto"/>
                <w:right w:val="none" w:sz="0" w:space="0" w:color="auto"/>
              </w:divBdr>
            </w:div>
            <w:div w:id="1061322353">
              <w:marLeft w:val="0"/>
              <w:marRight w:val="0"/>
              <w:marTop w:val="0"/>
              <w:marBottom w:val="240"/>
              <w:divBdr>
                <w:top w:val="none" w:sz="0" w:space="0" w:color="auto"/>
                <w:left w:val="none" w:sz="0" w:space="0" w:color="auto"/>
                <w:bottom w:val="none" w:sz="0" w:space="0" w:color="auto"/>
                <w:right w:val="none" w:sz="0" w:space="0" w:color="auto"/>
              </w:divBdr>
            </w:div>
            <w:div w:id="164877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27745">
      <w:bodyDiv w:val="1"/>
      <w:marLeft w:val="0"/>
      <w:marRight w:val="0"/>
      <w:marTop w:val="0"/>
      <w:marBottom w:val="0"/>
      <w:divBdr>
        <w:top w:val="none" w:sz="0" w:space="0" w:color="auto"/>
        <w:left w:val="none" w:sz="0" w:space="0" w:color="auto"/>
        <w:bottom w:val="none" w:sz="0" w:space="0" w:color="auto"/>
        <w:right w:val="none" w:sz="0" w:space="0" w:color="auto"/>
      </w:divBdr>
      <w:divsChild>
        <w:div w:id="828592564">
          <w:marLeft w:val="480"/>
          <w:marRight w:val="0"/>
          <w:marTop w:val="0"/>
          <w:marBottom w:val="0"/>
          <w:divBdr>
            <w:top w:val="none" w:sz="0" w:space="0" w:color="auto"/>
            <w:left w:val="none" w:sz="0" w:space="0" w:color="auto"/>
            <w:bottom w:val="none" w:sz="0" w:space="0" w:color="auto"/>
            <w:right w:val="none" w:sz="0" w:space="0" w:color="auto"/>
          </w:divBdr>
          <w:divsChild>
            <w:div w:id="437523856">
              <w:marLeft w:val="0"/>
              <w:marRight w:val="0"/>
              <w:marTop w:val="0"/>
              <w:marBottom w:val="240"/>
              <w:divBdr>
                <w:top w:val="none" w:sz="0" w:space="0" w:color="auto"/>
                <w:left w:val="none" w:sz="0" w:space="0" w:color="auto"/>
                <w:bottom w:val="none" w:sz="0" w:space="0" w:color="auto"/>
                <w:right w:val="none" w:sz="0" w:space="0" w:color="auto"/>
              </w:divBdr>
            </w:div>
            <w:div w:id="928270023">
              <w:marLeft w:val="0"/>
              <w:marRight w:val="0"/>
              <w:marTop w:val="0"/>
              <w:marBottom w:val="240"/>
              <w:divBdr>
                <w:top w:val="none" w:sz="0" w:space="0" w:color="auto"/>
                <w:left w:val="none" w:sz="0" w:space="0" w:color="auto"/>
                <w:bottom w:val="none" w:sz="0" w:space="0" w:color="auto"/>
                <w:right w:val="none" w:sz="0" w:space="0" w:color="auto"/>
              </w:divBdr>
            </w:div>
            <w:div w:id="1427925811">
              <w:marLeft w:val="0"/>
              <w:marRight w:val="0"/>
              <w:marTop w:val="0"/>
              <w:marBottom w:val="240"/>
              <w:divBdr>
                <w:top w:val="none" w:sz="0" w:space="0" w:color="auto"/>
                <w:left w:val="none" w:sz="0" w:space="0" w:color="auto"/>
                <w:bottom w:val="none" w:sz="0" w:space="0" w:color="auto"/>
                <w:right w:val="none" w:sz="0" w:space="0" w:color="auto"/>
              </w:divBdr>
            </w:div>
            <w:div w:id="1032925402">
              <w:marLeft w:val="0"/>
              <w:marRight w:val="0"/>
              <w:marTop w:val="0"/>
              <w:marBottom w:val="240"/>
              <w:divBdr>
                <w:top w:val="none" w:sz="0" w:space="0" w:color="auto"/>
                <w:left w:val="none" w:sz="0" w:space="0" w:color="auto"/>
                <w:bottom w:val="none" w:sz="0" w:space="0" w:color="auto"/>
                <w:right w:val="none" w:sz="0" w:space="0" w:color="auto"/>
              </w:divBdr>
            </w:div>
            <w:div w:id="933977979">
              <w:marLeft w:val="0"/>
              <w:marRight w:val="0"/>
              <w:marTop w:val="0"/>
              <w:marBottom w:val="240"/>
              <w:divBdr>
                <w:top w:val="none" w:sz="0" w:space="0" w:color="auto"/>
                <w:left w:val="none" w:sz="0" w:space="0" w:color="auto"/>
                <w:bottom w:val="none" w:sz="0" w:space="0" w:color="auto"/>
                <w:right w:val="none" w:sz="0" w:space="0" w:color="auto"/>
              </w:divBdr>
            </w:div>
            <w:div w:id="610741688">
              <w:marLeft w:val="0"/>
              <w:marRight w:val="0"/>
              <w:marTop w:val="0"/>
              <w:marBottom w:val="240"/>
              <w:divBdr>
                <w:top w:val="none" w:sz="0" w:space="0" w:color="auto"/>
                <w:left w:val="none" w:sz="0" w:space="0" w:color="auto"/>
                <w:bottom w:val="none" w:sz="0" w:space="0" w:color="auto"/>
                <w:right w:val="none" w:sz="0" w:space="0" w:color="auto"/>
              </w:divBdr>
            </w:div>
            <w:div w:id="113210686">
              <w:marLeft w:val="0"/>
              <w:marRight w:val="0"/>
              <w:marTop w:val="0"/>
              <w:marBottom w:val="240"/>
              <w:divBdr>
                <w:top w:val="none" w:sz="0" w:space="0" w:color="auto"/>
                <w:left w:val="none" w:sz="0" w:space="0" w:color="auto"/>
                <w:bottom w:val="none" w:sz="0" w:space="0" w:color="auto"/>
                <w:right w:val="none" w:sz="0" w:space="0" w:color="auto"/>
              </w:divBdr>
            </w:div>
            <w:div w:id="1881473393">
              <w:marLeft w:val="0"/>
              <w:marRight w:val="0"/>
              <w:marTop w:val="0"/>
              <w:marBottom w:val="240"/>
              <w:divBdr>
                <w:top w:val="none" w:sz="0" w:space="0" w:color="auto"/>
                <w:left w:val="none" w:sz="0" w:space="0" w:color="auto"/>
                <w:bottom w:val="none" w:sz="0" w:space="0" w:color="auto"/>
                <w:right w:val="none" w:sz="0" w:space="0" w:color="auto"/>
              </w:divBdr>
            </w:div>
            <w:div w:id="1322388318">
              <w:marLeft w:val="0"/>
              <w:marRight w:val="0"/>
              <w:marTop w:val="0"/>
              <w:marBottom w:val="240"/>
              <w:divBdr>
                <w:top w:val="none" w:sz="0" w:space="0" w:color="auto"/>
                <w:left w:val="none" w:sz="0" w:space="0" w:color="auto"/>
                <w:bottom w:val="none" w:sz="0" w:space="0" w:color="auto"/>
                <w:right w:val="none" w:sz="0" w:space="0" w:color="auto"/>
              </w:divBdr>
            </w:div>
            <w:div w:id="724253089">
              <w:marLeft w:val="0"/>
              <w:marRight w:val="0"/>
              <w:marTop w:val="0"/>
              <w:marBottom w:val="240"/>
              <w:divBdr>
                <w:top w:val="none" w:sz="0" w:space="0" w:color="auto"/>
                <w:left w:val="none" w:sz="0" w:space="0" w:color="auto"/>
                <w:bottom w:val="none" w:sz="0" w:space="0" w:color="auto"/>
                <w:right w:val="none" w:sz="0" w:space="0" w:color="auto"/>
              </w:divBdr>
            </w:div>
            <w:div w:id="1689789678">
              <w:marLeft w:val="0"/>
              <w:marRight w:val="0"/>
              <w:marTop w:val="0"/>
              <w:marBottom w:val="240"/>
              <w:divBdr>
                <w:top w:val="none" w:sz="0" w:space="0" w:color="auto"/>
                <w:left w:val="none" w:sz="0" w:space="0" w:color="auto"/>
                <w:bottom w:val="none" w:sz="0" w:space="0" w:color="auto"/>
                <w:right w:val="none" w:sz="0" w:space="0" w:color="auto"/>
              </w:divBdr>
            </w:div>
            <w:div w:id="1677686349">
              <w:marLeft w:val="0"/>
              <w:marRight w:val="0"/>
              <w:marTop w:val="0"/>
              <w:marBottom w:val="240"/>
              <w:divBdr>
                <w:top w:val="none" w:sz="0" w:space="0" w:color="auto"/>
                <w:left w:val="none" w:sz="0" w:space="0" w:color="auto"/>
                <w:bottom w:val="none" w:sz="0" w:space="0" w:color="auto"/>
                <w:right w:val="none" w:sz="0" w:space="0" w:color="auto"/>
              </w:divBdr>
            </w:div>
            <w:div w:id="124273718">
              <w:marLeft w:val="0"/>
              <w:marRight w:val="0"/>
              <w:marTop w:val="0"/>
              <w:marBottom w:val="240"/>
              <w:divBdr>
                <w:top w:val="none" w:sz="0" w:space="0" w:color="auto"/>
                <w:left w:val="none" w:sz="0" w:space="0" w:color="auto"/>
                <w:bottom w:val="none" w:sz="0" w:space="0" w:color="auto"/>
                <w:right w:val="none" w:sz="0" w:space="0" w:color="auto"/>
              </w:divBdr>
            </w:div>
            <w:div w:id="1429081211">
              <w:marLeft w:val="0"/>
              <w:marRight w:val="0"/>
              <w:marTop w:val="0"/>
              <w:marBottom w:val="240"/>
              <w:divBdr>
                <w:top w:val="none" w:sz="0" w:space="0" w:color="auto"/>
                <w:left w:val="none" w:sz="0" w:space="0" w:color="auto"/>
                <w:bottom w:val="none" w:sz="0" w:space="0" w:color="auto"/>
                <w:right w:val="none" w:sz="0" w:space="0" w:color="auto"/>
              </w:divBdr>
            </w:div>
            <w:div w:id="1418475639">
              <w:marLeft w:val="0"/>
              <w:marRight w:val="0"/>
              <w:marTop w:val="0"/>
              <w:marBottom w:val="240"/>
              <w:divBdr>
                <w:top w:val="none" w:sz="0" w:space="0" w:color="auto"/>
                <w:left w:val="none" w:sz="0" w:space="0" w:color="auto"/>
                <w:bottom w:val="none" w:sz="0" w:space="0" w:color="auto"/>
                <w:right w:val="none" w:sz="0" w:space="0" w:color="auto"/>
              </w:divBdr>
            </w:div>
            <w:div w:id="1207839657">
              <w:marLeft w:val="0"/>
              <w:marRight w:val="0"/>
              <w:marTop w:val="0"/>
              <w:marBottom w:val="240"/>
              <w:divBdr>
                <w:top w:val="none" w:sz="0" w:space="0" w:color="auto"/>
                <w:left w:val="none" w:sz="0" w:space="0" w:color="auto"/>
                <w:bottom w:val="none" w:sz="0" w:space="0" w:color="auto"/>
                <w:right w:val="none" w:sz="0" w:space="0" w:color="auto"/>
              </w:divBdr>
            </w:div>
            <w:div w:id="265357045">
              <w:marLeft w:val="0"/>
              <w:marRight w:val="0"/>
              <w:marTop w:val="0"/>
              <w:marBottom w:val="240"/>
              <w:divBdr>
                <w:top w:val="none" w:sz="0" w:space="0" w:color="auto"/>
                <w:left w:val="none" w:sz="0" w:space="0" w:color="auto"/>
                <w:bottom w:val="none" w:sz="0" w:space="0" w:color="auto"/>
                <w:right w:val="none" w:sz="0" w:space="0" w:color="auto"/>
              </w:divBdr>
            </w:div>
            <w:div w:id="1540169080">
              <w:marLeft w:val="0"/>
              <w:marRight w:val="0"/>
              <w:marTop w:val="0"/>
              <w:marBottom w:val="240"/>
              <w:divBdr>
                <w:top w:val="none" w:sz="0" w:space="0" w:color="auto"/>
                <w:left w:val="none" w:sz="0" w:space="0" w:color="auto"/>
                <w:bottom w:val="none" w:sz="0" w:space="0" w:color="auto"/>
                <w:right w:val="none" w:sz="0" w:space="0" w:color="auto"/>
              </w:divBdr>
            </w:div>
            <w:div w:id="240262228">
              <w:marLeft w:val="0"/>
              <w:marRight w:val="0"/>
              <w:marTop w:val="0"/>
              <w:marBottom w:val="240"/>
              <w:divBdr>
                <w:top w:val="none" w:sz="0" w:space="0" w:color="auto"/>
                <w:left w:val="none" w:sz="0" w:space="0" w:color="auto"/>
                <w:bottom w:val="none" w:sz="0" w:space="0" w:color="auto"/>
                <w:right w:val="none" w:sz="0" w:space="0" w:color="auto"/>
              </w:divBdr>
            </w:div>
            <w:div w:id="1100225552">
              <w:marLeft w:val="0"/>
              <w:marRight w:val="0"/>
              <w:marTop w:val="0"/>
              <w:marBottom w:val="240"/>
              <w:divBdr>
                <w:top w:val="none" w:sz="0" w:space="0" w:color="auto"/>
                <w:left w:val="none" w:sz="0" w:space="0" w:color="auto"/>
                <w:bottom w:val="none" w:sz="0" w:space="0" w:color="auto"/>
                <w:right w:val="none" w:sz="0" w:space="0" w:color="auto"/>
              </w:divBdr>
            </w:div>
            <w:div w:id="787238984">
              <w:marLeft w:val="0"/>
              <w:marRight w:val="0"/>
              <w:marTop w:val="0"/>
              <w:marBottom w:val="240"/>
              <w:divBdr>
                <w:top w:val="none" w:sz="0" w:space="0" w:color="auto"/>
                <w:left w:val="none" w:sz="0" w:space="0" w:color="auto"/>
                <w:bottom w:val="none" w:sz="0" w:space="0" w:color="auto"/>
                <w:right w:val="none" w:sz="0" w:space="0" w:color="auto"/>
              </w:divBdr>
            </w:div>
            <w:div w:id="64303702">
              <w:marLeft w:val="0"/>
              <w:marRight w:val="0"/>
              <w:marTop w:val="0"/>
              <w:marBottom w:val="240"/>
              <w:divBdr>
                <w:top w:val="none" w:sz="0" w:space="0" w:color="auto"/>
                <w:left w:val="none" w:sz="0" w:space="0" w:color="auto"/>
                <w:bottom w:val="none" w:sz="0" w:space="0" w:color="auto"/>
                <w:right w:val="none" w:sz="0" w:space="0" w:color="auto"/>
              </w:divBdr>
            </w:div>
            <w:div w:id="785925192">
              <w:marLeft w:val="0"/>
              <w:marRight w:val="0"/>
              <w:marTop w:val="0"/>
              <w:marBottom w:val="240"/>
              <w:divBdr>
                <w:top w:val="none" w:sz="0" w:space="0" w:color="auto"/>
                <w:left w:val="none" w:sz="0" w:space="0" w:color="auto"/>
                <w:bottom w:val="none" w:sz="0" w:space="0" w:color="auto"/>
                <w:right w:val="none" w:sz="0" w:space="0" w:color="auto"/>
              </w:divBdr>
            </w:div>
            <w:div w:id="139538034">
              <w:marLeft w:val="0"/>
              <w:marRight w:val="0"/>
              <w:marTop w:val="0"/>
              <w:marBottom w:val="240"/>
              <w:divBdr>
                <w:top w:val="none" w:sz="0" w:space="0" w:color="auto"/>
                <w:left w:val="none" w:sz="0" w:space="0" w:color="auto"/>
                <w:bottom w:val="none" w:sz="0" w:space="0" w:color="auto"/>
                <w:right w:val="none" w:sz="0" w:space="0" w:color="auto"/>
              </w:divBdr>
            </w:div>
            <w:div w:id="1450709038">
              <w:marLeft w:val="0"/>
              <w:marRight w:val="0"/>
              <w:marTop w:val="0"/>
              <w:marBottom w:val="240"/>
              <w:divBdr>
                <w:top w:val="none" w:sz="0" w:space="0" w:color="auto"/>
                <w:left w:val="none" w:sz="0" w:space="0" w:color="auto"/>
                <w:bottom w:val="none" w:sz="0" w:space="0" w:color="auto"/>
                <w:right w:val="none" w:sz="0" w:space="0" w:color="auto"/>
              </w:divBdr>
            </w:div>
            <w:div w:id="1183785583">
              <w:marLeft w:val="0"/>
              <w:marRight w:val="0"/>
              <w:marTop w:val="0"/>
              <w:marBottom w:val="240"/>
              <w:divBdr>
                <w:top w:val="none" w:sz="0" w:space="0" w:color="auto"/>
                <w:left w:val="none" w:sz="0" w:space="0" w:color="auto"/>
                <w:bottom w:val="none" w:sz="0" w:space="0" w:color="auto"/>
                <w:right w:val="none" w:sz="0" w:space="0" w:color="auto"/>
              </w:divBdr>
            </w:div>
            <w:div w:id="217592808">
              <w:marLeft w:val="0"/>
              <w:marRight w:val="0"/>
              <w:marTop w:val="0"/>
              <w:marBottom w:val="240"/>
              <w:divBdr>
                <w:top w:val="none" w:sz="0" w:space="0" w:color="auto"/>
                <w:left w:val="none" w:sz="0" w:space="0" w:color="auto"/>
                <w:bottom w:val="none" w:sz="0" w:space="0" w:color="auto"/>
                <w:right w:val="none" w:sz="0" w:space="0" w:color="auto"/>
              </w:divBdr>
            </w:div>
            <w:div w:id="1842432975">
              <w:marLeft w:val="0"/>
              <w:marRight w:val="0"/>
              <w:marTop w:val="0"/>
              <w:marBottom w:val="240"/>
              <w:divBdr>
                <w:top w:val="none" w:sz="0" w:space="0" w:color="auto"/>
                <w:left w:val="none" w:sz="0" w:space="0" w:color="auto"/>
                <w:bottom w:val="none" w:sz="0" w:space="0" w:color="auto"/>
                <w:right w:val="none" w:sz="0" w:space="0" w:color="auto"/>
              </w:divBdr>
            </w:div>
            <w:div w:id="1977025352">
              <w:marLeft w:val="0"/>
              <w:marRight w:val="0"/>
              <w:marTop w:val="0"/>
              <w:marBottom w:val="240"/>
              <w:divBdr>
                <w:top w:val="none" w:sz="0" w:space="0" w:color="auto"/>
                <w:left w:val="none" w:sz="0" w:space="0" w:color="auto"/>
                <w:bottom w:val="none" w:sz="0" w:space="0" w:color="auto"/>
                <w:right w:val="none" w:sz="0" w:space="0" w:color="auto"/>
              </w:divBdr>
            </w:div>
            <w:div w:id="1962616147">
              <w:marLeft w:val="0"/>
              <w:marRight w:val="0"/>
              <w:marTop w:val="0"/>
              <w:marBottom w:val="240"/>
              <w:divBdr>
                <w:top w:val="none" w:sz="0" w:space="0" w:color="auto"/>
                <w:left w:val="none" w:sz="0" w:space="0" w:color="auto"/>
                <w:bottom w:val="none" w:sz="0" w:space="0" w:color="auto"/>
                <w:right w:val="none" w:sz="0" w:space="0" w:color="auto"/>
              </w:divBdr>
            </w:div>
            <w:div w:id="2029528338">
              <w:marLeft w:val="0"/>
              <w:marRight w:val="0"/>
              <w:marTop w:val="0"/>
              <w:marBottom w:val="240"/>
              <w:divBdr>
                <w:top w:val="none" w:sz="0" w:space="0" w:color="auto"/>
                <w:left w:val="none" w:sz="0" w:space="0" w:color="auto"/>
                <w:bottom w:val="none" w:sz="0" w:space="0" w:color="auto"/>
                <w:right w:val="none" w:sz="0" w:space="0" w:color="auto"/>
              </w:divBdr>
            </w:div>
            <w:div w:id="1211572182">
              <w:marLeft w:val="0"/>
              <w:marRight w:val="0"/>
              <w:marTop w:val="0"/>
              <w:marBottom w:val="240"/>
              <w:divBdr>
                <w:top w:val="none" w:sz="0" w:space="0" w:color="auto"/>
                <w:left w:val="none" w:sz="0" w:space="0" w:color="auto"/>
                <w:bottom w:val="none" w:sz="0" w:space="0" w:color="auto"/>
                <w:right w:val="none" w:sz="0" w:space="0" w:color="auto"/>
              </w:divBdr>
            </w:div>
            <w:div w:id="1794715866">
              <w:marLeft w:val="0"/>
              <w:marRight w:val="0"/>
              <w:marTop w:val="0"/>
              <w:marBottom w:val="240"/>
              <w:divBdr>
                <w:top w:val="none" w:sz="0" w:space="0" w:color="auto"/>
                <w:left w:val="none" w:sz="0" w:space="0" w:color="auto"/>
                <w:bottom w:val="none" w:sz="0" w:space="0" w:color="auto"/>
                <w:right w:val="none" w:sz="0" w:space="0" w:color="auto"/>
              </w:divBdr>
            </w:div>
            <w:div w:id="724257637">
              <w:marLeft w:val="0"/>
              <w:marRight w:val="0"/>
              <w:marTop w:val="0"/>
              <w:marBottom w:val="240"/>
              <w:divBdr>
                <w:top w:val="none" w:sz="0" w:space="0" w:color="auto"/>
                <w:left w:val="none" w:sz="0" w:space="0" w:color="auto"/>
                <w:bottom w:val="none" w:sz="0" w:space="0" w:color="auto"/>
                <w:right w:val="none" w:sz="0" w:space="0" w:color="auto"/>
              </w:divBdr>
            </w:div>
            <w:div w:id="15080429">
              <w:marLeft w:val="0"/>
              <w:marRight w:val="0"/>
              <w:marTop w:val="0"/>
              <w:marBottom w:val="240"/>
              <w:divBdr>
                <w:top w:val="none" w:sz="0" w:space="0" w:color="auto"/>
                <w:left w:val="none" w:sz="0" w:space="0" w:color="auto"/>
                <w:bottom w:val="none" w:sz="0" w:space="0" w:color="auto"/>
                <w:right w:val="none" w:sz="0" w:space="0" w:color="auto"/>
              </w:divBdr>
            </w:div>
            <w:div w:id="1516194038">
              <w:marLeft w:val="0"/>
              <w:marRight w:val="0"/>
              <w:marTop w:val="0"/>
              <w:marBottom w:val="240"/>
              <w:divBdr>
                <w:top w:val="none" w:sz="0" w:space="0" w:color="auto"/>
                <w:left w:val="none" w:sz="0" w:space="0" w:color="auto"/>
                <w:bottom w:val="none" w:sz="0" w:space="0" w:color="auto"/>
                <w:right w:val="none" w:sz="0" w:space="0" w:color="auto"/>
              </w:divBdr>
            </w:div>
            <w:div w:id="55655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568592">
      <w:bodyDiv w:val="1"/>
      <w:marLeft w:val="0"/>
      <w:marRight w:val="0"/>
      <w:marTop w:val="0"/>
      <w:marBottom w:val="0"/>
      <w:divBdr>
        <w:top w:val="none" w:sz="0" w:space="0" w:color="auto"/>
        <w:left w:val="none" w:sz="0" w:space="0" w:color="auto"/>
        <w:bottom w:val="none" w:sz="0" w:space="0" w:color="auto"/>
        <w:right w:val="none" w:sz="0" w:space="0" w:color="auto"/>
      </w:divBdr>
    </w:div>
    <w:div w:id="344134858">
      <w:bodyDiv w:val="1"/>
      <w:marLeft w:val="0"/>
      <w:marRight w:val="0"/>
      <w:marTop w:val="0"/>
      <w:marBottom w:val="0"/>
      <w:divBdr>
        <w:top w:val="none" w:sz="0" w:space="0" w:color="auto"/>
        <w:left w:val="none" w:sz="0" w:space="0" w:color="auto"/>
        <w:bottom w:val="none" w:sz="0" w:space="0" w:color="auto"/>
        <w:right w:val="none" w:sz="0" w:space="0" w:color="auto"/>
      </w:divBdr>
    </w:div>
    <w:div w:id="356853870">
      <w:bodyDiv w:val="1"/>
      <w:marLeft w:val="0"/>
      <w:marRight w:val="0"/>
      <w:marTop w:val="0"/>
      <w:marBottom w:val="0"/>
      <w:divBdr>
        <w:top w:val="none" w:sz="0" w:space="0" w:color="auto"/>
        <w:left w:val="none" w:sz="0" w:space="0" w:color="auto"/>
        <w:bottom w:val="none" w:sz="0" w:space="0" w:color="auto"/>
        <w:right w:val="none" w:sz="0" w:space="0" w:color="auto"/>
      </w:divBdr>
    </w:div>
    <w:div w:id="363017526">
      <w:bodyDiv w:val="1"/>
      <w:marLeft w:val="0"/>
      <w:marRight w:val="0"/>
      <w:marTop w:val="0"/>
      <w:marBottom w:val="0"/>
      <w:divBdr>
        <w:top w:val="none" w:sz="0" w:space="0" w:color="auto"/>
        <w:left w:val="none" w:sz="0" w:space="0" w:color="auto"/>
        <w:bottom w:val="none" w:sz="0" w:space="0" w:color="auto"/>
        <w:right w:val="none" w:sz="0" w:space="0" w:color="auto"/>
      </w:divBdr>
    </w:div>
    <w:div w:id="364214931">
      <w:bodyDiv w:val="1"/>
      <w:marLeft w:val="0"/>
      <w:marRight w:val="0"/>
      <w:marTop w:val="0"/>
      <w:marBottom w:val="0"/>
      <w:divBdr>
        <w:top w:val="none" w:sz="0" w:space="0" w:color="auto"/>
        <w:left w:val="none" w:sz="0" w:space="0" w:color="auto"/>
        <w:bottom w:val="none" w:sz="0" w:space="0" w:color="auto"/>
        <w:right w:val="none" w:sz="0" w:space="0" w:color="auto"/>
      </w:divBdr>
    </w:div>
    <w:div w:id="366681770">
      <w:bodyDiv w:val="1"/>
      <w:marLeft w:val="0"/>
      <w:marRight w:val="0"/>
      <w:marTop w:val="0"/>
      <w:marBottom w:val="0"/>
      <w:divBdr>
        <w:top w:val="none" w:sz="0" w:space="0" w:color="auto"/>
        <w:left w:val="none" w:sz="0" w:space="0" w:color="auto"/>
        <w:bottom w:val="none" w:sz="0" w:space="0" w:color="auto"/>
        <w:right w:val="none" w:sz="0" w:space="0" w:color="auto"/>
      </w:divBdr>
    </w:div>
    <w:div w:id="380716702">
      <w:bodyDiv w:val="1"/>
      <w:marLeft w:val="0"/>
      <w:marRight w:val="0"/>
      <w:marTop w:val="0"/>
      <w:marBottom w:val="0"/>
      <w:divBdr>
        <w:top w:val="none" w:sz="0" w:space="0" w:color="auto"/>
        <w:left w:val="none" w:sz="0" w:space="0" w:color="auto"/>
        <w:bottom w:val="none" w:sz="0" w:space="0" w:color="auto"/>
        <w:right w:val="none" w:sz="0" w:space="0" w:color="auto"/>
      </w:divBdr>
    </w:div>
    <w:div w:id="387537900">
      <w:bodyDiv w:val="1"/>
      <w:marLeft w:val="0"/>
      <w:marRight w:val="0"/>
      <w:marTop w:val="0"/>
      <w:marBottom w:val="0"/>
      <w:divBdr>
        <w:top w:val="none" w:sz="0" w:space="0" w:color="auto"/>
        <w:left w:val="none" w:sz="0" w:space="0" w:color="auto"/>
        <w:bottom w:val="none" w:sz="0" w:space="0" w:color="auto"/>
        <w:right w:val="none" w:sz="0" w:space="0" w:color="auto"/>
      </w:divBdr>
      <w:divsChild>
        <w:div w:id="1021125061">
          <w:marLeft w:val="480"/>
          <w:marRight w:val="0"/>
          <w:marTop w:val="0"/>
          <w:marBottom w:val="0"/>
          <w:divBdr>
            <w:top w:val="none" w:sz="0" w:space="0" w:color="auto"/>
            <w:left w:val="none" w:sz="0" w:space="0" w:color="auto"/>
            <w:bottom w:val="none" w:sz="0" w:space="0" w:color="auto"/>
            <w:right w:val="none" w:sz="0" w:space="0" w:color="auto"/>
          </w:divBdr>
          <w:divsChild>
            <w:div w:id="264535374">
              <w:marLeft w:val="0"/>
              <w:marRight w:val="0"/>
              <w:marTop w:val="0"/>
              <w:marBottom w:val="240"/>
              <w:divBdr>
                <w:top w:val="none" w:sz="0" w:space="0" w:color="auto"/>
                <w:left w:val="none" w:sz="0" w:space="0" w:color="auto"/>
                <w:bottom w:val="none" w:sz="0" w:space="0" w:color="auto"/>
                <w:right w:val="none" w:sz="0" w:space="0" w:color="auto"/>
              </w:divBdr>
            </w:div>
            <w:div w:id="1314720759">
              <w:marLeft w:val="0"/>
              <w:marRight w:val="0"/>
              <w:marTop w:val="0"/>
              <w:marBottom w:val="240"/>
              <w:divBdr>
                <w:top w:val="none" w:sz="0" w:space="0" w:color="auto"/>
                <w:left w:val="none" w:sz="0" w:space="0" w:color="auto"/>
                <w:bottom w:val="none" w:sz="0" w:space="0" w:color="auto"/>
                <w:right w:val="none" w:sz="0" w:space="0" w:color="auto"/>
              </w:divBdr>
            </w:div>
            <w:div w:id="172231563">
              <w:marLeft w:val="0"/>
              <w:marRight w:val="0"/>
              <w:marTop w:val="0"/>
              <w:marBottom w:val="240"/>
              <w:divBdr>
                <w:top w:val="none" w:sz="0" w:space="0" w:color="auto"/>
                <w:left w:val="none" w:sz="0" w:space="0" w:color="auto"/>
                <w:bottom w:val="none" w:sz="0" w:space="0" w:color="auto"/>
                <w:right w:val="none" w:sz="0" w:space="0" w:color="auto"/>
              </w:divBdr>
            </w:div>
            <w:div w:id="1835485397">
              <w:marLeft w:val="0"/>
              <w:marRight w:val="0"/>
              <w:marTop w:val="0"/>
              <w:marBottom w:val="240"/>
              <w:divBdr>
                <w:top w:val="none" w:sz="0" w:space="0" w:color="auto"/>
                <w:left w:val="none" w:sz="0" w:space="0" w:color="auto"/>
                <w:bottom w:val="none" w:sz="0" w:space="0" w:color="auto"/>
                <w:right w:val="none" w:sz="0" w:space="0" w:color="auto"/>
              </w:divBdr>
            </w:div>
            <w:div w:id="794060837">
              <w:marLeft w:val="0"/>
              <w:marRight w:val="0"/>
              <w:marTop w:val="0"/>
              <w:marBottom w:val="240"/>
              <w:divBdr>
                <w:top w:val="none" w:sz="0" w:space="0" w:color="auto"/>
                <w:left w:val="none" w:sz="0" w:space="0" w:color="auto"/>
                <w:bottom w:val="none" w:sz="0" w:space="0" w:color="auto"/>
                <w:right w:val="none" w:sz="0" w:space="0" w:color="auto"/>
              </w:divBdr>
            </w:div>
            <w:div w:id="1875078278">
              <w:marLeft w:val="0"/>
              <w:marRight w:val="0"/>
              <w:marTop w:val="0"/>
              <w:marBottom w:val="240"/>
              <w:divBdr>
                <w:top w:val="none" w:sz="0" w:space="0" w:color="auto"/>
                <w:left w:val="none" w:sz="0" w:space="0" w:color="auto"/>
                <w:bottom w:val="none" w:sz="0" w:space="0" w:color="auto"/>
                <w:right w:val="none" w:sz="0" w:space="0" w:color="auto"/>
              </w:divBdr>
            </w:div>
            <w:div w:id="1988515580">
              <w:marLeft w:val="0"/>
              <w:marRight w:val="0"/>
              <w:marTop w:val="0"/>
              <w:marBottom w:val="240"/>
              <w:divBdr>
                <w:top w:val="none" w:sz="0" w:space="0" w:color="auto"/>
                <w:left w:val="none" w:sz="0" w:space="0" w:color="auto"/>
                <w:bottom w:val="none" w:sz="0" w:space="0" w:color="auto"/>
                <w:right w:val="none" w:sz="0" w:space="0" w:color="auto"/>
              </w:divBdr>
            </w:div>
            <w:div w:id="410539687">
              <w:marLeft w:val="0"/>
              <w:marRight w:val="0"/>
              <w:marTop w:val="0"/>
              <w:marBottom w:val="240"/>
              <w:divBdr>
                <w:top w:val="none" w:sz="0" w:space="0" w:color="auto"/>
                <w:left w:val="none" w:sz="0" w:space="0" w:color="auto"/>
                <w:bottom w:val="none" w:sz="0" w:space="0" w:color="auto"/>
                <w:right w:val="none" w:sz="0" w:space="0" w:color="auto"/>
              </w:divBdr>
            </w:div>
            <w:div w:id="1689288175">
              <w:marLeft w:val="0"/>
              <w:marRight w:val="0"/>
              <w:marTop w:val="0"/>
              <w:marBottom w:val="240"/>
              <w:divBdr>
                <w:top w:val="none" w:sz="0" w:space="0" w:color="auto"/>
                <w:left w:val="none" w:sz="0" w:space="0" w:color="auto"/>
                <w:bottom w:val="none" w:sz="0" w:space="0" w:color="auto"/>
                <w:right w:val="none" w:sz="0" w:space="0" w:color="auto"/>
              </w:divBdr>
            </w:div>
            <w:div w:id="1607151508">
              <w:marLeft w:val="0"/>
              <w:marRight w:val="0"/>
              <w:marTop w:val="0"/>
              <w:marBottom w:val="240"/>
              <w:divBdr>
                <w:top w:val="none" w:sz="0" w:space="0" w:color="auto"/>
                <w:left w:val="none" w:sz="0" w:space="0" w:color="auto"/>
                <w:bottom w:val="none" w:sz="0" w:space="0" w:color="auto"/>
                <w:right w:val="none" w:sz="0" w:space="0" w:color="auto"/>
              </w:divBdr>
            </w:div>
            <w:div w:id="1383670300">
              <w:marLeft w:val="0"/>
              <w:marRight w:val="0"/>
              <w:marTop w:val="0"/>
              <w:marBottom w:val="240"/>
              <w:divBdr>
                <w:top w:val="none" w:sz="0" w:space="0" w:color="auto"/>
                <w:left w:val="none" w:sz="0" w:space="0" w:color="auto"/>
                <w:bottom w:val="none" w:sz="0" w:space="0" w:color="auto"/>
                <w:right w:val="none" w:sz="0" w:space="0" w:color="auto"/>
              </w:divBdr>
            </w:div>
            <w:div w:id="721946929">
              <w:marLeft w:val="0"/>
              <w:marRight w:val="0"/>
              <w:marTop w:val="0"/>
              <w:marBottom w:val="240"/>
              <w:divBdr>
                <w:top w:val="none" w:sz="0" w:space="0" w:color="auto"/>
                <w:left w:val="none" w:sz="0" w:space="0" w:color="auto"/>
                <w:bottom w:val="none" w:sz="0" w:space="0" w:color="auto"/>
                <w:right w:val="none" w:sz="0" w:space="0" w:color="auto"/>
              </w:divBdr>
            </w:div>
            <w:div w:id="532966239">
              <w:marLeft w:val="0"/>
              <w:marRight w:val="0"/>
              <w:marTop w:val="0"/>
              <w:marBottom w:val="240"/>
              <w:divBdr>
                <w:top w:val="none" w:sz="0" w:space="0" w:color="auto"/>
                <w:left w:val="none" w:sz="0" w:space="0" w:color="auto"/>
                <w:bottom w:val="none" w:sz="0" w:space="0" w:color="auto"/>
                <w:right w:val="none" w:sz="0" w:space="0" w:color="auto"/>
              </w:divBdr>
            </w:div>
            <w:div w:id="1333723630">
              <w:marLeft w:val="0"/>
              <w:marRight w:val="0"/>
              <w:marTop w:val="0"/>
              <w:marBottom w:val="240"/>
              <w:divBdr>
                <w:top w:val="none" w:sz="0" w:space="0" w:color="auto"/>
                <w:left w:val="none" w:sz="0" w:space="0" w:color="auto"/>
                <w:bottom w:val="none" w:sz="0" w:space="0" w:color="auto"/>
                <w:right w:val="none" w:sz="0" w:space="0" w:color="auto"/>
              </w:divBdr>
            </w:div>
            <w:div w:id="573703109">
              <w:marLeft w:val="0"/>
              <w:marRight w:val="0"/>
              <w:marTop w:val="0"/>
              <w:marBottom w:val="240"/>
              <w:divBdr>
                <w:top w:val="none" w:sz="0" w:space="0" w:color="auto"/>
                <w:left w:val="none" w:sz="0" w:space="0" w:color="auto"/>
                <w:bottom w:val="none" w:sz="0" w:space="0" w:color="auto"/>
                <w:right w:val="none" w:sz="0" w:space="0" w:color="auto"/>
              </w:divBdr>
            </w:div>
            <w:div w:id="803541927">
              <w:marLeft w:val="0"/>
              <w:marRight w:val="0"/>
              <w:marTop w:val="0"/>
              <w:marBottom w:val="240"/>
              <w:divBdr>
                <w:top w:val="none" w:sz="0" w:space="0" w:color="auto"/>
                <w:left w:val="none" w:sz="0" w:space="0" w:color="auto"/>
                <w:bottom w:val="none" w:sz="0" w:space="0" w:color="auto"/>
                <w:right w:val="none" w:sz="0" w:space="0" w:color="auto"/>
              </w:divBdr>
            </w:div>
            <w:div w:id="196380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659680">
      <w:bodyDiv w:val="1"/>
      <w:marLeft w:val="0"/>
      <w:marRight w:val="0"/>
      <w:marTop w:val="0"/>
      <w:marBottom w:val="0"/>
      <w:divBdr>
        <w:top w:val="none" w:sz="0" w:space="0" w:color="auto"/>
        <w:left w:val="none" w:sz="0" w:space="0" w:color="auto"/>
        <w:bottom w:val="none" w:sz="0" w:space="0" w:color="auto"/>
        <w:right w:val="none" w:sz="0" w:space="0" w:color="auto"/>
      </w:divBdr>
    </w:div>
    <w:div w:id="400644419">
      <w:bodyDiv w:val="1"/>
      <w:marLeft w:val="0"/>
      <w:marRight w:val="0"/>
      <w:marTop w:val="0"/>
      <w:marBottom w:val="0"/>
      <w:divBdr>
        <w:top w:val="none" w:sz="0" w:space="0" w:color="auto"/>
        <w:left w:val="none" w:sz="0" w:space="0" w:color="auto"/>
        <w:bottom w:val="none" w:sz="0" w:space="0" w:color="auto"/>
        <w:right w:val="none" w:sz="0" w:space="0" w:color="auto"/>
      </w:divBdr>
      <w:divsChild>
        <w:div w:id="84881051">
          <w:marLeft w:val="480"/>
          <w:marRight w:val="0"/>
          <w:marTop w:val="0"/>
          <w:marBottom w:val="0"/>
          <w:divBdr>
            <w:top w:val="none" w:sz="0" w:space="0" w:color="auto"/>
            <w:left w:val="none" w:sz="0" w:space="0" w:color="auto"/>
            <w:bottom w:val="none" w:sz="0" w:space="0" w:color="auto"/>
            <w:right w:val="none" w:sz="0" w:space="0" w:color="auto"/>
          </w:divBdr>
          <w:divsChild>
            <w:div w:id="581062264">
              <w:marLeft w:val="0"/>
              <w:marRight w:val="0"/>
              <w:marTop w:val="0"/>
              <w:marBottom w:val="240"/>
              <w:divBdr>
                <w:top w:val="none" w:sz="0" w:space="0" w:color="auto"/>
                <w:left w:val="none" w:sz="0" w:space="0" w:color="auto"/>
                <w:bottom w:val="none" w:sz="0" w:space="0" w:color="auto"/>
                <w:right w:val="none" w:sz="0" w:space="0" w:color="auto"/>
              </w:divBdr>
            </w:div>
            <w:div w:id="1712531563">
              <w:marLeft w:val="0"/>
              <w:marRight w:val="0"/>
              <w:marTop w:val="0"/>
              <w:marBottom w:val="240"/>
              <w:divBdr>
                <w:top w:val="none" w:sz="0" w:space="0" w:color="auto"/>
                <w:left w:val="none" w:sz="0" w:space="0" w:color="auto"/>
                <w:bottom w:val="none" w:sz="0" w:space="0" w:color="auto"/>
                <w:right w:val="none" w:sz="0" w:space="0" w:color="auto"/>
              </w:divBdr>
            </w:div>
            <w:div w:id="338847973">
              <w:marLeft w:val="0"/>
              <w:marRight w:val="0"/>
              <w:marTop w:val="0"/>
              <w:marBottom w:val="240"/>
              <w:divBdr>
                <w:top w:val="none" w:sz="0" w:space="0" w:color="auto"/>
                <w:left w:val="none" w:sz="0" w:space="0" w:color="auto"/>
                <w:bottom w:val="none" w:sz="0" w:space="0" w:color="auto"/>
                <w:right w:val="none" w:sz="0" w:space="0" w:color="auto"/>
              </w:divBdr>
            </w:div>
            <w:div w:id="817192067">
              <w:marLeft w:val="0"/>
              <w:marRight w:val="0"/>
              <w:marTop w:val="0"/>
              <w:marBottom w:val="240"/>
              <w:divBdr>
                <w:top w:val="none" w:sz="0" w:space="0" w:color="auto"/>
                <w:left w:val="none" w:sz="0" w:space="0" w:color="auto"/>
                <w:bottom w:val="none" w:sz="0" w:space="0" w:color="auto"/>
                <w:right w:val="none" w:sz="0" w:space="0" w:color="auto"/>
              </w:divBdr>
            </w:div>
            <w:div w:id="860241884">
              <w:marLeft w:val="0"/>
              <w:marRight w:val="0"/>
              <w:marTop w:val="0"/>
              <w:marBottom w:val="240"/>
              <w:divBdr>
                <w:top w:val="none" w:sz="0" w:space="0" w:color="auto"/>
                <w:left w:val="none" w:sz="0" w:space="0" w:color="auto"/>
                <w:bottom w:val="none" w:sz="0" w:space="0" w:color="auto"/>
                <w:right w:val="none" w:sz="0" w:space="0" w:color="auto"/>
              </w:divBdr>
            </w:div>
            <w:div w:id="1735854813">
              <w:marLeft w:val="0"/>
              <w:marRight w:val="0"/>
              <w:marTop w:val="0"/>
              <w:marBottom w:val="240"/>
              <w:divBdr>
                <w:top w:val="none" w:sz="0" w:space="0" w:color="auto"/>
                <w:left w:val="none" w:sz="0" w:space="0" w:color="auto"/>
                <w:bottom w:val="none" w:sz="0" w:space="0" w:color="auto"/>
                <w:right w:val="none" w:sz="0" w:space="0" w:color="auto"/>
              </w:divBdr>
            </w:div>
            <w:div w:id="1013459239">
              <w:marLeft w:val="0"/>
              <w:marRight w:val="0"/>
              <w:marTop w:val="0"/>
              <w:marBottom w:val="240"/>
              <w:divBdr>
                <w:top w:val="none" w:sz="0" w:space="0" w:color="auto"/>
                <w:left w:val="none" w:sz="0" w:space="0" w:color="auto"/>
                <w:bottom w:val="none" w:sz="0" w:space="0" w:color="auto"/>
                <w:right w:val="none" w:sz="0" w:space="0" w:color="auto"/>
              </w:divBdr>
            </w:div>
            <w:div w:id="1592471254">
              <w:marLeft w:val="0"/>
              <w:marRight w:val="0"/>
              <w:marTop w:val="0"/>
              <w:marBottom w:val="240"/>
              <w:divBdr>
                <w:top w:val="none" w:sz="0" w:space="0" w:color="auto"/>
                <w:left w:val="none" w:sz="0" w:space="0" w:color="auto"/>
                <w:bottom w:val="none" w:sz="0" w:space="0" w:color="auto"/>
                <w:right w:val="none" w:sz="0" w:space="0" w:color="auto"/>
              </w:divBdr>
            </w:div>
            <w:div w:id="1630209521">
              <w:marLeft w:val="0"/>
              <w:marRight w:val="0"/>
              <w:marTop w:val="0"/>
              <w:marBottom w:val="240"/>
              <w:divBdr>
                <w:top w:val="none" w:sz="0" w:space="0" w:color="auto"/>
                <w:left w:val="none" w:sz="0" w:space="0" w:color="auto"/>
                <w:bottom w:val="none" w:sz="0" w:space="0" w:color="auto"/>
                <w:right w:val="none" w:sz="0" w:space="0" w:color="auto"/>
              </w:divBdr>
            </w:div>
            <w:div w:id="2012683738">
              <w:marLeft w:val="0"/>
              <w:marRight w:val="0"/>
              <w:marTop w:val="0"/>
              <w:marBottom w:val="240"/>
              <w:divBdr>
                <w:top w:val="none" w:sz="0" w:space="0" w:color="auto"/>
                <w:left w:val="none" w:sz="0" w:space="0" w:color="auto"/>
                <w:bottom w:val="none" w:sz="0" w:space="0" w:color="auto"/>
                <w:right w:val="none" w:sz="0" w:space="0" w:color="auto"/>
              </w:divBdr>
            </w:div>
            <w:div w:id="1197043009">
              <w:marLeft w:val="0"/>
              <w:marRight w:val="0"/>
              <w:marTop w:val="0"/>
              <w:marBottom w:val="240"/>
              <w:divBdr>
                <w:top w:val="none" w:sz="0" w:space="0" w:color="auto"/>
                <w:left w:val="none" w:sz="0" w:space="0" w:color="auto"/>
                <w:bottom w:val="none" w:sz="0" w:space="0" w:color="auto"/>
                <w:right w:val="none" w:sz="0" w:space="0" w:color="auto"/>
              </w:divBdr>
            </w:div>
            <w:div w:id="1861263">
              <w:marLeft w:val="0"/>
              <w:marRight w:val="0"/>
              <w:marTop w:val="0"/>
              <w:marBottom w:val="240"/>
              <w:divBdr>
                <w:top w:val="none" w:sz="0" w:space="0" w:color="auto"/>
                <w:left w:val="none" w:sz="0" w:space="0" w:color="auto"/>
                <w:bottom w:val="none" w:sz="0" w:space="0" w:color="auto"/>
                <w:right w:val="none" w:sz="0" w:space="0" w:color="auto"/>
              </w:divBdr>
            </w:div>
            <w:div w:id="702830896">
              <w:marLeft w:val="0"/>
              <w:marRight w:val="0"/>
              <w:marTop w:val="0"/>
              <w:marBottom w:val="240"/>
              <w:divBdr>
                <w:top w:val="none" w:sz="0" w:space="0" w:color="auto"/>
                <w:left w:val="none" w:sz="0" w:space="0" w:color="auto"/>
                <w:bottom w:val="none" w:sz="0" w:space="0" w:color="auto"/>
                <w:right w:val="none" w:sz="0" w:space="0" w:color="auto"/>
              </w:divBdr>
            </w:div>
            <w:div w:id="913975169">
              <w:marLeft w:val="0"/>
              <w:marRight w:val="0"/>
              <w:marTop w:val="0"/>
              <w:marBottom w:val="240"/>
              <w:divBdr>
                <w:top w:val="none" w:sz="0" w:space="0" w:color="auto"/>
                <w:left w:val="none" w:sz="0" w:space="0" w:color="auto"/>
                <w:bottom w:val="none" w:sz="0" w:space="0" w:color="auto"/>
                <w:right w:val="none" w:sz="0" w:space="0" w:color="auto"/>
              </w:divBdr>
            </w:div>
            <w:div w:id="290286119">
              <w:marLeft w:val="0"/>
              <w:marRight w:val="0"/>
              <w:marTop w:val="0"/>
              <w:marBottom w:val="240"/>
              <w:divBdr>
                <w:top w:val="none" w:sz="0" w:space="0" w:color="auto"/>
                <w:left w:val="none" w:sz="0" w:space="0" w:color="auto"/>
                <w:bottom w:val="none" w:sz="0" w:space="0" w:color="auto"/>
                <w:right w:val="none" w:sz="0" w:space="0" w:color="auto"/>
              </w:divBdr>
            </w:div>
            <w:div w:id="190266465">
              <w:marLeft w:val="0"/>
              <w:marRight w:val="0"/>
              <w:marTop w:val="0"/>
              <w:marBottom w:val="240"/>
              <w:divBdr>
                <w:top w:val="none" w:sz="0" w:space="0" w:color="auto"/>
                <w:left w:val="none" w:sz="0" w:space="0" w:color="auto"/>
                <w:bottom w:val="none" w:sz="0" w:space="0" w:color="auto"/>
                <w:right w:val="none" w:sz="0" w:space="0" w:color="auto"/>
              </w:divBdr>
            </w:div>
            <w:div w:id="2085952855">
              <w:marLeft w:val="0"/>
              <w:marRight w:val="0"/>
              <w:marTop w:val="0"/>
              <w:marBottom w:val="240"/>
              <w:divBdr>
                <w:top w:val="none" w:sz="0" w:space="0" w:color="auto"/>
                <w:left w:val="none" w:sz="0" w:space="0" w:color="auto"/>
                <w:bottom w:val="none" w:sz="0" w:space="0" w:color="auto"/>
                <w:right w:val="none" w:sz="0" w:space="0" w:color="auto"/>
              </w:divBdr>
            </w:div>
            <w:div w:id="548037771">
              <w:marLeft w:val="0"/>
              <w:marRight w:val="0"/>
              <w:marTop w:val="0"/>
              <w:marBottom w:val="240"/>
              <w:divBdr>
                <w:top w:val="none" w:sz="0" w:space="0" w:color="auto"/>
                <w:left w:val="none" w:sz="0" w:space="0" w:color="auto"/>
                <w:bottom w:val="none" w:sz="0" w:space="0" w:color="auto"/>
                <w:right w:val="none" w:sz="0" w:space="0" w:color="auto"/>
              </w:divBdr>
            </w:div>
            <w:div w:id="1535845564">
              <w:marLeft w:val="0"/>
              <w:marRight w:val="0"/>
              <w:marTop w:val="0"/>
              <w:marBottom w:val="240"/>
              <w:divBdr>
                <w:top w:val="none" w:sz="0" w:space="0" w:color="auto"/>
                <w:left w:val="none" w:sz="0" w:space="0" w:color="auto"/>
                <w:bottom w:val="none" w:sz="0" w:space="0" w:color="auto"/>
                <w:right w:val="none" w:sz="0" w:space="0" w:color="auto"/>
              </w:divBdr>
            </w:div>
            <w:div w:id="1117798371">
              <w:marLeft w:val="0"/>
              <w:marRight w:val="0"/>
              <w:marTop w:val="0"/>
              <w:marBottom w:val="240"/>
              <w:divBdr>
                <w:top w:val="none" w:sz="0" w:space="0" w:color="auto"/>
                <w:left w:val="none" w:sz="0" w:space="0" w:color="auto"/>
                <w:bottom w:val="none" w:sz="0" w:space="0" w:color="auto"/>
                <w:right w:val="none" w:sz="0" w:space="0" w:color="auto"/>
              </w:divBdr>
            </w:div>
            <w:div w:id="200288835">
              <w:marLeft w:val="0"/>
              <w:marRight w:val="0"/>
              <w:marTop w:val="0"/>
              <w:marBottom w:val="240"/>
              <w:divBdr>
                <w:top w:val="none" w:sz="0" w:space="0" w:color="auto"/>
                <w:left w:val="none" w:sz="0" w:space="0" w:color="auto"/>
                <w:bottom w:val="none" w:sz="0" w:space="0" w:color="auto"/>
                <w:right w:val="none" w:sz="0" w:space="0" w:color="auto"/>
              </w:divBdr>
            </w:div>
            <w:div w:id="1822305237">
              <w:marLeft w:val="0"/>
              <w:marRight w:val="0"/>
              <w:marTop w:val="0"/>
              <w:marBottom w:val="240"/>
              <w:divBdr>
                <w:top w:val="none" w:sz="0" w:space="0" w:color="auto"/>
                <w:left w:val="none" w:sz="0" w:space="0" w:color="auto"/>
                <w:bottom w:val="none" w:sz="0" w:space="0" w:color="auto"/>
                <w:right w:val="none" w:sz="0" w:space="0" w:color="auto"/>
              </w:divBdr>
            </w:div>
            <w:div w:id="601760545">
              <w:marLeft w:val="0"/>
              <w:marRight w:val="0"/>
              <w:marTop w:val="0"/>
              <w:marBottom w:val="240"/>
              <w:divBdr>
                <w:top w:val="none" w:sz="0" w:space="0" w:color="auto"/>
                <w:left w:val="none" w:sz="0" w:space="0" w:color="auto"/>
                <w:bottom w:val="none" w:sz="0" w:space="0" w:color="auto"/>
                <w:right w:val="none" w:sz="0" w:space="0" w:color="auto"/>
              </w:divBdr>
            </w:div>
            <w:div w:id="788669365">
              <w:marLeft w:val="0"/>
              <w:marRight w:val="0"/>
              <w:marTop w:val="0"/>
              <w:marBottom w:val="240"/>
              <w:divBdr>
                <w:top w:val="none" w:sz="0" w:space="0" w:color="auto"/>
                <w:left w:val="none" w:sz="0" w:space="0" w:color="auto"/>
                <w:bottom w:val="none" w:sz="0" w:space="0" w:color="auto"/>
                <w:right w:val="none" w:sz="0" w:space="0" w:color="auto"/>
              </w:divBdr>
            </w:div>
            <w:div w:id="1446076633">
              <w:marLeft w:val="0"/>
              <w:marRight w:val="0"/>
              <w:marTop w:val="0"/>
              <w:marBottom w:val="240"/>
              <w:divBdr>
                <w:top w:val="none" w:sz="0" w:space="0" w:color="auto"/>
                <w:left w:val="none" w:sz="0" w:space="0" w:color="auto"/>
                <w:bottom w:val="none" w:sz="0" w:space="0" w:color="auto"/>
                <w:right w:val="none" w:sz="0" w:space="0" w:color="auto"/>
              </w:divBdr>
            </w:div>
            <w:div w:id="7294221">
              <w:marLeft w:val="0"/>
              <w:marRight w:val="0"/>
              <w:marTop w:val="0"/>
              <w:marBottom w:val="240"/>
              <w:divBdr>
                <w:top w:val="none" w:sz="0" w:space="0" w:color="auto"/>
                <w:left w:val="none" w:sz="0" w:space="0" w:color="auto"/>
                <w:bottom w:val="none" w:sz="0" w:space="0" w:color="auto"/>
                <w:right w:val="none" w:sz="0" w:space="0" w:color="auto"/>
              </w:divBdr>
            </w:div>
            <w:div w:id="2127384646">
              <w:marLeft w:val="0"/>
              <w:marRight w:val="0"/>
              <w:marTop w:val="0"/>
              <w:marBottom w:val="240"/>
              <w:divBdr>
                <w:top w:val="none" w:sz="0" w:space="0" w:color="auto"/>
                <w:left w:val="none" w:sz="0" w:space="0" w:color="auto"/>
                <w:bottom w:val="none" w:sz="0" w:space="0" w:color="auto"/>
                <w:right w:val="none" w:sz="0" w:space="0" w:color="auto"/>
              </w:divBdr>
            </w:div>
            <w:div w:id="647514397">
              <w:marLeft w:val="0"/>
              <w:marRight w:val="0"/>
              <w:marTop w:val="0"/>
              <w:marBottom w:val="240"/>
              <w:divBdr>
                <w:top w:val="none" w:sz="0" w:space="0" w:color="auto"/>
                <w:left w:val="none" w:sz="0" w:space="0" w:color="auto"/>
                <w:bottom w:val="none" w:sz="0" w:space="0" w:color="auto"/>
                <w:right w:val="none" w:sz="0" w:space="0" w:color="auto"/>
              </w:divBdr>
            </w:div>
            <w:div w:id="2120103525">
              <w:marLeft w:val="0"/>
              <w:marRight w:val="0"/>
              <w:marTop w:val="0"/>
              <w:marBottom w:val="240"/>
              <w:divBdr>
                <w:top w:val="none" w:sz="0" w:space="0" w:color="auto"/>
                <w:left w:val="none" w:sz="0" w:space="0" w:color="auto"/>
                <w:bottom w:val="none" w:sz="0" w:space="0" w:color="auto"/>
                <w:right w:val="none" w:sz="0" w:space="0" w:color="auto"/>
              </w:divBdr>
            </w:div>
            <w:div w:id="1569143825">
              <w:marLeft w:val="0"/>
              <w:marRight w:val="0"/>
              <w:marTop w:val="0"/>
              <w:marBottom w:val="240"/>
              <w:divBdr>
                <w:top w:val="none" w:sz="0" w:space="0" w:color="auto"/>
                <w:left w:val="none" w:sz="0" w:space="0" w:color="auto"/>
                <w:bottom w:val="none" w:sz="0" w:space="0" w:color="auto"/>
                <w:right w:val="none" w:sz="0" w:space="0" w:color="auto"/>
              </w:divBdr>
            </w:div>
            <w:div w:id="1952122802">
              <w:marLeft w:val="0"/>
              <w:marRight w:val="0"/>
              <w:marTop w:val="0"/>
              <w:marBottom w:val="240"/>
              <w:divBdr>
                <w:top w:val="none" w:sz="0" w:space="0" w:color="auto"/>
                <w:left w:val="none" w:sz="0" w:space="0" w:color="auto"/>
                <w:bottom w:val="none" w:sz="0" w:space="0" w:color="auto"/>
                <w:right w:val="none" w:sz="0" w:space="0" w:color="auto"/>
              </w:divBdr>
            </w:div>
            <w:div w:id="975334995">
              <w:marLeft w:val="0"/>
              <w:marRight w:val="0"/>
              <w:marTop w:val="0"/>
              <w:marBottom w:val="240"/>
              <w:divBdr>
                <w:top w:val="none" w:sz="0" w:space="0" w:color="auto"/>
                <w:left w:val="none" w:sz="0" w:space="0" w:color="auto"/>
                <w:bottom w:val="none" w:sz="0" w:space="0" w:color="auto"/>
                <w:right w:val="none" w:sz="0" w:space="0" w:color="auto"/>
              </w:divBdr>
            </w:div>
            <w:div w:id="316348870">
              <w:marLeft w:val="0"/>
              <w:marRight w:val="0"/>
              <w:marTop w:val="0"/>
              <w:marBottom w:val="240"/>
              <w:divBdr>
                <w:top w:val="none" w:sz="0" w:space="0" w:color="auto"/>
                <w:left w:val="none" w:sz="0" w:space="0" w:color="auto"/>
                <w:bottom w:val="none" w:sz="0" w:space="0" w:color="auto"/>
                <w:right w:val="none" w:sz="0" w:space="0" w:color="auto"/>
              </w:divBdr>
            </w:div>
            <w:div w:id="1548450685">
              <w:marLeft w:val="0"/>
              <w:marRight w:val="0"/>
              <w:marTop w:val="0"/>
              <w:marBottom w:val="240"/>
              <w:divBdr>
                <w:top w:val="none" w:sz="0" w:space="0" w:color="auto"/>
                <w:left w:val="none" w:sz="0" w:space="0" w:color="auto"/>
                <w:bottom w:val="none" w:sz="0" w:space="0" w:color="auto"/>
                <w:right w:val="none" w:sz="0" w:space="0" w:color="auto"/>
              </w:divBdr>
            </w:div>
            <w:div w:id="686978919">
              <w:marLeft w:val="0"/>
              <w:marRight w:val="0"/>
              <w:marTop w:val="0"/>
              <w:marBottom w:val="240"/>
              <w:divBdr>
                <w:top w:val="none" w:sz="0" w:space="0" w:color="auto"/>
                <w:left w:val="none" w:sz="0" w:space="0" w:color="auto"/>
                <w:bottom w:val="none" w:sz="0" w:space="0" w:color="auto"/>
                <w:right w:val="none" w:sz="0" w:space="0" w:color="auto"/>
              </w:divBdr>
            </w:div>
            <w:div w:id="1524203131">
              <w:marLeft w:val="0"/>
              <w:marRight w:val="0"/>
              <w:marTop w:val="0"/>
              <w:marBottom w:val="240"/>
              <w:divBdr>
                <w:top w:val="none" w:sz="0" w:space="0" w:color="auto"/>
                <w:left w:val="none" w:sz="0" w:space="0" w:color="auto"/>
                <w:bottom w:val="none" w:sz="0" w:space="0" w:color="auto"/>
                <w:right w:val="none" w:sz="0" w:space="0" w:color="auto"/>
              </w:divBdr>
            </w:div>
            <w:div w:id="156907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761924">
      <w:bodyDiv w:val="1"/>
      <w:marLeft w:val="0"/>
      <w:marRight w:val="0"/>
      <w:marTop w:val="0"/>
      <w:marBottom w:val="0"/>
      <w:divBdr>
        <w:top w:val="none" w:sz="0" w:space="0" w:color="auto"/>
        <w:left w:val="none" w:sz="0" w:space="0" w:color="auto"/>
        <w:bottom w:val="none" w:sz="0" w:space="0" w:color="auto"/>
        <w:right w:val="none" w:sz="0" w:space="0" w:color="auto"/>
      </w:divBdr>
    </w:div>
    <w:div w:id="422460733">
      <w:bodyDiv w:val="1"/>
      <w:marLeft w:val="0"/>
      <w:marRight w:val="0"/>
      <w:marTop w:val="0"/>
      <w:marBottom w:val="0"/>
      <w:divBdr>
        <w:top w:val="none" w:sz="0" w:space="0" w:color="auto"/>
        <w:left w:val="none" w:sz="0" w:space="0" w:color="auto"/>
        <w:bottom w:val="none" w:sz="0" w:space="0" w:color="auto"/>
        <w:right w:val="none" w:sz="0" w:space="0" w:color="auto"/>
      </w:divBdr>
    </w:div>
    <w:div w:id="425423570">
      <w:bodyDiv w:val="1"/>
      <w:marLeft w:val="0"/>
      <w:marRight w:val="0"/>
      <w:marTop w:val="0"/>
      <w:marBottom w:val="0"/>
      <w:divBdr>
        <w:top w:val="none" w:sz="0" w:space="0" w:color="auto"/>
        <w:left w:val="none" w:sz="0" w:space="0" w:color="auto"/>
        <w:bottom w:val="none" w:sz="0" w:space="0" w:color="auto"/>
        <w:right w:val="none" w:sz="0" w:space="0" w:color="auto"/>
      </w:divBdr>
    </w:div>
    <w:div w:id="457988647">
      <w:bodyDiv w:val="1"/>
      <w:marLeft w:val="0"/>
      <w:marRight w:val="0"/>
      <w:marTop w:val="0"/>
      <w:marBottom w:val="0"/>
      <w:divBdr>
        <w:top w:val="none" w:sz="0" w:space="0" w:color="auto"/>
        <w:left w:val="none" w:sz="0" w:space="0" w:color="auto"/>
        <w:bottom w:val="none" w:sz="0" w:space="0" w:color="auto"/>
        <w:right w:val="none" w:sz="0" w:space="0" w:color="auto"/>
      </w:divBdr>
    </w:div>
    <w:div w:id="478033956">
      <w:bodyDiv w:val="1"/>
      <w:marLeft w:val="0"/>
      <w:marRight w:val="0"/>
      <w:marTop w:val="0"/>
      <w:marBottom w:val="0"/>
      <w:divBdr>
        <w:top w:val="none" w:sz="0" w:space="0" w:color="auto"/>
        <w:left w:val="none" w:sz="0" w:space="0" w:color="auto"/>
        <w:bottom w:val="none" w:sz="0" w:space="0" w:color="auto"/>
        <w:right w:val="none" w:sz="0" w:space="0" w:color="auto"/>
      </w:divBdr>
    </w:div>
    <w:div w:id="478157275">
      <w:bodyDiv w:val="1"/>
      <w:marLeft w:val="0"/>
      <w:marRight w:val="0"/>
      <w:marTop w:val="0"/>
      <w:marBottom w:val="0"/>
      <w:divBdr>
        <w:top w:val="none" w:sz="0" w:space="0" w:color="auto"/>
        <w:left w:val="none" w:sz="0" w:space="0" w:color="auto"/>
        <w:bottom w:val="none" w:sz="0" w:space="0" w:color="auto"/>
        <w:right w:val="none" w:sz="0" w:space="0" w:color="auto"/>
      </w:divBdr>
    </w:div>
    <w:div w:id="483156872">
      <w:bodyDiv w:val="1"/>
      <w:marLeft w:val="0"/>
      <w:marRight w:val="0"/>
      <w:marTop w:val="0"/>
      <w:marBottom w:val="0"/>
      <w:divBdr>
        <w:top w:val="none" w:sz="0" w:space="0" w:color="auto"/>
        <w:left w:val="none" w:sz="0" w:space="0" w:color="auto"/>
        <w:bottom w:val="none" w:sz="0" w:space="0" w:color="auto"/>
        <w:right w:val="none" w:sz="0" w:space="0" w:color="auto"/>
      </w:divBdr>
    </w:div>
    <w:div w:id="490800361">
      <w:bodyDiv w:val="1"/>
      <w:marLeft w:val="0"/>
      <w:marRight w:val="0"/>
      <w:marTop w:val="0"/>
      <w:marBottom w:val="0"/>
      <w:divBdr>
        <w:top w:val="none" w:sz="0" w:space="0" w:color="auto"/>
        <w:left w:val="none" w:sz="0" w:space="0" w:color="auto"/>
        <w:bottom w:val="none" w:sz="0" w:space="0" w:color="auto"/>
        <w:right w:val="none" w:sz="0" w:space="0" w:color="auto"/>
      </w:divBdr>
      <w:divsChild>
        <w:div w:id="1394886048">
          <w:marLeft w:val="480"/>
          <w:marRight w:val="0"/>
          <w:marTop w:val="0"/>
          <w:marBottom w:val="0"/>
          <w:divBdr>
            <w:top w:val="none" w:sz="0" w:space="0" w:color="auto"/>
            <w:left w:val="none" w:sz="0" w:space="0" w:color="auto"/>
            <w:bottom w:val="none" w:sz="0" w:space="0" w:color="auto"/>
            <w:right w:val="none" w:sz="0" w:space="0" w:color="auto"/>
          </w:divBdr>
          <w:divsChild>
            <w:div w:id="196815423">
              <w:marLeft w:val="0"/>
              <w:marRight w:val="0"/>
              <w:marTop w:val="0"/>
              <w:marBottom w:val="240"/>
              <w:divBdr>
                <w:top w:val="none" w:sz="0" w:space="0" w:color="auto"/>
                <w:left w:val="none" w:sz="0" w:space="0" w:color="auto"/>
                <w:bottom w:val="none" w:sz="0" w:space="0" w:color="auto"/>
                <w:right w:val="none" w:sz="0" w:space="0" w:color="auto"/>
              </w:divBdr>
            </w:div>
            <w:div w:id="1465275095">
              <w:marLeft w:val="0"/>
              <w:marRight w:val="0"/>
              <w:marTop w:val="0"/>
              <w:marBottom w:val="240"/>
              <w:divBdr>
                <w:top w:val="none" w:sz="0" w:space="0" w:color="auto"/>
                <w:left w:val="none" w:sz="0" w:space="0" w:color="auto"/>
                <w:bottom w:val="none" w:sz="0" w:space="0" w:color="auto"/>
                <w:right w:val="none" w:sz="0" w:space="0" w:color="auto"/>
              </w:divBdr>
            </w:div>
            <w:div w:id="749157506">
              <w:marLeft w:val="0"/>
              <w:marRight w:val="0"/>
              <w:marTop w:val="0"/>
              <w:marBottom w:val="240"/>
              <w:divBdr>
                <w:top w:val="none" w:sz="0" w:space="0" w:color="auto"/>
                <w:left w:val="none" w:sz="0" w:space="0" w:color="auto"/>
                <w:bottom w:val="none" w:sz="0" w:space="0" w:color="auto"/>
                <w:right w:val="none" w:sz="0" w:space="0" w:color="auto"/>
              </w:divBdr>
            </w:div>
            <w:div w:id="1699772012">
              <w:marLeft w:val="0"/>
              <w:marRight w:val="0"/>
              <w:marTop w:val="0"/>
              <w:marBottom w:val="240"/>
              <w:divBdr>
                <w:top w:val="none" w:sz="0" w:space="0" w:color="auto"/>
                <w:left w:val="none" w:sz="0" w:space="0" w:color="auto"/>
                <w:bottom w:val="none" w:sz="0" w:space="0" w:color="auto"/>
                <w:right w:val="none" w:sz="0" w:space="0" w:color="auto"/>
              </w:divBdr>
            </w:div>
            <w:div w:id="740903448">
              <w:marLeft w:val="0"/>
              <w:marRight w:val="0"/>
              <w:marTop w:val="0"/>
              <w:marBottom w:val="240"/>
              <w:divBdr>
                <w:top w:val="none" w:sz="0" w:space="0" w:color="auto"/>
                <w:left w:val="none" w:sz="0" w:space="0" w:color="auto"/>
                <w:bottom w:val="none" w:sz="0" w:space="0" w:color="auto"/>
                <w:right w:val="none" w:sz="0" w:space="0" w:color="auto"/>
              </w:divBdr>
            </w:div>
            <w:div w:id="470749452">
              <w:marLeft w:val="0"/>
              <w:marRight w:val="0"/>
              <w:marTop w:val="0"/>
              <w:marBottom w:val="240"/>
              <w:divBdr>
                <w:top w:val="none" w:sz="0" w:space="0" w:color="auto"/>
                <w:left w:val="none" w:sz="0" w:space="0" w:color="auto"/>
                <w:bottom w:val="none" w:sz="0" w:space="0" w:color="auto"/>
                <w:right w:val="none" w:sz="0" w:space="0" w:color="auto"/>
              </w:divBdr>
            </w:div>
            <w:div w:id="2110736938">
              <w:marLeft w:val="0"/>
              <w:marRight w:val="0"/>
              <w:marTop w:val="0"/>
              <w:marBottom w:val="240"/>
              <w:divBdr>
                <w:top w:val="none" w:sz="0" w:space="0" w:color="auto"/>
                <w:left w:val="none" w:sz="0" w:space="0" w:color="auto"/>
                <w:bottom w:val="none" w:sz="0" w:space="0" w:color="auto"/>
                <w:right w:val="none" w:sz="0" w:space="0" w:color="auto"/>
              </w:divBdr>
            </w:div>
            <w:div w:id="1326544333">
              <w:marLeft w:val="0"/>
              <w:marRight w:val="0"/>
              <w:marTop w:val="0"/>
              <w:marBottom w:val="240"/>
              <w:divBdr>
                <w:top w:val="none" w:sz="0" w:space="0" w:color="auto"/>
                <w:left w:val="none" w:sz="0" w:space="0" w:color="auto"/>
                <w:bottom w:val="none" w:sz="0" w:space="0" w:color="auto"/>
                <w:right w:val="none" w:sz="0" w:space="0" w:color="auto"/>
              </w:divBdr>
            </w:div>
            <w:div w:id="1997415475">
              <w:marLeft w:val="0"/>
              <w:marRight w:val="0"/>
              <w:marTop w:val="0"/>
              <w:marBottom w:val="240"/>
              <w:divBdr>
                <w:top w:val="none" w:sz="0" w:space="0" w:color="auto"/>
                <w:left w:val="none" w:sz="0" w:space="0" w:color="auto"/>
                <w:bottom w:val="none" w:sz="0" w:space="0" w:color="auto"/>
                <w:right w:val="none" w:sz="0" w:space="0" w:color="auto"/>
              </w:divBdr>
            </w:div>
            <w:div w:id="1194461842">
              <w:marLeft w:val="0"/>
              <w:marRight w:val="0"/>
              <w:marTop w:val="0"/>
              <w:marBottom w:val="240"/>
              <w:divBdr>
                <w:top w:val="none" w:sz="0" w:space="0" w:color="auto"/>
                <w:left w:val="none" w:sz="0" w:space="0" w:color="auto"/>
                <w:bottom w:val="none" w:sz="0" w:space="0" w:color="auto"/>
                <w:right w:val="none" w:sz="0" w:space="0" w:color="auto"/>
              </w:divBdr>
            </w:div>
            <w:div w:id="210311887">
              <w:marLeft w:val="0"/>
              <w:marRight w:val="0"/>
              <w:marTop w:val="0"/>
              <w:marBottom w:val="240"/>
              <w:divBdr>
                <w:top w:val="none" w:sz="0" w:space="0" w:color="auto"/>
                <w:left w:val="none" w:sz="0" w:space="0" w:color="auto"/>
                <w:bottom w:val="none" w:sz="0" w:space="0" w:color="auto"/>
                <w:right w:val="none" w:sz="0" w:space="0" w:color="auto"/>
              </w:divBdr>
            </w:div>
            <w:div w:id="291133635">
              <w:marLeft w:val="0"/>
              <w:marRight w:val="0"/>
              <w:marTop w:val="0"/>
              <w:marBottom w:val="240"/>
              <w:divBdr>
                <w:top w:val="none" w:sz="0" w:space="0" w:color="auto"/>
                <w:left w:val="none" w:sz="0" w:space="0" w:color="auto"/>
                <w:bottom w:val="none" w:sz="0" w:space="0" w:color="auto"/>
                <w:right w:val="none" w:sz="0" w:space="0" w:color="auto"/>
              </w:divBdr>
            </w:div>
            <w:div w:id="1557160361">
              <w:marLeft w:val="0"/>
              <w:marRight w:val="0"/>
              <w:marTop w:val="0"/>
              <w:marBottom w:val="240"/>
              <w:divBdr>
                <w:top w:val="none" w:sz="0" w:space="0" w:color="auto"/>
                <w:left w:val="none" w:sz="0" w:space="0" w:color="auto"/>
                <w:bottom w:val="none" w:sz="0" w:space="0" w:color="auto"/>
                <w:right w:val="none" w:sz="0" w:space="0" w:color="auto"/>
              </w:divBdr>
            </w:div>
            <w:div w:id="718865288">
              <w:marLeft w:val="0"/>
              <w:marRight w:val="0"/>
              <w:marTop w:val="0"/>
              <w:marBottom w:val="240"/>
              <w:divBdr>
                <w:top w:val="none" w:sz="0" w:space="0" w:color="auto"/>
                <w:left w:val="none" w:sz="0" w:space="0" w:color="auto"/>
                <w:bottom w:val="none" w:sz="0" w:space="0" w:color="auto"/>
                <w:right w:val="none" w:sz="0" w:space="0" w:color="auto"/>
              </w:divBdr>
            </w:div>
            <w:div w:id="2104646851">
              <w:marLeft w:val="0"/>
              <w:marRight w:val="0"/>
              <w:marTop w:val="0"/>
              <w:marBottom w:val="240"/>
              <w:divBdr>
                <w:top w:val="none" w:sz="0" w:space="0" w:color="auto"/>
                <w:left w:val="none" w:sz="0" w:space="0" w:color="auto"/>
                <w:bottom w:val="none" w:sz="0" w:space="0" w:color="auto"/>
                <w:right w:val="none" w:sz="0" w:space="0" w:color="auto"/>
              </w:divBdr>
            </w:div>
            <w:div w:id="1437865089">
              <w:marLeft w:val="0"/>
              <w:marRight w:val="0"/>
              <w:marTop w:val="0"/>
              <w:marBottom w:val="240"/>
              <w:divBdr>
                <w:top w:val="none" w:sz="0" w:space="0" w:color="auto"/>
                <w:left w:val="none" w:sz="0" w:space="0" w:color="auto"/>
                <w:bottom w:val="none" w:sz="0" w:space="0" w:color="auto"/>
                <w:right w:val="none" w:sz="0" w:space="0" w:color="auto"/>
              </w:divBdr>
            </w:div>
            <w:div w:id="714892718">
              <w:marLeft w:val="0"/>
              <w:marRight w:val="0"/>
              <w:marTop w:val="0"/>
              <w:marBottom w:val="240"/>
              <w:divBdr>
                <w:top w:val="none" w:sz="0" w:space="0" w:color="auto"/>
                <w:left w:val="none" w:sz="0" w:space="0" w:color="auto"/>
                <w:bottom w:val="none" w:sz="0" w:space="0" w:color="auto"/>
                <w:right w:val="none" w:sz="0" w:space="0" w:color="auto"/>
              </w:divBdr>
            </w:div>
            <w:div w:id="1846555864">
              <w:marLeft w:val="0"/>
              <w:marRight w:val="0"/>
              <w:marTop w:val="0"/>
              <w:marBottom w:val="240"/>
              <w:divBdr>
                <w:top w:val="none" w:sz="0" w:space="0" w:color="auto"/>
                <w:left w:val="none" w:sz="0" w:space="0" w:color="auto"/>
                <w:bottom w:val="none" w:sz="0" w:space="0" w:color="auto"/>
                <w:right w:val="none" w:sz="0" w:space="0" w:color="auto"/>
              </w:divBdr>
            </w:div>
            <w:div w:id="1587029969">
              <w:marLeft w:val="0"/>
              <w:marRight w:val="0"/>
              <w:marTop w:val="0"/>
              <w:marBottom w:val="240"/>
              <w:divBdr>
                <w:top w:val="none" w:sz="0" w:space="0" w:color="auto"/>
                <w:left w:val="none" w:sz="0" w:space="0" w:color="auto"/>
                <w:bottom w:val="none" w:sz="0" w:space="0" w:color="auto"/>
                <w:right w:val="none" w:sz="0" w:space="0" w:color="auto"/>
              </w:divBdr>
            </w:div>
            <w:div w:id="431124672">
              <w:marLeft w:val="0"/>
              <w:marRight w:val="0"/>
              <w:marTop w:val="0"/>
              <w:marBottom w:val="240"/>
              <w:divBdr>
                <w:top w:val="none" w:sz="0" w:space="0" w:color="auto"/>
                <w:left w:val="none" w:sz="0" w:space="0" w:color="auto"/>
                <w:bottom w:val="none" w:sz="0" w:space="0" w:color="auto"/>
                <w:right w:val="none" w:sz="0" w:space="0" w:color="auto"/>
              </w:divBdr>
            </w:div>
            <w:div w:id="618728296">
              <w:marLeft w:val="0"/>
              <w:marRight w:val="0"/>
              <w:marTop w:val="0"/>
              <w:marBottom w:val="240"/>
              <w:divBdr>
                <w:top w:val="none" w:sz="0" w:space="0" w:color="auto"/>
                <w:left w:val="none" w:sz="0" w:space="0" w:color="auto"/>
                <w:bottom w:val="none" w:sz="0" w:space="0" w:color="auto"/>
                <w:right w:val="none" w:sz="0" w:space="0" w:color="auto"/>
              </w:divBdr>
            </w:div>
            <w:div w:id="384065750">
              <w:marLeft w:val="0"/>
              <w:marRight w:val="0"/>
              <w:marTop w:val="0"/>
              <w:marBottom w:val="240"/>
              <w:divBdr>
                <w:top w:val="none" w:sz="0" w:space="0" w:color="auto"/>
                <w:left w:val="none" w:sz="0" w:space="0" w:color="auto"/>
                <w:bottom w:val="none" w:sz="0" w:space="0" w:color="auto"/>
                <w:right w:val="none" w:sz="0" w:space="0" w:color="auto"/>
              </w:divBdr>
            </w:div>
            <w:div w:id="160044566">
              <w:marLeft w:val="0"/>
              <w:marRight w:val="0"/>
              <w:marTop w:val="0"/>
              <w:marBottom w:val="240"/>
              <w:divBdr>
                <w:top w:val="none" w:sz="0" w:space="0" w:color="auto"/>
                <w:left w:val="none" w:sz="0" w:space="0" w:color="auto"/>
                <w:bottom w:val="none" w:sz="0" w:space="0" w:color="auto"/>
                <w:right w:val="none" w:sz="0" w:space="0" w:color="auto"/>
              </w:divBdr>
            </w:div>
            <w:div w:id="1622106010">
              <w:marLeft w:val="0"/>
              <w:marRight w:val="0"/>
              <w:marTop w:val="0"/>
              <w:marBottom w:val="240"/>
              <w:divBdr>
                <w:top w:val="none" w:sz="0" w:space="0" w:color="auto"/>
                <w:left w:val="none" w:sz="0" w:space="0" w:color="auto"/>
                <w:bottom w:val="none" w:sz="0" w:space="0" w:color="auto"/>
                <w:right w:val="none" w:sz="0" w:space="0" w:color="auto"/>
              </w:divBdr>
            </w:div>
            <w:div w:id="1170217724">
              <w:marLeft w:val="0"/>
              <w:marRight w:val="0"/>
              <w:marTop w:val="0"/>
              <w:marBottom w:val="240"/>
              <w:divBdr>
                <w:top w:val="none" w:sz="0" w:space="0" w:color="auto"/>
                <w:left w:val="none" w:sz="0" w:space="0" w:color="auto"/>
                <w:bottom w:val="none" w:sz="0" w:space="0" w:color="auto"/>
                <w:right w:val="none" w:sz="0" w:space="0" w:color="auto"/>
              </w:divBdr>
            </w:div>
            <w:div w:id="1208418971">
              <w:marLeft w:val="0"/>
              <w:marRight w:val="0"/>
              <w:marTop w:val="0"/>
              <w:marBottom w:val="240"/>
              <w:divBdr>
                <w:top w:val="none" w:sz="0" w:space="0" w:color="auto"/>
                <w:left w:val="none" w:sz="0" w:space="0" w:color="auto"/>
                <w:bottom w:val="none" w:sz="0" w:space="0" w:color="auto"/>
                <w:right w:val="none" w:sz="0" w:space="0" w:color="auto"/>
              </w:divBdr>
            </w:div>
            <w:div w:id="1939558325">
              <w:marLeft w:val="0"/>
              <w:marRight w:val="0"/>
              <w:marTop w:val="0"/>
              <w:marBottom w:val="240"/>
              <w:divBdr>
                <w:top w:val="none" w:sz="0" w:space="0" w:color="auto"/>
                <w:left w:val="none" w:sz="0" w:space="0" w:color="auto"/>
                <w:bottom w:val="none" w:sz="0" w:space="0" w:color="auto"/>
                <w:right w:val="none" w:sz="0" w:space="0" w:color="auto"/>
              </w:divBdr>
            </w:div>
            <w:div w:id="2083066585">
              <w:marLeft w:val="0"/>
              <w:marRight w:val="0"/>
              <w:marTop w:val="0"/>
              <w:marBottom w:val="240"/>
              <w:divBdr>
                <w:top w:val="none" w:sz="0" w:space="0" w:color="auto"/>
                <w:left w:val="none" w:sz="0" w:space="0" w:color="auto"/>
                <w:bottom w:val="none" w:sz="0" w:space="0" w:color="auto"/>
                <w:right w:val="none" w:sz="0" w:space="0" w:color="auto"/>
              </w:divBdr>
            </w:div>
            <w:div w:id="471096346">
              <w:marLeft w:val="0"/>
              <w:marRight w:val="0"/>
              <w:marTop w:val="0"/>
              <w:marBottom w:val="240"/>
              <w:divBdr>
                <w:top w:val="none" w:sz="0" w:space="0" w:color="auto"/>
                <w:left w:val="none" w:sz="0" w:space="0" w:color="auto"/>
                <w:bottom w:val="none" w:sz="0" w:space="0" w:color="auto"/>
                <w:right w:val="none" w:sz="0" w:space="0" w:color="auto"/>
              </w:divBdr>
            </w:div>
            <w:div w:id="2013339688">
              <w:marLeft w:val="0"/>
              <w:marRight w:val="0"/>
              <w:marTop w:val="0"/>
              <w:marBottom w:val="240"/>
              <w:divBdr>
                <w:top w:val="none" w:sz="0" w:space="0" w:color="auto"/>
                <w:left w:val="none" w:sz="0" w:space="0" w:color="auto"/>
                <w:bottom w:val="none" w:sz="0" w:space="0" w:color="auto"/>
                <w:right w:val="none" w:sz="0" w:space="0" w:color="auto"/>
              </w:divBdr>
            </w:div>
            <w:div w:id="578566686">
              <w:marLeft w:val="0"/>
              <w:marRight w:val="0"/>
              <w:marTop w:val="0"/>
              <w:marBottom w:val="240"/>
              <w:divBdr>
                <w:top w:val="none" w:sz="0" w:space="0" w:color="auto"/>
                <w:left w:val="none" w:sz="0" w:space="0" w:color="auto"/>
                <w:bottom w:val="none" w:sz="0" w:space="0" w:color="auto"/>
                <w:right w:val="none" w:sz="0" w:space="0" w:color="auto"/>
              </w:divBdr>
            </w:div>
            <w:div w:id="584649872">
              <w:marLeft w:val="0"/>
              <w:marRight w:val="0"/>
              <w:marTop w:val="0"/>
              <w:marBottom w:val="240"/>
              <w:divBdr>
                <w:top w:val="none" w:sz="0" w:space="0" w:color="auto"/>
                <w:left w:val="none" w:sz="0" w:space="0" w:color="auto"/>
                <w:bottom w:val="none" w:sz="0" w:space="0" w:color="auto"/>
                <w:right w:val="none" w:sz="0" w:space="0" w:color="auto"/>
              </w:divBdr>
            </w:div>
            <w:div w:id="2075199808">
              <w:marLeft w:val="0"/>
              <w:marRight w:val="0"/>
              <w:marTop w:val="0"/>
              <w:marBottom w:val="240"/>
              <w:divBdr>
                <w:top w:val="none" w:sz="0" w:space="0" w:color="auto"/>
                <w:left w:val="none" w:sz="0" w:space="0" w:color="auto"/>
                <w:bottom w:val="none" w:sz="0" w:space="0" w:color="auto"/>
                <w:right w:val="none" w:sz="0" w:space="0" w:color="auto"/>
              </w:divBdr>
            </w:div>
            <w:div w:id="1838114855">
              <w:marLeft w:val="0"/>
              <w:marRight w:val="0"/>
              <w:marTop w:val="0"/>
              <w:marBottom w:val="240"/>
              <w:divBdr>
                <w:top w:val="none" w:sz="0" w:space="0" w:color="auto"/>
                <w:left w:val="none" w:sz="0" w:space="0" w:color="auto"/>
                <w:bottom w:val="none" w:sz="0" w:space="0" w:color="auto"/>
                <w:right w:val="none" w:sz="0" w:space="0" w:color="auto"/>
              </w:divBdr>
            </w:div>
            <w:div w:id="1372463923">
              <w:marLeft w:val="0"/>
              <w:marRight w:val="0"/>
              <w:marTop w:val="0"/>
              <w:marBottom w:val="240"/>
              <w:divBdr>
                <w:top w:val="none" w:sz="0" w:space="0" w:color="auto"/>
                <w:left w:val="none" w:sz="0" w:space="0" w:color="auto"/>
                <w:bottom w:val="none" w:sz="0" w:space="0" w:color="auto"/>
                <w:right w:val="none" w:sz="0" w:space="0" w:color="auto"/>
              </w:divBdr>
            </w:div>
            <w:div w:id="2114473684">
              <w:marLeft w:val="0"/>
              <w:marRight w:val="0"/>
              <w:marTop w:val="0"/>
              <w:marBottom w:val="240"/>
              <w:divBdr>
                <w:top w:val="none" w:sz="0" w:space="0" w:color="auto"/>
                <w:left w:val="none" w:sz="0" w:space="0" w:color="auto"/>
                <w:bottom w:val="none" w:sz="0" w:space="0" w:color="auto"/>
                <w:right w:val="none" w:sz="0" w:space="0" w:color="auto"/>
              </w:divBdr>
            </w:div>
            <w:div w:id="1238587039">
              <w:marLeft w:val="0"/>
              <w:marRight w:val="0"/>
              <w:marTop w:val="0"/>
              <w:marBottom w:val="240"/>
              <w:divBdr>
                <w:top w:val="none" w:sz="0" w:space="0" w:color="auto"/>
                <w:left w:val="none" w:sz="0" w:space="0" w:color="auto"/>
                <w:bottom w:val="none" w:sz="0" w:space="0" w:color="auto"/>
                <w:right w:val="none" w:sz="0" w:space="0" w:color="auto"/>
              </w:divBdr>
            </w:div>
            <w:div w:id="721247253">
              <w:marLeft w:val="0"/>
              <w:marRight w:val="0"/>
              <w:marTop w:val="0"/>
              <w:marBottom w:val="240"/>
              <w:divBdr>
                <w:top w:val="none" w:sz="0" w:space="0" w:color="auto"/>
                <w:left w:val="none" w:sz="0" w:space="0" w:color="auto"/>
                <w:bottom w:val="none" w:sz="0" w:space="0" w:color="auto"/>
                <w:right w:val="none" w:sz="0" w:space="0" w:color="auto"/>
              </w:divBdr>
            </w:div>
            <w:div w:id="718942965">
              <w:marLeft w:val="0"/>
              <w:marRight w:val="0"/>
              <w:marTop w:val="0"/>
              <w:marBottom w:val="240"/>
              <w:divBdr>
                <w:top w:val="none" w:sz="0" w:space="0" w:color="auto"/>
                <w:left w:val="none" w:sz="0" w:space="0" w:color="auto"/>
                <w:bottom w:val="none" w:sz="0" w:space="0" w:color="auto"/>
                <w:right w:val="none" w:sz="0" w:space="0" w:color="auto"/>
              </w:divBdr>
            </w:div>
            <w:div w:id="1731879662">
              <w:marLeft w:val="0"/>
              <w:marRight w:val="0"/>
              <w:marTop w:val="0"/>
              <w:marBottom w:val="240"/>
              <w:divBdr>
                <w:top w:val="none" w:sz="0" w:space="0" w:color="auto"/>
                <w:left w:val="none" w:sz="0" w:space="0" w:color="auto"/>
                <w:bottom w:val="none" w:sz="0" w:space="0" w:color="auto"/>
                <w:right w:val="none" w:sz="0" w:space="0" w:color="auto"/>
              </w:divBdr>
            </w:div>
            <w:div w:id="1859077802">
              <w:marLeft w:val="0"/>
              <w:marRight w:val="0"/>
              <w:marTop w:val="0"/>
              <w:marBottom w:val="240"/>
              <w:divBdr>
                <w:top w:val="none" w:sz="0" w:space="0" w:color="auto"/>
                <w:left w:val="none" w:sz="0" w:space="0" w:color="auto"/>
                <w:bottom w:val="none" w:sz="0" w:space="0" w:color="auto"/>
                <w:right w:val="none" w:sz="0" w:space="0" w:color="auto"/>
              </w:divBdr>
            </w:div>
            <w:div w:id="6568043">
              <w:marLeft w:val="0"/>
              <w:marRight w:val="0"/>
              <w:marTop w:val="0"/>
              <w:marBottom w:val="240"/>
              <w:divBdr>
                <w:top w:val="none" w:sz="0" w:space="0" w:color="auto"/>
                <w:left w:val="none" w:sz="0" w:space="0" w:color="auto"/>
                <w:bottom w:val="none" w:sz="0" w:space="0" w:color="auto"/>
                <w:right w:val="none" w:sz="0" w:space="0" w:color="auto"/>
              </w:divBdr>
            </w:div>
            <w:div w:id="1768503720">
              <w:marLeft w:val="0"/>
              <w:marRight w:val="0"/>
              <w:marTop w:val="0"/>
              <w:marBottom w:val="240"/>
              <w:divBdr>
                <w:top w:val="none" w:sz="0" w:space="0" w:color="auto"/>
                <w:left w:val="none" w:sz="0" w:space="0" w:color="auto"/>
                <w:bottom w:val="none" w:sz="0" w:space="0" w:color="auto"/>
                <w:right w:val="none" w:sz="0" w:space="0" w:color="auto"/>
              </w:divBdr>
            </w:div>
            <w:div w:id="44767412">
              <w:marLeft w:val="0"/>
              <w:marRight w:val="0"/>
              <w:marTop w:val="0"/>
              <w:marBottom w:val="240"/>
              <w:divBdr>
                <w:top w:val="none" w:sz="0" w:space="0" w:color="auto"/>
                <w:left w:val="none" w:sz="0" w:space="0" w:color="auto"/>
                <w:bottom w:val="none" w:sz="0" w:space="0" w:color="auto"/>
                <w:right w:val="none" w:sz="0" w:space="0" w:color="auto"/>
              </w:divBdr>
            </w:div>
            <w:div w:id="858355152">
              <w:marLeft w:val="0"/>
              <w:marRight w:val="0"/>
              <w:marTop w:val="0"/>
              <w:marBottom w:val="240"/>
              <w:divBdr>
                <w:top w:val="none" w:sz="0" w:space="0" w:color="auto"/>
                <w:left w:val="none" w:sz="0" w:space="0" w:color="auto"/>
                <w:bottom w:val="none" w:sz="0" w:space="0" w:color="auto"/>
                <w:right w:val="none" w:sz="0" w:space="0" w:color="auto"/>
              </w:divBdr>
            </w:div>
            <w:div w:id="1514101750">
              <w:marLeft w:val="0"/>
              <w:marRight w:val="0"/>
              <w:marTop w:val="0"/>
              <w:marBottom w:val="240"/>
              <w:divBdr>
                <w:top w:val="none" w:sz="0" w:space="0" w:color="auto"/>
                <w:left w:val="none" w:sz="0" w:space="0" w:color="auto"/>
                <w:bottom w:val="none" w:sz="0" w:space="0" w:color="auto"/>
                <w:right w:val="none" w:sz="0" w:space="0" w:color="auto"/>
              </w:divBdr>
            </w:div>
            <w:div w:id="375398395">
              <w:marLeft w:val="0"/>
              <w:marRight w:val="0"/>
              <w:marTop w:val="0"/>
              <w:marBottom w:val="240"/>
              <w:divBdr>
                <w:top w:val="none" w:sz="0" w:space="0" w:color="auto"/>
                <w:left w:val="none" w:sz="0" w:space="0" w:color="auto"/>
                <w:bottom w:val="none" w:sz="0" w:space="0" w:color="auto"/>
                <w:right w:val="none" w:sz="0" w:space="0" w:color="auto"/>
              </w:divBdr>
            </w:div>
            <w:div w:id="1925651620">
              <w:marLeft w:val="0"/>
              <w:marRight w:val="0"/>
              <w:marTop w:val="0"/>
              <w:marBottom w:val="240"/>
              <w:divBdr>
                <w:top w:val="none" w:sz="0" w:space="0" w:color="auto"/>
                <w:left w:val="none" w:sz="0" w:space="0" w:color="auto"/>
                <w:bottom w:val="none" w:sz="0" w:space="0" w:color="auto"/>
                <w:right w:val="none" w:sz="0" w:space="0" w:color="auto"/>
              </w:divBdr>
            </w:div>
            <w:div w:id="1295217774">
              <w:marLeft w:val="0"/>
              <w:marRight w:val="0"/>
              <w:marTop w:val="0"/>
              <w:marBottom w:val="240"/>
              <w:divBdr>
                <w:top w:val="none" w:sz="0" w:space="0" w:color="auto"/>
                <w:left w:val="none" w:sz="0" w:space="0" w:color="auto"/>
                <w:bottom w:val="none" w:sz="0" w:space="0" w:color="auto"/>
                <w:right w:val="none" w:sz="0" w:space="0" w:color="auto"/>
              </w:divBdr>
            </w:div>
            <w:div w:id="1564022031">
              <w:marLeft w:val="0"/>
              <w:marRight w:val="0"/>
              <w:marTop w:val="0"/>
              <w:marBottom w:val="240"/>
              <w:divBdr>
                <w:top w:val="none" w:sz="0" w:space="0" w:color="auto"/>
                <w:left w:val="none" w:sz="0" w:space="0" w:color="auto"/>
                <w:bottom w:val="none" w:sz="0" w:space="0" w:color="auto"/>
                <w:right w:val="none" w:sz="0" w:space="0" w:color="auto"/>
              </w:divBdr>
            </w:div>
            <w:div w:id="1668440919">
              <w:marLeft w:val="0"/>
              <w:marRight w:val="0"/>
              <w:marTop w:val="0"/>
              <w:marBottom w:val="240"/>
              <w:divBdr>
                <w:top w:val="none" w:sz="0" w:space="0" w:color="auto"/>
                <w:left w:val="none" w:sz="0" w:space="0" w:color="auto"/>
                <w:bottom w:val="none" w:sz="0" w:space="0" w:color="auto"/>
                <w:right w:val="none" w:sz="0" w:space="0" w:color="auto"/>
              </w:divBdr>
            </w:div>
            <w:div w:id="768503623">
              <w:marLeft w:val="0"/>
              <w:marRight w:val="0"/>
              <w:marTop w:val="0"/>
              <w:marBottom w:val="240"/>
              <w:divBdr>
                <w:top w:val="none" w:sz="0" w:space="0" w:color="auto"/>
                <w:left w:val="none" w:sz="0" w:space="0" w:color="auto"/>
                <w:bottom w:val="none" w:sz="0" w:space="0" w:color="auto"/>
                <w:right w:val="none" w:sz="0" w:space="0" w:color="auto"/>
              </w:divBdr>
            </w:div>
            <w:div w:id="290524207">
              <w:marLeft w:val="0"/>
              <w:marRight w:val="0"/>
              <w:marTop w:val="0"/>
              <w:marBottom w:val="240"/>
              <w:divBdr>
                <w:top w:val="none" w:sz="0" w:space="0" w:color="auto"/>
                <w:left w:val="none" w:sz="0" w:space="0" w:color="auto"/>
                <w:bottom w:val="none" w:sz="0" w:space="0" w:color="auto"/>
                <w:right w:val="none" w:sz="0" w:space="0" w:color="auto"/>
              </w:divBdr>
            </w:div>
            <w:div w:id="1877886334">
              <w:marLeft w:val="0"/>
              <w:marRight w:val="0"/>
              <w:marTop w:val="0"/>
              <w:marBottom w:val="240"/>
              <w:divBdr>
                <w:top w:val="none" w:sz="0" w:space="0" w:color="auto"/>
                <w:left w:val="none" w:sz="0" w:space="0" w:color="auto"/>
                <w:bottom w:val="none" w:sz="0" w:space="0" w:color="auto"/>
                <w:right w:val="none" w:sz="0" w:space="0" w:color="auto"/>
              </w:divBdr>
            </w:div>
            <w:div w:id="489559465">
              <w:marLeft w:val="0"/>
              <w:marRight w:val="0"/>
              <w:marTop w:val="0"/>
              <w:marBottom w:val="240"/>
              <w:divBdr>
                <w:top w:val="none" w:sz="0" w:space="0" w:color="auto"/>
                <w:left w:val="none" w:sz="0" w:space="0" w:color="auto"/>
                <w:bottom w:val="none" w:sz="0" w:space="0" w:color="auto"/>
                <w:right w:val="none" w:sz="0" w:space="0" w:color="auto"/>
              </w:divBdr>
            </w:div>
            <w:div w:id="191504470">
              <w:marLeft w:val="0"/>
              <w:marRight w:val="0"/>
              <w:marTop w:val="0"/>
              <w:marBottom w:val="240"/>
              <w:divBdr>
                <w:top w:val="none" w:sz="0" w:space="0" w:color="auto"/>
                <w:left w:val="none" w:sz="0" w:space="0" w:color="auto"/>
                <w:bottom w:val="none" w:sz="0" w:space="0" w:color="auto"/>
                <w:right w:val="none" w:sz="0" w:space="0" w:color="auto"/>
              </w:divBdr>
            </w:div>
            <w:div w:id="334695291">
              <w:marLeft w:val="0"/>
              <w:marRight w:val="0"/>
              <w:marTop w:val="0"/>
              <w:marBottom w:val="240"/>
              <w:divBdr>
                <w:top w:val="none" w:sz="0" w:space="0" w:color="auto"/>
                <w:left w:val="none" w:sz="0" w:space="0" w:color="auto"/>
                <w:bottom w:val="none" w:sz="0" w:space="0" w:color="auto"/>
                <w:right w:val="none" w:sz="0" w:space="0" w:color="auto"/>
              </w:divBdr>
            </w:div>
            <w:div w:id="80151059">
              <w:marLeft w:val="0"/>
              <w:marRight w:val="0"/>
              <w:marTop w:val="0"/>
              <w:marBottom w:val="240"/>
              <w:divBdr>
                <w:top w:val="none" w:sz="0" w:space="0" w:color="auto"/>
                <w:left w:val="none" w:sz="0" w:space="0" w:color="auto"/>
                <w:bottom w:val="none" w:sz="0" w:space="0" w:color="auto"/>
                <w:right w:val="none" w:sz="0" w:space="0" w:color="auto"/>
              </w:divBdr>
            </w:div>
            <w:div w:id="496503866">
              <w:marLeft w:val="0"/>
              <w:marRight w:val="0"/>
              <w:marTop w:val="0"/>
              <w:marBottom w:val="240"/>
              <w:divBdr>
                <w:top w:val="none" w:sz="0" w:space="0" w:color="auto"/>
                <w:left w:val="none" w:sz="0" w:space="0" w:color="auto"/>
                <w:bottom w:val="none" w:sz="0" w:space="0" w:color="auto"/>
                <w:right w:val="none" w:sz="0" w:space="0" w:color="auto"/>
              </w:divBdr>
            </w:div>
            <w:div w:id="253830558">
              <w:marLeft w:val="0"/>
              <w:marRight w:val="0"/>
              <w:marTop w:val="0"/>
              <w:marBottom w:val="240"/>
              <w:divBdr>
                <w:top w:val="none" w:sz="0" w:space="0" w:color="auto"/>
                <w:left w:val="none" w:sz="0" w:space="0" w:color="auto"/>
                <w:bottom w:val="none" w:sz="0" w:space="0" w:color="auto"/>
                <w:right w:val="none" w:sz="0" w:space="0" w:color="auto"/>
              </w:divBdr>
            </w:div>
            <w:div w:id="941452317">
              <w:marLeft w:val="0"/>
              <w:marRight w:val="0"/>
              <w:marTop w:val="0"/>
              <w:marBottom w:val="240"/>
              <w:divBdr>
                <w:top w:val="none" w:sz="0" w:space="0" w:color="auto"/>
                <w:left w:val="none" w:sz="0" w:space="0" w:color="auto"/>
                <w:bottom w:val="none" w:sz="0" w:space="0" w:color="auto"/>
                <w:right w:val="none" w:sz="0" w:space="0" w:color="auto"/>
              </w:divBdr>
            </w:div>
            <w:div w:id="1000962189">
              <w:marLeft w:val="0"/>
              <w:marRight w:val="0"/>
              <w:marTop w:val="0"/>
              <w:marBottom w:val="240"/>
              <w:divBdr>
                <w:top w:val="none" w:sz="0" w:space="0" w:color="auto"/>
                <w:left w:val="none" w:sz="0" w:space="0" w:color="auto"/>
                <w:bottom w:val="none" w:sz="0" w:space="0" w:color="auto"/>
                <w:right w:val="none" w:sz="0" w:space="0" w:color="auto"/>
              </w:divBdr>
            </w:div>
            <w:div w:id="1392851695">
              <w:marLeft w:val="0"/>
              <w:marRight w:val="0"/>
              <w:marTop w:val="0"/>
              <w:marBottom w:val="240"/>
              <w:divBdr>
                <w:top w:val="none" w:sz="0" w:space="0" w:color="auto"/>
                <w:left w:val="none" w:sz="0" w:space="0" w:color="auto"/>
                <w:bottom w:val="none" w:sz="0" w:space="0" w:color="auto"/>
                <w:right w:val="none" w:sz="0" w:space="0" w:color="auto"/>
              </w:divBdr>
            </w:div>
            <w:div w:id="103036124">
              <w:marLeft w:val="0"/>
              <w:marRight w:val="0"/>
              <w:marTop w:val="0"/>
              <w:marBottom w:val="240"/>
              <w:divBdr>
                <w:top w:val="none" w:sz="0" w:space="0" w:color="auto"/>
                <w:left w:val="none" w:sz="0" w:space="0" w:color="auto"/>
                <w:bottom w:val="none" w:sz="0" w:space="0" w:color="auto"/>
                <w:right w:val="none" w:sz="0" w:space="0" w:color="auto"/>
              </w:divBdr>
            </w:div>
            <w:div w:id="1821573770">
              <w:marLeft w:val="0"/>
              <w:marRight w:val="0"/>
              <w:marTop w:val="0"/>
              <w:marBottom w:val="240"/>
              <w:divBdr>
                <w:top w:val="none" w:sz="0" w:space="0" w:color="auto"/>
                <w:left w:val="none" w:sz="0" w:space="0" w:color="auto"/>
                <w:bottom w:val="none" w:sz="0" w:space="0" w:color="auto"/>
                <w:right w:val="none" w:sz="0" w:space="0" w:color="auto"/>
              </w:divBdr>
            </w:div>
            <w:div w:id="30153392">
              <w:marLeft w:val="0"/>
              <w:marRight w:val="0"/>
              <w:marTop w:val="0"/>
              <w:marBottom w:val="240"/>
              <w:divBdr>
                <w:top w:val="none" w:sz="0" w:space="0" w:color="auto"/>
                <w:left w:val="none" w:sz="0" w:space="0" w:color="auto"/>
                <w:bottom w:val="none" w:sz="0" w:space="0" w:color="auto"/>
                <w:right w:val="none" w:sz="0" w:space="0" w:color="auto"/>
              </w:divBdr>
            </w:div>
            <w:div w:id="1569536134">
              <w:marLeft w:val="0"/>
              <w:marRight w:val="0"/>
              <w:marTop w:val="0"/>
              <w:marBottom w:val="240"/>
              <w:divBdr>
                <w:top w:val="none" w:sz="0" w:space="0" w:color="auto"/>
                <w:left w:val="none" w:sz="0" w:space="0" w:color="auto"/>
                <w:bottom w:val="none" w:sz="0" w:space="0" w:color="auto"/>
                <w:right w:val="none" w:sz="0" w:space="0" w:color="auto"/>
              </w:divBdr>
            </w:div>
            <w:div w:id="2042852622">
              <w:marLeft w:val="0"/>
              <w:marRight w:val="0"/>
              <w:marTop w:val="0"/>
              <w:marBottom w:val="240"/>
              <w:divBdr>
                <w:top w:val="none" w:sz="0" w:space="0" w:color="auto"/>
                <w:left w:val="none" w:sz="0" w:space="0" w:color="auto"/>
                <w:bottom w:val="none" w:sz="0" w:space="0" w:color="auto"/>
                <w:right w:val="none" w:sz="0" w:space="0" w:color="auto"/>
              </w:divBdr>
            </w:div>
            <w:div w:id="1396733758">
              <w:marLeft w:val="0"/>
              <w:marRight w:val="0"/>
              <w:marTop w:val="0"/>
              <w:marBottom w:val="240"/>
              <w:divBdr>
                <w:top w:val="none" w:sz="0" w:space="0" w:color="auto"/>
                <w:left w:val="none" w:sz="0" w:space="0" w:color="auto"/>
                <w:bottom w:val="none" w:sz="0" w:space="0" w:color="auto"/>
                <w:right w:val="none" w:sz="0" w:space="0" w:color="auto"/>
              </w:divBdr>
            </w:div>
            <w:div w:id="590356460">
              <w:marLeft w:val="0"/>
              <w:marRight w:val="0"/>
              <w:marTop w:val="0"/>
              <w:marBottom w:val="240"/>
              <w:divBdr>
                <w:top w:val="none" w:sz="0" w:space="0" w:color="auto"/>
                <w:left w:val="none" w:sz="0" w:space="0" w:color="auto"/>
                <w:bottom w:val="none" w:sz="0" w:space="0" w:color="auto"/>
                <w:right w:val="none" w:sz="0" w:space="0" w:color="auto"/>
              </w:divBdr>
            </w:div>
            <w:div w:id="532156856">
              <w:marLeft w:val="0"/>
              <w:marRight w:val="0"/>
              <w:marTop w:val="0"/>
              <w:marBottom w:val="240"/>
              <w:divBdr>
                <w:top w:val="none" w:sz="0" w:space="0" w:color="auto"/>
                <w:left w:val="none" w:sz="0" w:space="0" w:color="auto"/>
                <w:bottom w:val="none" w:sz="0" w:space="0" w:color="auto"/>
                <w:right w:val="none" w:sz="0" w:space="0" w:color="auto"/>
              </w:divBdr>
            </w:div>
            <w:div w:id="1227259114">
              <w:marLeft w:val="0"/>
              <w:marRight w:val="0"/>
              <w:marTop w:val="0"/>
              <w:marBottom w:val="240"/>
              <w:divBdr>
                <w:top w:val="none" w:sz="0" w:space="0" w:color="auto"/>
                <w:left w:val="none" w:sz="0" w:space="0" w:color="auto"/>
                <w:bottom w:val="none" w:sz="0" w:space="0" w:color="auto"/>
                <w:right w:val="none" w:sz="0" w:space="0" w:color="auto"/>
              </w:divBdr>
            </w:div>
            <w:div w:id="1421439544">
              <w:marLeft w:val="0"/>
              <w:marRight w:val="0"/>
              <w:marTop w:val="0"/>
              <w:marBottom w:val="240"/>
              <w:divBdr>
                <w:top w:val="none" w:sz="0" w:space="0" w:color="auto"/>
                <w:left w:val="none" w:sz="0" w:space="0" w:color="auto"/>
                <w:bottom w:val="none" w:sz="0" w:space="0" w:color="auto"/>
                <w:right w:val="none" w:sz="0" w:space="0" w:color="auto"/>
              </w:divBdr>
            </w:div>
            <w:div w:id="81999479">
              <w:marLeft w:val="0"/>
              <w:marRight w:val="0"/>
              <w:marTop w:val="0"/>
              <w:marBottom w:val="240"/>
              <w:divBdr>
                <w:top w:val="none" w:sz="0" w:space="0" w:color="auto"/>
                <w:left w:val="none" w:sz="0" w:space="0" w:color="auto"/>
                <w:bottom w:val="none" w:sz="0" w:space="0" w:color="auto"/>
                <w:right w:val="none" w:sz="0" w:space="0" w:color="auto"/>
              </w:divBdr>
            </w:div>
            <w:div w:id="2136680017">
              <w:marLeft w:val="0"/>
              <w:marRight w:val="0"/>
              <w:marTop w:val="0"/>
              <w:marBottom w:val="240"/>
              <w:divBdr>
                <w:top w:val="none" w:sz="0" w:space="0" w:color="auto"/>
                <w:left w:val="none" w:sz="0" w:space="0" w:color="auto"/>
                <w:bottom w:val="none" w:sz="0" w:space="0" w:color="auto"/>
                <w:right w:val="none" w:sz="0" w:space="0" w:color="auto"/>
              </w:divBdr>
            </w:div>
            <w:div w:id="307323156">
              <w:marLeft w:val="0"/>
              <w:marRight w:val="0"/>
              <w:marTop w:val="0"/>
              <w:marBottom w:val="240"/>
              <w:divBdr>
                <w:top w:val="none" w:sz="0" w:space="0" w:color="auto"/>
                <w:left w:val="none" w:sz="0" w:space="0" w:color="auto"/>
                <w:bottom w:val="none" w:sz="0" w:space="0" w:color="auto"/>
                <w:right w:val="none" w:sz="0" w:space="0" w:color="auto"/>
              </w:divBdr>
            </w:div>
            <w:div w:id="1717778488">
              <w:marLeft w:val="0"/>
              <w:marRight w:val="0"/>
              <w:marTop w:val="0"/>
              <w:marBottom w:val="240"/>
              <w:divBdr>
                <w:top w:val="none" w:sz="0" w:space="0" w:color="auto"/>
                <w:left w:val="none" w:sz="0" w:space="0" w:color="auto"/>
                <w:bottom w:val="none" w:sz="0" w:space="0" w:color="auto"/>
                <w:right w:val="none" w:sz="0" w:space="0" w:color="auto"/>
              </w:divBdr>
            </w:div>
            <w:div w:id="1562254509">
              <w:marLeft w:val="0"/>
              <w:marRight w:val="0"/>
              <w:marTop w:val="0"/>
              <w:marBottom w:val="240"/>
              <w:divBdr>
                <w:top w:val="none" w:sz="0" w:space="0" w:color="auto"/>
                <w:left w:val="none" w:sz="0" w:space="0" w:color="auto"/>
                <w:bottom w:val="none" w:sz="0" w:space="0" w:color="auto"/>
                <w:right w:val="none" w:sz="0" w:space="0" w:color="auto"/>
              </w:divBdr>
            </w:div>
            <w:div w:id="988170155">
              <w:marLeft w:val="0"/>
              <w:marRight w:val="0"/>
              <w:marTop w:val="0"/>
              <w:marBottom w:val="240"/>
              <w:divBdr>
                <w:top w:val="none" w:sz="0" w:space="0" w:color="auto"/>
                <w:left w:val="none" w:sz="0" w:space="0" w:color="auto"/>
                <w:bottom w:val="none" w:sz="0" w:space="0" w:color="auto"/>
                <w:right w:val="none" w:sz="0" w:space="0" w:color="auto"/>
              </w:divBdr>
            </w:div>
            <w:div w:id="458643187">
              <w:marLeft w:val="0"/>
              <w:marRight w:val="0"/>
              <w:marTop w:val="0"/>
              <w:marBottom w:val="240"/>
              <w:divBdr>
                <w:top w:val="none" w:sz="0" w:space="0" w:color="auto"/>
                <w:left w:val="none" w:sz="0" w:space="0" w:color="auto"/>
                <w:bottom w:val="none" w:sz="0" w:space="0" w:color="auto"/>
                <w:right w:val="none" w:sz="0" w:space="0" w:color="auto"/>
              </w:divBdr>
            </w:div>
            <w:div w:id="1120415332">
              <w:marLeft w:val="0"/>
              <w:marRight w:val="0"/>
              <w:marTop w:val="0"/>
              <w:marBottom w:val="240"/>
              <w:divBdr>
                <w:top w:val="none" w:sz="0" w:space="0" w:color="auto"/>
                <w:left w:val="none" w:sz="0" w:space="0" w:color="auto"/>
                <w:bottom w:val="none" w:sz="0" w:space="0" w:color="auto"/>
                <w:right w:val="none" w:sz="0" w:space="0" w:color="auto"/>
              </w:divBdr>
            </w:div>
            <w:div w:id="1157693670">
              <w:marLeft w:val="0"/>
              <w:marRight w:val="0"/>
              <w:marTop w:val="0"/>
              <w:marBottom w:val="240"/>
              <w:divBdr>
                <w:top w:val="none" w:sz="0" w:space="0" w:color="auto"/>
                <w:left w:val="none" w:sz="0" w:space="0" w:color="auto"/>
                <w:bottom w:val="none" w:sz="0" w:space="0" w:color="auto"/>
                <w:right w:val="none" w:sz="0" w:space="0" w:color="auto"/>
              </w:divBdr>
            </w:div>
            <w:div w:id="186918067">
              <w:marLeft w:val="0"/>
              <w:marRight w:val="0"/>
              <w:marTop w:val="0"/>
              <w:marBottom w:val="240"/>
              <w:divBdr>
                <w:top w:val="none" w:sz="0" w:space="0" w:color="auto"/>
                <w:left w:val="none" w:sz="0" w:space="0" w:color="auto"/>
                <w:bottom w:val="none" w:sz="0" w:space="0" w:color="auto"/>
                <w:right w:val="none" w:sz="0" w:space="0" w:color="auto"/>
              </w:divBdr>
            </w:div>
            <w:div w:id="2053340359">
              <w:marLeft w:val="0"/>
              <w:marRight w:val="0"/>
              <w:marTop w:val="0"/>
              <w:marBottom w:val="240"/>
              <w:divBdr>
                <w:top w:val="none" w:sz="0" w:space="0" w:color="auto"/>
                <w:left w:val="none" w:sz="0" w:space="0" w:color="auto"/>
                <w:bottom w:val="none" w:sz="0" w:space="0" w:color="auto"/>
                <w:right w:val="none" w:sz="0" w:space="0" w:color="auto"/>
              </w:divBdr>
            </w:div>
            <w:div w:id="2075271911">
              <w:marLeft w:val="0"/>
              <w:marRight w:val="0"/>
              <w:marTop w:val="0"/>
              <w:marBottom w:val="240"/>
              <w:divBdr>
                <w:top w:val="none" w:sz="0" w:space="0" w:color="auto"/>
                <w:left w:val="none" w:sz="0" w:space="0" w:color="auto"/>
                <w:bottom w:val="none" w:sz="0" w:space="0" w:color="auto"/>
                <w:right w:val="none" w:sz="0" w:space="0" w:color="auto"/>
              </w:divBdr>
            </w:div>
            <w:div w:id="206257188">
              <w:marLeft w:val="0"/>
              <w:marRight w:val="0"/>
              <w:marTop w:val="0"/>
              <w:marBottom w:val="240"/>
              <w:divBdr>
                <w:top w:val="none" w:sz="0" w:space="0" w:color="auto"/>
                <w:left w:val="none" w:sz="0" w:space="0" w:color="auto"/>
                <w:bottom w:val="none" w:sz="0" w:space="0" w:color="auto"/>
                <w:right w:val="none" w:sz="0" w:space="0" w:color="auto"/>
              </w:divBdr>
            </w:div>
            <w:div w:id="1429040021">
              <w:marLeft w:val="0"/>
              <w:marRight w:val="0"/>
              <w:marTop w:val="0"/>
              <w:marBottom w:val="240"/>
              <w:divBdr>
                <w:top w:val="none" w:sz="0" w:space="0" w:color="auto"/>
                <w:left w:val="none" w:sz="0" w:space="0" w:color="auto"/>
                <w:bottom w:val="none" w:sz="0" w:space="0" w:color="auto"/>
                <w:right w:val="none" w:sz="0" w:space="0" w:color="auto"/>
              </w:divBdr>
            </w:div>
            <w:div w:id="1308319946">
              <w:marLeft w:val="0"/>
              <w:marRight w:val="0"/>
              <w:marTop w:val="0"/>
              <w:marBottom w:val="240"/>
              <w:divBdr>
                <w:top w:val="none" w:sz="0" w:space="0" w:color="auto"/>
                <w:left w:val="none" w:sz="0" w:space="0" w:color="auto"/>
                <w:bottom w:val="none" w:sz="0" w:space="0" w:color="auto"/>
                <w:right w:val="none" w:sz="0" w:space="0" w:color="auto"/>
              </w:divBdr>
            </w:div>
            <w:div w:id="1241449319">
              <w:marLeft w:val="0"/>
              <w:marRight w:val="0"/>
              <w:marTop w:val="0"/>
              <w:marBottom w:val="240"/>
              <w:divBdr>
                <w:top w:val="none" w:sz="0" w:space="0" w:color="auto"/>
                <w:left w:val="none" w:sz="0" w:space="0" w:color="auto"/>
                <w:bottom w:val="none" w:sz="0" w:space="0" w:color="auto"/>
                <w:right w:val="none" w:sz="0" w:space="0" w:color="auto"/>
              </w:divBdr>
            </w:div>
            <w:div w:id="72166028">
              <w:marLeft w:val="0"/>
              <w:marRight w:val="0"/>
              <w:marTop w:val="0"/>
              <w:marBottom w:val="240"/>
              <w:divBdr>
                <w:top w:val="none" w:sz="0" w:space="0" w:color="auto"/>
                <w:left w:val="none" w:sz="0" w:space="0" w:color="auto"/>
                <w:bottom w:val="none" w:sz="0" w:space="0" w:color="auto"/>
                <w:right w:val="none" w:sz="0" w:space="0" w:color="auto"/>
              </w:divBdr>
            </w:div>
            <w:div w:id="1125083775">
              <w:marLeft w:val="0"/>
              <w:marRight w:val="0"/>
              <w:marTop w:val="0"/>
              <w:marBottom w:val="240"/>
              <w:divBdr>
                <w:top w:val="none" w:sz="0" w:space="0" w:color="auto"/>
                <w:left w:val="none" w:sz="0" w:space="0" w:color="auto"/>
                <w:bottom w:val="none" w:sz="0" w:space="0" w:color="auto"/>
                <w:right w:val="none" w:sz="0" w:space="0" w:color="auto"/>
              </w:divBdr>
            </w:div>
            <w:div w:id="1130050095">
              <w:marLeft w:val="0"/>
              <w:marRight w:val="0"/>
              <w:marTop w:val="0"/>
              <w:marBottom w:val="240"/>
              <w:divBdr>
                <w:top w:val="none" w:sz="0" w:space="0" w:color="auto"/>
                <w:left w:val="none" w:sz="0" w:space="0" w:color="auto"/>
                <w:bottom w:val="none" w:sz="0" w:space="0" w:color="auto"/>
                <w:right w:val="none" w:sz="0" w:space="0" w:color="auto"/>
              </w:divBdr>
            </w:div>
            <w:div w:id="1066223259">
              <w:marLeft w:val="0"/>
              <w:marRight w:val="0"/>
              <w:marTop w:val="0"/>
              <w:marBottom w:val="240"/>
              <w:divBdr>
                <w:top w:val="none" w:sz="0" w:space="0" w:color="auto"/>
                <w:left w:val="none" w:sz="0" w:space="0" w:color="auto"/>
                <w:bottom w:val="none" w:sz="0" w:space="0" w:color="auto"/>
                <w:right w:val="none" w:sz="0" w:space="0" w:color="auto"/>
              </w:divBdr>
            </w:div>
            <w:div w:id="1204949686">
              <w:marLeft w:val="0"/>
              <w:marRight w:val="0"/>
              <w:marTop w:val="0"/>
              <w:marBottom w:val="240"/>
              <w:divBdr>
                <w:top w:val="none" w:sz="0" w:space="0" w:color="auto"/>
                <w:left w:val="none" w:sz="0" w:space="0" w:color="auto"/>
                <w:bottom w:val="none" w:sz="0" w:space="0" w:color="auto"/>
                <w:right w:val="none" w:sz="0" w:space="0" w:color="auto"/>
              </w:divBdr>
            </w:div>
            <w:div w:id="1666010572">
              <w:marLeft w:val="0"/>
              <w:marRight w:val="0"/>
              <w:marTop w:val="0"/>
              <w:marBottom w:val="240"/>
              <w:divBdr>
                <w:top w:val="none" w:sz="0" w:space="0" w:color="auto"/>
                <w:left w:val="none" w:sz="0" w:space="0" w:color="auto"/>
                <w:bottom w:val="none" w:sz="0" w:space="0" w:color="auto"/>
                <w:right w:val="none" w:sz="0" w:space="0" w:color="auto"/>
              </w:divBdr>
            </w:div>
            <w:div w:id="577862899">
              <w:marLeft w:val="0"/>
              <w:marRight w:val="0"/>
              <w:marTop w:val="0"/>
              <w:marBottom w:val="240"/>
              <w:divBdr>
                <w:top w:val="none" w:sz="0" w:space="0" w:color="auto"/>
                <w:left w:val="none" w:sz="0" w:space="0" w:color="auto"/>
                <w:bottom w:val="none" w:sz="0" w:space="0" w:color="auto"/>
                <w:right w:val="none" w:sz="0" w:space="0" w:color="auto"/>
              </w:divBdr>
            </w:div>
            <w:div w:id="784614081">
              <w:marLeft w:val="0"/>
              <w:marRight w:val="0"/>
              <w:marTop w:val="0"/>
              <w:marBottom w:val="240"/>
              <w:divBdr>
                <w:top w:val="none" w:sz="0" w:space="0" w:color="auto"/>
                <w:left w:val="none" w:sz="0" w:space="0" w:color="auto"/>
                <w:bottom w:val="none" w:sz="0" w:space="0" w:color="auto"/>
                <w:right w:val="none" w:sz="0" w:space="0" w:color="auto"/>
              </w:divBdr>
            </w:div>
            <w:div w:id="1880506364">
              <w:marLeft w:val="0"/>
              <w:marRight w:val="0"/>
              <w:marTop w:val="0"/>
              <w:marBottom w:val="240"/>
              <w:divBdr>
                <w:top w:val="none" w:sz="0" w:space="0" w:color="auto"/>
                <w:left w:val="none" w:sz="0" w:space="0" w:color="auto"/>
                <w:bottom w:val="none" w:sz="0" w:space="0" w:color="auto"/>
                <w:right w:val="none" w:sz="0" w:space="0" w:color="auto"/>
              </w:divBdr>
            </w:div>
            <w:div w:id="1388382255">
              <w:marLeft w:val="0"/>
              <w:marRight w:val="0"/>
              <w:marTop w:val="0"/>
              <w:marBottom w:val="240"/>
              <w:divBdr>
                <w:top w:val="none" w:sz="0" w:space="0" w:color="auto"/>
                <w:left w:val="none" w:sz="0" w:space="0" w:color="auto"/>
                <w:bottom w:val="none" w:sz="0" w:space="0" w:color="auto"/>
                <w:right w:val="none" w:sz="0" w:space="0" w:color="auto"/>
              </w:divBdr>
            </w:div>
            <w:div w:id="118644422">
              <w:marLeft w:val="0"/>
              <w:marRight w:val="0"/>
              <w:marTop w:val="0"/>
              <w:marBottom w:val="240"/>
              <w:divBdr>
                <w:top w:val="none" w:sz="0" w:space="0" w:color="auto"/>
                <w:left w:val="none" w:sz="0" w:space="0" w:color="auto"/>
                <w:bottom w:val="none" w:sz="0" w:space="0" w:color="auto"/>
                <w:right w:val="none" w:sz="0" w:space="0" w:color="auto"/>
              </w:divBdr>
            </w:div>
            <w:div w:id="2138639443">
              <w:marLeft w:val="0"/>
              <w:marRight w:val="0"/>
              <w:marTop w:val="0"/>
              <w:marBottom w:val="240"/>
              <w:divBdr>
                <w:top w:val="none" w:sz="0" w:space="0" w:color="auto"/>
                <w:left w:val="none" w:sz="0" w:space="0" w:color="auto"/>
                <w:bottom w:val="none" w:sz="0" w:space="0" w:color="auto"/>
                <w:right w:val="none" w:sz="0" w:space="0" w:color="auto"/>
              </w:divBdr>
            </w:div>
            <w:div w:id="1414281521">
              <w:marLeft w:val="0"/>
              <w:marRight w:val="0"/>
              <w:marTop w:val="0"/>
              <w:marBottom w:val="240"/>
              <w:divBdr>
                <w:top w:val="none" w:sz="0" w:space="0" w:color="auto"/>
                <w:left w:val="none" w:sz="0" w:space="0" w:color="auto"/>
                <w:bottom w:val="none" w:sz="0" w:space="0" w:color="auto"/>
                <w:right w:val="none" w:sz="0" w:space="0" w:color="auto"/>
              </w:divBdr>
            </w:div>
            <w:div w:id="331880277">
              <w:marLeft w:val="0"/>
              <w:marRight w:val="0"/>
              <w:marTop w:val="0"/>
              <w:marBottom w:val="240"/>
              <w:divBdr>
                <w:top w:val="none" w:sz="0" w:space="0" w:color="auto"/>
                <w:left w:val="none" w:sz="0" w:space="0" w:color="auto"/>
                <w:bottom w:val="none" w:sz="0" w:space="0" w:color="auto"/>
                <w:right w:val="none" w:sz="0" w:space="0" w:color="auto"/>
              </w:divBdr>
            </w:div>
            <w:div w:id="686445686">
              <w:marLeft w:val="0"/>
              <w:marRight w:val="0"/>
              <w:marTop w:val="0"/>
              <w:marBottom w:val="240"/>
              <w:divBdr>
                <w:top w:val="none" w:sz="0" w:space="0" w:color="auto"/>
                <w:left w:val="none" w:sz="0" w:space="0" w:color="auto"/>
                <w:bottom w:val="none" w:sz="0" w:space="0" w:color="auto"/>
                <w:right w:val="none" w:sz="0" w:space="0" w:color="auto"/>
              </w:divBdr>
            </w:div>
            <w:div w:id="1697847606">
              <w:marLeft w:val="0"/>
              <w:marRight w:val="0"/>
              <w:marTop w:val="0"/>
              <w:marBottom w:val="240"/>
              <w:divBdr>
                <w:top w:val="none" w:sz="0" w:space="0" w:color="auto"/>
                <w:left w:val="none" w:sz="0" w:space="0" w:color="auto"/>
                <w:bottom w:val="none" w:sz="0" w:space="0" w:color="auto"/>
                <w:right w:val="none" w:sz="0" w:space="0" w:color="auto"/>
              </w:divBdr>
            </w:div>
            <w:div w:id="946694664">
              <w:marLeft w:val="0"/>
              <w:marRight w:val="0"/>
              <w:marTop w:val="0"/>
              <w:marBottom w:val="240"/>
              <w:divBdr>
                <w:top w:val="none" w:sz="0" w:space="0" w:color="auto"/>
                <w:left w:val="none" w:sz="0" w:space="0" w:color="auto"/>
                <w:bottom w:val="none" w:sz="0" w:space="0" w:color="auto"/>
                <w:right w:val="none" w:sz="0" w:space="0" w:color="auto"/>
              </w:divBdr>
            </w:div>
            <w:div w:id="1627546295">
              <w:marLeft w:val="0"/>
              <w:marRight w:val="0"/>
              <w:marTop w:val="0"/>
              <w:marBottom w:val="240"/>
              <w:divBdr>
                <w:top w:val="none" w:sz="0" w:space="0" w:color="auto"/>
                <w:left w:val="none" w:sz="0" w:space="0" w:color="auto"/>
                <w:bottom w:val="none" w:sz="0" w:space="0" w:color="auto"/>
                <w:right w:val="none" w:sz="0" w:space="0" w:color="auto"/>
              </w:divBdr>
            </w:div>
            <w:div w:id="631178031">
              <w:marLeft w:val="0"/>
              <w:marRight w:val="0"/>
              <w:marTop w:val="0"/>
              <w:marBottom w:val="240"/>
              <w:divBdr>
                <w:top w:val="none" w:sz="0" w:space="0" w:color="auto"/>
                <w:left w:val="none" w:sz="0" w:space="0" w:color="auto"/>
                <w:bottom w:val="none" w:sz="0" w:space="0" w:color="auto"/>
                <w:right w:val="none" w:sz="0" w:space="0" w:color="auto"/>
              </w:divBdr>
            </w:div>
            <w:div w:id="963996754">
              <w:marLeft w:val="0"/>
              <w:marRight w:val="0"/>
              <w:marTop w:val="0"/>
              <w:marBottom w:val="240"/>
              <w:divBdr>
                <w:top w:val="none" w:sz="0" w:space="0" w:color="auto"/>
                <w:left w:val="none" w:sz="0" w:space="0" w:color="auto"/>
                <w:bottom w:val="none" w:sz="0" w:space="0" w:color="auto"/>
                <w:right w:val="none" w:sz="0" w:space="0" w:color="auto"/>
              </w:divBdr>
            </w:div>
            <w:div w:id="668799832">
              <w:marLeft w:val="0"/>
              <w:marRight w:val="0"/>
              <w:marTop w:val="0"/>
              <w:marBottom w:val="240"/>
              <w:divBdr>
                <w:top w:val="none" w:sz="0" w:space="0" w:color="auto"/>
                <w:left w:val="none" w:sz="0" w:space="0" w:color="auto"/>
                <w:bottom w:val="none" w:sz="0" w:space="0" w:color="auto"/>
                <w:right w:val="none" w:sz="0" w:space="0" w:color="auto"/>
              </w:divBdr>
            </w:div>
            <w:div w:id="378431772">
              <w:marLeft w:val="0"/>
              <w:marRight w:val="0"/>
              <w:marTop w:val="0"/>
              <w:marBottom w:val="240"/>
              <w:divBdr>
                <w:top w:val="none" w:sz="0" w:space="0" w:color="auto"/>
                <w:left w:val="none" w:sz="0" w:space="0" w:color="auto"/>
                <w:bottom w:val="none" w:sz="0" w:space="0" w:color="auto"/>
                <w:right w:val="none" w:sz="0" w:space="0" w:color="auto"/>
              </w:divBdr>
            </w:div>
            <w:div w:id="2128498760">
              <w:marLeft w:val="0"/>
              <w:marRight w:val="0"/>
              <w:marTop w:val="0"/>
              <w:marBottom w:val="240"/>
              <w:divBdr>
                <w:top w:val="none" w:sz="0" w:space="0" w:color="auto"/>
                <w:left w:val="none" w:sz="0" w:space="0" w:color="auto"/>
                <w:bottom w:val="none" w:sz="0" w:space="0" w:color="auto"/>
                <w:right w:val="none" w:sz="0" w:space="0" w:color="auto"/>
              </w:divBdr>
            </w:div>
            <w:div w:id="1982609202">
              <w:marLeft w:val="0"/>
              <w:marRight w:val="0"/>
              <w:marTop w:val="0"/>
              <w:marBottom w:val="240"/>
              <w:divBdr>
                <w:top w:val="none" w:sz="0" w:space="0" w:color="auto"/>
                <w:left w:val="none" w:sz="0" w:space="0" w:color="auto"/>
                <w:bottom w:val="none" w:sz="0" w:space="0" w:color="auto"/>
                <w:right w:val="none" w:sz="0" w:space="0" w:color="auto"/>
              </w:divBdr>
            </w:div>
            <w:div w:id="65733932">
              <w:marLeft w:val="0"/>
              <w:marRight w:val="0"/>
              <w:marTop w:val="0"/>
              <w:marBottom w:val="240"/>
              <w:divBdr>
                <w:top w:val="none" w:sz="0" w:space="0" w:color="auto"/>
                <w:left w:val="none" w:sz="0" w:space="0" w:color="auto"/>
                <w:bottom w:val="none" w:sz="0" w:space="0" w:color="auto"/>
                <w:right w:val="none" w:sz="0" w:space="0" w:color="auto"/>
              </w:divBdr>
            </w:div>
            <w:div w:id="2032878856">
              <w:marLeft w:val="0"/>
              <w:marRight w:val="0"/>
              <w:marTop w:val="0"/>
              <w:marBottom w:val="240"/>
              <w:divBdr>
                <w:top w:val="none" w:sz="0" w:space="0" w:color="auto"/>
                <w:left w:val="none" w:sz="0" w:space="0" w:color="auto"/>
                <w:bottom w:val="none" w:sz="0" w:space="0" w:color="auto"/>
                <w:right w:val="none" w:sz="0" w:space="0" w:color="auto"/>
              </w:divBdr>
            </w:div>
            <w:div w:id="1304312594">
              <w:marLeft w:val="0"/>
              <w:marRight w:val="0"/>
              <w:marTop w:val="0"/>
              <w:marBottom w:val="240"/>
              <w:divBdr>
                <w:top w:val="none" w:sz="0" w:space="0" w:color="auto"/>
                <w:left w:val="none" w:sz="0" w:space="0" w:color="auto"/>
                <w:bottom w:val="none" w:sz="0" w:space="0" w:color="auto"/>
                <w:right w:val="none" w:sz="0" w:space="0" w:color="auto"/>
              </w:divBdr>
            </w:div>
            <w:div w:id="1019620180">
              <w:marLeft w:val="0"/>
              <w:marRight w:val="0"/>
              <w:marTop w:val="0"/>
              <w:marBottom w:val="240"/>
              <w:divBdr>
                <w:top w:val="none" w:sz="0" w:space="0" w:color="auto"/>
                <w:left w:val="none" w:sz="0" w:space="0" w:color="auto"/>
                <w:bottom w:val="none" w:sz="0" w:space="0" w:color="auto"/>
                <w:right w:val="none" w:sz="0" w:space="0" w:color="auto"/>
              </w:divBdr>
            </w:div>
            <w:div w:id="1445349512">
              <w:marLeft w:val="0"/>
              <w:marRight w:val="0"/>
              <w:marTop w:val="0"/>
              <w:marBottom w:val="240"/>
              <w:divBdr>
                <w:top w:val="none" w:sz="0" w:space="0" w:color="auto"/>
                <w:left w:val="none" w:sz="0" w:space="0" w:color="auto"/>
                <w:bottom w:val="none" w:sz="0" w:space="0" w:color="auto"/>
                <w:right w:val="none" w:sz="0" w:space="0" w:color="auto"/>
              </w:divBdr>
            </w:div>
            <w:div w:id="541291239">
              <w:marLeft w:val="0"/>
              <w:marRight w:val="0"/>
              <w:marTop w:val="0"/>
              <w:marBottom w:val="240"/>
              <w:divBdr>
                <w:top w:val="none" w:sz="0" w:space="0" w:color="auto"/>
                <w:left w:val="none" w:sz="0" w:space="0" w:color="auto"/>
                <w:bottom w:val="none" w:sz="0" w:space="0" w:color="auto"/>
                <w:right w:val="none" w:sz="0" w:space="0" w:color="auto"/>
              </w:divBdr>
            </w:div>
            <w:div w:id="930432181">
              <w:marLeft w:val="0"/>
              <w:marRight w:val="0"/>
              <w:marTop w:val="0"/>
              <w:marBottom w:val="240"/>
              <w:divBdr>
                <w:top w:val="none" w:sz="0" w:space="0" w:color="auto"/>
                <w:left w:val="none" w:sz="0" w:space="0" w:color="auto"/>
                <w:bottom w:val="none" w:sz="0" w:space="0" w:color="auto"/>
                <w:right w:val="none" w:sz="0" w:space="0" w:color="auto"/>
              </w:divBdr>
            </w:div>
            <w:div w:id="1891916127">
              <w:marLeft w:val="0"/>
              <w:marRight w:val="0"/>
              <w:marTop w:val="0"/>
              <w:marBottom w:val="240"/>
              <w:divBdr>
                <w:top w:val="none" w:sz="0" w:space="0" w:color="auto"/>
                <w:left w:val="none" w:sz="0" w:space="0" w:color="auto"/>
                <w:bottom w:val="none" w:sz="0" w:space="0" w:color="auto"/>
                <w:right w:val="none" w:sz="0" w:space="0" w:color="auto"/>
              </w:divBdr>
            </w:div>
            <w:div w:id="855996810">
              <w:marLeft w:val="0"/>
              <w:marRight w:val="0"/>
              <w:marTop w:val="0"/>
              <w:marBottom w:val="240"/>
              <w:divBdr>
                <w:top w:val="none" w:sz="0" w:space="0" w:color="auto"/>
                <w:left w:val="none" w:sz="0" w:space="0" w:color="auto"/>
                <w:bottom w:val="none" w:sz="0" w:space="0" w:color="auto"/>
                <w:right w:val="none" w:sz="0" w:space="0" w:color="auto"/>
              </w:divBdr>
            </w:div>
            <w:div w:id="1189682303">
              <w:marLeft w:val="0"/>
              <w:marRight w:val="0"/>
              <w:marTop w:val="0"/>
              <w:marBottom w:val="240"/>
              <w:divBdr>
                <w:top w:val="none" w:sz="0" w:space="0" w:color="auto"/>
                <w:left w:val="none" w:sz="0" w:space="0" w:color="auto"/>
                <w:bottom w:val="none" w:sz="0" w:space="0" w:color="auto"/>
                <w:right w:val="none" w:sz="0" w:space="0" w:color="auto"/>
              </w:divBdr>
            </w:div>
            <w:div w:id="944995072">
              <w:marLeft w:val="0"/>
              <w:marRight w:val="0"/>
              <w:marTop w:val="0"/>
              <w:marBottom w:val="240"/>
              <w:divBdr>
                <w:top w:val="none" w:sz="0" w:space="0" w:color="auto"/>
                <w:left w:val="none" w:sz="0" w:space="0" w:color="auto"/>
                <w:bottom w:val="none" w:sz="0" w:space="0" w:color="auto"/>
                <w:right w:val="none" w:sz="0" w:space="0" w:color="auto"/>
              </w:divBdr>
            </w:div>
            <w:div w:id="1511212966">
              <w:marLeft w:val="0"/>
              <w:marRight w:val="0"/>
              <w:marTop w:val="0"/>
              <w:marBottom w:val="240"/>
              <w:divBdr>
                <w:top w:val="none" w:sz="0" w:space="0" w:color="auto"/>
                <w:left w:val="none" w:sz="0" w:space="0" w:color="auto"/>
                <w:bottom w:val="none" w:sz="0" w:space="0" w:color="auto"/>
                <w:right w:val="none" w:sz="0" w:space="0" w:color="auto"/>
              </w:divBdr>
            </w:div>
            <w:div w:id="1462916989">
              <w:marLeft w:val="0"/>
              <w:marRight w:val="0"/>
              <w:marTop w:val="0"/>
              <w:marBottom w:val="240"/>
              <w:divBdr>
                <w:top w:val="none" w:sz="0" w:space="0" w:color="auto"/>
                <w:left w:val="none" w:sz="0" w:space="0" w:color="auto"/>
                <w:bottom w:val="none" w:sz="0" w:space="0" w:color="auto"/>
                <w:right w:val="none" w:sz="0" w:space="0" w:color="auto"/>
              </w:divBdr>
            </w:div>
            <w:div w:id="3867688">
              <w:marLeft w:val="0"/>
              <w:marRight w:val="0"/>
              <w:marTop w:val="0"/>
              <w:marBottom w:val="240"/>
              <w:divBdr>
                <w:top w:val="none" w:sz="0" w:space="0" w:color="auto"/>
                <w:left w:val="none" w:sz="0" w:space="0" w:color="auto"/>
                <w:bottom w:val="none" w:sz="0" w:space="0" w:color="auto"/>
                <w:right w:val="none" w:sz="0" w:space="0" w:color="auto"/>
              </w:divBdr>
            </w:div>
            <w:div w:id="37708175">
              <w:marLeft w:val="0"/>
              <w:marRight w:val="0"/>
              <w:marTop w:val="0"/>
              <w:marBottom w:val="240"/>
              <w:divBdr>
                <w:top w:val="none" w:sz="0" w:space="0" w:color="auto"/>
                <w:left w:val="none" w:sz="0" w:space="0" w:color="auto"/>
                <w:bottom w:val="none" w:sz="0" w:space="0" w:color="auto"/>
                <w:right w:val="none" w:sz="0" w:space="0" w:color="auto"/>
              </w:divBdr>
            </w:div>
            <w:div w:id="1103384792">
              <w:marLeft w:val="0"/>
              <w:marRight w:val="0"/>
              <w:marTop w:val="0"/>
              <w:marBottom w:val="240"/>
              <w:divBdr>
                <w:top w:val="none" w:sz="0" w:space="0" w:color="auto"/>
                <w:left w:val="none" w:sz="0" w:space="0" w:color="auto"/>
                <w:bottom w:val="none" w:sz="0" w:space="0" w:color="auto"/>
                <w:right w:val="none" w:sz="0" w:space="0" w:color="auto"/>
              </w:divBdr>
            </w:div>
            <w:div w:id="373848286">
              <w:marLeft w:val="0"/>
              <w:marRight w:val="0"/>
              <w:marTop w:val="0"/>
              <w:marBottom w:val="240"/>
              <w:divBdr>
                <w:top w:val="none" w:sz="0" w:space="0" w:color="auto"/>
                <w:left w:val="none" w:sz="0" w:space="0" w:color="auto"/>
                <w:bottom w:val="none" w:sz="0" w:space="0" w:color="auto"/>
                <w:right w:val="none" w:sz="0" w:space="0" w:color="auto"/>
              </w:divBdr>
            </w:div>
            <w:div w:id="383060951">
              <w:marLeft w:val="0"/>
              <w:marRight w:val="0"/>
              <w:marTop w:val="0"/>
              <w:marBottom w:val="240"/>
              <w:divBdr>
                <w:top w:val="none" w:sz="0" w:space="0" w:color="auto"/>
                <w:left w:val="none" w:sz="0" w:space="0" w:color="auto"/>
                <w:bottom w:val="none" w:sz="0" w:space="0" w:color="auto"/>
                <w:right w:val="none" w:sz="0" w:space="0" w:color="auto"/>
              </w:divBdr>
            </w:div>
            <w:div w:id="1279947003">
              <w:marLeft w:val="0"/>
              <w:marRight w:val="0"/>
              <w:marTop w:val="0"/>
              <w:marBottom w:val="240"/>
              <w:divBdr>
                <w:top w:val="none" w:sz="0" w:space="0" w:color="auto"/>
                <w:left w:val="none" w:sz="0" w:space="0" w:color="auto"/>
                <w:bottom w:val="none" w:sz="0" w:space="0" w:color="auto"/>
                <w:right w:val="none" w:sz="0" w:space="0" w:color="auto"/>
              </w:divBdr>
            </w:div>
            <w:div w:id="1977832707">
              <w:marLeft w:val="0"/>
              <w:marRight w:val="0"/>
              <w:marTop w:val="0"/>
              <w:marBottom w:val="240"/>
              <w:divBdr>
                <w:top w:val="none" w:sz="0" w:space="0" w:color="auto"/>
                <w:left w:val="none" w:sz="0" w:space="0" w:color="auto"/>
                <w:bottom w:val="none" w:sz="0" w:space="0" w:color="auto"/>
                <w:right w:val="none" w:sz="0" w:space="0" w:color="auto"/>
              </w:divBdr>
            </w:div>
            <w:div w:id="53701643">
              <w:marLeft w:val="0"/>
              <w:marRight w:val="0"/>
              <w:marTop w:val="0"/>
              <w:marBottom w:val="240"/>
              <w:divBdr>
                <w:top w:val="none" w:sz="0" w:space="0" w:color="auto"/>
                <w:left w:val="none" w:sz="0" w:space="0" w:color="auto"/>
                <w:bottom w:val="none" w:sz="0" w:space="0" w:color="auto"/>
                <w:right w:val="none" w:sz="0" w:space="0" w:color="auto"/>
              </w:divBdr>
            </w:div>
            <w:div w:id="37593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507873">
      <w:bodyDiv w:val="1"/>
      <w:marLeft w:val="0"/>
      <w:marRight w:val="0"/>
      <w:marTop w:val="0"/>
      <w:marBottom w:val="0"/>
      <w:divBdr>
        <w:top w:val="none" w:sz="0" w:space="0" w:color="auto"/>
        <w:left w:val="none" w:sz="0" w:space="0" w:color="auto"/>
        <w:bottom w:val="none" w:sz="0" w:space="0" w:color="auto"/>
        <w:right w:val="none" w:sz="0" w:space="0" w:color="auto"/>
      </w:divBdr>
    </w:div>
    <w:div w:id="506796983">
      <w:bodyDiv w:val="1"/>
      <w:marLeft w:val="0"/>
      <w:marRight w:val="0"/>
      <w:marTop w:val="0"/>
      <w:marBottom w:val="0"/>
      <w:divBdr>
        <w:top w:val="none" w:sz="0" w:space="0" w:color="auto"/>
        <w:left w:val="none" w:sz="0" w:space="0" w:color="auto"/>
        <w:bottom w:val="none" w:sz="0" w:space="0" w:color="auto"/>
        <w:right w:val="none" w:sz="0" w:space="0" w:color="auto"/>
      </w:divBdr>
    </w:div>
    <w:div w:id="510879898">
      <w:bodyDiv w:val="1"/>
      <w:marLeft w:val="0"/>
      <w:marRight w:val="0"/>
      <w:marTop w:val="0"/>
      <w:marBottom w:val="0"/>
      <w:divBdr>
        <w:top w:val="none" w:sz="0" w:space="0" w:color="auto"/>
        <w:left w:val="none" w:sz="0" w:space="0" w:color="auto"/>
        <w:bottom w:val="none" w:sz="0" w:space="0" w:color="auto"/>
        <w:right w:val="none" w:sz="0" w:space="0" w:color="auto"/>
      </w:divBdr>
    </w:div>
    <w:div w:id="516696200">
      <w:bodyDiv w:val="1"/>
      <w:marLeft w:val="0"/>
      <w:marRight w:val="0"/>
      <w:marTop w:val="0"/>
      <w:marBottom w:val="0"/>
      <w:divBdr>
        <w:top w:val="none" w:sz="0" w:space="0" w:color="auto"/>
        <w:left w:val="none" w:sz="0" w:space="0" w:color="auto"/>
        <w:bottom w:val="none" w:sz="0" w:space="0" w:color="auto"/>
        <w:right w:val="none" w:sz="0" w:space="0" w:color="auto"/>
      </w:divBdr>
    </w:div>
    <w:div w:id="530001218">
      <w:bodyDiv w:val="1"/>
      <w:marLeft w:val="0"/>
      <w:marRight w:val="0"/>
      <w:marTop w:val="0"/>
      <w:marBottom w:val="0"/>
      <w:divBdr>
        <w:top w:val="none" w:sz="0" w:space="0" w:color="auto"/>
        <w:left w:val="none" w:sz="0" w:space="0" w:color="auto"/>
        <w:bottom w:val="none" w:sz="0" w:space="0" w:color="auto"/>
        <w:right w:val="none" w:sz="0" w:space="0" w:color="auto"/>
      </w:divBdr>
    </w:div>
    <w:div w:id="547183069">
      <w:bodyDiv w:val="1"/>
      <w:marLeft w:val="0"/>
      <w:marRight w:val="0"/>
      <w:marTop w:val="0"/>
      <w:marBottom w:val="0"/>
      <w:divBdr>
        <w:top w:val="none" w:sz="0" w:space="0" w:color="auto"/>
        <w:left w:val="none" w:sz="0" w:space="0" w:color="auto"/>
        <w:bottom w:val="none" w:sz="0" w:space="0" w:color="auto"/>
        <w:right w:val="none" w:sz="0" w:space="0" w:color="auto"/>
      </w:divBdr>
    </w:div>
    <w:div w:id="556278312">
      <w:bodyDiv w:val="1"/>
      <w:marLeft w:val="0"/>
      <w:marRight w:val="0"/>
      <w:marTop w:val="0"/>
      <w:marBottom w:val="0"/>
      <w:divBdr>
        <w:top w:val="none" w:sz="0" w:space="0" w:color="auto"/>
        <w:left w:val="none" w:sz="0" w:space="0" w:color="auto"/>
        <w:bottom w:val="none" w:sz="0" w:space="0" w:color="auto"/>
        <w:right w:val="none" w:sz="0" w:space="0" w:color="auto"/>
      </w:divBdr>
    </w:div>
    <w:div w:id="556355676">
      <w:bodyDiv w:val="1"/>
      <w:marLeft w:val="0"/>
      <w:marRight w:val="0"/>
      <w:marTop w:val="0"/>
      <w:marBottom w:val="0"/>
      <w:divBdr>
        <w:top w:val="none" w:sz="0" w:space="0" w:color="auto"/>
        <w:left w:val="none" w:sz="0" w:space="0" w:color="auto"/>
        <w:bottom w:val="none" w:sz="0" w:space="0" w:color="auto"/>
        <w:right w:val="none" w:sz="0" w:space="0" w:color="auto"/>
      </w:divBdr>
    </w:div>
    <w:div w:id="559285711">
      <w:bodyDiv w:val="1"/>
      <w:marLeft w:val="0"/>
      <w:marRight w:val="0"/>
      <w:marTop w:val="0"/>
      <w:marBottom w:val="0"/>
      <w:divBdr>
        <w:top w:val="none" w:sz="0" w:space="0" w:color="auto"/>
        <w:left w:val="none" w:sz="0" w:space="0" w:color="auto"/>
        <w:bottom w:val="none" w:sz="0" w:space="0" w:color="auto"/>
        <w:right w:val="none" w:sz="0" w:space="0" w:color="auto"/>
      </w:divBdr>
    </w:div>
    <w:div w:id="561256006">
      <w:bodyDiv w:val="1"/>
      <w:marLeft w:val="0"/>
      <w:marRight w:val="0"/>
      <w:marTop w:val="0"/>
      <w:marBottom w:val="0"/>
      <w:divBdr>
        <w:top w:val="none" w:sz="0" w:space="0" w:color="auto"/>
        <w:left w:val="none" w:sz="0" w:space="0" w:color="auto"/>
        <w:bottom w:val="none" w:sz="0" w:space="0" w:color="auto"/>
        <w:right w:val="none" w:sz="0" w:space="0" w:color="auto"/>
      </w:divBdr>
    </w:div>
    <w:div w:id="566427910">
      <w:bodyDiv w:val="1"/>
      <w:marLeft w:val="0"/>
      <w:marRight w:val="0"/>
      <w:marTop w:val="0"/>
      <w:marBottom w:val="0"/>
      <w:divBdr>
        <w:top w:val="none" w:sz="0" w:space="0" w:color="auto"/>
        <w:left w:val="none" w:sz="0" w:space="0" w:color="auto"/>
        <w:bottom w:val="none" w:sz="0" w:space="0" w:color="auto"/>
        <w:right w:val="none" w:sz="0" w:space="0" w:color="auto"/>
      </w:divBdr>
    </w:div>
    <w:div w:id="567959523">
      <w:bodyDiv w:val="1"/>
      <w:marLeft w:val="0"/>
      <w:marRight w:val="0"/>
      <w:marTop w:val="0"/>
      <w:marBottom w:val="0"/>
      <w:divBdr>
        <w:top w:val="none" w:sz="0" w:space="0" w:color="auto"/>
        <w:left w:val="none" w:sz="0" w:space="0" w:color="auto"/>
        <w:bottom w:val="none" w:sz="0" w:space="0" w:color="auto"/>
        <w:right w:val="none" w:sz="0" w:space="0" w:color="auto"/>
      </w:divBdr>
    </w:div>
    <w:div w:id="570114565">
      <w:bodyDiv w:val="1"/>
      <w:marLeft w:val="0"/>
      <w:marRight w:val="0"/>
      <w:marTop w:val="0"/>
      <w:marBottom w:val="0"/>
      <w:divBdr>
        <w:top w:val="none" w:sz="0" w:space="0" w:color="auto"/>
        <w:left w:val="none" w:sz="0" w:space="0" w:color="auto"/>
        <w:bottom w:val="none" w:sz="0" w:space="0" w:color="auto"/>
        <w:right w:val="none" w:sz="0" w:space="0" w:color="auto"/>
      </w:divBdr>
    </w:div>
    <w:div w:id="570120348">
      <w:bodyDiv w:val="1"/>
      <w:marLeft w:val="0"/>
      <w:marRight w:val="0"/>
      <w:marTop w:val="0"/>
      <w:marBottom w:val="0"/>
      <w:divBdr>
        <w:top w:val="none" w:sz="0" w:space="0" w:color="auto"/>
        <w:left w:val="none" w:sz="0" w:space="0" w:color="auto"/>
        <w:bottom w:val="none" w:sz="0" w:space="0" w:color="auto"/>
        <w:right w:val="none" w:sz="0" w:space="0" w:color="auto"/>
      </w:divBdr>
    </w:div>
    <w:div w:id="571936948">
      <w:bodyDiv w:val="1"/>
      <w:marLeft w:val="0"/>
      <w:marRight w:val="0"/>
      <w:marTop w:val="0"/>
      <w:marBottom w:val="0"/>
      <w:divBdr>
        <w:top w:val="none" w:sz="0" w:space="0" w:color="auto"/>
        <w:left w:val="none" w:sz="0" w:space="0" w:color="auto"/>
        <w:bottom w:val="none" w:sz="0" w:space="0" w:color="auto"/>
        <w:right w:val="none" w:sz="0" w:space="0" w:color="auto"/>
      </w:divBdr>
    </w:div>
    <w:div w:id="589854084">
      <w:bodyDiv w:val="1"/>
      <w:marLeft w:val="0"/>
      <w:marRight w:val="0"/>
      <w:marTop w:val="0"/>
      <w:marBottom w:val="0"/>
      <w:divBdr>
        <w:top w:val="none" w:sz="0" w:space="0" w:color="auto"/>
        <w:left w:val="none" w:sz="0" w:space="0" w:color="auto"/>
        <w:bottom w:val="none" w:sz="0" w:space="0" w:color="auto"/>
        <w:right w:val="none" w:sz="0" w:space="0" w:color="auto"/>
      </w:divBdr>
      <w:divsChild>
        <w:div w:id="465465012">
          <w:marLeft w:val="480"/>
          <w:marRight w:val="0"/>
          <w:marTop w:val="0"/>
          <w:marBottom w:val="0"/>
          <w:divBdr>
            <w:top w:val="none" w:sz="0" w:space="0" w:color="auto"/>
            <w:left w:val="none" w:sz="0" w:space="0" w:color="auto"/>
            <w:bottom w:val="none" w:sz="0" w:space="0" w:color="auto"/>
            <w:right w:val="none" w:sz="0" w:space="0" w:color="auto"/>
          </w:divBdr>
          <w:divsChild>
            <w:div w:id="1734770041">
              <w:marLeft w:val="0"/>
              <w:marRight w:val="0"/>
              <w:marTop w:val="0"/>
              <w:marBottom w:val="240"/>
              <w:divBdr>
                <w:top w:val="none" w:sz="0" w:space="0" w:color="auto"/>
                <w:left w:val="none" w:sz="0" w:space="0" w:color="auto"/>
                <w:bottom w:val="none" w:sz="0" w:space="0" w:color="auto"/>
                <w:right w:val="none" w:sz="0" w:space="0" w:color="auto"/>
              </w:divBdr>
            </w:div>
            <w:div w:id="1062874104">
              <w:marLeft w:val="0"/>
              <w:marRight w:val="0"/>
              <w:marTop w:val="0"/>
              <w:marBottom w:val="240"/>
              <w:divBdr>
                <w:top w:val="none" w:sz="0" w:space="0" w:color="auto"/>
                <w:left w:val="none" w:sz="0" w:space="0" w:color="auto"/>
                <w:bottom w:val="none" w:sz="0" w:space="0" w:color="auto"/>
                <w:right w:val="none" w:sz="0" w:space="0" w:color="auto"/>
              </w:divBdr>
            </w:div>
            <w:div w:id="1449081497">
              <w:marLeft w:val="0"/>
              <w:marRight w:val="0"/>
              <w:marTop w:val="0"/>
              <w:marBottom w:val="240"/>
              <w:divBdr>
                <w:top w:val="none" w:sz="0" w:space="0" w:color="auto"/>
                <w:left w:val="none" w:sz="0" w:space="0" w:color="auto"/>
                <w:bottom w:val="none" w:sz="0" w:space="0" w:color="auto"/>
                <w:right w:val="none" w:sz="0" w:space="0" w:color="auto"/>
              </w:divBdr>
            </w:div>
            <w:div w:id="724254007">
              <w:marLeft w:val="0"/>
              <w:marRight w:val="0"/>
              <w:marTop w:val="0"/>
              <w:marBottom w:val="240"/>
              <w:divBdr>
                <w:top w:val="none" w:sz="0" w:space="0" w:color="auto"/>
                <w:left w:val="none" w:sz="0" w:space="0" w:color="auto"/>
                <w:bottom w:val="none" w:sz="0" w:space="0" w:color="auto"/>
                <w:right w:val="none" w:sz="0" w:space="0" w:color="auto"/>
              </w:divBdr>
            </w:div>
            <w:div w:id="72973057">
              <w:marLeft w:val="0"/>
              <w:marRight w:val="0"/>
              <w:marTop w:val="0"/>
              <w:marBottom w:val="240"/>
              <w:divBdr>
                <w:top w:val="none" w:sz="0" w:space="0" w:color="auto"/>
                <w:left w:val="none" w:sz="0" w:space="0" w:color="auto"/>
                <w:bottom w:val="none" w:sz="0" w:space="0" w:color="auto"/>
                <w:right w:val="none" w:sz="0" w:space="0" w:color="auto"/>
              </w:divBdr>
            </w:div>
            <w:div w:id="2046783199">
              <w:marLeft w:val="0"/>
              <w:marRight w:val="0"/>
              <w:marTop w:val="0"/>
              <w:marBottom w:val="240"/>
              <w:divBdr>
                <w:top w:val="none" w:sz="0" w:space="0" w:color="auto"/>
                <w:left w:val="none" w:sz="0" w:space="0" w:color="auto"/>
                <w:bottom w:val="none" w:sz="0" w:space="0" w:color="auto"/>
                <w:right w:val="none" w:sz="0" w:space="0" w:color="auto"/>
              </w:divBdr>
            </w:div>
            <w:div w:id="457381567">
              <w:marLeft w:val="0"/>
              <w:marRight w:val="0"/>
              <w:marTop w:val="0"/>
              <w:marBottom w:val="240"/>
              <w:divBdr>
                <w:top w:val="none" w:sz="0" w:space="0" w:color="auto"/>
                <w:left w:val="none" w:sz="0" w:space="0" w:color="auto"/>
                <w:bottom w:val="none" w:sz="0" w:space="0" w:color="auto"/>
                <w:right w:val="none" w:sz="0" w:space="0" w:color="auto"/>
              </w:divBdr>
            </w:div>
            <w:div w:id="974414441">
              <w:marLeft w:val="0"/>
              <w:marRight w:val="0"/>
              <w:marTop w:val="0"/>
              <w:marBottom w:val="240"/>
              <w:divBdr>
                <w:top w:val="none" w:sz="0" w:space="0" w:color="auto"/>
                <w:left w:val="none" w:sz="0" w:space="0" w:color="auto"/>
                <w:bottom w:val="none" w:sz="0" w:space="0" w:color="auto"/>
                <w:right w:val="none" w:sz="0" w:space="0" w:color="auto"/>
              </w:divBdr>
            </w:div>
            <w:div w:id="1825774376">
              <w:marLeft w:val="0"/>
              <w:marRight w:val="0"/>
              <w:marTop w:val="0"/>
              <w:marBottom w:val="240"/>
              <w:divBdr>
                <w:top w:val="none" w:sz="0" w:space="0" w:color="auto"/>
                <w:left w:val="none" w:sz="0" w:space="0" w:color="auto"/>
                <w:bottom w:val="none" w:sz="0" w:space="0" w:color="auto"/>
                <w:right w:val="none" w:sz="0" w:space="0" w:color="auto"/>
              </w:divBdr>
            </w:div>
            <w:div w:id="1556114324">
              <w:marLeft w:val="0"/>
              <w:marRight w:val="0"/>
              <w:marTop w:val="0"/>
              <w:marBottom w:val="240"/>
              <w:divBdr>
                <w:top w:val="none" w:sz="0" w:space="0" w:color="auto"/>
                <w:left w:val="none" w:sz="0" w:space="0" w:color="auto"/>
                <w:bottom w:val="none" w:sz="0" w:space="0" w:color="auto"/>
                <w:right w:val="none" w:sz="0" w:space="0" w:color="auto"/>
              </w:divBdr>
            </w:div>
            <w:div w:id="840464134">
              <w:marLeft w:val="0"/>
              <w:marRight w:val="0"/>
              <w:marTop w:val="0"/>
              <w:marBottom w:val="240"/>
              <w:divBdr>
                <w:top w:val="none" w:sz="0" w:space="0" w:color="auto"/>
                <w:left w:val="none" w:sz="0" w:space="0" w:color="auto"/>
                <w:bottom w:val="none" w:sz="0" w:space="0" w:color="auto"/>
                <w:right w:val="none" w:sz="0" w:space="0" w:color="auto"/>
              </w:divBdr>
            </w:div>
            <w:div w:id="1096248019">
              <w:marLeft w:val="0"/>
              <w:marRight w:val="0"/>
              <w:marTop w:val="0"/>
              <w:marBottom w:val="240"/>
              <w:divBdr>
                <w:top w:val="none" w:sz="0" w:space="0" w:color="auto"/>
                <w:left w:val="none" w:sz="0" w:space="0" w:color="auto"/>
                <w:bottom w:val="none" w:sz="0" w:space="0" w:color="auto"/>
                <w:right w:val="none" w:sz="0" w:space="0" w:color="auto"/>
              </w:divBdr>
            </w:div>
            <w:div w:id="1023364908">
              <w:marLeft w:val="0"/>
              <w:marRight w:val="0"/>
              <w:marTop w:val="0"/>
              <w:marBottom w:val="240"/>
              <w:divBdr>
                <w:top w:val="none" w:sz="0" w:space="0" w:color="auto"/>
                <w:left w:val="none" w:sz="0" w:space="0" w:color="auto"/>
                <w:bottom w:val="none" w:sz="0" w:space="0" w:color="auto"/>
                <w:right w:val="none" w:sz="0" w:space="0" w:color="auto"/>
              </w:divBdr>
            </w:div>
            <w:div w:id="1523671175">
              <w:marLeft w:val="0"/>
              <w:marRight w:val="0"/>
              <w:marTop w:val="0"/>
              <w:marBottom w:val="240"/>
              <w:divBdr>
                <w:top w:val="none" w:sz="0" w:space="0" w:color="auto"/>
                <w:left w:val="none" w:sz="0" w:space="0" w:color="auto"/>
                <w:bottom w:val="none" w:sz="0" w:space="0" w:color="auto"/>
                <w:right w:val="none" w:sz="0" w:space="0" w:color="auto"/>
              </w:divBdr>
            </w:div>
            <w:div w:id="809177213">
              <w:marLeft w:val="0"/>
              <w:marRight w:val="0"/>
              <w:marTop w:val="0"/>
              <w:marBottom w:val="240"/>
              <w:divBdr>
                <w:top w:val="none" w:sz="0" w:space="0" w:color="auto"/>
                <w:left w:val="none" w:sz="0" w:space="0" w:color="auto"/>
                <w:bottom w:val="none" w:sz="0" w:space="0" w:color="auto"/>
                <w:right w:val="none" w:sz="0" w:space="0" w:color="auto"/>
              </w:divBdr>
            </w:div>
            <w:div w:id="90004979">
              <w:marLeft w:val="0"/>
              <w:marRight w:val="0"/>
              <w:marTop w:val="0"/>
              <w:marBottom w:val="240"/>
              <w:divBdr>
                <w:top w:val="none" w:sz="0" w:space="0" w:color="auto"/>
                <w:left w:val="none" w:sz="0" w:space="0" w:color="auto"/>
                <w:bottom w:val="none" w:sz="0" w:space="0" w:color="auto"/>
                <w:right w:val="none" w:sz="0" w:space="0" w:color="auto"/>
              </w:divBdr>
            </w:div>
            <w:div w:id="1636527895">
              <w:marLeft w:val="0"/>
              <w:marRight w:val="0"/>
              <w:marTop w:val="0"/>
              <w:marBottom w:val="240"/>
              <w:divBdr>
                <w:top w:val="none" w:sz="0" w:space="0" w:color="auto"/>
                <w:left w:val="none" w:sz="0" w:space="0" w:color="auto"/>
                <w:bottom w:val="none" w:sz="0" w:space="0" w:color="auto"/>
                <w:right w:val="none" w:sz="0" w:space="0" w:color="auto"/>
              </w:divBdr>
            </w:div>
            <w:div w:id="2147041989">
              <w:marLeft w:val="0"/>
              <w:marRight w:val="0"/>
              <w:marTop w:val="0"/>
              <w:marBottom w:val="240"/>
              <w:divBdr>
                <w:top w:val="none" w:sz="0" w:space="0" w:color="auto"/>
                <w:left w:val="none" w:sz="0" w:space="0" w:color="auto"/>
                <w:bottom w:val="none" w:sz="0" w:space="0" w:color="auto"/>
                <w:right w:val="none" w:sz="0" w:space="0" w:color="auto"/>
              </w:divBdr>
            </w:div>
            <w:div w:id="201401419">
              <w:marLeft w:val="0"/>
              <w:marRight w:val="0"/>
              <w:marTop w:val="0"/>
              <w:marBottom w:val="240"/>
              <w:divBdr>
                <w:top w:val="none" w:sz="0" w:space="0" w:color="auto"/>
                <w:left w:val="none" w:sz="0" w:space="0" w:color="auto"/>
                <w:bottom w:val="none" w:sz="0" w:space="0" w:color="auto"/>
                <w:right w:val="none" w:sz="0" w:space="0" w:color="auto"/>
              </w:divBdr>
            </w:div>
            <w:div w:id="1657151936">
              <w:marLeft w:val="0"/>
              <w:marRight w:val="0"/>
              <w:marTop w:val="0"/>
              <w:marBottom w:val="240"/>
              <w:divBdr>
                <w:top w:val="none" w:sz="0" w:space="0" w:color="auto"/>
                <w:left w:val="none" w:sz="0" w:space="0" w:color="auto"/>
                <w:bottom w:val="none" w:sz="0" w:space="0" w:color="auto"/>
                <w:right w:val="none" w:sz="0" w:space="0" w:color="auto"/>
              </w:divBdr>
            </w:div>
            <w:div w:id="1525704272">
              <w:marLeft w:val="0"/>
              <w:marRight w:val="0"/>
              <w:marTop w:val="0"/>
              <w:marBottom w:val="240"/>
              <w:divBdr>
                <w:top w:val="none" w:sz="0" w:space="0" w:color="auto"/>
                <w:left w:val="none" w:sz="0" w:space="0" w:color="auto"/>
                <w:bottom w:val="none" w:sz="0" w:space="0" w:color="auto"/>
                <w:right w:val="none" w:sz="0" w:space="0" w:color="auto"/>
              </w:divBdr>
            </w:div>
            <w:div w:id="790247666">
              <w:marLeft w:val="0"/>
              <w:marRight w:val="0"/>
              <w:marTop w:val="0"/>
              <w:marBottom w:val="240"/>
              <w:divBdr>
                <w:top w:val="none" w:sz="0" w:space="0" w:color="auto"/>
                <w:left w:val="none" w:sz="0" w:space="0" w:color="auto"/>
                <w:bottom w:val="none" w:sz="0" w:space="0" w:color="auto"/>
                <w:right w:val="none" w:sz="0" w:space="0" w:color="auto"/>
              </w:divBdr>
            </w:div>
            <w:div w:id="1026903023">
              <w:marLeft w:val="0"/>
              <w:marRight w:val="0"/>
              <w:marTop w:val="0"/>
              <w:marBottom w:val="240"/>
              <w:divBdr>
                <w:top w:val="none" w:sz="0" w:space="0" w:color="auto"/>
                <w:left w:val="none" w:sz="0" w:space="0" w:color="auto"/>
                <w:bottom w:val="none" w:sz="0" w:space="0" w:color="auto"/>
                <w:right w:val="none" w:sz="0" w:space="0" w:color="auto"/>
              </w:divBdr>
            </w:div>
            <w:div w:id="689842725">
              <w:marLeft w:val="0"/>
              <w:marRight w:val="0"/>
              <w:marTop w:val="0"/>
              <w:marBottom w:val="240"/>
              <w:divBdr>
                <w:top w:val="none" w:sz="0" w:space="0" w:color="auto"/>
                <w:left w:val="none" w:sz="0" w:space="0" w:color="auto"/>
                <w:bottom w:val="none" w:sz="0" w:space="0" w:color="auto"/>
                <w:right w:val="none" w:sz="0" w:space="0" w:color="auto"/>
              </w:divBdr>
            </w:div>
            <w:div w:id="1506821505">
              <w:marLeft w:val="0"/>
              <w:marRight w:val="0"/>
              <w:marTop w:val="0"/>
              <w:marBottom w:val="240"/>
              <w:divBdr>
                <w:top w:val="none" w:sz="0" w:space="0" w:color="auto"/>
                <w:left w:val="none" w:sz="0" w:space="0" w:color="auto"/>
                <w:bottom w:val="none" w:sz="0" w:space="0" w:color="auto"/>
                <w:right w:val="none" w:sz="0" w:space="0" w:color="auto"/>
              </w:divBdr>
            </w:div>
            <w:div w:id="27265645">
              <w:marLeft w:val="0"/>
              <w:marRight w:val="0"/>
              <w:marTop w:val="0"/>
              <w:marBottom w:val="240"/>
              <w:divBdr>
                <w:top w:val="none" w:sz="0" w:space="0" w:color="auto"/>
                <w:left w:val="none" w:sz="0" w:space="0" w:color="auto"/>
                <w:bottom w:val="none" w:sz="0" w:space="0" w:color="auto"/>
                <w:right w:val="none" w:sz="0" w:space="0" w:color="auto"/>
              </w:divBdr>
            </w:div>
            <w:div w:id="1907301084">
              <w:marLeft w:val="0"/>
              <w:marRight w:val="0"/>
              <w:marTop w:val="0"/>
              <w:marBottom w:val="240"/>
              <w:divBdr>
                <w:top w:val="none" w:sz="0" w:space="0" w:color="auto"/>
                <w:left w:val="none" w:sz="0" w:space="0" w:color="auto"/>
                <w:bottom w:val="none" w:sz="0" w:space="0" w:color="auto"/>
                <w:right w:val="none" w:sz="0" w:space="0" w:color="auto"/>
              </w:divBdr>
            </w:div>
            <w:div w:id="1752922617">
              <w:marLeft w:val="0"/>
              <w:marRight w:val="0"/>
              <w:marTop w:val="0"/>
              <w:marBottom w:val="240"/>
              <w:divBdr>
                <w:top w:val="none" w:sz="0" w:space="0" w:color="auto"/>
                <w:left w:val="none" w:sz="0" w:space="0" w:color="auto"/>
                <w:bottom w:val="none" w:sz="0" w:space="0" w:color="auto"/>
                <w:right w:val="none" w:sz="0" w:space="0" w:color="auto"/>
              </w:divBdr>
            </w:div>
            <w:div w:id="1594825197">
              <w:marLeft w:val="0"/>
              <w:marRight w:val="0"/>
              <w:marTop w:val="0"/>
              <w:marBottom w:val="240"/>
              <w:divBdr>
                <w:top w:val="none" w:sz="0" w:space="0" w:color="auto"/>
                <w:left w:val="none" w:sz="0" w:space="0" w:color="auto"/>
                <w:bottom w:val="none" w:sz="0" w:space="0" w:color="auto"/>
                <w:right w:val="none" w:sz="0" w:space="0" w:color="auto"/>
              </w:divBdr>
            </w:div>
            <w:div w:id="706832299">
              <w:marLeft w:val="0"/>
              <w:marRight w:val="0"/>
              <w:marTop w:val="0"/>
              <w:marBottom w:val="240"/>
              <w:divBdr>
                <w:top w:val="none" w:sz="0" w:space="0" w:color="auto"/>
                <w:left w:val="none" w:sz="0" w:space="0" w:color="auto"/>
                <w:bottom w:val="none" w:sz="0" w:space="0" w:color="auto"/>
                <w:right w:val="none" w:sz="0" w:space="0" w:color="auto"/>
              </w:divBdr>
            </w:div>
            <w:div w:id="838496106">
              <w:marLeft w:val="0"/>
              <w:marRight w:val="0"/>
              <w:marTop w:val="0"/>
              <w:marBottom w:val="240"/>
              <w:divBdr>
                <w:top w:val="none" w:sz="0" w:space="0" w:color="auto"/>
                <w:left w:val="none" w:sz="0" w:space="0" w:color="auto"/>
                <w:bottom w:val="none" w:sz="0" w:space="0" w:color="auto"/>
                <w:right w:val="none" w:sz="0" w:space="0" w:color="auto"/>
              </w:divBdr>
            </w:div>
            <w:div w:id="1535383937">
              <w:marLeft w:val="0"/>
              <w:marRight w:val="0"/>
              <w:marTop w:val="0"/>
              <w:marBottom w:val="240"/>
              <w:divBdr>
                <w:top w:val="none" w:sz="0" w:space="0" w:color="auto"/>
                <w:left w:val="none" w:sz="0" w:space="0" w:color="auto"/>
                <w:bottom w:val="none" w:sz="0" w:space="0" w:color="auto"/>
                <w:right w:val="none" w:sz="0" w:space="0" w:color="auto"/>
              </w:divBdr>
            </w:div>
            <w:div w:id="1936741953">
              <w:marLeft w:val="0"/>
              <w:marRight w:val="0"/>
              <w:marTop w:val="0"/>
              <w:marBottom w:val="240"/>
              <w:divBdr>
                <w:top w:val="none" w:sz="0" w:space="0" w:color="auto"/>
                <w:left w:val="none" w:sz="0" w:space="0" w:color="auto"/>
                <w:bottom w:val="none" w:sz="0" w:space="0" w:color="auto"/>
                <w:right w:val="none" w:sz="0" w:space="0" w:color="auto"/>
              </w:divBdr>
            </w:div>
            <w:div w:id="626743770">
              <w:marLeft w:val="0"/>
              <w:marRight w:val="0"/>
              <w:marTop w:val="0"/>
              <w:marBottom w:val="240"/>
              <w:divBdr>
                <w:top w:val="none" w:sz="0" w:space="0" w:color="auto"/>
                <w:left w:val="none" w:sz="0" w:space="0" w:color="auto"/>
                <w:bottom w:val="none" w:sz="0" w:space="0" w:color="auto"/>
                <w:right w:val="none" w:sz="0" w:space="0" w:color="auto"/>
              </w:divBdr>
            </w:div>
            <w:div w:id="760490635">
              <w:marLeft w:val="0"/>
              <w:marRight w:val="0"/>
              <w:marTop w:val="0"/>
              <w:marBottom w:val="240"/>
              <w:divBdr>
                <w:top w:val="none" w:sz="0" w:space="0" w:color="auto"/>
                <w:left w:val="none" w:sz="0" w:space="0" w:color="auto"/>
                <w:bottom w:val="none" w:sz="0" w:space="0" w:color="auto"/>
                <w:right w:val="none" w:sz="0" w:space="0" w:color="auto"/>
              </w:divBdr>
            </w:div>
            <w:div w:id="536434189">
              <w:marLeft w:val="0"/>
              <w:marRight w:val="0"/>
              <w:marTop w:val="0"/>
              <w:marBottom w:val="240"/>
              <w:divBdr>
                <w:top w:val="none" w:sz="0" w:space="0" w:color="auto"/>
                <w:left w:val="none" w:sz="0" w:space="0" w:color="auto"/>
                <w:bottom w:val="none" w:sz="0" w:space="0" w:color="auto"/>
                <w:right w:val="none" w:sz="0" w:space="0" w:color="auto"/>
              </w:divBdr>
            </w:div>
            <w:div w:id="1166167647">
              <w:marLeft w:val="0"/>
              <w:marRight w:val="0"/>
              <w:marTop w:val="0"/>
              <w:marBottom w:val="240"/>
              <w:divBdr>
                <w:top w:val="none" w:sz="0" w:space="0" w:color="auto"/>
                <w:left w:val="none" w:sz="0" w:space="0" w:color="auto"/>
                <w:bottom w:val="none" w:sz="0" w:space="0" w:color="auto"/>
                <w:right w:val="none" w:sz="0" w:space="0" w:color="auto"/>
              </w:divBdr>
            </w:div>
            <w:div w:id="668144659">
              <w:marLeft w:val="0"/>
              <w:marRight w:val="0"/>
              <w:marTop w:val="0"/>
              <w:marBottom w:val="240"/>
              <w:divBdr>
                <w:top w:val="none" w:sz="0" w:space="0" w:color="auto"/>
                <w:left w:val="none" w:sz="0" w:space="0" w:color="auto"/>
                <w:bottom w:val="none" w:sz="0" w:space="0" w:color="auto"/>
                <w:right w:val="none" w:sz="0" w:space="0" w:color="auto"/>
              </w:divBdr>
            </w:div>
            <w:div w:id="435949083">
              <w:marLeft w:val="0"/>
              <w:marRight w:val="0"/>
              <w:marTop w:val="0"/>
              <w:marBottom w:val="240"/>
              <w:divBdr>
                <w:top w:val="none" w:sz="0" w:space="0" w:color="auto"/>
                <w:left w:val="none" w:sz="0" w:space="0" w:color="auto"/>
                <w:bottom w:val="none" w:sz="0" w:space="0" w:color="auto"/>
                <w:right w:val="none" w:sz="0" w:space="0" w:color="auto"/>
              </w:divBdr>
            </w:div>
            <w:div w:id="542448412">
              <w:marLeft w:val="0"/>
              <w:marRight w:val="0"/>
              <w:marTop w:val="0"/>
              <w:marBottom w:val="240"/>
              <w:divBdr>
                <w:top w:val="none" w:sz="0" w:space="0" w:color="auto"/>
                <w:left w:val="none" w:sz="0" w:space="0" w:color="auto"/>
                <w:bottom w:val="none" w:sz="0" w:space="0" w:color="auto"/>
                <w:right w:val="none" w:sz="0" w:space="0" w:color="auto"/>
              </w:divBdr>
            </w:div>
            <w:div w:id="295834797">
              <w:marLeft w:val="0"/>
              <w:marRight w:val="0"/>
              <w:marTop w:val="0"/>
              <w:marBottom w:val="240"/>
              <w:divBdr>
                <w:top w:val="none" w:sz="0" w:space="0" w:color="auto"/>
                <w:left w:val="none" w:sz="0" w:space="0" w:color="auto"/>
                <w:bottom w:val="none" w:sz="0" w:space="0" w:color="auto"/>
                <w:right w:val="none" w:sz="0" w:space="0" w:color="auto"/>
              </w:divBdr>
            </w:div>
            <w:div w:id="1290353522">
              <w:marLeft w:val="0"/>
              <w:marRight w:val="0"/>
              <w:marTop w:val="0"/>
              <w:marBottom w:val="240"/>
              <w:divBdr>
                <w:top w:val="none" w:sz="0" w:space="0" w:color="auto"/>
                <w:left w:val="none" w:sz="0" w:space="0" w:color="auto"/>
                <w:bottom w:val="none" w:sz="0" w:space="0" w:color="auto"/>
                <w:right w:val="none" w:sz="0" w:space="0" w:color="auto"/>
              </w:divBdr>
            </w:div>
            <w:div w:id="316568821">
              <w:marLeft w:val="0"/>
              <w:marRight w:val="0"/>
              <w:marTop w:val="0"/>
              <w:marBottom w:val="240"/>
              <w:divBdr>
                <w:top w:val="none" w:sz="0" w:space="0" w:color="auto"/>
                <w:left w:val="none" w:sz="0" w:space="0" w:color="auto"/>
                <w:bottom w:val="none" w:sz="0" w:space="0" w:color="auto"/>
                <w:right w:val="none" w:sz="0" w:space="0" w:color="auto"/>
              </w:divBdr>
            </w:div>
            <w:div w:id="117140554">
              <w:marLeft w:val="0"/>
              <w:marRight w:val="0"/>
              <w:marTop w:val="0"/>
              <w:marBottom w:val="240"/>
              <w:divBdr>
                <w:top w:val="none" w:sz="0" w:space="0" w:color="auto"/>
                <w:left w:val="none" w:sz="0" w:space="0" w:color="auto"/>
                <w:bottom w:val="none" w:sz="0" w:space="0" w:color="auto"/>
                <w:right w:val="none" w:sz="0" w:space="0" w:color="auto"/>
              </w:divBdr>
            </w:div>
            <w:div w:id="2071466207">
              <w:marLeft w:val="0"/>
              <w:marRight w:val="0"/>
              <w:marTop w:val="0"/>
              <w:marBottom w:val="240"/>
              <w:divBdr>
                <w:top w:val="none" w:sz="0" w:space="0" w:color="auto"/>
                <w:left w:val="none" w:sz="0" w:space="0" w:color="auto"/>
                <w:bottom w:val="none" w:sz="0" w:space="0" w:color="auto"/>
                <w:right w:val="none" w:sz="0" w:space="0" w:color="auto"/>
              </w:divBdr>
            </w:div>
            <w:div w:id="1141118672">
              <w:marLeft w:val="0"/>
              <w:marRight w:val="0"/>
              <w:marTop w:val="0"/>
              <w:marBottom w:val="240"/>
              <w:divBdr>
                <w:top w:val="none" w:sz="0" w:space="0" w:color="auto"/>
                <w:left w:val="none" w:sz="0" w:space="0" w:color="auto"/>
                <w:bottom w:val="none" w:sz="0" w:space="0" w:color="auto"/>
                <w:right w:val="none" w:sz="0" w:space="0" w:color="auto"/>
              </w:divBdr>
            </w:div>
            <w:div w:id="1233347066">
              <w:marLeft w:val="0"/>
              <w:marRight w:val="0"/>
              <w:marTop w:val="0"/>
              <w:marBottom w:val="240"/>
              <w:divBdr>
                <w:top w:val="none" w:sz="0" w:space="0" w:color="auto"/>
                <w:left w:val="none" w:sz="0" w:space="0" w:color="auto"/>
                <w:bottom w:val="none" w:sz="0" w:space="0" w:color="auto"/>
                <w:right w:val="none" w:sz="0" w:space="0" w:color="auto"/>
              </w:divBdr>
            </w:div>
            <w:div w:id="1329626994">
              <w:marLeft w:val="0"/>
              <w:marRight w:val="0"/>
              <w:marTop w:val="0"/>
              <w:marBottom w:val="240"/>
              <w:divBdr>
                <w:top w:val="none" w:sz="0" w:space="0" w:color="auto"/>
                <w:left w:val="none" w:sz="0" w:space="0" w:color="auto"/>
                <w:bottom w:val="none" w:sz="0" w:space="0" w:color="auto"/>
                <w:right w:val="none" w:sz="0" w:space="0" w:color="auto"/>
              </w:divBdr>
            </w:div>
            <w:div w:id="1409960410">
              <w:marLeft w:val="0"/>
              <w:marRight w:val="0"/>
              <w:marTop w:val="0"/>
              <w:marBottom w:val="240"/>
              <w:divBdr>
                <w:top w:val="none" w:sz="0" w:space="0" w:color="auto"/>
                <w:left w:val="none" w:sz="0" w:space="0" w:color="auto"/>
                <w:bottom w:val="none" w:sz="0" w:space="0" w:color="auto"/>
                <w:right w:val="none" w:sz="0" w:space="0" w:color="auto"/>
              </w:divBdr>
            </w:div>
            <w:div w:id="1069116730">
              <w:marLeft w:val="0"/>
              <w:marRight w:val="0"/>
              <w:marTop w:val="0"/>
              <w:marBottom w:val="240"/>
              <w:divBdr>
                <w:top w:val="none" w:sz="0" w:space="0" w:color="auto"/>
                <w:left w:val="none" w:sz="0" w:space="0" w:color="auto"/>
                <w:bottom w:val="none" w:sz="0" w:space="0" w:color="auto"/>
                <w:right w:val="none" w:sz="0" w:space="0" w:color="auto"/>
              </w:divBdr>
            </w:div>
            <w:div w:id="29041501">
              <w:marLeft w:val="0"/>
              <w:marRight w:val="0"/>
              <w:marTop w:val="0"/>
              <w:marBottom w:val="240"/>
              <w:divBdr>
                <w:top w:val="none" w:sz="0" w:space="0" w:color="auto"/>
                <w:left w:val="none" w:sz="0" w:space="0" w:color="auto"/>
                <w:bottom w:val="none" w:sz="0" w:space="0" w:color="auto"/>
                <w:right w:val="none" w:sz="0" w:space="0" w:color="auto"/>
              </w:divBdr>
            </w:div>
            <w:div w:id="697201659">
              <w:marLeft w:val="0"/>
              <w:marRight w:val="0"/>
              <w:marTop w:val="0"/>
              <w:marBottom w:val="240"/>
              <w:divBdr>
                <w:top w:val="none" w:sz="0" w:space="0" w:color="auto"/>
                <w:left w:val="none" w:sz="0" w:space="0" w:color="auto"/>
                <w:bottom w:val="none" w:sz="0" w:space="0" w:color="auto"/>
                <w:right w:val="none" w:sz="0" w:space="0" w:color="auto"/>
              </w:divBdr>
            </w:div>
            <w:div w:id="385839865">
              <w:marLeft w:val="0"/>
              <w:marRight w:val="0"/>
              <w:marTop w:val="0"/>
              <w:marBottom w:val="240"/>
              <w:divBdr>
                <w:top w:val="none" w:sz="0" w:space="0" w:color="auto"/>
                <w:left w:val="none" w:sz="0" w:space="0" w:color="auto"/>
                <w:bottom w:val="none" w:sz="0" w:space="0" w:color="auto"/>
                <w:right w:val="none" w:sz="0" w:space="0" w:color="auto"/>
              </w:divBdr>
            </w:div>
            <w:div w:id="1946813602">
              <w:marLeft w:val="0"/>
              <w:marRight w:val="0"/>
              <w:marTop w:val="0"/>
              <w:marBottom w:val="240"/>
              <w:divBdr>
                <w:top w:val="none" w:sz="0" w:space="0" w:color="auto"/>
                <w:left w:val="none" w:sz="0" w:space="0" w:color="auto"/>
                <w:bottom w:val="none" w:sz="0" w:space="0" w:color="auto"/>
                <w:right w:val="none" w:sz="0" w:space="0" w:color="auto"/>
              </w:divBdr>
            </w:div>
            <w:div w:id="934090996">
              <w:marLeft w:val="0"/>
              <w:marRight w:val="0"/>
              <w:marTop w:val="0"/>
              <w:marBottom w:val="240"/>
              <w:divBdr>
                <w:top w:val="none" w:sz="0" w:space="0" w:color="auto"/>
                <w:left w:val="none" w:sz="0" w:space="0" w:color="auto"/>
                <w:bottom w:val="none" w:sz="0" w:space="0" w:color="auto"/>
                <w:right w:val="none" w:sz="0" w:space="0" w:color="auto"/>
              </w:divBdr>
            </w:div>
            <w:div w:id="1590383288">
              <w:marLeft w:val="0"/>
              <w:marRight w:val="0"/>
              <w:marTop w:val="0"/>
              <w:marBottom w:val="240"/>
              <w:divBdr>
                <w:top w:val="none" w:sz="0" w:space="0" w:color="auto"/>
                <w:left w:val="none" w:sz="0" w:space="0" w:color="auto"/>
                <w:bottom w:val="none" w:sz="0" w:space="0" w:color="auto"/>
                <w:right w:val="none" w:sz="0" w:space="0" w:color="auto"/>
              </w:divBdr>
            </w:div>
            <w:div w:id="221063215">
              <w:marLeft w:val="0"/>
              <w:marRight w:val="0"/>
              <w:marTop w:val="0"/>
              <w:marBottom w:val="240"/>
              <w:divBdr>
                <w:top w:val="none" w:sz="0" w:space="0" w:color="auto"/>
                <w:left w:val="none" w:sz="0" w:space="0" w:color="auto"/>
                <w:bottom w:val="none" w:sz="0" w:space="0" w:color="auto"/>
                <w:right w:val="none" w:sz="0" w:space="0" w:color="auto"/>
              </w:divBdr>
            </w:div>
            <w:div w:id="394353019">
              <w:marLeft w:val="0"/>
              <w:marRight w:val="0"/>
              <w:marTop w:val="0"/>
              <w:marBottom w:val="240"/>
              <w:divBdr>
                <w:top w:val="none" w:sz="0" w:space="0" w:color="auto"/>
                <w:left w:val="none" w:sz="0" w:space="0" w:color="auto"/>
                <w:bottom w:val="none" w:sz="0" w:space="0" w:color="auto"/>
                <w:right w:val="none" w:sz="0" w:space="0" w:color="auto"/>
              </w:divBdr>
            </w:div>
            <w:div w:id="1554846790">
              <w:marLeft w:val="0"/>
              <w:marRight w:val="0"/>
              <w:marTop w:val="0"/>
              <w:marBottom w:val="240"/>
              <w:divBdr>
                <w:top w:val="none" w:sz="0" w:space="0" w:color="auto"/>
                <w:left w:val="none" w:sz="0" w:space="0" w:color="auto"/>
                <w:bottom w:val="none" w:sz="0" w:space="0" w:color="auto"/>
                <w:right w:val="none" w:sz="0" w:space="0" w:color="auto"/>
              </w:divBdr>
            </w:div>
            <w:div w:id="1072657458">
              <w:marLeft w:val="0"/>
              <w:marRight w:val="0"/>
              <w:marTop w:val="0"/>
              <w:marBottom w:val="240"/>
              <w:divBdr>
                <w:top w:val="none" w:sz="0" w:space="0" w:color="auto"/>
                <w:left w:val="none" w:sz="0" w:space="0" w:color="auto"/>
                <w:bottom w:val="none" w:sz="0" w:space="0" w:color="auto"/>
                <w:right w:val="none" w:sz="0" w:space="0" w:color="auto"/>
              </w:divBdr>
            </w:div>
            <w:div w:id="1514490700">
              <w:marLeft w:val="0"/>
              <w:marRight w:val="0"/>
              <w:marTop w:val="0"/>
              <w:marBottom w:val="240"/>
              <w:divBdr>
                <w:top w:val="none" w:sz="0" w:space="0" w:color="auto"/>
                <w:left w:val="none" w:sz="0" w:space="0" w:color="auto"/>
                <w:bottom w:val="none" w:sz="0" w:space="0" w:color="auto"/>
                <w:right w:val="none" w:sz="0" w:space="0" w:color="auto"/>
              </w:divBdr>
            </w:div>
            <w:div w:id="968390724">
              <w:marLeft w:val="0"/>
              <w:marRight w:val="0"/>
              <w:marTop w:val="0"/>
              <w:marBottom w:val="240"/>
              <w:divBdr>
                <w:top w:val="none" w:sz="0" w:space="0" w:color="auto"/>
                <w:left w:val="none" w:sz="0" w:space="0" w:color="auto"/>
                <w:bottom w:val="none" w:sz="0" w:space="0" w:color="auto"/>
                <w:right w:val="none" w:sz="0" w:space="0" w:color="auto"/>
              </w:divBdr>
            </w:div>
            <w:div w:id="1870218827">
              <w:marLeft w:val="0"/>
              <w:marRight w:val="0"/>
              <w:marTop w:val="0"/>
              <w:marBottom w:val="240"/>
              <w:divBdr>
                <w:top w:val="none" w:sz="0" w:space="0" w:color="auto"/>
                <w:left w:val="none" w:sz="0" w:space="0" w:color="auto"/>
                <w:bottom w:val="none" w:sz="0" w:space="0" w:color="auto"/>
                <w:right w:val="none" w:sz="0" w:space="0" w:color="auto"/>
              </w:divBdr>
            </w:div>
            <w:div w:id="1217668285">
              <w:marLeft w:val="0"/>
              <w:marRight w:val="0"/>
              <w:marTop w:val="0"/>
              <w:marBottom w:val="240"/>
              <w:divBdr>
                <w:top w:val="none" w:sz="0" w:space="0" w:color="auto"/>
                <w:left w:val="none" w:sz="0" w:space="0" w:color="auto"/>
                <w:bottom w:val="none" w:sz="0" w:space="0" w:color="auto"/>
                <w:right w:val="none" w:sz="0" w:space="0" w:color="auto"/>
              </w:divBdr>
            </w:div>
            <w:div w:id="2044592444">
              <w:marLeft w:val="0"/>
              <w:marRight w:val="0"/>
              <w:marTop w:val="0"/>
              <w:marBottom w:val="240"/>
              <w:divBdr>
                <w:top w:val="none" w:sz="0" w:space="0" w:color="auto"/>
                <w:left w:val="none" w:sz="0" w:space="0" w:color="auto"/>
                <w:bottom w:val="none" w:sz="0" w:space="0" w:color="auto"/>
                <w:right w:val="none" w:sz="0" w:space="0" w:color="auto"/>
              </w:divBdr>
            </w:div>
            <w:div w:id="1756896379">
              <w:marLeft w:val="0"/>
              <w:marRight w:val="0"/>
              <w:marTop w:val="0"/>
              <w:marBottom w:val="240"/>
              <w:divBdr>
                <w:top w:val="none" w:sz="0" w:space="0" w:color="auto"/>
                <w:left w:val="none" w:sz="0" w:space="0" w:color="auto"/>
                <w:bottom w:val="none" w:sz="0" w:space="0" w:color="auto"/>
                <w:right w:val="none" w:sz="0" w:space="0" w:color="auto"/>
              </w:divBdr>
            </w:div>
            <w:div w:id="867451265">
              <w:marLeft w:val="0"/>
              <w:marRight w:val="0"/>
              <w:marTop w:val="0"/>
              <w:marBottom w:val="240"/>
              <w:divBdr>
                <w:top w:val="none" w:sz="0" w:space="0" w:color="auto"/>
                <w:left w:val="none" w:sz="0" w:space="0" w:color="auto"/>
                <w:bottom w:val="none" w:sz="0" w:space="0" w:color="auto"/>
                <w:right w:val="none" w:sz="0" w:space="0" w:color="auto"/>
              </w:divBdr>
            </w:div>
            <w:div w:id="244337834">
              <w:marLeft w:val="0"/>
              <w:marRight w:val="0"/>
              <w:marTop w:val="0"/>
              <w:marBottom w:val="240"/>
              <w:divBdr>
                <w:top w:val="none" w:sz="0" w:space="0" w:color="auto"/>
                <w:left w:val="none" w:sz="0" w:space="0" w:color="auto"/>
                <w:bottom w:val="none" w:sz="0" w:space="0" w:color="auto"/>
                <w:right w:val="none" w:sz="0" w:space="0" w:color="auto"/>
              </w:divBdr>
            </w:div>
            <w:div w:id="1005087301">
              <w:marLeft w:val="0"/>
              <w:marRight w:val="0"/>
              <w:marTop w:val="0"/>
              <w:marBottom w:val="240"/>
              <w:divBdr>
                <w:top w:val="none" w:sz="0" w:space="0" w:color="auto"/>
                <w:left w:val="none" w:sz="0" w:space="0" w:color="auto"/>
                <w:bottom w:val="none" w:sz="0" w:space="0" w:color="auto"/>
                <w:right w:val="none" w:sz="0" w:space="0" w:color="auto"/>
              </w:divBdr>
            </w:div>
            <w:div w:id="1901867384">
              <w:marLeft w:val="0"/>
              <w:marRight w:val="0"/>
              <w:marTop w:val="0"/>
              <w:marBottom w:val="240"/>
              <w:divBdr>
                <w:top w:val="none" w:sz="0" w:space="0" w:color="auto"/>
                <w:left w:val="none" w:sz="0" w:space="0" w:color="auto"/>
                <w:bottom w:val="none" w:sz="0" w:space="0" w:color="auto"/>
                <w:right w:val="none" w:sz="0" w:space="0" w:color="auto"/>
              </w:divBdr>
            </w:div>
            <w:div w:id="1775515902">
              <w:marLeft w:val="0"/>
              <w:marRight w:val="0"/>
              <w:marTop w:val="0"/>
              <w:marBottom w:val="240"/>
              <w:divBdr>
                <w:top w:val="none" w:sz="0" w:space="0" w:color="auto"/>
                <w:left w:val="none" w:sz="0" w:space="0" w:color="auto"/>
                <w:bottom w:val="none" w:sz="0" w:space="0" w:color="auto"/>
                <w:right w:val="none" w:sz="0" w:space="0" w:color="auto"/>
              </w:divBdr>
            </w:div>
            <w:div w:id="1898272260">
              <w:marLeft w:val="0"/>
              <w:marRight w:val="0"/>
              <w:marTop w:val="0"/>
              <w:marBottom w:val="240"/>
              <w:divBdr>
                <w:top w:val="none" w:sz="0" w:space="0" w:color="auto"/>
                <w:left w:val="none" w:sz="0" w:space="0" w:color="auto"/>
                <w:bottom w:val="none" w:sz="0" w:space="0" w:color="auto"/>
                <w:right w:val="none" w:sz="0" w:space="0" w:color="auto"/>
              </w:divBdr>
            </w:div>
            <w:div w:id="1980105967">
              <w:marLeft w:val="0"/>
              <w:marRight w:val="0"/>
              <w:marTop w:val="0"/>
              <w:marBottom w:val="240"/>
              <w:divBdr>
                <w:top w:val="none" w:sz="0" w:space="0" w:color="auto"/>
                <w:left w:val="none" w:sz="0" w:space="0" w:color="auto"/>
                <w:bottom w:val="none" w:sz="0" w:space="0" w:color="auto"/>
                <w:right w:val="none" w:sz="0" w:space="0" w:color="auto"/>
              </w:divBdr>
            </w:div>
            <w:div w:id="1476412512">
              <w:marLeft w:val="0"/>
              <w:marRight w:val="0"/>
              <w:marTop w:val="0"/>
              <w:marBottom w:val="240"/>
              <w:divBdr>
                <w:top w:val="none" w:sz="0" w:space="0" w:color="auto"/>
                <w:left w:val="none" w:sz="0" w:space="0" w:color="auto"/>
                <w:bottom w:val="none" w:sz="0" w:space="0" w:color="auto"/>
                <w:right w:val="none" w:sz="0" w:space="0" w:color="auto"/>
              </w:divBdr>
            </w:div>
            <w:div w:id="1159536808">
              <w:marLeft w:val="0"/>
              <w:marRight w:val="0"/>
              <w:marTop w:val="0"/>
              <w:marBottom w:val="240"/>
              <w:divBdr>
                <w:top w:val="none" w:sz="0" w:space="0" w:color="auto"/>
                <w:left w:val="none" w:sz="0" w:space="0" w:color="auto"/>
                <w:bottom w:val="none" w:sz="0" w:space="0" w:color="auto"/>
                <w:right w:val="none" w:sz="0" w:space="0" w:color="auto"/>
              </w:divBdr>
            </w:div>
            <w:div w:id="1431468247">
              <w:marLeft w:val="0"/>
              <w:marRight w:val="0"/>
              <w:marTop w:val="0"/>
              <w:marBottom w:val="240"/>
              <w:divBdr>
                <w:top w:val="none" w:sz="0" w:space="0" w:color="auto"/>
                <w:left w:val="none" w:sz="0" w:space="0" w:color="auto"/>
                <w:bottom w:val="none" w:sz="0" w:space="0" w:color="auto"/>
                <w:right w:val="none" w:sz="0" w:space="0" w:color="auto"/>
              </w:divBdr>
            </w:div>
            <w:div w:id="1973974523">
              <w:marLeft w:val="0"/>
              <w:marRight w:val="0"/>
              <w:marTop w:val="0"/>
              <w:marBottom w:val="240"/>
              <w:divBdr>
                <w:top w:val="none" w:sz="0" w:space="0" w:color="auto"/>
                <w:left w:val="none" w:sz="0" w:space="0" w:color="auto"/>
                <w:bottom w:val="none" w:sz="0" w:space="0" w:color="auto"/>
                <w:right w:val="none" w:sz="0" w:space="0" w:color="auto"/>
              </w:divBdr>
            </w:div>
            <w:div w:id="1518613186">
              <w:marLeft w:val="0"/>
              <w:marRight w:val="0"/>
              <w:marTop w:val="0"/>
              <w:marBottom w:val="240"/>
              <w:divBdr>
                <w:top w:val="none" w:sz="0" w:space="0" w:color="auto"/>
                <w:left w:val="none" w:sz="0" w:space="0" w:color="auto"/>
                <w:bottom w:val="none" w:sz="0" w:space="0" w:color="auto"/>
                <w:right w:val="none" w:sz="0" w:space="0" w:color="auto"/>
              </w:divBdr>
            </w:div>
            <w:div w:id="1175263301">
              <w:marLeft w:val="0"/>
              <w:marRight w:val="0"/>
              <w:marTop w:val="0"/>
              <w:marBottom w:val="240"/>
              <w:divBdr>
                <w:top w:val="none" w:sz="0" w:space="0" w:color="auto"/>
                <w:left w:val="none" w:sz="0" w:space="0" w:color="auto"/>
                <w:bottom w:val="none" w:sz="0" w:space="0" w:color="auto"/>
                <w:right w:val="none" w:sz="0" w:space="0" w:color="auto"/>
              </w:divBdr>
            </w:div>
            <w:div w:id="261841421">
              <w:marLeft w:val="0"/>
              <w:marRight w:val="0"/>
              <w:marTop w:val="0"/>
              <w:marBottom w:val="240"/>
              <w:divBdr>
                <w:top w:val="none" w:sz="0" w:space="0" w:color="auto"/>
                <w:left w:val="none" w:sz="0" w:space="0" w:color="auto"/>
                <w:bottom w:val="none" w:sz="0" w:space="0" w:color="auto"/>
                <w:right w:val="none" w:sz="0" w:space="0" w:color="auto"/>
              </w:divBdr>
            </w:div>
            <w:div w:id="932513822">
              <w:marLeft w:val="0"/>
              <w:marRight w:val="0"/>
              <w:marTop w:val="0"/>
              <w:marBottom w:val="240"/>
              <w:divBdr>
                <w:top w:val="none" w:sz="0" w:space="0" w:color="auto"/>
                <w:left w:val="none" w:sz="0" w:space="0" w:color="auto"/>
                <w:bottom w:val="none" w:sz="0" w:space="0" w:color="auto"/>
                <w:right w:val="none" w:sz="0" w:space="0" w:color="auto"/>
              </w:divBdr>
            </w:div>
            <w:div w:id="1882814361">
              <w:marLeft w:val="0"/>
              <w:marRight w:val="0"/>
              <w:marTop w:val="0"/>
              <w:marBottom w:val="240"/>
              <w:divBdr>
                <w:top w:val="none" w:sz="0" w:space="0" w:color="auto"/>
                <w:left w:val="none" w:sz="0" w:space="0" w:color="auto"/>
                <w:bottom w:val="none" w:sz="0" w:space="0" w:color="auto"/>
                <w:right w:val="none" w:sz="0" w:space="0" w:color="auto"/>
              </w:divBdr>
            </w:div>
            <w:div w:id="1637951281">
              <w:marLeft w:val="0"/>
              <w:marRight w:val="0"/>
              <w:marTop w:val="0"/>
              <w:marBottom w:val="240"/>
              <w:divBdr>
                <w:top w:val="none" w:sz="0" w:space="0" w:color="auto"/>
                <w:left w:val="none" w:sz="0" w:space="0" w:color="auto"/>
                <w:bottom w:val="none" w:sz="0" w:space="0" w:color="auto"/>
                <w:right w:val="none" w:sz="0" w:space="0" w:color="auto"/>
              </w:divBdr>
            </w:div>
            <w:div w:id="80104305">
              <w:marLeft w:val="0"/>
              <w:marRight w:val="0"/>
              <w:marTop w:val="0"/>
              <w:marBottom w:val="240"/>
              <w:divBdr>
                <w:top w:val="none" w:sz="0" w:space="0" w:color="auto"/>
                <w:left w:val="none" w:sz="0" w:space="0" w:color="auto"/>
                <w:bottom w:val="none" w:sz="0" w:space="0" w:color="auto"/>
                <w:right w:val="none" w:sz="0" w:space="0" w:color="auto"/>
              </w:divBdr>
            </w:div>
            <w:div w:id="992950130">
              <w:marLeft w:val="0"/>
              <w:marRight w:val="0"/>
              <w:marTop w:val="0"/>
              <w:marBottom w:val="240"/>
              <w:divBdr>
                <w:top w:val="none" w:sz="0" w:space="0" w:color="auto"/>
                <w:left w:val="none" w:sz="0" w:space="0" w:color="auto"/>
                <w:bottom w:val="none" w:sz="0" w:space="0" w:color="auto"/>
                <w:right w:val="none" w:sz="0" w:space="0" w:color="auto"/>
              </w:divBdr>
            </w:div>
            <w:div w:id="996303359">
              <w:marLeft w:val="0"/>
              <w:marRight w:val="0"/>
              <w:marTop w:val="0"/>
              <w:marBottom w:val="240"/>
              <w:divBdr>
                <w:top w:val="none" w:sz="0" w:space="0" w:color="auto"/>
                <w:left w:val="none" w:sz="0" w:space="0" w:color="auto"/>
                <w:bottom w:val="none" w:sz="0" w:space="0" w:color="auto"/>
                <w:right w:val="none" w:sz="0" w:space="0" w:color="auto"/>
              </w:divBdr>
            </w:div>
            <w:div w:id="723794948">
              <w:marLeft w:val="0"/>
              <w:marRight w:val="0"/>
              <w:marTop w:val="0"/>
              <w:marBottom w:val="240"/>
              <w:divBdr>
                <w:top w:val="none" w:sz="0" w:space="0" w:color="auto"/>
                <w:left w:val="none" w:sz="0" w:space="0" w:color="auto"/>
                <w:bottom w:val="none" w:sz="0" w:space="0" w:color="auto"/>
                <w:right w:val="none" w:sz="0" w:space="0" w:color="auto"/>
              </w:divBdr>
            </w:div>
            <w:div w:id="194004615">
              <w:marLeft w:val="0"/>
              <w:marRight w:val="0"/>
              <w:marTop w:val="0"/>
              <w:marBottom w:val="240"/>
              <w:divBdr>
                <w:top w:val="none" w:sz="0" w:space="0" w:color="auto"/>
                <w:left w:val="none" w:sz="0" w:space="0" w:color="auto"/>
                <w:bottom w:val="none" w:sz="0" w:space="0" w:color="auto"/>
                <w:right w:val="none" w:sz="0" w:space="0" w:color="auto"/>
              </w:divBdr>
            </w:div>
            <w:div w:id="1211846897">
              <w:marLeft w:val="0"/>
              <w:marRight w:val="0"/>
              <w:marTop w:val="0"/>
              <w:marBottom w:val="240"/>
              <w:divBdr>
                <w:top w:val="none" w:sz="0" w:space="0" w:color="auto"/>
                <w:left w:val="none" w:sz="0" w:space="0" w:color="auto"/>
                <w:bottom w:val="none" w:sz="0" w:space="0" w:color="auto"/>
                <w:right w:val="none" w:sz="0" w:space="0" w:color="auto"/>
              </w:divBdr>
            </w:div>
            <w:div w:id="1191457448">
              <w:marLeft w:val="0"/>
              <w:marRight w:val="0"/>
              <w:marTop w:val="0"/>
              <w:marBottom w:val="240"/>
              <w:divBdr>
                <w:top w:val="none" w:sz="0" w:space="0" w:color="auto"/>
                <w:left w:val="none" w:sz="0" w:space="0" w:color="auto"/>
                <w:bottom w:val="none" w:sz="0" w:space="0" w:color="auto"/>
                <w:right w:val="none" w:sz="0" w:space="0" w:color="auto"/>
              </w:divBdr>
            </w:div>
            <w:div w:id="1553926063">
              <w:marLeft w:val="0"/>
              <w:marRight w:val="0"/>
              <w:marTop w:val="0"/>
              <w:marBottom w:val="240"/>
              <w:divBdr>
                <w:top w:val="none" w:sz="0" w:space="0" w:color="auto"/>
                <w:left w:val="none" w:sz="0" w:space="0" w:color="auto"/>
                <w:bottom w:val="none" w:sz="0" w:space="0" w:color="auto"/>
                <w:right w:val="none" w:sz="0" w:space="0" w:color="auto"/>
              </w:divBdr>
            </w:div>
            <w:div w:id="1177816427">
              <w:marLeft w:val="0"/>
              <w:marRight w:val="0"/>
              <w:marTop w:val="0"/>
              <w:marBottom w:val="240"/>
              <w:divBdr>
                <w:top w:val="none" w:sz="0" w:space="0" w:color="auto"/>
                <w:left w:val="none" w:sz="0" w:space="0" w:color="auto"/>
                <w:bottom w:val="none" w:sz="0" w:space="0" w:color="auto"/>
                <w:right w:val="none" w:sz="0" w:space="0" w:color="auto"/>
              </w:divBdr>
            </w:div>
            <w:div w:id="1352681110">
              <w:marLeft w:val="0"/>
              <w:marRight w:val="0"/>
              <w:marTop w:val="0"/>
              <w:marBottom w:val="240"/>
              <w:divBdr>
                <w:top w:val="none" w:sz="0" w:space="0" w:color="auto"/>
                <w:left w:val="none" w:sz="0" w:space="0" w:color="auto"/>
                <w:bottom w:val="none" w:sz="0" w:space="0" w:color="auto"/>
                <w:right w:val="none" w:sz="0" w:space="0" w:color="auto"/>
              </w:divBdr>
            </w:div>
            <w:div w:id="167525366">
              <w:marLeft w:val="0"/>
              <w:marRight w:val="0"/>
              <w:marTop w:val="0"/>
              <w:marBottom w:val="240"/>
              <w:divBdr>
                <w:top w:val="none" w:sz="0" w:space="0" w:color="auto"/>
                <w:left w:val="none" w:sz="0" w:space="0" w:color="auto"/>
                <w:bottom w:val="none" w:sz="0" w:space="0" w:color="auto"/>
                <w:right w:val="none" w:sz="0" w:space="0" w:color="auto"/>
              </w:divBdr>
            </w:div>
            <w:div w:id="1558323395">
              <w:marLeft w:val="0"/>
              <w:marRight w:val="0"/>
              <w:marTop w:val="0"/>
              <w:marBottom w:val="240"/>
              <w:divBdr>
                <w:top w:val="none" w:sz="0" w:space="0" w:color="auto"/>
                <w:left w:val="none" w:sz="0" w:space="0" w:color="auto"/>
                <w:bottom w:val="none" w:sz="0" w:space="0" w:color="auto"/>
                <w:right w:val="none" w:sz="0" w:space="0" w:color="auto"/>
              </w:divBdr>
            </w:div>
            <w:div w:id="1986348151">
              <w:marLeft w:val="0"/>
              <w:marRight w:val="0"/>
              <w:marTop w:val="0"/>
              <w:marBottom w:val="240"/>
              <w:divBdr>
                <w:top w:val="none" w:sz="0" w:space="0" w:color="auto"/>
                <w:left w:val="none" w:sz="0" w:space="0" w:color="auto"/>
                <w:bottom w:val="none" w:sz="0" w:space="0" w:color="auto"/>
                <w:right w:val="none" w:sz="0" w:space="0" w:color="auto"/>
              </w:divBdr>
            </w:div>
            <w:div w:id="797065359">
              <w:marLeft w:val="0"/>
              <w:marRight w:val="0"/>
              <w:marTop w:val="0"/>
              <w:marBottom w:val="240"/>
              <w:divBdr>
                <w:top w:val="none" w:sz="0" w:space="0" w:color="auto"/>
                <w:left w:val="none" w:sz="0" w:space="0" w:color="auto"/>
                <w:bottom w:val="none" w:sz="0" w:space="0" w:color="auto"/>
                <w:right w:val="none" w:sz="0" w:space="0" w:color="auto"/>
              </w:divBdr>
            </w:div>
            <w:div w:id="938291242">
              <w:marLeft w:val="0"/>
              <w:marRight w:val="0"/>
              <w:marTop w:val="0"/>
              <w:marBottom w:val="240"/>
              <w:divBdr>
                <w:top w:val="none" w:sz="0" w:space="0" w:color="auto"/>
                <w:left w:val="none" w:sz="0" w:space="0" w:color="auto"/>
                <w:bottom w:val="none" w:sz="0" w:space="0" w:color="auto"/>
                <w:right w:val="none" w:sz="0" w:space="0" w:color="auto"/>
              </w:divBdr>
            </w:div>
            <w:div w:id="1575316572">
              <w:marLeft w:val="0"/>
              <w:marRight w:val="0"/>
              <w:marTop w:val="0"/>
              <w:marBottom w:val="240"/>
              <w:divBdr>
                <w:top w:val="none" w:sz="0" w:space="0" w:color="auto"/>
                <w:left w:val="none" w:sz="0" w:space="0" w:color="auto"/>
                <w:bottom w:val="none" w:sz="0" w:space="0" w:color="auto"/>
                <w:right w:val="none" w:sz="0" w:space="0" w:color="auto"/>
              </w:divBdr>
            </w:div>
            <w:div w:id="705761295">
              <w:marLeft w:val="0"/>
              <w:marRight w:val="0"/>
              <w:marTop w:val="0"/>
              <w:marBottom w:val="240"/>
              <w:divBdr>
                <w:top w:val="none" w:sz="0" w:space="0" w:color="auto"/>
                <w:left w:val="none" w:sz="0" w:space="0" w:color="auto"/>
                <w:bottom w:val="none" w:sz="0" w:space="0" w:color="auto"/>
                <w:right w:val="none" w:sz="0" w:space="0" w:color="auto"/>
              </w:divBdr>
            </w:div>
            <w:div w:id="437332927">
              <w:marLeft w:val="0"/>
              <w:marRight w:val="0"/>
              <w:marTop w:val="0"/>
              <w:marBottom w:val="240"/>
              <w:divBdr>
                <w:top w:val="none" w:sz="0" w:space="0" w:color="auto"/>
                <w:left w:val="none" w:sz="0" w:space="0" w:color="auto"/>
                <w:bottom w:val="none" w:sz="0" w:space="0" w:color="auto"/>
                <w:right w:val="none" w:sz="0" w:space="0" w:color="auto"/>
              </w:divBdr>
            </w:div>
            <w:div w:id="1447038840">
              <w:marLeft w:val="0"/>
              <w:marRight w:val="0"/>
              <w:marTop w:val="0"/>
              <w:marBottom w:val="240"/>
              <w:divBdr>
                <w:top w:val="none" w:sz="0" w:space="0" w:color="auto"/>
                <w:left w:val="none" w:sz="0" w:space="0" w:color="auto"/>
                <w:bottom w:val="none" w:sz="0" w:space="0" w:color="auto"/>
                <w:right w:val="none" w:sz="0" w:space="0" w:color="auto"/>
              </w:divBdr>
            </w:div>
            <w:div w:id="1825194153">
              <w:marLeft w:val="0"/>
              <w:marRight w:val="0"/>
              <w:marTop w:val="0"/>
              <w:marBottom w:val="240"/>
              <w:divBdr>
                <w:top w:val="none" w:sz="0" w:space="0" w:color="auto"/>
                <w:left w:val="none" w:sz="0" w:space="0" w:color="auto"/>
                <w:bottom w:val="none" w:sz="0" w:space="0" w:color="auto"/>
                <w:right w:val="none" w:sz="0" w:space="0" w:color="auto"/>
              </w:divBdr>
            </w:div>
            <w:div w:id="962881733">
              <w:marLeft w:val="0"/>
              <w:marRight w:val="0"/>
              <w:marTop w:val="0"/>
              <w:marBottom w:val="240"/>
              <w:divBdr>
                <w:top w:val="none" w:sz="0" w:space="0" w:color="auto"/>
                <w:left w:val="none" w:sz="0" w:space="0" w:color="auto"/>
                <w:bottom w:val="none" w:sz="0" w:space="0" w:color="auto"/>
                <w:right w:val="none" w:sz="0" w:space="0" w:color="auto"/>
              </w:divBdr>
            </w:div>
            <w:div w:id="1817336782">
              <w:marLeft w:val="0"/>
              <w:marRight w:val="0"/>
              <w:marTop w:val="0"/>
              <w:marBottom w:val="240"/>
              <w:divBdr>
                <w:top w:val="none" w:sz="0" w:space="0" w:color="auto"/>
                <w:left w:val="none" w:sz="0" w:space="0" w:color="auto"/>
                <w:bottom w:val="none" w:sz="0" w:space="0" w:color="auto"/>
                <w:right w:val="none" w:sz="0" w:space="0" w:color="auto"/>
              </w:divBdr>
            </w:div>
            <w:div w:id="449276473">
              <w:marLeft w:val="0"/>
              <w:marRight w:val="0"/>
              <w:marTop w:val="0"/>
              <w:marBottom w:val="240"/>
              <w:divBdr>
                <w:top w:val="none" w:sz="0" w:space="0" w:color="auto"/>
                <w:left w:val="none" w:sz="0" w:space="0" w:color="auto"/>
                <w:bottom w:val="none" w:sz="0" w:space="0" w:color="auto"/>
                <w:right w:val="none" w:sz="0" w:space="0" w:color="auto"/>
              </w:divBdr>
            </w:div>
            <w:div w:id="1030493315">
              <w:marLeft w:val="0"/>
              <w:marRight w:val="0"/>
              <w:marTop w:val="0"/>
              <w:marBottom w:val="240"/>
              <w:divBdr>
                <w:top w:val="none" w:sz="0" w:space="0" w:color="auto"/>
                <w:left w:val="none" w:sz="0" w:space="0" w:color="auto"/>
                <w:bottom w:val="none" w:sz="0" w:space="0" w:color="auto"/>
                <w:right w:val="none" w:sz="0" w:space="0" w:color="auto"/>
              </w:divBdr>
            </w:div>
            <w:div w:id="9451030">
              <w:marLeft w:val="0"/>
              <w:marRight w:val="0"/>
              <w:marTop w:val="0"/>
              <w:marBottom w:val="240"/>
              <w:divBdr>
                <w:top w:val="none" w:sz="0" w:space="0" w:color="auto"/>
                <w:left w:val="none" w:sz="0" w:space="0" w:color="auto"/>
                <w:bottom w:val="none" w:sz="0" w:space="0" w:color="auto"/>
                <w:right w:val="none" w:sz="0" w:space="0" w:color="auto"/>
              </w:divBdr>
            </w:div>
            <w:div w:id="2122869856">
              <w:marLeft w:val="0"/>
              <w:marRight w:val="0"/>
              <w:marTop w:val="0"/>
              <w:marBottom w:val="240"/>
              <w:divBdr>
                <w:top w:val="none" w:sz="0" w:space="0" w:color="auto"/>
                <w:left w:val="none" w:sz="0" w:space="0" w:color="auto"/>
                <w:bottom w:val="none" w:sz="0" w:space="0" w:color="auto"/>
                <w:right w:val="none" w:sz="0" w:space="0" w:color="auto"/>
              </w:divBdr>
            </w:div>
            <w:div w:id="1458254608">
              <w:marLeft w:val="0"/>
              <w:marRight w:val="0"/>
              <w:marTop w:val="0"/>
              <w:marBottom w:val="240"/>
              <w:divBdr>
                <w:top w:val="none" w:sz="0" w:space="0" w:color="auto"/>
                <w:left w:val="none" w:sz="0" w:space="0" w:color="auto"/>
                <w:bottom w:val="none" w:sz="0" w:space="0" w:color="auto"/>
                <w:right w:val="none" w:sz="0" w:space="0" w:color="auto"/>
              </w:divBdr>
            </w:div>
            <w:div w:id="1936596358">
              <w:marLeft w:val="0"/>
              <w:marRight w:val="0"/>
              <w:marTop w:val="0"/>
              <w:marBottom w:val="240"/>
              <w:divBdr>
                <w:top w:val="none" w:sz="0" w:space="0" w:color="auto"/>
                <w:left w:val="none" w:sz="0" w:space="0" w:color="auto"/>
                <w:bottom w:val="none" w:sz="0" w:space="0" w:color="auto"/>
                <w:right w:val="none" w:sz="0" w:space="0" w:color="auto"/>
              </w:divBdr>
            </w:div>
            <w:div w:id="508953760">
              <w:marLeft w:val="0"/>
              <w:marRight w:val="0"/>
              <w:marTop w:val="0"/>
              <w:marBottom w:val="240"/>
              <w:divBdr>
                <w:top w:val="none" w:sz="0" w:space="0" w:color="auto"/>
                <w:left w:val="none" w:sz="0" w:space="0" w:color="auto"/>
                <w:bottom w:val="none" w:sz="0" w:space="0" w:color="auto"/>
                <w:right w:val="none" w:sz="0" w:space="0" w:color="auto"/>
              </w:divBdr>
            </w:div>
            <w:div w:id="1792087780">
              <w:marLeft w:val="0"/>
              <w:marRight w:val="0"/>
              <w:marTop w:val="0"/>
              <w:marBottom w:val="240"/>
              <w:divBdr>
                <w:top w:val="none" w:sz="0" w:space="0" w:color="auto"/>
                <w:left w:val="none" w:sz="0" w:space="0" w:color="auto"/>
                <w:bottom w:val="none" w:sz="0" w:space="0" w:color="auto"/>
                <w:right w:val="none" w:sz="0" w:space="0" w:color="auto"/>
              </w:divBdr>
            </w:div>
            <w:div w:id="818769591">
              <w:marLeft w:val="0"/>
              <w:marRight w:val="0"/>
              <w:marTop w:val="0"/>
              <w:marBottom w:val="240"/>
              <w:divBdr>
                <w:top w:val="none" w:sz="0" w:space="0" w:color="auto"/>
                <w:left w:val="none" w:sz="0" w:space="0" w:color="auto"/>
                <w:bottom w:val="none" w:sz="0" w:space="0" w:color="auto"/>
                <w:right w:val="none" w:sz="0" w:space="0" w:color="auto"/>
              </w:divBdr>
            </w:div>
            <w:div w:id="235819120">
              <w:marLeft w:val="0"/>
              <w:marRight w:val="0"/>
              <w:marTop w:val="0"/>
              <w:marBottom w:val="240"/>
              <w:divBdr>
                <w:top w:val="none" w:sz="0" w:space="0" w:color="auto"/>
                <w:left w:val="none" w:sz="0" w:space="0" w:color="auto"/>
                <w:bottom w:val="none" w:sz="0" w:space="0" w:color="auto"/>
                <w:right w:val="none" w:sz="0" w:space="0" w:color="auto"/>
              </w:divBdr>
            </w:div>
            <w:div w:id="2018579677">
              <w:marLeft w:val="0"/>
              <w:marRight w:val="0"/>
              <w:marTop w:val="0"/>
              <w:marBottom w:val="240"/>
              <w:divBdr>
                <w:top w:val="none" w:sz="0" w:space="0" w:color="auto"/>
                <w:left w:val="none" w:sz="0" w:space="0" w:color="auto"/>
                <w:bottom w:val="none" w:sz="0" w:space="0" w:color="auto"/>
                <w:right w:val="none" w:sz="0" w:space="0" w:color="auto"/>
              </w:divBdr>
            </w:div>
            <w:div w:id="1983383075">
              <w:marLeft w:val="0"/>
              <w:marRight w:val="0"/>
              <w:marTop w:val="0"/>
              <w:marBottom w:val="240"/>
              <w:divBdr>
                <w:top w:val="none" w:sz="0" w:space="0" w:color="auto"/>
                <w:left w:val="none" w:sz="0" w:space="0" w:color="auto"/>
                <w:bottom w:val="none" w:sz="0" w:space="0" w:color="auto"/>
                <w:right w:val="none" w:sz="0" w:space="0" w:color="auto"/>
              </w:divBdr>
            </w:div>
            <w:div w:id="158157332">
              <w:marLeft w:val="0"/>
              <w:marRight w:val="0"/>
              <w:marTop w:val="0"/>
              <w:marBottom w:val="240"/>
              <w:divBdr>
                <w:top w:val="none" w:sz="0" w:space="0" w:color="auto"/>
                <w:left w:val="none" w:sz="0" w:space="0" w:color="auto"/>
                <w:bottom w:val="none" w:sz="0" w:space="0" w:color="auto"/>
                <w:right w:val="none" w:sz="0" w:space="0" w:color="auto"/>
              </w:divBdr>
            </w:div>
            <w:div w:id="3199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906257">
      <w:bodyDiv w:val="1"/>
      <w:marLeft w:val="0"/>
      <w:marRight w:val="0"/>
      <w:marTop w:val="0"/>
      <w:marBottom w:val="0"/>
      <w:divBdr>
        <w:top w:val="none" w:sz="0" w:space="0" w:color="auto"/>
        <w:left w:val="none" w:sz="0" w:space="0" w:color="auto"/>
        <w:bottom w:val="none" w:sz="0" w:space="0" w:color="auto"/>
        <w:right w:val="none" w:sz="0" w:space="0" w:color="auto"/>
      </w:divBdr>
    </w:div>
    <w:div w:id="603151578">
      <w:bodyDiv w:val="1"/>
      <w:marLeft w:val="0"/>
      <w:marRight w:val="0"/>
      <w:marTop w:val="0"/>
      <w:marBottom w:val="0"/>
      <w:divBdr>
        <w:top w:val="none" w:sz="0" w:space="0" w:color="auto"/>
        <w:left w:val="none" w:sz="0" w:space="0" w:color="auto"/>
        <w:bottom w:val="none" w:sz="0" w:space="0" w:color="auto"/>
        <w:right w:val="none" w:sz="0" w:space="0" w:color="auto"/>
      </w:divBdr>
      <w:divsChild>
        <w:div w:id="1436438381">
          <w:marLeft w:val="480"/>
          <w:marRight w:val="0"/>
          <w:marTop w:val="0"/>
          <w:marBottom w:val="0"/>
          <w:divBdr>
            <w:top w:val="none" w:sz="0" w:space="0" w:color="auto"/>
            <w:left w:val="none" w:sz="0" w:space="0" w:color="auto"/>
            <w:bottom w:val="none" w:sz="0" w:space="0" w:color="auto"/>
            <w:right w:val="none" w:sz="0" w:space="0" w:color="auto"/>
          </w:divBdr>
          <w:divsChild>
            <w:div w:id="330450376">
              <w:marLeft w:val="0"/>
              <w:marRight w:val="0"/>
              <w:marTop w:val="0"/>
              <w:marBottom w:val="240"/>
              <w:divBdr>
                <w:top w:val="none" w:sz="0" w:space="0" w:color="auto"/>
                <w:left w:val="none" w:sz="0" w:space="0" w:color="auto"/>
                <w:bottom w:val="none" w:sz="0" w:space="0" w:color="auto"/>
                <w:right w:val="none" w:sz="0" w:space="0" w:color="auto"/>
              </w:divBdr>
            </w:div>
            <w:div w:id="466581825">
              <w:marLeft w:val="0"/>
              <w:marRight w:val="0"/>
              <w:marTop w:val="0"/>
              <w:marBottom w:val="240"/>
              <w:divBdr>
                <w:top w:val="none" w:sz="0" w:space="0" w:color="auto"/>
                <w:left w:val="none" w:sz="0" w:space="0" w:color="auto"/>
                <w:bottom w:val="none" w:sz="0" w:space="0" w:color="auto"/>
                <w:right w:val="none" w:sz="0" w:space="0" w:color="auto"/>
              </w:divBdr>
            </w:div>
            <w:div w:id="1853251848">
              <w:marLeft w:val="0"/>
              <w:marRight w:val="0"/>
              <w:marTop w:val="0"/>
              <w:marBottom w:val="240"/>
              <w:divBdr>
                <w:top w:val="none" w:sz="0" w:space="0" w:color="auto"/>
                <w:left w:val="none" w:sz="0" w:space="0" w:color="auto"/>
                <w:bottom w:val="none" w:sz="0" w:space="0" w:color="auto"/>
                <w:right w:val="none" w:sz="0" w:space="0" w:color="auto"/>
              </w:divBdr>
            </w:div>
            <w:div w:id="371729637">
              <w:marLeft w:val="0"/>
              <w:marRight w:val="0"/>
              <w:marTop w:val="0"/>
              <w:marBottom w:val="240"/>
              <w:divBdr>
                <w:top w:val="none" w:sz="0" w:space="0" w:color="auto"/>
                <w:left w:val="none" w:sz="0" w:space="0" w:color="auto"/>
                <w:bottom w:val="none" w:sz="0" w:space="0" w:color="auto"/>
                <w:right w:val="none" w:sz="0" w:space="0" w:color="auto"/>
              </w:divBdr>
            </w:div>
            <w:div w:id="1884638080">
              <w:marLeft w:val="0"/>
              <w:marRight w:val="0"/>
              <w:marTop w:val="0"/>
              <w:marBottom w:val="240"/>
              <w:divBdr>
                <w:top w:val="none" w:sz="0" w:space="0" w:color="auto"/>
                <w:left w:val="none" w:sz="0" w:space="0" w:color="auto"/>
                <w:bottom w:val="none" w:sz="0" w:space="0" w:color="auto"/>
                <w:right w:val="none" w:sz="0" w:space="0" w:color="auto"/>
              </w:divBdr>
            </w:div>
            <w:div w:id="337654363">
              <w:marLeft w:val="0"/>
              <w:marRight w:val="0"/>
              <w:marTop w:val="0"/>
              <w:marBottom w:val="240"/>
              <w:divBdr>
                <w:top w:val="none" w:sz="0" w:space="0" w:color="auto"/>
                <w:left w:val="none" w:sz="0" w:space="0" w:color="auto"/>
                <w:bottom w:val="none" w:sz="0" w:space="0" w:color="auto"/>
                <w:right w:val="none" w:sz="0" w:space="0" w:color="auto"/>
              </w:divBdr>
            </w:div>
            <w:div w:id="1517036657">
              <w:marLeft w:val="0"/>
              <w:marRight w:val="0"/>
              <w:marTop w:val="0"/>
              <w:marBottom w:val="240"/>
              <w:divBdr>
                <w:top w:val="none" w:sz="0" w:space="0" w:color="auto"/>
                <w:left w:val="none" w:sz="0" w:space="0" w:color="auto"/>
                <w:bottom w:val="none" w:sz="0" w:space="0" w:color="auto"/>
                <w:right w:val="none" w:sz="0" w:space="0" w:color="auto"/>
              </w:divBdr>
            </w:div>
            <w:div w:id="468859778">
              <w:marLeft w:val="0"/>
              <w:marRight w:val="0"/>
              <w:marTop w:val="0"/>
              <w:marBottom w:val="240"/>
              <w:divBdr>
                <w:top w:val="none" w:sz="0" w:space="0" w:color="auto"/>
                <w:left w:val="none" w:sz="0" w:space="0" w:color="auto"/>
                <w:bottom w:val="none" w:sz="0" w:space="0" w:color="auto"/>
                <w:right w:val="none" w:sz="0" w:space="0" w:color="auto"/>
              </w:divBdr>
            </w:div>
            <w:div w:id="2076973828">
              <w:marLeft w:val="0"/>
              <w:marRight w:val="0"/>
              <w:marTop w:val="0"/>
              <w:marBottom w:val="240"/>
              <w:divBdr>
                <w:top w:val="none" w:sz="0" w:space="0" w:color="auto"/>
                <w:left w:val="none" w:sz="0" w:space="0" w:color="auto"/>
                <w:bottom w:val="none" w:sz="0" w:space="0" w:color="auto"/>
                <w:right w:val="none" w:sz="0" w:space="0" w:color="auto"/>
              </w:divBdr>
            </w:div>
            <w:div w:id="1900902320">
              <w:marLeft w:val="0"/>
              <w:marRight w:val="0"/>
              <w:marTop w:val="0"/>
              <w:marBottom w:val="240"/>
              <w:divBdr>
                <w:top w:val="none" w:sz="0" w:space="0" w:color="auto"/>
                <w:left w:val="none" w:sz="0" w:space="0" w:color="auto"/>
                <w:bottom w:val="none" w:sz="0" w:space="0" w:color="auto"/>
                <w:right w:val="none" w:sz="0" w:space="0" w:color="auto"/>
              </w:divBdr>
            </w:div>
            <w:div w:id="980889057">
              <w:marLeft w:val="0"/>
              <w:marRight w:val="0"/>
              <w:marTop w:val="0"/>
              <w:marBottom w:val="240"/>
              <w:divBdr>
                <w:top w:val="none" w:sz="0" w:space="0" w:color="auto"/>
                <w:left w:val="none" w:sz="0" w:space="0" w:color="auto"/>
                <w:bottom w:val="none" w:sz="0" w:space="0" w:color="auto"/>
                <w:right w:val="none" w:sz="0" w:space="0" w:color="auto"/>
              </w:divBdr>
            </w:div>
            <w:div w:id="516505912">
              <w:marLeft w:val="0"/>
              <w:marRight w:val="0"/>
              <w:marTop w:val="0"/>
              <w:marBottom w:val="240"/>
              <w:divBdr>
                <w:top w:val="none" w:sz="0" w:space="0" w:color="auto"/>
                <w:left w:val="none" w:sz="0" w:space="0" w:color="auto"/>
                <w:bottom w:val="none" w:sz="0" w:space="0" w:color="auto"/>
                <w:right w:val="none" w:sz="0" w:space="0" w:color="auto"/>
              </w:divBdr>
            </w:div>
            <w:div w:id="530997671">
              <w:marLeft w:val="0"/>
              <w:marRight w:val="0"/>
              <w:marTop w:val="0"/>
              <w:marBottom w:val="240"/>
              <w:divBdr>
                <w:top w:val="none" w:sz="0" w:space="0" w:color="auto"/>
                <w:left w:val="none" w:sz="0" w:space="0" w:color="auto"/>
                <w:bottom w:val="none" w:sz="0" w:space="0" w:color="auto"/>
                <w:right w:val="none" w:sz="0" w:space="0" w:color="auto"/>
              </w:divBdr>
            </w:div>
            <w:div w:id="1682853893">
              <w:marLeft w:val="0"/>
              <w:marRight w:val="0"/>
              <w:marTop w:val="0"/>
              <w:marBottom w:val="240"/>
              <w:divBdr>
                <w:top w:val="none" w:sz="0" w:space="0" w:color="auto"/>
                <w:left w:val="none" w:sz="0" w:space="0" w:color="auto"/>
                <w:bottom w:val="none" w:sz="0" w:space="0" w:color="auto"/>
                <w:right w:val="none" w:sz="0" w:space="0" w:color="auto"/>
              </w:divBdr>
            </w:div>
            <w:div w:id="1713454817">
              <w:marLeft w:val="0"/>
              <w:marRight w:val="0"/>
              <w:marTop w:val="0"/>
              <w:marBottom w:val="240"/>
              <w:divBdr>
                <w:top w:val="none" w:sz="0" w:space="0" w:color="auto"/>
                <w:left w:val="none" w:sz="0" w:space="0" w:color="auto"/>
                <w:bottom w:val="none" w:sz="0" w:space="0" w:color="auto"/>
                <w:right w:val="none" w:sz="0" w:space="0" w:color="auto"/>
              </w:divBdr>
            </w:div>
            <w:div w:id="1494564759">
              <w:marLeft w:val="0"/>
              <w:marRight w:val="0"/>
              <w:marTop w:val="0"/>
              <w:marBottom w:val="240"/>
              <w:divBdr>
                <w:top w:val="none" w:sz="0" w:space="0" w:color="auto"/>
                <w:left w:val="none" w:sz="0" w:space="0" w:color="auto"/>
                <w:bottom w:val="none" w:sz="0" w:space="0" w:color="auto"/>
                <w:right w:val="none" w:sz="0" w:space="0" w:color="auto"/>
              </w:divBdr>
            </w:div>
            <w:div w:id="777604192">
              <w:marLeft w:val="0"/>
              <w:marRight w:val="0"/>
              <w:marTop w:val="0"/>
              <w:marBottom w:val="240"/>
              <w:divBdr>
                <w:top w:val="none" w:sz="0" w:space="0" w:color="auto"/>
                <w:left w:val="none" w:sz="0" w:space="0" w:color="auto"/>
                <w:bottom w:val="none" w:sz="0" w:space="0" w:color="auto"/>
                <w:right w:val="none" w:sz="0" w:space="0" w:color="auto"/>
              </w:divBdr>
            </w:div>
            <w:div w:id="411853071">
              <w:marLeft w:val="0"/>
              <w:marRight w:val="0"/>
              <w:marTop w:val="0"/>
              <w:marBottom w:val="240"/>
              <w:divBdr>
                <w:top w:val="none" w:sz="0" w:space="0" w:color="auto"/>
                <w:left w:val="none" w:sz="0" w:space="0" w:color="auto"/>
                <w:bottom w:val="none" w:sz="0" w:space="0" w:color="auto"/>
                <w:right w:val="none" w:sz="0" w:space="0" w:color="auto"/>
              </w:divBdr>
            </w:div>
            <w:div w:id="814293620">
              <w:marLeft w:val="0"/>
              <w:marRight w:val="0"/>
              <w:marTop w:val="0"/>
              <w:marBottom w:val="240"/>
              <w:divBdr>
                <w:top w:val="none" w:sz="0" w:space="0" w:color="auto"/>
                <w:left w:val="none" w:sz="0" w:space="0" w:color="auto"/>
                <w:bottom w:val="none" w:sz="0" w:space="0" w:color="auto"/>
                <w:right w:val="none" w:sz="0" w:space="0" w:color="auto"/>
              </w:divBdr>
            </w:div>
            <w:div w:id="1064179387">
              <w:marLeft w:val="0"/>
              <w:marRight w:val="0"/>
              <w:marTop w:val="0"/>
              <w:marBottom w:val="240"/>
              <w:divBdr>
                <w:top w:val="none" w:sz="0" w:space="0" w:color="auto"/>
                <w:left w:val="none" w:sz="0" w:space="0" w:color="auto"/>
                <w:bottom w:val="none" w:sz="0" w:space="0" w:color="auto"/>
                <w:right w:val="none" w:sz="0" w:space="0" w:color="auto"/>
              </w:divBdr>
            </w:div>
            <w:div w:id="310837975">
              <w:marLeft w:val="0"/>
              <w:marRight w:val="0"/>
              <w:marTop w:val="0"/>
              <w:marBottom w:val="240"/>
              <w:divBdr>
                <w:top w:val="none" w:sz="0" w:space="0" w:color="auto"/>
                <w:left w:val="none" w:sz="0" w:space="0" w:color="auto"/>
                <w:bottom w:val="none" w:sz="0" w:space="0" w:color="auto"/>
                <w:right w:val="none" w:sz="0" w:space="0" w:color="auto"/>
              </w:divBdr>
            </w:div>
            <w:div w:id="1804230085">
              <w:marLeft w:val="0"/>
              <w:marRight w:val="0"/>
              <w:marTop w:val="0"/>
              <w:marBottom w:val="240"/>
              <w:divBdr>
                <w:top w:val="none" w:sz="0" w:space="0" w:color="auto"/>
                <w:left w:val="none" w:sz="0" w:space="0" w:color="auto"/>
                <w:bottom w:val="none" w:sz="0" w:space="0" w:color="auto"/>
                <w:right w:val="none" w:sz="0" w:space="0" w:color="auto"/>
              </w:divBdr>
            </w:div>
            <w:div w:id="1606309894">
              <w:marLeft w:val="0"/>
              <w:marRight w:val="0"/>
              <w:marTop w:val="0"/>
              <w:marBottom w:val="240"/>
              <w:divBdr>
                <w:top w:val="none" w:sz="0" w:space="0" w:color="auto"/>
                <w:left w:val="none" w:sz="0" w:space="0" w:color="auto"/>
                <w:bottom w:val="none" w:sz="0" w:space="0" w:color="auto"/>
                <w:right w:val="none" w:sz="0" w:space="0" w:color="auto"/>
              </w:divBdr>
            </w:div>
            <w:div w:id="2038307864">
              <w:marLeft w:val="0"/>
              <w:marRight w:val="0"/>
              <w:marTop w:val="0"/>
              <w:marBottom w:val="240"/>
              <w:divBdr>
                <w:top w:val="none" w:sz="0" w:space="0" w:color="auto"/>
                <w:left w:val="none" w:sz="0" w:space="0" w:color="auto"/>
                <w:bottom w:val="none" w:sz="0" w:space="0" w:color="auto"/>
                <w:right w:val="none" w:sz="0" w:space="0" w:color="auto"/>
              </w:divBdr>
            </w:div>
            <w:div w:id="1490517295">
              <w:marLeft w:val="0"/>
              <w:marRight w:val="0"/>
              <w:marTop w:val="0"/>
              <w:marBottom w:val="240"/>
              <w:divBdr>
                <w:top w:val="none" w:sz="0" w:space="0" w:color="auto"/>
                <w:left w:val="none" w:sz="0" w:space="0" w:color="auto"/>
                <w:bottom w:val="none" w:sz="0" w:space="0" w:color="auto"/>
                <w:right w:val="none" w:sz="0" w:space="0" w:color="auto"/>
              </w:divBdr>
            </w:div>
            <w:div w:id="754279439">
              <w:marLeft w:val="0"/>
              <w:marRight w:val="0"/>
              <w:marTop w:val="0"/>
              <w:marBottom w:val="240"/>
              <w:divBdr>
                <w:top w:val="none" w:sz="0" w:space="0" w:color="auto"/>
                <w:left w:val="none" w:sz="0" w:space="0" w:color="auto"/>
                <w:bottom w:val="none" w:sz="0" w:space="0" w:color="auto"/>
                <w:right w:val="none" w:sz="0" w:space="0" w:color="auto"/>
              </w:divBdr>
            </w:div>
            <w:div w:id="1067727435">
              <w:marLeft w:val="0"/>
              <w:marRight w:val="0"/>
              <w:marTop w:val="0"/>
              <w:marBottom w:val="240"/>
              <w:divBdr>
                <w:top w:val="none" w:sz="0" w:space="0" w:color="auto"/>
                <w:left w:val="none" w:sz="0" w:space="0" w:color="auto"/>
                <w:bottom w:val="none" w:sz="0" w:space="0" w:color="auto"/>
                <w:right w:val="none" w:sz="0" w:space="0" w:color="auto"/>
              </w:divBdr>
            </w:div>
            <w:div w:id="1455713587">
              <w:marLeft w:val="0"/>
              <w:marRight w:val="0"/>
              <w:marTop w:val="0"/>
              <w:marBottom w:val="240"/>
              <w:divBdr>
                <w:top w:val="none" w:sz="0" w:space="0" w:color="auto"/>
                <w:left w:val="none" w:sz="0" w:space="0" w:color="auto"/>
                <w:bottom w:val="none" w:sz="0" w:space="0" w:color="auto"/>
                <w:right w:val="none" w:sz="0" w:space="0" w:color="auto"/>
              </w:divBdr>
            </w:div>
            <w:div w:id="1699964997">
              <w:marLeft w:val="0"/>
              <w:marRight w:val="0"/>
              <w:marTop w:val="0"/>
              <w:marBottom w:val="240"/>
              <w:divBdr>
                <w:top w:val="none" w:sz="0" w:space="0" w:color="auto"/>
                <w:left w:val="none" w:sz="0" w:space="0" w:color="auto"/>
                <w:bottom w:val="none" w:sz="0" w:space="0" w:color="auto"/>
                <w:right w:val="none" w:sz="0" w:space="0" w:color="auto"/>
              </w:divBdr>
            </w:div>
            <w:div w:id="1349939973">
              <w:marLeft w:val="0"/>
              <w:marRight w:val="0"/>
              <w:marTop w:val="0"/>
              <w:marBottom w:val="240"/>
              <w:divBdr>
                <w:top w:val="none" w:sz="0" w:space="0" w:color="auto"/>
                <w:left w:val="none" w:sz="0" w:space="0" w:color="auto"/>
                <w:bottom w:val="none" w:sz="0" w:space="0" w:color="auto"/>
                <w:right w:val="none" w:sz="0" w:space="0" w:color="auto"/>
              </w:divBdr>
            </w:div>
            <w:div w:id="835455364">
              <w:marLeft w:val="0"/>
              <w:marRight w:val="0"/>
              <w:marTop w:val="0"/>
              <w:marBottom w:val="240"/>
              <w:divBdr>
                <w:top w:val="none" w:sz="0" w:space="0" w:color="auto"/>
                <w:left w:val="none" w:sz="0" w:space="0" w:color="auto"/>
                <w:bottom w:val="none" w:sz="0" w:space="0" w:color="auto"/>
                <w:right w:val="none" w:sz="0" w:space="0" w:color="auto"/>
              </w:divBdr>
            </w:div>
            <w:div w:id="470443001">
              <w:marLeft w:val="0"/>
              <w:marRight w:val="0"/>
              <w:marTop w:val="0"/>
              <w:marBottom w:val="240"/>
              <w:divBdr>
                <w:top w:val="none" w:sz="0" w:space="0" w:color="auto"/>
                <w:left w:val="none" w:sz="0" w:space="0" w:color="auto"/>
                <w:bottom w:val="none" w:sz="0" w:space="0" w:color="auto"/>
                <w:right w:val="none" w:sz="0" w:space="0" w:color="auto"/>
              </w:divBdr>
            </w:div>
            <w:div w:id="1745177891">
              <w:marLeft w:val="0"/>
              <w:marRight w:val="0"/>
              <w:marTop w:val="0"/>
              <w:marBottom w:val="240"/>
              <w:divBdr>
                <w:top w:val="none" w:sz="0" w:space="0" w:color="auto"/>
                <w:left w:val="none" w:sz="0" w:space="0" w:color="auto"/>
                <w:bottom w:val="none" w:sz="0" w:space="0" w:color="auto"/>
                <w:right w:val="none" w:sz="0" w:space="0" w:color="auto"/>
              </w:divBdr>
            </w:div>
            <w:div w:id="1521550264">
              <w:marLeft w:val="0"/>
              <w:marRight w:val="0"/>
              <w:marTop w:val="0"/>
              <w:marBottom w:val="240"/>
              <w:divBdr>
                <w:top w:val="none" w:sz="0" w:space="0" w:color="auto"/>
                <w:left w:val="none" w:sz="0" w:space="0" w:color="auto"/>
                <w:bottom w:val="none" w:sz="0" w:space="0" w:color="auto"/>
                <w:right w:val="none" w:sz="0" w:space="0" w:color="auto"/>
              </w:divBdr>
            </w:div>
            <w:div w:id="1166941252">
              <w:marLeft w:val="0"/>
              <w:marRight w:val="0"/>
              <w:marTop w:val="0"/>
              <w:marBottom w:val="240"/>
              <w:divBdr>
                <w:top w:val="none" w:sz="0" w:space="0" w:color="auto"/>
                <w:left w:val="none" w:sz="0" w:space="0" w:color="auto"/>
                <w:bottom w:val="none" w:sz="0" w:space="0" w:color="auto"/>
                <w:right w:val="none" w:sz="0" w:space="0" w:color="auto"/>
              </w:divBdr>
            </w:div>
            <w:div w:id="1665931860">
              <w:marLeft w:val="0"/>
              <w:marRight w:val="0"/>
              <w:marTop w:val="0"/>
              <w:marBottom w:val="240"/>
              <w:divBdr>
                <w:top w:val="none" w:sz="0" w:space="0" w:color="auto"/>
                <w:left w:val="none" w:sz="0" w:space="0" w:color="auto"/>
                <w:bottom w:val="none" w:sz="0" w:space="0" w:color="auto"/>
                <w:right w:val="none" w:sz="0" w:space="0" w:color="auto"/>
              </w:divBdr>
            </w:div>
            <w:div w:id="677539477">
              <w:marLeft w:val="0"/>
              <w:marRight w:val="0"/>
              <w:marTop w:val="0"/>
              <w:marBottom w:val="240"/>
              <w:divBdr>
                <w:top w:val="none" w:sz="0" w:space="0" w:color="auto"/>
                <w:left w:val="none" w:sz="0" w:space="0" w:color="auto"/>
                <w:bottom w:val="none" w:sz="0" w:space="0" w:color="auto"/>
                <w:right w:val="none" w:sz="0" w:space="0" w:color="auto"/>
              </w:divBdr>
            </w:div>
            <w:div w:id="1748308497">
              <w:marLeft w:val="0"/>
              <w:marRight w:val="0"/>
              <w:marTop w:val="0"/>
              <w:marBottom w:val="240"/>
              <w:divBdr>
                <w:top w:val="none" w:sz="0" w:space="0" w:color="auto"/>
                <w:left w:val="none" w:sz="0" w:space="0" w:color="auto"/>
                <w:bottom w:val="none" w:sz="0" w:space="0" w:color="auto"/>
                <w:right w:val="none" w:sz="0" w:space="0" w:color="auto"/>
              </w:divBdr>
            </w:div>
            <w:div w:id="705758455">
              <w:marLeft w:val="0"/>
              <w:marRight w:val="0"/>
              <w:marTop w:val="0"/>
              <w:marBottom w:val="240"/>
              <w:divBdr>
                <w:top w:val="none" w:sz="0" w:space="0" w:color="auto"/>
                <w:left w:val="none" w:sz="0" w:space="0" w:color="auto"/>
                <w:bottom w:val="none" w:sz="0" w:space="0" w:color="auto"/>
                <w:right w:val="none" w:sz="0" w:space="0" w:color="auto"/>
              </w:divBdr>
            </w:div>
            <w:div w:id="1972982237">
              <w:marLeft w:val="0"/>
              <w:marRight w:val="0"/>
              <w:marTop w:val="0"/>
              <w:marBottom w:val="240"/>
              <w:divBdr>
                <w:top w:val="none" w:sz="0" w:space="0" w:color="auto"/>
                <w:left w:val="none" w:sz="0" w:space="0" w:color="auto"/>
                <w:bottom w:val="none" w:sz="0" w:space="0" w:color="auto"/>
                <w:right w:val="none" w:sz="0" w:space="0" w:color="auto"/>
              </w:divBdr>
            </w:div>
            <w:div w:id="739136919">
              <w:marLeft w:val="0"/>
              <w:marRight w:val="0"/>
              <w:marTop w:val="0"/>
              <w:marBottom w:val="240"/>
              <w:divBdr>
                <w:top w:val="none" w:sz="0" w:space="0" w:color="auto"/>
                <w:left w:val="none" w:sz="0" w:space="0" w:color="auto"/>
                <w:bottom w:val="none" w:sz="0" w:space="0" w:color="auto"/>
                <w:right w:val="none" w:sz="0" w:space="0" w:color="auto"/>
              </w:divBdr>
            </w:div>
            <w:div w:id="852186036">
              <w:marLeft w:val="0"/>
              <w:marRight w:val="0"/>
              <w:marTop w:val="0"/>
              <w:marBottom w:val="240"/>
              <w:divBdr>
                <w:top w:val="none" w:sz="0" w:space="0" w:color="auto"/>
                <w:left w:val="none" w:sz="0" w:space="0" w:color="auto"/>
                <w:bottom w:val="none" w:sz="0" w:space="0" w:color="auto"/>
                <w:right w:val="none" w:sz="0" w:space="0" w:color="auto"/>
              </w:divBdr>
            </w:div>
            <w:div w:id="1345131032">
              <w:marLeft w:val="0"/>
              <w:marRight w:val="0"/>
              <w:marTop w:val="0"/>
              <w:marBottom w:val="240"/>
              <w:divBdr>
                <w:top w:val="none" w:sz="0" w:space="0" w:color="auto"/>
                <w:left w:val="none" w:sz="0" w:space="0" w:color="auto"/>
                <w:bottom w:val="none" w:sz="0" w:space="0" w:color="auto"/>
                <w:right w:val="none" w:sz="0" w:space="0" w:color="auto"/>
              </w:divBdr>
            </w:div>
            <w:div w:id="520709479">
              <w:marLeft w:val="0"/>
              <w:marRight w:val="0"/>
              <w:marTop w:val="0"/>
              <w:marBottom w:val="240"/>
              <w:divBdr>
                <w:top w:val="none" w:sz="0" w:space="0" w:color="auto"/>
                <w:left w:val="none" w:sz="0" w:space="0" w:color="auto"/>
                <w:bottom w:val="none" w:sz="0" w:space="0" w:color="auto"/>
                <w:right w:val="none" w:sz="0" w:space="0" w:color="auto"/>
              </w:divBdr>
            </w:div>
            <w:div w:id="1268461318">
              <w:marLeft w:val="0"/>
              <w:marRight w:val="0"/>
              <w:marTop w:val="0"/>
              <w:marBottom w:val="240"/>
              <w:divBdr>
                <w:top w:val="none" w:sz="0" w:space="0" w:color="auto"/>
                <w:left w:val="none" w:sz="0" w:space="0" w:color="auto"/>
                <w:bottom w:val="none" w:sz="0" w:space="0" w:color="auto"/>
                <w:right w:val="none" w:sz="0" w:space="0" w:color="auto"/>
              </w:divBdr>
            </w:div>
            <w:div w:id="227807462">
              <w:marLeft w:val="0"/>
              <w:marRight w:val="0"/>
              <w:marTop w:val="0"/>
              <w:marBottom w:val="240"/>
              <w:divBdr>
                <w:top w:val="none" w:sz="0" w:space="0" w:color="auto"/>
                <w:left w:val="none" w:sz="0" w:space="0" w:color="auto"/>
                <w:bottom w:val="none" w:sz="0" w:space="0" w:color="auto"/>
                <w:right w:val="none" w:sz="0" w:space="0" w:color="auto"/>
              </w:divBdr>
            </w:div>
            <w:div w:id="1367486692">
              <w:marLeft w:val="0"/>
              <w:marRight w:val="0"/>
              <w:marTop w:val="0"/>
              <w:marBottom w:val="240"/>
              <w:divBdr>
                <w:top w:val="none" w:sz="0" w:space="0" w:color="auto"/>
                <w:left w:val="none" w:sz="0" w:space="0" w:color="auto"/>
                <w:bottom w:val="none" w:sz="0" w:space="0" w:color="auto"/>
                <w:right w:val="none" w:sz="0" w:space="0" w:color="auto"/>
              </w:divBdr>
            </w:div>
            <w:div w:id="1059749367">
              <w:marLeft w:val="0"/>
              <w:marRight w:val="0"/>
              <w:marTop w:val="0"/>
              <w:marBottom w:val="240"/>
              <w:divBdr>
                <w:top w:val="none" w:sz="0" w:space="0" w:color="auto"/>
                <w:left w:val="none" w:sz="0" w:space="0" w:color="auto"/>
                <w:bottom w:val="none" w:sz="0" w:space="0" w:color="auto"/>
                <w:right w:val="none" w:sz="0" w:space="0" w:color="auto"/>
              </w:divBdr>
            </w:div>
            <w:div w:id="325481297">
              <w:marLeft w:val="0"/>
              <w:marRight w:val="0"/>
              <w:marTop w:val="0"/>
              <w:marBottom w:val="240"/>
              <w:divBdr>
                <w:top w:val="none" w:sz="0" w:space="0" w:color="auto"/>
                <w:left w:val="none" w:sz="0" w:space="0" w:color="auto"/>
                <w:bottom w:val="none" w:sz="0" w:space="0" w:color="auto"/>
                <w:right w:val="none" w:sz="0" w:space="0" w:color="auto"/>
              </w:divBdr>
            </w:div>
            <w:div w:id="216672745">
              <w:marLeft w:val="0"/>
              <w:marRight w:val="0"/>
              <w:marTop w:val="0"/>
              <w:marBottom w:val="240"/>
              <w:divBdr>
                <w:top w:val="none" w:sz="0" w:space="0" w:color="auto"/>
                <w:left w:val="none" w:sz="0" w:space="0" w:color="auto"/>
                <w:bottom w:val="none" w:sz="0" w:space="0" w:color="auto"/>
                <w:right w:val="none" w:sz="0" w:space="0" w:color="auto"/>
              </w:divBdr>
            </w:div>
            <w:div w:id="1416980066">
              <w:marLeft w:val="0"/>
              <w:marRight w:val="0"/>
              <w:marTop w:val="0"/>
              <w:marBottom w:val="240"/>
              <w:divBdr>
                <w:top w:val="none" w:sz="0" w:space="0" w:color="auto"/>
                <w:left w:val="none" w:sz="0" w:space="0" w:color="auto"/>
                <w:bottom w:val="none" w:sz="0" w:space="0" w:color="auto"/>
                <w:right w:val="none" w:sz="0" w:space="0" w:color="auto"/>
              </w:divBdr>
            </w:div>
            <w:div w:id="1488934624">
              <w:marLeft w:val="0"/>
              <w:marRight w:val="0"/>
              <w:marTop w:val="0"/>
              <w:marBottom w:val="240"/>
              <w:divBdr>
                <w:top w:val="none" w:sz="0" w:space="0" w:color="auto"/>
                <w:left w:val="none" w:sz="0" w:space="0" w:color="auto"/>
                <w:bottom w:val="none" w:sz="0" w:space="0" w:color="auto"/>
                <w:right w:val="none" w:sz="0" w:space="0" w:color="auto"/>
              </w:divBdr>
            </w:div>
            <w:div w:id="2058703282">
              <w:marLeft w:val="0"/>
              <w:marRight w:val="0"/>
              <w:marTop w:val="0"/>
              <w:marBottom w:val="240"/>
              <w:divBdr>
                <w:top w:val="none" w:sz="0" w:space="0" w:color="auto"/>
                <w:left w:val="none" w:sz="0" w:space="0" w:color="auto"/>
                <w:bottom w:val="none" w:sz="0" w:space="0" w:color="auto"/>
                <w:right w:val="none" w:sz="0" w:space="0" w:color="auto"/>
              </w:divBdr>
            </w:div>
            <w:div w:id="1006597556">
              <w:marLeft w:val="0"/>
              <w:marRight w:val="0"/>
              <w:marTop w:val="0"/>
              <w:marBottom w:val="240"/>
              <w:divBdr>
                <w:top w:val="none" w:sz="0" w:space="0" w:color="auto"/>
                <w:left w:val="none" w:sz="0" w:space="0" w:color="auto"/>
                <w:bottom w:val="none" w:sz="0" w:space="0" w:color="auto"/>
                <w:right w:val="none" w:sz="0" w:space="0" w:color="auto"/>
              </w:divBdr>
            </w:div>
            <w:div w:id="502820993">
              <w:marLeft w:val="0"/>
              <w:marRight w:val="0"/>
              <w:marTop w:val="0"/>
              <w:marBottom w:val="240"/>
              <w:divBdr>
                <w:top w:val="none" w:sz="0" w:space="0" w:color="auto"/>
                <w:left w:val="none" w:sz="0" w:space="0" w:color="auto"/>
                <w:bottom w:val="none" w:sz="0" w:space="0" w:color="auto"/>
                <w:right w:val="none" w:sz="0" w:space="0" w:color="auto"/>
              </w:divBdr>
            </w:div>
            <w:div w:id="676659625">
              <w:marLeft w:val="0"/>
              <w:marRight w:val="0"/>
              <w:marTop w:val="0"/>
              <w:marBottom w:val="240"/>
              <w:divBdr>
                <w:top w:val="none" w:sz="0" w:space="0" w:color="auto"/>
                <w:left w:val="none" w:sz="0" w:space="0" w:color="auto"/>
                <w:bottom w:val="none" w:sz="0" w:space="0" w:color="auto"/>
                <w:right w:val="none" w:sz="0" w:space="0" w:color="auto"/>
              </w:divBdr>
            </w:div>
            <w:div w:id="1073314555">
              <w:marLeft w:val="0"/>
              <w:marRight w:val="0"/>
              <w:marTop w:val="0"/>
              <w:marBottom w:val="240"/>
              <w:divBdr>
                <w:top w:val="none" w:sz="0" w:space="0" w:color="auto"/>
                <w:left w:val="none" w:sz="0" w:space="0" w:color="auto"/>
                <w:bottom w:val="none" w:sz="0" w:space="0" w:color="auto"/>
                <w:right w:val="none" w:sz="0" w:space="0" w:color="auto"/>
              </w:divBdr>
            </w:div>
            <w:div w:id="483938365">
              <w:marLeft w:val="0"/>
              <w:marRight w:val="0"/>
              <w:marTop w:val="0"/>
              <w:marBottom w:val="240"/>
              <w:divBdr>
                <w:top w:val="none" w:sz="0" w:space="0" w:color="auto"/>
                <w:left w:val="none" w:sz="0" w:space="0" w:color="auto"/>
                <w:bottom w:val="none" w:sz="0" w:space="0" w:color="auto"/>
                <w:right w:val="none" w:sz="0" w:space="0" w:color="auto"/>
              </w:divBdr>
            </w:div>
            <w:div w:id="1521626607">
              <w:marLeft w:val="0"/>
              <w:marRight w:val="0"/>
              <w:marTop w:val="0"/>
              <w:marBottom w:val="240"/>
              <w:divBdr>
                <w:top w:val="none" w:sz="0" w:space="0" w:color="auto"/>
                <w:left w:val="none" w:sz="0" w:space="0" w:color="auto"/>
                <w:bottom w:val="none" w:sz="0" w:space="0" w:color="auto"/>
                <w:right w:val="none" w:sz="0" w:space="0" w:color="auto"/>
              </w:divBdr>
            </w:div>
            <w:div w:id="1292125722">
              <w:marLeft w:val="0"/>
              <w:marRight w:val="0"/>
              <w:marTop w:val="0"/>
              <w:marBottom w:val="240"/>
              <w:divBdr>
                <w:top w:val="none" w:sz="0" w:space="0" w:color="auto"/>
                <w:left w:val="none" w:sz="0" w:space="0" w:color="auto"/>
                <w:bottom w:val="none" w:sz="0" w:space="0" w:color="auto"/>
                <w:right w:val="none" w:sz="0" w:space="0" w:color="auto"/>
              </w:divBdr>
            </w:div>
            <w:div w:id="1633049696">
              <w:marLeft w:val="0"/>
              <w:marRight w:val="0"/>
              <w:marTop w:val="0"/>
              <w:marBottom w:val="240"/>
              <w:divBdr>
                <w:top w:val="none" w:sz="0" w:space="0" w:color="auto"/>
                <w:left w:val="none" w:sz="0" w:space="0" w:color="auto"/>
                <w:bottom w:val="none" w:sz="0" w:space="0" w:color="auto"/>
                <w:right w:val="none" w:sz="0" w:space="0" w:color="auto"/>
              </w:divBdr>
            </w:div>
            <w:div w:id="1698387974">
              <w:marLeft w:val="0"/>
              <w:marRight w:val="0"/>
              <w:marTop w:val="0"/>
              <w:marBottom w:val="240"/>
              <w:divBdr>
                <w:top w:val="none" w:sz="0" w:space="0" w:color="auto"/>
                <w:left w:val="none" w:sz="0" w:space="0" w:color="auto"/>
                <w:bottom w:val="none" w:sz="0" w:space="0" w:color="auto"/>
                <w:right w:val="none" w:sz="0" w:space="0" w:color="auto"/>
              </w:divBdr>
            </w:div>
            <w:div w:id="221334427">
              <w:marLeft w:val="0"/>
              <w:marRight w:val="0"/>
              <w:marTop w:val="0"/>
              <w:marBottom w:val="240"/>
              <w:divBdr>
                <w:top w:val="none" w:sz="0" w:space="0" w:color="auto"/>
                <w:left w:val="none" w:sz="0" w:space="0" w:color="auto"/>
                <w:bottom w:val="none" w:sz="0" w:space="0" w:color="auto"/>
                <w:right w:val="none" w:sz="0" w:space="0" w:color="auto"/>
              </w:divBdr>
            </w:div>
            <w:div w:id="163403802">
              <w:marLeft w:val="0"/>
              <w:marRight w:val="0"/>
              <w:marTop w:val="0"/>
              <w:marBottom w:val="240"/>
              <w:divBdr>
                <w:top w:val="none" w:sz="0" w:space="0" w:color="auto"/>
                <w:left w:val="none" w:sz="0" w:space="0" w:color="auto"/>
                <w:bottom w:val="none" w:sz="0" w:space="0" w:color="auto"/>
                <w:right w:val="none" w:sz="0" w:space="0" w:color="auto"/>
              </w:divBdr>
            </w:div>
            <w:div w:id="2045251748">
              <w:marLeft w:val="0"/>
              <w:marRight w:val="0"/>
              <w:marTop w:val="0"/>
              <w:marBottom w:val="240"/>
              <w:divBdr>
                <w:top w:val="none" w:sz="0" w:space="0" w:color="auto"/>
                <w:left w:val="none" w:sz="0" w:space="0" w:color="auto"/>
                <w:bottom w:val="none" w:sz="0" w:space="0" w:color="auto"/>
                <w:right w:val="none" w:sz="0" w:space="0" w:color="auto"/>
              </w:divBdr>
            </w:div>
            <w:div w:id="1925068762">
              <w:marLeft w:val="0"/>
              <w:marRight w:val="0"/>
              <w:marTop w:val="0"/>
              <w:marBottom w:val="240"/>
              <w:divBdr>
                <w:top w:val="none" w:sz="0" w:space="0" w:color="auto"/>
                <w:left w:val="none" w:sz="0" w:space="0" w:color="auto"/>
                <w:bottom w:val="none" w:sz="0" w:space="0" w:color="auto"/>
                <w:right w:val="none" w:sz="0" w:space="0" w:color="auto"/>
              </w:divBdr>
            </w:div>
            <w:div w:id="912589632">
              <w:marLeft w:val="0"/>
              <w:marRight w:val="0"/>
              <w:marTop w:val="0"/>
              <w:marBottom w:val="240"/>
              <w:divBdr>
                <w:top w:val="none" w:sz="0" w:space="0" w:color="auto"/>
                <w:left w:val="none" w:sz="0" w:space="0" w:color="auto"/>
                <w:bottom w:val="none" w:sz="0" w:space="0" w:color="auto"/>
                <w:right w:val="none" w:sz="0" w:space="0" w:color="auto"/>
              </w:divBdr>
            </w:div>
            <w:div w:id="1004747177">
              <w:marLeft w:val="0"/>
              <w:marRight w:val="0"/>
              <w:marTop w:val="0"/>
              <w:marBottom w:val="240"/>
              <w:divBdr>
                <w:top w:val="none" w:sz="0" w:space="0" w:color="auto"/>
                <w:left w:val="none" w:sz="0" w:space="0" w:color="auto"/>
                <w:bottom w:val="none" w:sz="0" w:space="0" w:color="auto"/>
                <w:right w:val="none" w:sz="0" w:space="0" w:color="auto"/>
              </w:divBdr>
            </w:div>
            <w:div w:id="266274333">
              <w:marLeft w:val="0"/>
              <w:marRight w:val="0"/>
              <w:marTop w:val="0"/>
              <w:marBottom w:val="240"/>
              <w:divBdr>
                <w:top w:val="none" w:sz="0" w:space="0" w:color="auto"/>
                <w:left w:val="none" w:sz="0" w:space="0" w:color="auto"/>
                <w:bottom w:val="none" w:sz="0" w:space="0" w:color="auto"/>
                <w:right w:val="none" w:sz="0" w:space="0" w:color="auto"/>
              </w:divBdr>
            </w:div>
            <w:div w:id="2140225388">
              <w:marLeft w:val="0"/>
              <w:marRight w:val="0"/>
              <w:marTop w:val="0"/>
              <w:marBottom w:val="240"/>
              <w:divBdr>
                <w:top w:val="none" w:sz="0" w:space="0" w:color="auto"/>
                <w:left w:val="none" w:sz="0" w:space="0" w:color="auto"/>
                <w:bottom w:val="none" w:sz="0" w:space="0" w:color="auto"/>
                <w:right w:val="none" w:sz="0" w:space="0" w:color="auto"/>
              </w:divBdr>
            </w:div>
            <w:div w:id="760025880">
              <w:marLeft w:val="0"/>
              <w:marRight w:val="0"/>
              <w:marTop w:val="0"/>
              <w:marBottom w:val="240"/>
              <w:divBdr>
                <w:top w:val="none" w:sz="0" w:space="0" w:color="auto"/>
                <w:left w:val="none" w:sz="0" w:space="0" w:color="auto"/>
                <w:bottom w:val="none" w:sz="0" w:space="0" w:color="auto"/>
                <w:right w:val="none" w:sz="0" w:space="0" w:color="auto"/>
              </w:divBdr>
            </w:div>
            <w:div w:id="2120945684">
              <w:marLeft w:val="0"/>
              <w:marRight w:val="0"/>
              <w:marTop w:val="0"/>
              <w:marBottom w:val="240"/>
              <w:divBdr>
                <w:top w:val="none" w:sz="0" w:space="0" w:color="auto"/>
                <w:left w:val="none" w:sz="0" w:space="0" w:color="auto"/>
                <w:bottom w:val="none" w:sz="0" w:space="0" w:color="auto"/>
                <w:right w:val="none" w:sz="0" w:space="0" w:color="auto"/>
              </w:divBdr>
            </w:div>
            <w:div w:id="1410538757">
              <w:marLeft w:val="0"/>
              <w:marRight w:val="0"/>
              <w:marTop w:val="0"/>
              <w:marBottom w:val="240"/>
              <w:divBdr>
                <w:top w:val="none" w:sz="0" w:space="0" w:color="auto"/>
                <w:left w:val="none" w:sz="0" w:space="0" w:color="auto"/>
                <w:bottom w:val="none" w:sz="0" w:space="0" w:color="auto"/>
                <w:right w:val="none" w:sz="0" w:space="0" w:color="auto"/>
              </w:divBdr>
            </w:div>
            <w:div w:id="1522629002">
              <w:marLeft w:val="0"/>
              <w:marRight w:val="0"/>
              <w:marTop w:val="0"/>
              <w:marBottom w:val="240"/>
              <w:divBdr>
                <w:top w:val="none" w:sz="0" w:space="0" w:color="auto"/>
                <w:left w:val="none" w:sz="0" w:space="0" w:color="auto"/>
                <w:bottom w:val="none" w:sz="0" w:space="0" w:color="auto"/>
                <w:right w:val="none" w:sz="0" w:space="0" w:color="auto"/>
              </w:divBdr>
            </w:div>
            <w:div w:id="1180703383">
              <w:marLeft w:val="0"/>
              <w:marRight w:val="0"/>
              <w:marTop w:val="0"/>
              <w:marBottom w:val="240"/>
              <w:divBdr>
                <w:top w:val="none" w:sz="0" w:space="0" w:color="auto"/>
                <w:left w:val="none" w:sz="0" w:space="0" w:color="auto"/>
                <w:bottom w:val="none" w:sz="0" w:space="0" w:color="auto"/>
                <w:right w:val="none" w:sz="0" w:space="0" w:color="auto"/>
              </w:divBdr>
            </w:div>
            <w:div w:id="513763920">
              <w:marLeft w:val="0"/>
              <w:marRight w:val="0"/>
              <w:marTop w:val="0"/>
              <w:marBottom w:val="240"/>
              <w:divBdr>
                <w:top w:val="none" w:sz="0" w:space="0" w:color="auto"/>
                <w:left w:val="none" w:sz="0" w:space="0" w:color="auto"/>
                <w:bottom w:val="none" w:sz="0" w:space="0" w:color="auto"/>
                <w:right w:val="none" w:sz="0" w:space="0" w:color="auto"/>
              </w:divBdr>
            </w:div>
            <w:div w:id="496187410">
              <w:marLeft w:val="0"/>
              <w:marRight w:val="0"/>
              <w:marTop w:val="0"/>
              <w:marBottom w:val="240"/>
              <w:divBdr>
                <w:top w:val="none" w:sz="0" w:space="0" w:color="auto"/>
                <w:left w:val="none" w:sz="0" w:space="0" w:color="auto"/>
                <w:bottom w:val="none" w:sz="0" w:space="0" w:color="auto"/>
                <w:right w:val="none" w:sz="0" w:space="0" w:color="auto"/>
              </w:divBdr>
            </w:div>
            <w:div w:id="751854127">
              <w:marLeft w:val="0"/>
              <w:marRight w:val="0"/>
              <w:marTop w:val="0"/>
              <w:marBottom w:val="240"/>
              <w:divBdr>
                <w:top w:val="none" w:sz="0" w:space="0" w:color="auto"/>
                <w:left w:val="none" w:sz="0" w:space="0" w:color="auto"/>
                <w:bottom w:val="none" w:sz="0" w:space="0" w:color="auto"/>
                <w:right w:val="none" w:sz="0" w:space="0" w:color="auto"/>
              </w:divBdr>
            </w:div>
            <w:div w:id="1044990271">
              <w:marLeft w:val="0"/>
              <w:marRight w:val="0"/>
              <w:marTop w:val="0"/>
              <w:marBottom w:val="240"/>
              <w:divBdr>
                <w:top w:val="none" w:sz="0" w:space="0" w:color="auto"/>
                <w:left w:val="none" w:sz="0" w:space="0" w:color="auto"/>
                <w:bottom w:val="none" w:sz="0" w:space="0" w:color="auto"/>
                <w:right w:val="none" w:sz="0" w:space="0" w:color="auto"/>
              </w:divBdr>
            </w:div>
            <w:div w:id="237053939">
              <w:marLeft w:val="0"/>
              <w:marRight w:val="0"/>
              <w:marTop w:val="0"/>
              <w:marBottom w:val="240"/>
              <w:divBdr>
                <w:top w:val="none" w:sz="0" w:space="0" w:color="auto"/>
                <w:left w:val="none" w:sz="0" w:space="0" w:color="auto"/>
                <w:bottom w:val="none" w:sz="0" w:space="0" w:color="auto"/>
                <w:right w:val="none" w:sz="0" w:space="0" w:color="auto"/>
              </w:divBdr>
            </w:div>
            <w:div w:id="815683105">
              <w:marLeft w:val="0"/>
              <w:marRight w:val="0"/>
              <w:marTop w:val="0"/>
              <w:marBottom w:val="240"/>
              <w:divBdr>
                <w:top w:val="none" w:sz="0" w:space="0" w:color="auto"/>
                <w:left w:val="none" w:sz="0" w:space="0" w:color="auto"/>
                <w:bottom w:val="none" w:sz="0" w:space="0" w:color="auto"/>
                <w:right w:val="none" w:sz="0" w:space="0" w:color="auto"/>
              </w:divBdr>
            </w:div>
            <w:div w:id="1213154518">
              <w:marLeft w:val="0"/>
              <w:marRight w:val="0"/>
              <w:marTop w:val="0"/>
              <w:marBottom w:val="240"/>
              <w:divBdr>
                <w:top w:val="none" w:sz="0" w:space="0" w:color="auto"/>
                <w:left w:val="none" w:sz="0" w:space="0" w:color="auto"/>
                <w:bottom w:val="none" w:sz="0" w:space="0" w:color="auto"/>
                <w:right w:val="none" w:sz="0" w:space="0" w:color="auto"/>
              </w:divBdr>
            </w:div>
            <w:div w:id="1797680092">
              <w:marLeft w:val="0"/>
              <w:marRight w:val="0"/>
              <w:marTop w:val="0"/>
              <w:marBottom w:val="240"/>
              <w:divBdr>
                <w:top w:val="none" w:sz="0" w:space="0" w:color="auto"/>
                <w:left w:val="none" w:sz="0" w:space="0" w:color="auto"/>
                <w:bottom w:val="none" w:sz="0" w:space="0" w:color="auto"/>
                <w:right w:val="none" w:sz="0" w:space="0" w:color="auto"/>
              </w:divBdr>
            </w:div>
            <w:div w:id="1908683999">
              <w:marLeft w:val="0"/>
              <w:marRight w:val="0"/>
              <w:marTop w:val="0"/>
              <w:marBottom w:val="240"/>
              <w:divBdr>
                <w:top w:val="none" w:sz="0" w:space="0" w:color="auto"/>
                <w:left w:val="none" w:sz="0" w:space="0" w:color="auto"/>
                <w:bottom w:val="none" w:sz="0" w:space="0" w:color="auto"/>
                <w:right w:val="none" w:sz="0" w:space="0" w:color="auto"/>
              </w:divBdr>
            </w:div>
            <w:div w:id="1482427366">
              <w:marLeft w:val="0"/>
              <w:marRight w:val="0"/>
              <w:marTop w:val="0"/>
              <w:marBottom w:val="240"/>
              <w:divBdr>
                <w:top w:val="none" w:sz="0" w:space="0" w:color="auto"/>
                <w:left w:val="none" w:sz="0" w:space="0" w:color="auto"/>
                <w:bottom w:val="none" w:sz="0" w:space="0" w:color="auto"/>
                <w:right w:val="none" w:sz="0" w:space="0" w:color="auto"/>
              </w:divBdr>
            </w:div>
            <w:div w:id="1921451564">
              <w:marLeft w:val="0"/>
              <w:marRight w:val="0"/>
              <w:marTop w:val="0"/>
              <w:marBottom w:val="240"/>
              <w:divBdr>
                <w:top w:val="none" w:sz="0" w:space="0" w:color="auto"/>
                <w:left w:val="none" w:sz="0" w:space="0" w:color="auto"/>
                <w:bottom w:val="none" w:sz="0" w:space="0" w:color="auto"/>
                <w:right w:val="none" w:sz="0" w:space="0" w:color="auto"/>
              </w:divBdr>
            </w:div>
            <w:div w:id="1453330575">
              <w:marLeft w:val="0"/>
              <w:marRight w:val="0"/>
              <w:marTop w:val="0"/>
              <w:marBottom w:val="240"/>
              <w:divBdr>
                <w:top w:val="none" w:sz="0" w:space="0" w:color="auto"/>
                <w:left w:val="none" w:sz="0" w:space="0" w:color="auto"/>
                <w:bottom w:val="none" w:sz="0" w:space="0" w:color="auto"/>
                <w:right w:val="none" w:sz="0" w:space="0" w:color="auto"/>
              </w:divBdr>
            </w:div>
            <w:div w:id="1254237720">
              <w:marLeft w:val="0"/>
              <w:marRight w:val="0"/>
              <w:marTop w:val="0"/>
              <w:marBottom w:val="240"/>
              <w:divBdr>
                <w:top w:val="none" w:sz="0" w:space="0" w:color="auto"/>
                <w:left w:val="none" w:sz="0" w:space="0" w:color="auto"/>
                <w:bottom w:val="none" w:sz="0" w:space="0" w:color="auto"/>
                <w:right w:val="none" w:sz="0" w:space="0" w:color="auto"/>
              </w:divBdr>
            </w:div>
            <w:div w:id="1743716383">
              <w:marLeft w:val="0"/>
              <w:marRight w:val="0"/>
              <w:marTop w:val="0"/>
              <w:marBottom w:val="240"/>
              <w:divBdr>
                <w:top w:val="none" w:sz="0" w:space="0" w:color="auto"/>
                <w:left w:val="none" w:sz="0" w:space="0" w:color="auto"/>
                <w:bottom w:val="none" w:sz="0" w:space="0" w:color="auto"/>
                <w:right w:val="none" w:sz="0" w:space="0" w:color="auto"/>
              </w:divBdr>
            </w:div>
            <w:div w:id="1072657432">
              <w:marLeft w:val="0"/>
              <w:marRight w:val="0"/>
              <w:marTop w:val="0"/>
              <w:marBottom w:val="240"/>
              <w:divBdr>
                <w:top w:val="none" w:sz="0" w:space="0" w:color="auto"/>
                <w:left w:val="none" w:sz="0" w:space="0" w:color="auto"/>
                <w:bottom w:val="none" w:sz="0" w:space="0" w:color="auto"/>
                <w:right w:val="none" w:sz="0" w:space="0" w:color="auto"/>
              </w:divBdr>
            </w:div>
            <w:div w:id="1864974667">
              <w:marLeft w:val="0"/>
              <w:marRight w:val="0"/>
              <w:marTop w:val="0"/>
              <w:marBottom w:val="240"/>
              <w:divBdr>
                <w:top w:val="none" w:sz="0" w:space="0" w:color="auto"/>
                <w:left w:val="none" w:sz="0" w:space="0" w:color="auto"/>
                <w:bottom w:val="none" w:sz="0" w:space="0" w:color="auto"/>
                <w:right w:val="none" w:sz="0" w:space="0" w:color="auto"/>
              </w:divBdr>
            </w:div>
            <w:div w:id="2140299502">
              <w:marLeft w:val="0"/>
              <w:marRight w:val="0"/>
              <w:marTop w:val="0"/>
              <w:marBottom w:val="240"/>
              <w:divBdr>
                <w:top w:val="none" w:sz="0" w:space="0" w:color="auto"/>
                <w:left w:val="none" w:sz="0" w:space="0" w:color="auto"/>
                <w:bottom w:val="none" w:sz="0" w:space="0" w:color="auto"/>
                <w:right w:val="none" w:sz="0" w:space="0" w:color="auto"/>
              </w:divBdr>
            </w:div>
            <w:div w:id="811410688">
              <w:marLeft w:val="0"/>
              <w:marRight w:val="0"/>
              <w:marTop w:val="0"/>
              <w:marBottom w:val="240"/>
              <w:divBdr>
                <w:top w:val="none" w:sz="0" w:space="0" w:color="auto"/>
                <w:left w:val="none" w:sz="0" w:space="0" w:color="auto"/>
                <w:bottom w:val="none" w:sz="0" w:space="0" w:color="auto"/>
                <w:right w:val="none" w:sz="0" w:space="0" w:color="auto"/>
              </w:divBdr>
            </w:div>
            <w:div w:id="1964072218">
              <w:marLeft w:val="0"/>
              <w:marRight w:val="0"/>
              <w:marTop w:val="0"/>
              <w:marBottom w:val="240"/>
              <w:divBdr>
                <w:top w:val="none" w:sz="0" w:space="0" w:color="auto"/>
                <w:left w:val="none" w:sz="0" w:space="0" w:color="auto"/>
                <w:bottom w:val="none" w:sz="0" w:space="0" w:color="auto"/>
                <w:right w:val="none" w:sz="0" w:space="0" w:color="auto"/>
              </w:divBdr>
            </w:div>
            <w:div w:id="1387755496">
              <w:marLeft w:val="0"/>
              <w:marRight w:val="0"/>
              <w:marTop w:val="0"/>
              <w:marBottom w:val="240"/>
              <w:divBdr>
                <w:top w:val="none" w:sz="0" w:space="0" w:color="auto"/>
                <w:left w:val="none" w:sz="0" w:space="0" w:color="auto"/>
                <w:bottom w:val="none" w:sz="0" w:space="0" w:color="auto"/>
                <w:right w:val="none" w:sz="0" w:space="0" w:color="auto"/>
              </w:divBdr>
            </w:div>
            <w:div w:id="787552780">
              <w:marLeft w:val="0"/>
              <w:marRight w:val="0"/>
              <w:marTop w:val="0"/>
              <w:marBottom w:val="240"/>
              <w:divBdr>
                <w:top w:val="none" w:sz="0" w:space="0" w:color="auto"/>
                <w:left w:val="none" w:sz="0" w:space="0" w:color="auto"/>
                <w:bottom w:val="none" w:sz="0" w:space="0" w:color="auto"/>
                <w:right w:val="none" w:sz="0" w:space="0" w:color="auto"/>
              </w:divBdr>
            </w:div>
            <w:div w:id="1536847290">
              <w:marLeft w:val="0"/>
              <w:marRight w:val="0"/>
              <w:marTop w:val="0"/>
              <w:marBottom w:val="240"/>
              <w:divBdr>
                <w:top w:val="none" w:sz="0" w:space="0" w:color="auto"/>
                <w:left w:val="none" w:sz="0" w:space="0" w:color="auto"/>
                <w:bottom w:val="none" w:sz="0" w:space="0" w:color="auto"/>
                <w:right w:val="none" w:sz="0" w:space="0" w:color="auto"/>
              </w:divBdr>
            </w:div>
            <w:div w:id="365909865">
              <w:marLeft w:val="0"/>
              <w:marRight w:val="0"/>
              <w:marTop w:val="0"/>
              <w:marBottom w:val="240"/>
              <w:divBdr>
                <w:top w:val="none" w:sz="0" w:space="0" w:color="auto"/>
                <w:left w:val="none" w:sz="0" w:space="0" w:color="auto"/>
                <w:bottom w:val="none" w:sz="0" w:space="0" w:color="auto"/>
                <w:right w:val="none" w:sz="0" w:space="0" w:color="auto"/>
              </w:divBdr>
            </w:div>
            <w:div w:id="1712532388">
              <w:marLeft w:val="0"/>
              <w:marRight w:val="0"/>
              <w:marTop w:val="0"/>
              <w:marBottom w:val="240"/>
              <w:divBdr>
                <w:top w:val="none" w:sz="0" w:space="0" w:color="auto"/>
                <w:left w:val="none" w:sz="0" w:space="0" w:color="auto"/>
                <w:bottom w:val="none" w:sz="0" w:space="0" w:color="auto"/>
                <w:right w:val="none" w:sz="0" w:space="0" w:color="auto"/>
              </w:divBdr>
            </w:div>
            <w:div w:id="1061557715">
              <w:marLeft w:val="0"/>
              <w:marRight w:val="0"/>
              <w:marTop w:val="0"/>
              <w:marBottom w:val="240"/>
              <w:divBdr>
                <w:top w:val="none" w:sz="0" w:space="0" w:color="auto"/>
                <w:left w:val="none" w:sz="0" w:space="0" w:color="auto"/>
                <w:bottom w:val="none" w:sz="0" w:space="0" w:color="auto"/>
                <w:right w:val="none" w:sz="0" w:space="0" w:color="auto"/>
              </w:divBdr>
            </w:div>
            <w:div w:id="1094084736">
              <w:marLeft w:val="0"/>
              <w:marRight w:val="0"/>
              <w:marTop w:val="0"/>
              <w:marBottom w:val="240"/>
              <w:divBdr>
                <w:top w:val="none" w:sz="0" w:space="0" w:color="auto"/>
                <w:left w:val="none" w:sz="0" w:space="0" w:color="auto"/>
                <w:bottom w:val="none" w:sz="0" w:space="0" w:color="auto"/>
                <w:right w:val="none" w:sz="0" w:space="0" w:color="auto"/>
              </w:divBdr>
            </w:div>
            <w:div w:id="272632993">
              <w:marLeft w:val="0"/>
              <w:marRight w:val="0"/>
              <w:marTop w:val="0"/>
              <w:marBottom w:val="240"/>
              <w:divBdr>
                <w:top w:val="none" w:sz="0" w:space="0" w:color="auto"/>
                <w:left w:val="none" w:sz="0" w:space="0" w:color="auto"/>
                <w:bottom w:val="none" w:sz="0" w:space="0" w:color="auto"/>
                <w:right w:val="none" w:sz="0" w:space="0" w:color="auto"/>
              </w:divBdr>
            </w:div>
            <w:div w:id="2078748149">
              <w:marLeft w:val="0"/>
              <w:marRight w:val="0"/>
              <w:marTop w:val="0"/>
              <w:marBottom w:val="240"/>
              <w:divBdr>
                <w:top w:val="none" w:sz="0" w:space="0" w:color="auto"/>
                <w:left w:val="none" w:sz="0" w:space="0" w:color="auto"/>
                <w:bottom w:val="none" w:sz="0" w:space="0" w:color="auto"/>
                <w:right w:val="none" w:sz="0" w:space="0" w:color="auto"/>
              </w:divBdr>
            </w:div>
            <w:div w:id="726076335">
              <w:marLeft w:val="0"/>
              <w:marRight w:val="0"/>
              <w:marTop w:val="0"/>
              <w:marBottom w:val="240"/>
              <w:divBdr>
                <w:top w:val="none" w:sz="0" w:space="0" w:color="auto"/>
                <w:left w:val="none" w:sz="0" w:space="0" w:color="auto"/>
                <w:bottom w:val="none" w:sz="0" w:space="0" w:color="auto"/>
                <w:right w:val="none" w:sz="0" w:space="0" w:color="auto"/>
              </w:divBdr>
            </w:div>
            <w:div w:id="1350646850">
              <w:marLeft w:val="0"/>
              <w:marRight w:val="0"/>
              <w:marTop w:val="0"/>
              <w:marBottom w:val="240"/>
              <w:divBdr>
                <w:top w:val="none" w:sz="0" w:space="0" w:color="auto"/>
                <w:left w:val="none" w:sz="0" w:space="0" w:color="auto"/>
                <w:bottom w:val="none" w:sz="0" w:space="0" w:color="auto"/>
                <w:right w:val="none" w:sz="0" w:space="0" w:color="auto"/>
              </w:divBdr>
            </w:div>
            <w:div w:id="1560045448">
              <w:marLeft w:val="0"/>
              <w:marRight w:val="0"/>
              <w:marTop w:val="0"/>
              <w:marBottom w:val="240"/>
              <w:divBdr>
                <w:top w:val="none" w:sz="0" w:space="0" w:color="auto"/>
                <w:left w:val="none" w:sz="0" w:space="0" w:color="auto"/>
                <w:bottom w:val="none" w:sz="0" w:space="0" w:color="auto"/>
                <w:right w:val="none" w:sz="0" w:space="0" w:color="auto"/>
              </w:divBdr>
            </w:div>
            <w:div w:id="1839038139">
              <w:marLeft w:val="0"/>
              <w:marRight w:val="0"/>
              <w:marTop w:val="0"/>
              <w:marBottom w:val="240"/>
              <w:divBdr>
                <w:top w:val="none" w:sz="0" w:space="0" w:color="auto"/>
                <w:left w:val="none" w:sz="0" w:space="0" w:color="auto"/>
                <w:bottom w:val="none" w:sz="0" w:space="0" w:color="auto"/>
                <w:right w:val="none" w:sz="0" w:space="0" w:color="auto"/>
              </w:divBdr>
            </w:div>
            <w:div w:id="1985697052">
              <w:marLeft w:val="0"/>
              <w:marRight w:val="0"/>
              <w:marTop w:val="0"/>
              <w:marBottom w:val="240"/>
              <w:divBdr>
                <w:top w:val="none" w:sz="0" w:space="0" w:color="auto"/>
                <w:left w:val="none" w:sz="0" w:space="0" w:color="auto"/>
                <w:bottom w:val="none" w:sz="0" w:space="0" w:color="auto"/>
                <w:right w:val="none" w:sz="0" w:space="0" w:color="auto"/>
              </w:divBdr>
            </w:div>
            <w:div w:id="619216684">
              <w:marLeft w:val="0"/>
              <w:marRight w:val="0"/>
              <w:marTop w:val="0"/>
              <w:marBottom w:val="240"/>
              <w:divBdr>
                <w:top w:val="none" w:sz="0" w:space="0" w:color="auto"/>
                <w:left w:val="none" w:sz="0" w:space="0" w:color="auto"/>
                <w:bottom w:val="none" w:sz="0" w:space="0" w:color="auto"/>
                <w:right w:val="none" w:sz="0" w:space="0" w:color="auto"/>
              </w:divBdr>
            </w:div>
            <w:div w:id="1494220912">
              <w:marLeft w:val="0"/>
              <w:marRight w:val="0"/>
              <w:marTop w:val="0"/>
              <w:marBottom w:val="240"/>
              <w:divBdr>
                <w:top w:val="none" w:sz="0" w:space="0" w:color="auto"/>
                <w:left w:val="none" w:sz="0" w:space="0" w:color="auto"/>
                <w:bottom w:val="none" w:sz="0" w:space="0" w:color="auto"/>
                <w:right w:val="none" w:sz="0" w:space="0" w:color="auto"/>
              </w:divBdr>
            </w:div>
            <w:div w:id="1223712387">
              <w:marLeft w:val="0"/>
              <w:marRight w:val="0"/>
              <w:marTop w:val="0"/>
              <w:marBottom w:val="240"/>
              <w:divBdr>
                <w:top w:val="none" w:sz="0" w:space="0" w:color="auto"/>
                <w:left w:val="none" w:sz="0" w:space="0" w:color="auto"/>
                <w:bottom w:val="none" w:sz="0" w:space="0" w:color="auto"/>
                <w:right w:val="none" w:sz="0" w:space="0" w:color="auto"/>
              </w:divBdr>
            </w:div>
            <w:div w:id="1918519558">
              <w:marLeft w:val="0"/>
              <w:marRight w:val="0"/>
              <w:marTop w:val="0"/>
              <w:marBottom w:val="240"/>
              <w:divBdr>
                <w:top w:val="none" w:sz="0" w:space="0" w:color="auto"/>
                <w:left w:val="none" w:sz="0" w:space="0" w:color="auto"/>
                <w:bottom w:val="none" w:sz="0" w:space="0" w:color="auto"/>
                <w:right w:val="none" w:sz="0" w:space="0" w:color="auto"/>
              </w:divBdr>
            </w:div>
            <w:div w:id="395973236">
              <w:marLeft w:val="0"/>
              <w:marRight w:val="0"/>
              <w:marTop w:val="0"/>
              <w:marBottom w:val="240"/>
              <w:divBdr>
                <w:top w:val="none" w:sz="0" w:space="0" w:color="auto"/>
                <w:left w:val="none" w:sz="0" w:space="0" w:color="auto"/>
                <w:bottom w:val="none" w:sz="0" w:space="0" w:color="auto"/>
                <w:right w:val="none" w:sz="0" w:space="0" w:color="auto"/>
              </w:divBdr>
            </w:div>
            <w:div w:id="1773356125">
              <w:marLeft w:val="0"/>
              <w:marRight w:val="0"/>
              <w:marTop w:val="0"/>
              <w:marBottom w:val="240"/>
              <w:divBdr>
                <w:top w:val="none" w:sz="0" w:space="0" w:color="auto"/>
                <w:left w:val="none" w:sz="0" w:space="0" w:color="auto"/>
                <w:bottom w:val="none" w:sz="0" w:space="0" w:color="auto"/>
                <w:right w:val="none" w:sz="0" w:space="0" w:color="auto"/>
              </w:divBdr>
            </w:div>
            <w:div w:id="996375852">
              <w:marLeft w:val="0"/>
              <w:marRight w:val="0"/>
              <w:marTop w:val="0"/>
              <w:marBottom w:val="240"/>
              <w:divBdr>
                <w:top w:val="none" w:sz="0" w:space="0" w:color="auto"/>
                <w:left w:val="none" w:sz="0" w:space="0" w:color="auto"/>
                <w:bottom w:val="none" w:sz="0" w:space="0" w:color="auto"/>
                <w:right w:val="none" w:sz="0" w:space="0" w:color="auto"/>
              </w:divBdr>
            </w:div>
            <w:div w:id="698777318">
              <w:marLeft w:val="0"/>
              <w:marRight w:val="0"/>
              <w:marTop w:val="0"/>
              <w:marBottom w:val="240"/>
              <w:divBdr>
                <w:top w:val="none" w:sz="0" w:space="0" w:color="auto"/>
                <w:left w:val="none" w:sz="0" w:space="0" w:color="auto"/>
                <w:bottom w:val="none" w:sz="0" w:space="0" w:color="auto"/>
                <w:right w:val="none" w:sz="0" w:space="0" w:color="auto"/>
              </w:divBdr>
            </w:div>
            <w:div w:id="2062634531">
              <w:marLeft w:val="0"/>
              <w:marRight w:val="0"/>
              <w:marTop w:val="0"/>
              <w:marBottom w:val="240"/>
              <w:divBdr>
                <w:top w:val="none" w:sz="0" w:space="0" w:color="auto"/>
                <w:left w:val="none" w:sz="0" w:space="0" w:color="auto"/>
                <w:bottom w:val="none" w:sz="0" w:space="0" w:color="auto"/>
                <w:right w:val="none" w:sz="0" w:space="0" w:color="auto"/>
              </w:divBdr>
            </w:div>
            <w:div w:id="769547708">
              <w:marLeft w:val="0"/>
              <w:marRight w:val="0"/>
              <w:marTop w:val="0"/>
              <w:marBottom w:val="240"/>
              <w:divBdr>
                <w:top w:val="none" w:sz="0" w:space="0" w:color="auto"/>
                <w:left w:val="none" w:sz="0" w:space="0" w:color="auto"/>
                <w:bottom w:val="none" w:sz="0" w:space="0" w:color="auto"/>
                <w:right w:val="none" w:sz="0" w:space="0" w:color="auto"/>
              </w:divBdr>
            </w:div>
            <w:div w:id="454644491">
              <w:marLeft w:val="0"/>
              <w:marRight w:val="0"/>
              <w:marTop w:val="0"/>
              <w:marBottom w:val="240"/>
              <w:divBdr>
                <w:top w:val="none" w:sz="0" w:space="0" w:color="auto"/>
                <w:left w:val="none" w:sz="0" w:space="0" w:color="auto"/>
                <w:bottom w:val="none" w:sz="0" w:space="0" w:color="auto"/>
                <w:right w:val="none" w:sz="0" w:space="0" w:color="auto"/>
              </w:divBdr>
            </w:div>
            <w:div w:id="1770154499">
              <w:marLeft w:val="0"/>
              <w:marRight w:val="0"/>
              <w:marTop w:val="0"/>
              <w:marBottom w:val="240"/>
              <w:divBdr>
                <w:top w:val="none" w:sz="0" w:space="0" w:color="auto"/>
                <w:left w:val="none" w:sz="0" w:space="0" w:color="auto"/>
                <w:bottom w:val="none" w:sz="0" w:space="0" w:color="auto"/>
                <w:right w:val="none" w:sz="0" w:space="0" w:color="auto"/>
              </w:divBdr>
            </w:div>
            <w:div w:id="263074444">
              <w:marLeft w:val="0"/>
              <w:marRight w:val="0"/>
              <w:marTop w:val="0"/>
              <w:marBottom w:val="240"/>
              <w:divBdr>
                <w:top w:val="none" w:sz="0" w:space="0" w:color="auto"/>
                <w:left w:val="none" w:sz="0" w:space="0" w:color="auto"/>
                <w:bottom w:val="none" w:sz="0" w:space="0" w:color="auto"/>
                <w:right w:val="none" w:sz="0" w:space="0" w:color="auto"/>
              </w:divBdr>
            </w:div>
            <w:div w:id="1234777309">
              <w:marLeft w:val="0"/>
              <w:marRight w:val="0"/>
              <w:marTop w:val="0"/>
              <w:marBottom w:val="240"/>
              <w:divBdr>
                <w:top w:val="none" w:sz="0" w:space="0" w:color="auto"/>
                <w:left w:val="none" w:sz="0" w:space="0" w:color="auto"/>
                <w:bottom w:val="none" w:sz="0" w:space="0" w:color="auto"/>
                <w:right w:val="none" w:sz="0" w:space="0" w:color="auto"/>
              </w:divBdr>
            </w:div>
            <w:div w:id="414594789">
              <w:marLeft w:val="0"/>
              <w:marRight w:val="0"/>
              <w:marTop w:val="0"/>
              <w:marBottom w:val="240"/>
              <w:divBdr>
                <w:top w:val="none" w:sz="0" w:space="0" w:color="auto"/>
                <w:left w:val="none" w:sz="0" w:space="0" w:color="auto"/>
                <w:bottom w:val="none" w:sz="0" w:space="0" w:color="auto"/>
                <w:right w:val="none" w:sz="0" w:space="0" w:color="auto"/>
              </w:divBdr>
            </w:div>
            <w:div w:id="238711986">
              <w:marLeft w:val="0"/>
              <w:marRight w:val="0"/>
              <w:marTop w:val="0"/>
              <w:marBottom w:val="240"/>
              <w:divBdr>
                <w:top w:val="none" w:sz="0" w:space="0" w:color="auto"/>
                <w:left w:val="none" w:sz="0" w:space="0" w:color="auto"/>
                <w:bottom w:val="none" w:sz="0" w:space="0" w:color="auto"/>
                <w:right w:val="none" w:sz="0" w:space="0" w:color="auto"/>
              </w:divBdr>
            </w:div>
            <w:div w:id="1975676647">
              <w:marLeft w:val="0"/>
              <w:marRight w:val="0"/>
              <w:marTop w:val="0"/>
              <w:marBottom w:val="240"/>
              <w:divBdr>
                <w:top w:val="none" w:sz="0" w:space="0" w:color="auto"/>
                <w:left w:val="none" w:sz="0" w:space="0" w:color="auto"/>
                <w:bottom w:val="none" w:sz="0" w:space="0" w:color="auto"/>
                <w:right w:val="none" w:sz="0" w:space="0" w:color="auto"/>
              </w:divBdr>
            </w:div>
            <w:div w:id="744837080">
              <w:marLeft w:val="0"/>
              <w:marRight w:val="0"/>
              <w:marTop w:val="0"/>
              <w:marBottom w:val="240"/>
              <w:divBdr>
                <w:top w:val="none" w:sz="0" w:space="0" w:color="auto"/>
                <w:left w:val="none" w:sz="0" w:space="0" w:color="auto"/>
                <w:bottom w:val="none" w:sz="0" w:space="0" w:color="auto"/>
                <w:right w:val="none" w:sz="0" w:space="0" w:color="auto"/>
              </w:divBdr>
            </w:div>
            <w:div w:id="618026242">
              <w:marLeft w:val="0"/>
              <w:marRight w:val="0"/>
              <w:marTop w:val="0"/>
              <w:marBottom w:val="240"/>
              <w:divBdr>
                <w:top w:val="none" w:sz="0" w:space="0" w:color="auto"/>
                <w:left w:val="none" w:sz="0" w:space="0" w:color="auto"/>
                <w:bottom w:val="none" w:sz="0" w:space="0" w:color="auto"/>
                <w:right w:val="none" w:sz="0" w:space="0" w:color="auto"/>
              </w:divBdr>
            </w:div>
            <w:div w:id="1614246865">
              <w:marLeft w:val="0"/>
              <w:marRight w:val="0"/>
              <w:marTop w:val="0"/>
              <w:marBottom w:val="240"/>
              <w:divBdr>
                <w:top w:val="none" w:sz="0" w:space="0" w:color="auto"/>
                <w:left w:val="none" w:sz="0" w:space="0" w:color="auto"/>
                <w:bottom w:val="none" w:sz="0" w:space="0" w:color="auto"/>
                <w:right w:val="none" w:sz="0" w:space="0" w:color="auto"/>
              </w:divBdr>
            </w:div>
            <w:div w:id="1271738555">
              <w:marLeft w:val="0"/>
              <w:marRight w:val="0"/>
              <w:marTop w:val="0"/>
              <w:marBottom w:val="240"/>
              <w:divBdr>
                <w:top w:val="none" w:sz="0" w:space="0" w:color="auto"/>
                <w:left w:val="none" w:sz="0" w:space="0" w:color="auto"/>
                <w:bottom w:val="none" w:sz="0" w:space="0" w:color="auto"/>
                <w:right w:val="none" w:sz="0" w:space="0" w:color="auto"/>
              </w:divBdr>
            </w:div>
            <w:div w:id="145587685">
              <w:marLeft w:val="0"/>
              <w:marRight w:val="0"/>
              <w:marTop w:val="0"/>
              <w:marBottom w:val="240"/>
              <w:divBdr>
                <w:top w:val="none" w:sz="0" w:space="0" w:color="auto"/>
                <w:left w:val="none" w:sz="0" w:space="0" w:color="auto"/>
                <w:bottom w:val="none" w:sz="0" w:space="0" w:color="auto"/>
                <w:right w:val="none" w:sz="0" w:space="0" w:color="auto"/>
              </w:divBdr>
            </w:div>
            <w:div w:id="1623265664">
              <w:marLeft w:val="0"/>
              <w:marRight w:val="0"/>
              <w:marTop w:val="0"/>
              <w:marBottom w:val="240"/>
              <w:divBdr>
                <w:top w:val="none" w:sz="0" w:space="0" w:color="auto"/>
                <w:left w:val="none" w:sz="0" w:space="0" w:color="auto"/>
                <w:bottom w:val="none" w:sz="0" w:space="0" w:color="auto"/>
                <w:right w:val="none" w:sz="0" w:space="0" w:color="auto"/>
              </w:divBdr>
            </w:div>
            <w:div w:id="2037148482">
              <w:marLeft w:val="0"/>
              <w:marRight w:val="0"/>
              <w:marTop w:val="0"/>
              <w:marBottom w:val="240"/>
              <w:divBdr>
                <w:top w:val="none" w:sz="0" w:space="0" w:color="auto"/>
                <w:left w:val="none" w:sz="0" w:space="0" w:color="auto"/>
                <w:bottom w:val="none" w:sz="0" w:space="0" w:color="auto"/>
                <w:right w:val="none" w:sz="0" w:space="0" w:color="auto"/>
              </w:divBdr>
            </w:div>
            <w:div w:id="1997611960">
              <w:marLeft w:val="0"/>
              <w:marRight w:val="0"/>
              <w:marTop w:val="0"/>
              <w:marBottom w:val="240"/>
              <w:divBdr>
                <w:top w:val="none" w:sz="0" w:space="0" w:color="auto"/>
                <w:left w:val="none" w:sz="0" w:space="0" w:color="auto"/>
                <w:bottom w:val="none" w:sz="0" w:space="0" w:color="auto"/>
                <w:right w:val="none" w:sz="0" w:space="0" w:color="auto"/>
              </w:divBdr>
            </w:div>
            <w:div w:id="1233589969">
              <w:marLeft w:val="0"/>
              <w:marRight w:val="0"/>
              <w:marTop w:val="0"/>
              <w:marBottom w:val="240"/>
              <w:divBdr>
                <w:top w:val="none" w:sz="0" w:space="0" w:color="auto"/>
                <w:left w:val="none" w:sz="0" w:space="0" w:color="auto"/>
                <w:bottom w:val="none" w:sz="0" w:space="0" w:color="auto"/>
                <w:right w:val="none" w:sz="0" w:space="0" w:color="auto"/>
              </w:divBdr>
            </w:div>
            <w:div w:id="147233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503656">
      <w:bodyDiv w:val="1"/>
      <w:marLeft w:val="0"/>
      <w:marRight w:val="0"/>
      <w:marTop w:val="0"/>
      <w:marBottom w:val="0"/>
      <w:divBdr>
        <w:top w:val="none" w:sz="0" w:space="0" w:color="auto"/>
        <w:left w:val="none" w:sz="0" w:space="0" w:color="auto"/>
        <w:bottom w:val="none" w:sz="0" w:space="0" w:color="auto"/>
        <w:right w:val="none" w:sz="0" w:space="0" w:color="auto"/>
      </w:divBdr>
    </w:div>
    <w:div w:id="620840094">
      <w:bodyDiv w:val="1"/>
      <w:marLeft w:val="0"/>
      <w:marRight w:val="0"/>
      <w:marTop w:val="0"/>
      <w:marBottom w:val="0"/>
      <w:divBdr>
        <w:top w:val="none" w:sz="0" w:space="0" w:color="auto"/>
        <w:left w:val="none" w:sz="0" w:space="0" w:color="auto"/>
        <w:bottom w:val="none" w:sz="0" w:space="0" w:color="auto"/>
        <w:right w:val="none" w:sz="0" w:space="0" w:color="auto"/>
      </w:divBdr>
    </w:div>
    <w:div w:id="621694313">
      <w:bodyDiv w:val="1"/>
      <w:marLeft w:val="0"/>
      <w:marRight w:val="0"/>
      <w:marTop w:val="0"/>
      <w:marBottom w:val="0"/>
      <w:divBdr>
        <w:top w:val="none" w:sz="0" w:space="0" w:color="auto"/>
        <w:left w:val="none" w:sz="0" w:space="0" w:color="auto"/>
        <w:bottom w:val="none" w:sz="0" w:space="0" w:color="auto"/>
        <w:right w:val="none" w:sz="0" w:space="0" w:color="auto"/>
      </w:divBdr>
    </w:div>
    <w:div w:id="626396354">
      <w:bodyDiv w:val="1"/>
      <w:marLeft w:val="0"/>
      <w:marRight w:val="0"/>
      <w:marTop w:val="0"/>
      <w:marBottom w:val="0"/>
      <w:divBdr>
        <w:top w:val="none" w:sz="0" w:space="0" w:color="auto"/>
        <w:left w:val="none" w:sz="0" w:space="0" w:color="auto"/>
        <w:bottom w:val="none" w:sz="0" w:space="0" w:color="auto"/>
        <w:right w:val="none" w:sz="0" w:space="0" w:color="auto"/>
      </w:divBdr>
    </w:div>
    <w:div w:id="627124024">
      <w:bodyDiv w:val="1"/>
      <w:marLeft w:val="0"/>
      <w:marRight w:val="0"/>
      <w:marTop w:val="0"/>
      <w:marBottom w:val="0"/>
      <w:divBdr>
        <w:top w:val="none" w:sz="0" w:space="0" w:color="auto"/>
        <w:left w:val="none" w:sz="0" w:space="0" w:color="auto"/>
        <w:bottom w:val="none" w:sz="0" w:space="0" w:color="auto"/>
        <w:right w:val="none" w:sz="0" w:space="0" w:color="auto"/>
      </w:divBdr>
    </w:div>
    <w:div w:id="629016238">
      <w:bodyDiv w:val="1"/>
      <w:marLeft w:val="0"/>
      <w:marRight w:val="0"/>
      <w:marTop w:val="0"/>
      <w:marBottom w:val="0"/>
      <w:divBdr>
        <w:top w:val="none" w:sz="0" w:space="0" w:color="auto"/>
        <w:left w:val="none" w:sz="0" w:space="0" w:color="auto"/>
        <w:bottom w:val="none" w:sz="0" w:space="0" w:color="auto"/>
        <w:right w:val="none" w:sz="0" w:space="0" w:color="auto"/>
      </w:divBdr>
    </w:div>
    <w:div w:id="636647626">
      <w:bodyDiv w:val="1"/>
      <w:marLeft w:val="0"/>
      <w:marRight w:val="0"/>
      <w:marTop w:val="0"/>
      <w:marBottom w:val="0"/>
      <w:divBdr>
        <w:top w:val="none" w:sz="0" w:space="0" w:color="auto"/>
        <w:left w:val="none" w:sz="0" w:space="0" w:color="auto"/>
        <w:bottom w:val="none" w:sz="0" w:space="0" w:color="auto"/>
        <w:right w:val="none" w:sz="0" w:space="0" w:color="auto"/>
      </w:divBdr>
    </w:div>
    <w:div w:id="640429956">
      <w:bodyDiv w:val="1"/>
      <w:marLeft w:val="0"/>
      <w:marRight w:val="0"/>
      <w:marTop w:val="0"/>
      <w:marBottom w:val="0"/>
      <w:divBdr>
        <w:top w:val="none" w:sz="0" w:space="0" w:color="auto"/>
        <w:left w:val="none" w:sz="0" w:space="0" w:color="auto"/>
        <w:bottom w:val="none" w:sz="0" w:space="0" w:color="auto"/>
        <w:right w:val="none" w:sz="0" w:space="0" w:color="auto"/>
      </w:divBdr>
      <w:divsChild>
        <w:div w:id="979966819">
          <w:marLeft w:val="480"/>
          <w:marRight w:val="0"/>
          <w:marTop w:val="0"/>
          <w:marBottom w:val="0"/>
          <w:divBdr>
            <w:top w:val="none" w:sz="0" w:space="0" w:color="auto"/>
            <w:left w:val="none" w:sz="0" w:space="0" w:color="auto"/>
            <w:bottom w:val="none" w:sz="0" w:space="0" w:color="auto"/>
            <w:right w:val="none" w:sz="0" w:space="0" w:color="auto"/>
          </w:divBdr>
          <w:divsChild>
            <w:div w:id="1740590817">
              <w:marLeft w:val="0"/>
              <w:marRight w:val="0"/>
              <w:marTop w:val="0"/>
              <w:marBottom w:val="240"/>
              <w:divBdr>
                <w:top w:val="none" w:sz="0" w:space="0" w:color="auto"/>
                <w:left w:val="none" w:sz="0" w:space="0" w:color="auto"/>
                <w:bottom w:val="none" w:sz="0" w:space="0" w:color="auto"/>
                <w:right w:val="none" w:sz="0" w:space="0" w:color="auto"/>
              </w:divBdr>
            </w:div>
            <w:div w:id="1029844047">
              <w:marLeft w:val="0"/>
              <w:marRight w:val="0"/>
              <w:marTop w:val="0"/>
              <w:marBottom w:val="240"/>
              <w:divBdr>
                <w:top w:val="none" w:sz="0" w:space="0" w:color="auto"/>
                <w:left w:val="none" w:sz="0" w:space="0" w:color="auto"/>
                <w:bottom w:val="none" w:sz="0" w:space="0" w:color="auto"/>
                <w:right w:val="none" w:sz="0" w:space="0" w:color="auto"/>
              </w:divBdr>
            </w:div>
            <w:div w:id="1594508924">
              <w:marLeft w:val="0"/>
              <w:marRight w:val="0"/>
              <w:marTop w:val="0"/>
              <w:marBottom w:val="240"/>
              <w:divBdr>
                <w:top w:val="none" w:sz="0" w:space="0" w:color="auto"/>
                <w:left w:val="none" w:sz="0" w:space="0" w:color="auto"/>
                <w:bottom w:val="none" w:sz="0" w:space="0" w:color="auto"/>
                <w:right w:val="none" w:sz="0" w:space="0" w:color="auto"/>
              </w:divBdr>
            </w:div>
            <w:div w:id="263999964">
              <w:marLeft w:val="0"/>
              <w:marRight w:val="0"/>
              <w:marTop w:val="0"/>
              <w:marBottom w:val="240"/>
              <w:divBdr>
                <w:top w:val="none" w:sz="0" w:space="0" w:color="auto"/>
                <w:left w:val="none" w:sz="0" w:space="0" w:color="auto"/>
                <w:bottom w:val="none" w:sz="0" w:space="0" w:color="auto"/>
                <w:right w:val="none" w:sz="0" w:space="0" w:color="auto"/>
              </w:divBdr>
            </w:div>
            <w:div w:id="346911696">
              <w:marLeft w:val="0"/>
              <w:marRight w:val="0"/>
              <w:marTop w:val="0"/>
              <w:marBottom w:val="240"/>
              <w:divBdr>
                <w:top w:val="none" w:sz="0" w:space="0" w:color="auto"/>
                <w:left w:val="none" w:sz="0" w:space="0" w:color="auto"/>
                <w:bottom w:val="none" w:sz="0" w:space="0" w:color="auto"/>
                <w:right w:val="none" w:sz="0" w:space="0" w:color="auto"/>
              </w:divBdr>
            </w:div>
            <w:div w:id="416249230">
              <w:marLeft w:val="0"/>
              <w:marRight w:val="0"/>
              <w:marTop w:val="0"/>
              <w:marBottom w:val="240"/>
              <w:divBdr>
                <w:top w:val="none" w:sz="0" w:space="0" w:color="auto"/>
                <w:left w:val="none" w:sz="0" w:space="0" w:color="auto"/>
                <w:bottom w:val="none" w:sz="0" w:space="0" w:color="auto"/>
                <w:right w:val="none" w:sz="0" w:space="0" w:color="auto"/>
              </w:divBdr>
            </w:div>
            <w:div w:id="2052611390">
              <w:marLeft w:val="0"/>
              <w:marRight w:val="0"/>
              <w:marTop w:val="0"/>
              <w:marBottom w:val="240"/>
              <w:divBdr>
                <w:top w:val="none" w:sz="0" w:space="0" w:color="auto"/>
                <w:left w:val="none" w:sz="0" w:space="0" w:color="auto"/>
                <w:bottom w:val="none" w:sz="0" w:space="0" w:color="auto"/>
                <w:right w:val="none" w:sz="0" w:space="0" w:color="auto"/>
              </w:divBdr>
            </w:div>
            <w:div w:id="1192038235">
              <w:marLeft w:val="0"/>
              <w:marRight w:val="0"/>
              <w:marTop w:val="0"/>
              <w:marBottom w:val="240"/>
              <w:divBdr>
                <w:top w:val="none" w:sz="0" w:space="0" w:color="auto"/>
                <w:left w:val="none" w:sz="0" w:space="0" w:color="auto"/>
                <w:bottom w:val="none" w:sz="0" w:space="0" w:color="auto"/>
                <w:right w:val="none" w:sz="0" w:space="0" w:color="auto"/>
              </w:divBdr>
            </w:div>
            <w:div w:id="547499490">
              <w:marLeft w:val="0"/>
              <w:marRight w:val="0"/>
              <w:marTop w:val="0"/>
              <w:marBottom w:val="240"/>
              <w:divBdr>
                <w:top w:val="none" w:sz="0" w:space="0" w:color="auto"/>
                <w:left w:val="none" w:sz="0" w:space="0" w:color="auto"/>
                <w:bottom w:val="none" w:sz="0" w:space="0" w:color="auto"/>
                <w:right w:val="none" w:sz="0" w:space="0" w:color="auto"/>
              </w:divBdr>
            </w:div>
            <w:div w:id="1463425064">
              <w:marLeft w:val="0"/>
              <w:marRight w:val="0"/>
              <w:marTop w:val="0"/>
              <w:marBottom w:val="240"/>
              <w:divBdr>
                <w:top w:val="none" w:sz="0" w:space="0" w:color="auto"/>
                <w:left w:val="none" w:sz="0" w:space="0" w:color="auto"/>
                <w:bottom w:val="none" w:sz="0" w:space="0" w:color="auto"/>
                <w:right w:val="none" w:sz="0" w:space="0" w:color="auto"/>
              </w:divBdr>
            </w:div>
            <w:div w:id="943225909">
              <w:marLeft w:val="0"/>
              <w:marRight w:val="0"/>
              <w:marTop w:val="0"/>
              <w:marBottom w:val="240"/>
              <w:divBdr>
                <w:top w:val="none" w:sz="0" w:space="0" w:color="auto"/>
                <w:left w:val="none" w:sz="0" w:space="0" w:color="auto"/>
                <w:bottom w:val="none" w:sz="0" w:space="0" w:color="auto"/>
                <w:right w:val="none" w:sz="0" w:space="0" w:color="auto"/>
              </w:divBdr>
            </w:div>
            <w:div w:id="790131746">
              <w:marLeft w:val="0"/>
              <w:marRight w:val="0"/>
              <w:marTop w:val="0"/>
              <w:marBottom w:val="240"/>
              <w:divBdr>
                <w:top w:val="none" w:sz="0" w:space="0" w:color="auto"/>
                <w:left w:val="none" w:sz="0" w:space="0" w:color="auto"/>
                <w:bottom w:val="none" w:sz="0" w:space="0" w:color="auto"/>
                <w:right w:val="none" w:sz="0" w:space="0" w:color="auto"/>
              </w:divBdr>
            </w:div>
            <w:div w:id="1862432484">
              <w:marLeft w:val="0"/>
              <w:marRight w:val="0"/>
              <w:marTop w:val="0"/>
              <w:marBottom w:val="240"/>
              <w:divBdr>
                <w:top w:val="none" w:sz="0" w:space="0" w:color="auto"/>
                <w:left w:val="none" w:sz="0" w:space="0" w:color="auto"/>
                <w:bottom w:val="none" w:sz="0" w:space="0" w:color="auto"/>
                <w:right w:val="none" w:sz="0" w:space="0" w:color="auto"/>
              </w:divBdr>
            </w:div>
            <w:div w:id="823399547">
              <w:marLeft w:val="0"/>
              <w:marRight w:val="0"/>
              <w:marTop w:val="0"/>
              <w:marBottom w:val="240"/>
              <w:divBdr>
                <w:top w:val="none" w:sz="0" w:space="0" w:color="auto"/>
                <w:left w:val="none" w:sz="0" w:space="0" w:color="auto"/>
                <w:bottom w:val="none" w:sz="0" w:space="0" w:color="auto"/>
                <w:right w:val="none" w:sz="0" w:space="0" w:color="auto"/>
              </w:divBdr>
            </w:div>
            <w:div w:id="945697797">
              <w:marLeft w:val="0"/>
              <w:marRight w:val="0"/>
              <w:marTop w:val="0"/>
              <w:marBottom w:val="240"/>
              <w:divBdr>
                <w:top w:val="none" w:sz="0" w:space="0" w:color="auto"/>
                <w:left w:val="none" w:sz="0" w:space="0" w:color="auto"/>
                <w:bottom w:val="none" w:sz="0" w:space="0" w:color="auto"/>
                <w:right w:val="none" w:sz="0" w:space="0" w:color="auto"/>
              </w:divBdr>
            </w:div>
            <w:div w:id="1058364654">
              <w:marLeft w:val="0"/>
              <w:marRight w:val="0"/>
              <w:marTop w:val="0"/>
              <w:marBottom w:val="240"/>
              <w:divBdr>
                <w:top w:val="none" w:sz="0" w:space="0" w:color="auto"/>
                <w:left w:val="none" w:sz="0" w:space="0" w:color="auto"/>
                <w:bottom w:val="none" w:sz="0" w:space="0" w:color="auto"/>
                <w:right w:val="none" w:sz="0" w:space="0" w:color="auto"/>
              </w:divBdr>
            </w:div>
            <w:div w:id="819342920">
              <w:marLeft w:val="0"/>
              <w:marRight w:val="0"/>
              <w:marTop w:val="0"/>
              <w:marBottom w:val="240"/>
              <w:divBdr>
                <w:top w:val="none" w:sz="0" w:space="0" w:color="auto"/>
                <w:left w:val="none" w:sz="0" w:space="0" w:color="auto"/>
                <w:bottom w:val="none" w:sz="0" w:space="0" w:color="auto"/>
                <w:right w:val="none" w:sz="0" w:space="0" w:color="auto"/>
              </w:divBdr>
            </w:div>
            <w:div w:id="487482226">
              <w:marLeft w:val="0"/>
              <w:marRight w:val="0"/>
              <w:marTop w:val="0"/>
              <w:marBottom w:val="240"/>
              <w:divBdr>
                <w:top w:val="none" w:sz="0" w:space="0" w:color="auto"/>
                <w:left w:val="none" w:sz="0" w:space="0" w:color="auto"/>
                <w:bottom w:val="none" w:sz="0" w:space="0" w:color="auto"/>
                <w:right w:val="none" w:sz="0" w:space="0" w:color="auto"/>
              </w:divBdr>
            </w:div>
            <w:div w:id="577517467">
              <w:marLeft w:val="0"/>
              <w:marRight w:val="0"/>
              <w:marTop w:val="0"/>
              <w:marBottom w:val="240"/>
              <w:divBdr>
                <w:top w:val="none" w:sz="0" w:space="0" w:color="auto"/>
                <w:left w:val="none" w:sz="0" w:space="0" w:color="auto"/>
                <w:bottom w:val="none" w:sz="0" w:space="0" w:color="auto"/>
                <w:right w:val="none" w:sz="0" w:space="0" w:color="auto"/>
              </w:divBdr>
            </w:div>
            <w:div w:id="1430926397">
              <w:marLeft w:val="0"/>
              <w:marRight w:val="0"/>
              <w:marTop w:val="0"/>
              <w:marBottom w:val="240"/>
              <w:divBdr>
                <w:top w:val="none" w:sz="0" w:space="0" w:color="auto"/>
                <w:left w:val="none" w:sz="0" w:space="0" w:color="auto"/>
                <w:bottom w:val="none" w:sz="0" w:space="0" w:color="auto"/>
                <w:right w:val="none" w:sz="0" w:space="0" w:color="auto"/>
              </w:divBdr>
            </w:div>
            <w:div w:id="451293375">
              <w:marLeft w:val="0"/>
              <w:marRight w:val="0"/>
              <w:marTop w:val="0"/>
              <w:marBottom w:val="240"/>
              <w:divBdr>
                <w:top w:val="none" w:sz="0" w:space="0" w:color="auto"/>
                <w:left w:val="none" w:sz="0" w:space="0" w:color="auto"/>
                <w:bottom w:val="none" w:sz="0" w:space="0" w:color="auto"/>
                <w:right w:val="none" w:sz="0" w:space="0" w:color="auto"/>
              </w:divBdr>
            </w:div>
            <w:div w:id="821317229">
              <w:marLeft w:val="0"/>
              <w:marRight w:val="0"/>
              <w:marTop w:val="0"/>
              <w:marBottom w:val="240"/>
              <w:divBdr>
                <w:top w:val="none" w:sz="0" w:space="0" w:color="auto"/>
                <w:left w:val="none" w:sz="0" w:space="0" w:color="auto"/>
                <w:bottom w:val="none" w:sz="0" w:space="0" w:color="auto"/>
                <w:right w:val="none" w:sz="0" w:space="0" w:color="auto"/>
              </w:divBdr>
            </w:div>
            <w:div w:id="1021206157">
              <w:marLeft w:val="0"/>
              <w:marRight w:val="0"/>
              <w:marTop w:val="0"/>
              <w:marBottom w:val="240"/>
              <w:divBdr>
                <w:top w:val="none" w:sz="0" w:space="0" w:color="auto"/>
                <w:left w:val="none" w:sz="0" w:space="0" w:color="auto"/>
                <w:bottom w:val="none" w:sz="0" w:space="0" w:color="auto"/>
                <w:right w:val="none" w:sz="0" w:space="0" w:color="auto"/>
              </w:divBdr>
            </w:div>
            <w:div w:id="1868982180">
              <w:marLeft w:val="0"/>
              <w:marRight w:val="0"/>
              <w:marTop w:val="0"/>
              <w:marBottom w:val="240"/>
              <w:divBdr>
                <w:top w:val="none" w:sz="0" w:space="0" w:color="auto"/>
                <w:left w:val="none" w:sz="0" w:space="0" w:color="auto"/>
                <w:bottom w:val="none" w:sz="0" w:space="0" w:color="auto"/>
                <w:right w:val="none" w:sz="0" w:space="0" w:color="auto"/>
              </w:divBdr>
            </w:div>
            <w:div w:id="404255507">
              <w:marLeft w:val="0"/>
              <w:marRight w:val="0"/>
              <w:marTop w:val="0"/>
              <w:marBottom w:val="240"/>
              <w:divBdr>
                <w:top w:val="none" w:sz="0" w:space="0" w:color="auto"/>
                <w:left w:val="none" w:sz="0" w:space="0" w:color="auto"/>
                <w:bottom w:val="none" w:sz="0" w:space="0" w:color="auto"/>
                <w:right w:val="none" w:sz="0" w:space="0" w:color="auto"/>
              </w:divBdr>
            </w:div>
            <w:div w:id="1053654553">
              <w:marLeft w:val="0"/>
              <w:marRight w:val="0"/>
              <w:marTop w:val="0"/>
              <w:marBottom w:val="240"/>
              <w:divBdr>
                <w:top w:val="none" w:sz="0" w:space="0" w:color="auto"/>
                <w:left w:val="none" w:sz="0" w:space="0" w:color="auto"/>
                <w:bottom w:val="none" w:sz="0" w:space="0" w:color="auto"/>
                <w:right w:val="none" w:sz="0" w:space="0" w:color="auto"/>
              </w:divBdr>
            </w:div>
            <w:div w:id="611324322">
              <w:marLeft w:val="0"/>
              <w:marRight w:val="0"/>
              <w:marTop w:val="0"/>
              <w:marBottom w:val="240"/>
              <w:divBdr>
                <w:top w:val="none" w:sz="0" w:space="0" w:color="auto"/>
                <w:left w:val="none" w:sz="0" w:space="0" w:color="auto"/>
                <w:bottom w:val="none" w:sz="0" w:space="0" w:color="auto"/>
                <w:right w:val="none" w:sz="0" w:space="0" w:color="auto"/>
              </w:divBdr>
            </w:div>
            <w:div w:id="105857375">
              <w:marLeft w:val="0"/>
              <w:marRight w:val="0"/>
              <w:marTop w:val="0"/>
              <w:marBottom w:val="240"/>
              <w:divBdr>
                <w:top w:val="none" w:sz="0" w:space="0" w:color="auto"/>
                <w:left w:val="none" w:sz="0" w:space="0" w:color="auto"/>
                <w:bottom w:val="none" w:sz="0" w:space="0" w:color="auto"/>
                <w:right w:val="none" w:sz="0" w:space="0" w:color="auto"/>
              </w:divBdr>
            </w:div>
            <w:div w:id="75131584">
              <w:marLeft w:val="0"/>
              <w:marRight w:val="0"/>
              <w:marTop w:val="0"/>
              <w:marBottom w:val="240"/>
              <w:divBdr>
                <w:top w:val="none" w:sz="0" w:space="0" w:color="auto"/>
                <w:left w:val="none" w:sz="0" w:space="0" w:color="auto"/>
                <w:bottom w:val="none" w:sz="0" w:space="0" w:color="auto"/>
                <w:right w:val="none" w:sz="0" w:space="0" w:color="auto"/>
              </w:divBdr>
            </w:div>
            <w:div w:id="1600331354">
              <w:marLeft w:val="0"/>
              <w:marRight w:val="0"/>
              <w:marTop w:val="0"/>
              <w:marBottom w:val="240"/>
              <w:divBdr>
                <w:top w:val="none" w:sz="0" w:space="0" w:color="auto"/>
                <w:left w:val="none" w:sz="0" w:space="0" w:color="auto"/>
                <w:bottom w:val="none" w:sz="0" w:space="0" w:color="auto"/>
                <w:right w:val="none" w:sz="0" w:space="0" w:color="auto"/>
              </w:divBdr>
            </w:div>
            <w:div w:id="2015064047">
              <w:marLeft w:val="0"/>
              <w:marRight w:val="0"/>
              <w:marTop w:val="0"/>
              <w:marBottom w:val="240"/>
              <w:divBdr>
                <w:top w:val="none" w:sz="0" w:space="0" w:color="auto"/>
                <w:left w:val="none" w:sz="0" w:space="0" w:color="auto"/>
                <w:bottom w:val="none" w:sz="0" w:space="0" w:color="auto"/>
                <w:right w:val="none" w:sz="0" w:space="0" w:color="auto"/>
              </w:divBdr>
            </w:div>
            <w:div w:id="1130248052">
              <w:marLeft w:val="0"/>
              <w:marRight w:val="0"/>
              <w:marTop w:val="0"/>
              <w:marBottom w:val="240"/>
              <w:divBdr>
                <w:top w:val="none" w:sz="0" w:space="0" w:color="auto"/>
                <w:left w:val="none" w:sz="0" w:space="0" w:color="auto"/>
                <w:bottom w:val="none" w:sz="0" w:space="0" w:color="auto"/>
                <w:right w:val="none" w:sz="0" w:space="0" w:color="auto"/>
              </w:divBdr>
            </w:div>
            <w:div w:id="1754204327">
              <w:marLeft w:val="0"/>
              <w:marRight w:val="0"/>
              <w:marTop w:val="0"/>
              <w:marBottom w:val="240"/>
              <w:divBdr>
                <w:top w:val="none" w:sz="0" w:space="0" w:color="auto"/>
                <w:left w:val="none" w:sz="0" w:space="0" w:color="auto"/>
                <w:bottom w:val="none" w:sz="0" w:space="0" w:color="auto"/>
                <w:right w:val="none" w:sz="0" w:space="0" w:color="auto"/>
              </w:divBdr>
            </w:div>
            <w:div w:id="2096391431">
              <w:marLeft w:val="0"/>
              <w:marRight w:val="0"/>
              <w:marTop w:val="0"/>
              <w:marBottom w:val="240"/>
              <w:divBdr>
                <w:top w:val="none" w:sz="0" w:space="0" w:color="auto"/>
                <w:left w:val="none" w:sz="0" w:space="0" w:color="auto"/>
                <w:bottom w:val="none" w:sz="0" w:space="0" w:color="auto"/>
                <w:right w:val="none" w:sz="0" w:space="0" w:color="auto"/>
              </w:divBdr>
            </w:div>
            <w:div w:id="1486891114">
              <w:marLeft w:val="0"/>
              <w:marRight w:val="0"/>
              <w:marTop w:val="0"/>
              <w:marBottom w:val="240"/>
              <w:divBdr>
                <w:top w:val="none" w:sz="0" w:space="0" w:color="auto"/>
                <w:left w:val="none" w:sz="0" w:space="0" w:color="auto"/>
                <w:bottom w:val="none" w:sz="0" w:space="0" w:color="auto"/>
                <w:right w:val="none" w:sz="0" w:space="0" w:color="auto"/>
              </w:divBdr>
            </w:div>
            <w:div w:id="144393828">
              <w:marLeft w:val="0"/>
              <w:marRight w:val="0"/>
              <w:marTop w:val="0"/>
              <w:marBottom w:val="240"/>
              <w:divBdr>
                <w:top w:val="none" w:sz="0" w:space="0" w:color="auto"/>
                <w:left w:val="none" w:sz="0" w:space="0" w:color="auto"/>
                <w:bottom w:val="none" w:sz="0" w:space="0" w:color="auto"/>
                <w:right w:val="none" w:sz="0" w:space="0" w:color="auto"/>
              </w:divBdr>
            </w:div>
            <w:div w:id="206186459">
              <w:marLeft w:val="0"/>
              <w:marRight w:val="0"/>
              <w:marTop w:val="0"/>
              <w:marBottom w:val="240"/>
              <w:divBdr>
                <w:top w:val="none" w:sz="0" w:space="0" w:color="auto"/>
                <w:left w:val="none" w:sz="0" w:space="0" w:color="auto"/>
                <w:bottom w:val="none" w:sz="0" w:space="0" w:color="auto"/>
                <w:right w:val="none" w:sz="0" w:space="0" w:color="auto"/>
              </w:divBdr>
            </w:div>
            <w:div w:id="499656320">
              <w:marLeft w:val="0"/>
              <w:marRight w:val="0"/>
              <w:marTop w:val="0"/>
              <w:marBottom w:val="240"/>
              <w:divBdr>
                <w:top w:val="none" w:sz="0" w:space="0" w:color="auto"/>
                <w:left w:val="none" w:sz="0" w:space="0" w:color="auto"/>
                <w:bottom w:val="none" w:sz="0" w:space="0" w:color="auto"/>
                <w:right w:val="none" w:sz="0" w:space="0" w:color="auto"/>
              </w:divBdr>
            </w:div>
            <w:div w:id="29841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658387115">
      <w:bodyDiv w:val="1"/>
      <w:marLeft w:val="0"/>
      <w:marRight w:val="0"/>
      <w:marTop w:val="0"/>
      <w:marBottom w:val="0"/>
      <w:divBdr>
        <w:top w:val="none" w:sz="0" w:space="0" w:color="auto"/>
        <w:left w:val="none" w:sz="0" w:space="0" w:color="auto"/>
        <w:bottom w:val="none" w:sz="0" w:space="0" w:color="auto"/>
        <w:right w:val="none" w:sz="0" w:space="0" w:color="auto"/>
      </w:divBdr>
    </w:div>
    <w:div w:id="660348397">
      <w:bodyDiv w:val="1"/>
      <w:marLeft w:val="0"/>
      <w:marRight w:val="0"/>
      <w:marTop w:val="0"/>
      <w:marBottom w:val="0"/>
      <w:divBdr>
        <w:top w:val="none" w:sz="0" w:space="0" w:color="auto"/>
        <w:left w:val="none" w:sz="0" w:space="0" w:color="auto"/>
        <w:bottom w:val="none" w:sz="0" w:space="0" w:color="auto"/>
        <w:right w:val="none" w:sz="0" w:space="0" w:color="auto"/>
      </w:divBdr>
    </w:div>
    <w:div w:id="662898105">
      <w:bodyDiv w:val="1"/>
      <w:marLeft w:val="0"/>
      <w:marRight w:val="0"/>
      <w:marTop w:val="0"/>
      <w:marBottom w:val="0"/>
      <w:divBdr>
        <w:top w:val="none" w:sz="0" w:space="0" w:color="auto"/>
        <w:left w:val="none" w:sz="0" w:space="0" w:color="auto"/>
        <w:bottom w:val="none" w:sz="0" w:space="0" w:color="auto"/>
        <w:right w:val="none" w:sz="0" w:space="0" w:color="auto"/>
      </w:divBdr>
    </w:div>
    <w:div w:id="682901447">
      <w:bodyDiv w:val="1"/>
      <w:marLeft w:val="0"/>
      <w:marRight w:val="0"/>
      <w:marTop w:val="0"/>
      <w:marBottom w:val="0"/>
      <w:divBdr>
        <w:top w:val="none" w:sz="0" w:space="0" w:color="auto"/>
        <w:left w:val="none" w:sz="0" w:space="0" w:color="auto"/>
        <w:bottom w:val="none" w:sz="0" w:space="0" w:color="auto"/>
        <w:right w:val="none" w:sz="0" w:space="0" w:color="auto"/>
      </w:divBdr>
    </w:div>
    <w:div w:id="685329994">
      <w:bodyDiv w:val="1"/>
      <w:marLeft w:val="0"/>
      <w:marRight w:val="0"/>
      <w:marTop w:val="0"/>
      <w:marBottom w:val="0"/>
      <w:divBdr>
        <w:top w:val="none" w:sz="0" w:space="0" w:color="auto"/>
        <w:left w:val="none" w:sz="0" w:space="0" w:color="auto"/>
        <w:bottom w:val="none" w:sz="0" w:space="0" w:color="auto"/>
        <w:right w:val="none" w:sz="0" w:space="0" w:color="auto"/>
      </w:divBdr>
    </w:div>
    <w:div w:id="692195640">
      <w:bodyDiv w:val="1"/>
      <w:marLeft w:val="0"/>
      <w:marRight w:val="0"/>
      <w:marTop w:val="0"/>
      <w:marBottom w:val="0"/>
      <w:divBdr>
        <w:top w:val="none" w:sz="0" w:space="0" w:color="auto"/>
        <w:left w:val="none" w:sz="0" w:space="0" w:color="auto"/>
        <w:bottom w:val="none" w:sz="0" w:space="0" w:color="auto"/>
        <w:right w:val="none" w:sz="0" w:space="0" w:color="auto"/>
      </w:divBdr>
    </w:div>
    <w:div w:id="695077936">
      <w:bodyDiv w:val="1"/>
      <w:marLeft w:val="0"/>
      <w:marRight w:val="0"/>
      <w:marTop w:val="0"/>
      <w:marBottom w:val="0"/>
      <w:divBdr>
        <w:top w:val="none" w:sz="0" w:space="0" w:color="auto"/>
        <w:left w:val="none" w:sz="0" w:space="0" w:color="auto"/>
        <w:bottom w:val="none" w:sz="0" w:space="0" w:color="auto"/>
        <w:right w:val="none" w:sz="0" w:space="0" w:color="auto"/>
      </w:divBdr>
    </w:div>
    <w:div w:id="700059059">
      <w:bodyDiv w:val="1"/>
      <w:marLeft w:val="0"/>
      <w:marRight w:val="0"/>
      <w:marTop w:val="0"/>
      <w:marBottom w:val="0"/>
      <w:divBdr>
        <w:top w:val="none" w:sz="0" w:space="0" w:color="auto"/>
        <w:left w:val="none" w:sz="0" w:space="0" w:color="auto"/>
        <w:bottom w:val="none" w:sz="0" w:space="0" w:color="auto"/>
        <w:right w:val="none" w:sz="0" w:space="0" w:color="auto"/>
      </w:divBdr>
    </w:div>
    <w:div w:id="701708310">
      <w:bodyDiv w:val="1"/>
      <w:marLeft w:val="0"/>
      <w:marRight w:val="0"/>
      <w:marTop w:val="0"/>
      <w:marBottom w:val="0"/>
      <w:divBdr>
        <w:top w:val="none" w:sz="0" w:space="0" w:color="auto"/>
        <w:left w:val="none" w:sz="0" w:space="0" w:color="auto"/>
        <w:bottom w:val="none" w:sz="0" w:space="0" w:color="auto"/>
        <w:right w:val="none" w:sz="0" w:space="0" w:color="auto"/>
      </w:divBdr>
    </w:div>
    <w:div w:id="711616674">
      <w:bodyDiv w:val="1"/>
      <w:marLeft w:val="0"/>
      <w:marRight w:val="0"/>
      <w:marTop w:val="0"/>
      <w:marBottom w:val="0"/>
      <w:divBdr>
        <w:top w:val="none" w:sz="0" w:space="0" w:color="auto"/>
        <w:left w:val="none" w:sz="0" w:space="0" w:color="auto"/>
        <w:bottom w:val="none" w:sz="0" w:space="0" w:color="auto"/>
        <w:right w:val="none" w:sz="0" w:space="0" w:color="auto"/>
      </w:divBdr>
    </w:div>
    <w:div w:id="716704887">
      <w:bodyDiv w:val="1"/>
      <w:marLeft w:val="0"/>
      <w:marRight w:val="0"/>
      <w:marTop w:val="0"/>
      <w:marBottom w:val="0"/>
      <w:divBdr>
        <w:top w:val="none" w:sz="0" w:space="0" w:color="auto"/>
        <w:left w:val="none" w:sz="0" w:space="0" w:color="auto"/>
        <w:bottom w:val="none" w:sz="0" w:space="0" w:color="auto"/>
        <w:right w:val="none" w:sz="0" w:space="0" w:color="auto"/>
      </w:divBdr>
    </w:div>
    <w:div w:id="726028169">
      <w:bodyDiv w:val="1"/>
      <w:marLeft w:val="0"/>
      <w:marRight w:val="0"/>
      <w:marTop w:val="0"/>
      <w:marBottom w:val="0"/>
      <w:divBdr>
        <w:top w:val="none" w:sz="0" w:space="0" w:color="auto"/>
        <w:left w:val="none" w:sz="0" w:space="0" w:color="auto"/>
        <w:bottom w:val="none" w:sz="0" w:space="0" w:color="auto"/>
        <w:right w:val="none" w:sz="0" w:space="0" w:color="auto"/>
      </w:divBdr>
    </w:div>
    <w:div w:id="729814711">
      <w:bodyDiv w:val="1"/>
      <w:marLeft w:val="0"/>
      <w:marRight w:val="0"/>
      <w:marTop w:val="0"/>
      <w:marBottom w:val="0"/>
      <w:divBdr>
        <w:top w:val="none" w:sz="0" w:space="0" w:color="auto"/>
        <w:left w:val="none" w:sz="0" w:space="0" w:color="auto"/>
        <w:bottom w:val="none" w:sz="0" w:space="0" w:color="auto"/>
        <w:right w:val="none" w:sz="0" w:space="0" w:color="auto"/>
      </w:divBdr>
      <w:divsChild>
        <w:div w:id="668405398">
          <w:marLeft w:val="480"/>
          <w:marRight w:val="0"/>
          <w:marTop w:val="0"/>
          <w:marBottom w:val="0"/>
          <w:divBdr>
            <w:top w:val="none" w:sz="0" w:space="0" w:color="auto"/>
            <w:left w:val="none" w:sz="0" w:space="0" w:color="auto"/>
            <w:bottom w:val="none" w:sz="0" w:space="0" w:color="auto"/>
            <w:right w:val="none" w:sz="0" w:space="0" w:color="auto"/>
          </w:divBdr>
          <w:divsChild>
            <w:div w:id="479923545">
              <w:marLeft w:val="0"/>
              <w:marRight w:val="0"/>
              <w:marTop w:val="0"/>
              <w:marBottom w:val="240"/>
              <w:divBdr>
                <w:top w:val="none" w:sz="0" w:space="0" w:color="auto"/>
                <w:left w:val="none" w:sz="0" w:space="0" w:color="auto"/>
                <w:bottom w:val="none" w:sz="0" w:space="0" w:color="auto"/>
                <w:right w:val="none" w:sz="0" w:space="0" w:color="auto"/>
              </w:divBdr>
            </w:div>
            <w:div w:id="450519733">
              <w:marLeft w:val="0"/>
              <w:marRight w:val="0"/>
              <w:marTop w:val="0"/>
              <w:marBottom w:val="240"/>
              <w:divBdr>
                <w:top w:val="none" w:sz="0" w:space="0" w:color="auto"/>
                <w:left w:val="none" w:sz="0" w:space="0" w:color="auto"/>
                <w:bottom w:val="none" w:sz="0" w:space="0" w:color="auto"/>
                <w:right w:val="none" w:sz="0" w:space="0" w:color="auto"/>
              </w:divBdr>
            </w:div>
            <w:div w:id="1589998958">
              <w:marLeft w:val="0"/>
              <w:marRight w:val="0"/>
              <w:marTop w:val="0"/>
              <w:marBottom w:val="240"/>
              <w:divBdr>
                <w:top w:val="none" w:sz="0" w:space="0" w:color="auto"/>
                <w:left w:val="none" w:sz="0" w:space="0" w:color="auto"/>
                <w:bottom w:val="none" w:sz="0" w:space="0" w:color="auto"/>
                <w:right w:val="none" w:sz="0" w:space="0" w:color="auto"/>
              </w:divBdr>
            </w:div>
            <w:div w:id="558983959">
              <w:marLeft w:val="0"/>
              <w:marRight w:val="0"/>
              <w:marTop w:val="0"/>
              <w:marBottom w:val="240"/>
              <w:divBdr>
                <w:top w:val="none" w:sz="0" w:space="0" w:color="auto"/>
                <w:left w:val="none" w:sz="0" w:space="0" w:color="auto"/>
                <w:bottom w:val="none" w:sz="0" w:space="0" w:color="auto"/>
                <w:right w:val="none" w:sz="0" w:space="0" w:color="auto"/>
              </w:divBdr>
            </w:div>
            <w:div w:id="89663701">
              <w:marLeft w:val="0"/>
              <w:marRight w:val="0"/>
              <w:marTop w:val="0"/>
              <w:marBottom w:val="240"/>
              <w:divBdr>
                <w:top w:val="none" w:sz="0" w:space="0" w:color="auto"/>
                <w:left w:val="none" w:sz="0" w:space="0" w:color="auto"/>
                <w:bottom w:val="none" w:sz="0" w:space="0" w:color="auto"/>
                <w:right w:val="none" w:sz="0" w:space="0" w:color="auto"/>
              </w:divBdr>
            </w:div>
            <w:div w:id="182793441">
              <w:marLeft w:val="0"/>
              <w:marRight w:val="0"/>
              <w:marTop w:val="0"/>
              <w:marBottom w:val="240"/>
              <w:divBdr>
                <w:top w:val="none" w:sz="0" w:space="0" w:color="auto"/>
                <w:left w:val="none" w:sz="0" w:space="0" w:color="auto"/>
                <w:bottom w:val="none" w:sz="0" w:space="0" w:color="auto"/>
                <w:right w:val="none" w:sz="0" w:space="0" w:color="auto"/>
              </w:divBdr>
            </w:div>
            <w:div w:id="935481055">
              <w:marLeft w:val="0"/>
              <w:marRight w:val="0"/>
              <w:marTop w:val="0"/>
              <w:marBottom w:val="240"/>
              <w:divBdr>
                <w:top w:val="none" w:sz="0" w:space="0" w:color="auto"/>
                <w:left w:val="none" w:sz="0" w:space="0" w:color="auto"/>
                <w:bottom w:val="none" w:sz="0" w:space="0" w:color="auto"/>
                <w:right w:val="none" w:sz="0" w:space="0" w:color="auto"/>
              </w:divBdr>
            </w:div>
            <w:div w:id="1361735534">
              <w:marLeft w:val="0"/>
              <w:marRight w:val="0"/>
              <w:marTop w:val="0"/>
              <w:marBottom w:val="240"/>
              <w:divBdr>
                <w:top w:val="none" w:sz="0" w:space="0" w:color="auto"/>
                <w:left w:val="none" w:sz="0" w:space="0" w:color="auto"/>
                <w:bottom w:val="none" w:sz="0" w:space="0" w:color="auto"/>
                <w:right w:val="none" w:sz="0" w:space="0" w:color="auto"/>
              </w:divBdr>
            </w:div>
            <w:div w:id="2100053175">
              <w:marLeft w:val="0"/>
              <w:marRight w:val="0"/>
              <w:marTop w:val="0"/>
              <w:marBottom w:val="240"/>
              <w:divBdr>
                <w:top w:val="none" w:sz="0" w:space="0" w:color="auto"/>
                <w:left w:val="none" w:sz="0" w:space="0" w:color="auto"/>
                <w:bottom w:val="none" w:sz="0" w:space="0" w:color="auto"/>
                <w:right w:val="none" w:sz="0" w:space="0" w:color="auto"/>
              </w:divBdr>
            </w:div>
            <w:div w:id="1095637944">
              <w:marLeft w:val="0"/>
              <w:marRight w:val="0"/>
              <w:marTop w:val="0"/>
              <w:marBottom w:val="240"/>
              <w:divBdr>
                <w:top w:val="none" w:sz="0" w:space="0" w:color="auto"/>
                <w:left w:val="none" w:sz="0" w:space="0" w:color="auto"/>
                <w:bottom w:val="none" w:sz="0" w:space="0" w:color="auto"/>
                <w:right w:val="none" w:sz="0" w:space="0" w:color="auto"/>
              </w:divBdr>
            </w:div>
            <w:div w:id="1633514699">
              <w:marLeft w:val="0"/>
              <w:marRight w:val="0"/>
              <w:marTop w:val="0"/>
              <w:marBottom w:val="240"/>
              <w:divBdr>
                <w:top w:val="none" w:sz="0" w:space="0" w:color="auto"/>
                <w:left w:val="none" w:sz="0" w:space="0" w:color="auto"/>
                <w:bottom w:val="none" w:sz="0" w:space="0" w:color="auto"/>
                <w:right w:val="none" w:sz="0" w:space="0" w:color="auto"/>
              </w:divBdr>
            </w:div>
            <w:div w:id="817846785">
              <w:marLeft w:val="0"/>
              <w:marRight w:val="0"/>
              <w:marTop w:val="0"/>
              <w:marBottom w:val="240"/>
              <w:divBdr>
                <w:top w:val="none" w:sz="0" w:space="0" w:color="auto"/>
                <w:left w:val="none" w:sz="0" w:space="0" w:color="auto"/>
                <w:bottom w:val="none" w:sz="0" w:space="0" w:color="auto"/>
                <w:right w:val="none" w:sz="0" w:space="0" w:color="auto"/>
              </w:divBdr>
            </w:div>
            <w:div w:id="2117869397">
              <w:marLeft w:val="0"/>
              <w:marRight w:val="0"/>
              <w:marTop w:val="0"/>
              <w:marBottom w:val="240"/>
              <w:divBdr>
                <w:top w:val="none" w:sz="0" w:space="0" w:color="auto"/>
                <w:left w:val="none" w:sz="0" w:space="0" w:color="auto"/>
                <w:bottom w:val="none" w:sz="0" w:space="0" w:color="auto"/>
                <w:right w:val="none" w:sz="0" w:space="0" w:color="auto"/>
              </w:divBdr>
            </w:div>
            <w:div w:id="20403280">
              <w:marLeft w:val="0"/>
              <w:marRight w:val="0"/>
              <w:marTop w:val="0"/>
              <w:marBottom w:val="240"/>
              <w:divBdr>
                <w:top w:val="none" w:sz="0" w:space="0" w:color="auto"/>
                <w:left w:val="none" w:sz="0" w:space="0" w:color="auto"/>
                <w:bottom w:val="none" w:sz="0" w:space="0" w:color="auto"/>
                <w:right w:val="none" w:sz="0" w:space="0" w:color="auto"/>
              </w:divBdr>
            </w:div>
            <w:div w:id="296380874">
              <w:marLeft w:val="0"/>
              <w:marRight w:val="0"/>
              <w:marTop w:val="0"/>
              <w:marBottom w:val="240"/>
              <w:divBdr>
                <w:top w:val="none" w:sz="0" w:space="0" w:color="auto"/>
                <w:left w:val="none" w:sz="0" w:space="0" w:color="auto"/>
                <w:bottom w:val="none" w:sz="0" w:space="0" w:color="auto"/>
                <w:right w:val="none" w:sz="0" w:space="0" w:color="auto"/>
              </w:divBdr>
            </w:div>
            <w:div w:id="24452236">
              <w:marLeft w:val="0"/>
              <w:marRight w:val="0"/>
              <w:marTop w:val="0"/>
              <w:marBottom w:val="240"/>
              <w:divBdr>
                <w:top w:val="none" w:sz="0" w:space="0" w:color="auto"/>
                <w:left w:val="none" w:sz="0" w:space="0" w:color="auto"/>
                <w:bottom w:val="none" w:sz="0" w:space="0" w:color="auto"/>
                <w:right w:val="none" w:sz="0" w:space="0" w:color="auto"/>
              </w:divBdr>
            </w:div>
            <w:div w:id="81083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279954">
      <w:bodyDiv w:val="1"/>
      <w:marLeft w:val="0"/>
      <w:marRight w:val="0"/>
      <w:marTop w:val="0"/>
      <w:marBottom w:val="0"/>
      <w:divBdr>
        <w:top w:val="none" w:sz="0" w:space="0" w:color="auto"/>
        <w:left w:val="none" w:sz="0" w:space="0" w:color="auto"/>
        <w:bottom w:val="none" w:sz="0" w:space="0" w:color="auto"/>
        <w:right w:val="none" w:sz="0" w:space="0" w:color="auto"/>
      </w:divBdr>
    </w:div>
    <w:div w:id="772166527">
      <w:bodyDiv w:val="1"/>
      <w:marLeft w:val="0"/>
      <w:marRight w:val="0"/>
      <w:marTop w:val="0"/>
      <w:marBottom w:val="0"/>
      <w:divBdr>
        <w:top w:val="none" w:sz="0" w:space="0" w:color="auto"/>
        <w:left w:val="none" w:sz="0" w:space="0" w:color="auto"/>
        <w:bottom w:val="none" w:sz="0" w:space="0" w:color="auto"/>
        <w:right w:val="none" w:sz="0" w:space="0" w:color="auto"/>
      </w:divBdr>
    </w:div>
    <w:div w:id="772631644">
      <w:bodyDiv w:val="1"/>
      <w:marLeft w:val="0"/>
      <w:marRight w:val="0"/>
      <w:marTop w:val="0"/>
      <w:marBottom w:val="0"/>
      <w:divBdr>
        <w:top w:val="none" w:sz="0" w:space="0" w:color="auto"/>
        <w:left w:val="none" w:sz="0" w:space="0" w:color="auto"/>
        <w:bottom w:val="none" w:sz="0" w:space="0" w:color="auto"/>
        <w:right w:val="none" w:sz="0" w:space="0" w:color="auto"/>
      </w:divBdr>
    </w:div>
    <w:div w:id="796922140">
      <w:bodyDiv w:val="1"/>
      <w:marLeft w:val="0"/>
      <w:marRight w:val="0"/>
      <w:marTop w:val="0"/>
      <w:marBottom w:val="0"/>
      <w:divBdr>
        <w:top w:val="none" w:sz="0" w:space="0" w:color="auto"/>
        <w:left w:val="none" w:sz="0" w:space="0" w:color="auto"/>
        <w:bottom w:val="none" w:sz="0" w:space="0" w:color="auto"/>
        <w:right w:val="none" w:sz="0" w:space="0" w:color="auto"/>
      </w:divBdr>
    </w:div>
    <w:div w:id="797915505">
      <w:bodyDiv w:val="1"/>
      <w:marLeft w:val="0"/>
      <w:marRight w:val="0"/>
      <w:marTop w:val="0"/>
      <w:marBottom w:val="0"/>
      <w:divBdr>
        <w:top w:val="none" w:sz="0" w:space="0" w:color="auto"/>
        <w:left w:val="none" w:sz="0" w:space="0" w:color="auto"/>
        <w:bottom w:val="none" w:sz="0" w:space="0" w:color="auto"/>
        <w:right w:val="none" w:sz="0" w:space="0" w:color="auto"/>
      </w:divBdr>
    </w:div>
    <w:div w:id="834344016">
      <w:bodyDiv w:val="1"/>
      <w:marLeft w:val="0"/>
      <w:marRight w:val="0"/>
      <w:marTop w:val="0"/>
      <w:marBottom w:val="0"/>
      <w:divBdr>
        <w:top w:val="none" w:sz="0" w:space="0" w:color="auto"/>
        <w:left w:val="none" w:sz="0" w:space="0" w:color="auto"/>
        <w:bottom w:val="none" w:sz="0" w:space="0" w:color="auto"/>
        <w:right w:val="none" w:sz="0" w:space="0" w:color="auto"/>
      </w:divBdr>
    </w:div>
    <w:div w:id="838158143">
      <w:bodyDiv w:val="1"/>
      <w:marLeft w:val="0"/>
      <w:marRight w:val="0"/>
      <w:marTop w:val="0"/>
      <w:marBottom w:val="0"/>
      <w:divBdr>
        <w:top w:val="none" w:sz="0" w:space="0" w:color="auto"/>
        <w:left w:val="none" w:sz="0" w:space="0" w:color="auto"/>
        <w:bottom w:val="none" w:sz="0" w:space="0" w:color="auto"/>
        <w:right w:val="none" w:sz="0" w:space="0" w:color="auto"/>
      </w:divBdr>
    </w:div>
    <w:div w:id="838347118">
      <w:bodyDiv w:val="1"/>
      <w:marLeft w:val="0"/>
      <w:marRight w:val="0"/>
      <w:marTop w:val="0"/>
      <w:marBottom w:val="0"/>
      <w:divBdr>
        <w:top w:val="none" w:sz="0" w:space="0" w:color="auto"/>
        <w:left w:val="none" w:sz="0" w:space="0" w:color="auto"/>
        <w:bottom w:val="none" w:sz="0" w:space="0" w:color="auto"/>
        <w:right w:val="none" w:sz="0" w:space="0" w:color="auto"/>
      </w:divBdr>
    </w:div>
    <w:div w:id="864027391">
      <w:bodyDiv w:val="1"/>
      <w:marLeft w:val="0"/>
      <w:marRight w:val="0"/>
      <w:marTop w:val="0"/>
      <w:marBottom w:val="0"/>
      <w:divBdr>
        <w:top w:val="none" w:sz="0" w:space="0" w:color="auto"/>
        <w:left w:val="none" w:sz="0" w:space="0" w:color="auto"/>
        <w:bottom w:val="none" w:sz="0" w:space="0" w:color="auto"/>
        <w:right w:val="none" w:sz="0" w:space="0" w:color="auto"/>
      </w:divBdr>
    </w:div>
    <w:div w:id="864975979">
      <w:bodyDiv w:val="1"/>
      <w:marLeft w:val="0"/>
      <w:marRight w:val="0"/>
      <w:marTop w:val="0"/>
      <w:marBottom w:val="0"/>
      <w:divBdr>
        <w:top w:val="none" w:sz="0" w:space="0" w:color="auto"/>
        <w:left w:val="none" w:sz="0" w:space="0" w:color="auto"/>
        <w:bottom w:val="none" w:sz="0" w:space="0" w:color="auto"/>
        <w:right w:val="none" w:sz="0" w:space="0" w:color="auto"/>
      </w:divBdr>
    </w:div>
    <w:div w:id="869341070">
      <w:bodyDiv w:val="1"/>
      <w:marLeft w:val="0"/>
      <w:marRight w:val="0"/>
      <w:marTop w:val="0"/>
      <w:marBottom w:val="0"/>
      <w:divBdr>
        <w:top w:val="none" w:sz="0" w:space="0" w:color="auto"/>
        <w:left w:val="none" w:sz="0" w:space="0" w:color="auto"/>
        <w:bottom w:val="none" w:sz="0" w:space="0" w:color="auto"/>
        <w:right w:val="none" w:sz="0" w:space="0" w:color="auto"/>
      </w:divBdr>
    </w:div>
    <w:div w:id="871268030">
      <w:bodyDiv w:val="1"/>
      <w:marLeft w:val="0"/>
      <w:marRight w:val="0"/>
      <w:marTop w:val="0"/>
      <w:marBottom w:val="0"/>
      <w:divBdr>
        <w:top w:val="none" w:sz="0" w:space="0" w:color="auto"/>
        <w:left w:val="none" w:sz="0" w:space="0" w:color="auto"/>
        <w:bottom w:val="none" w:sz="0" w:space="0" w:color="auto"/>
        <w:right w:val="none" w:sz="0" w:space="0" w:color="auto"/>
      </w:divBdr>
      <w:divsChild>
        <w:div w:id="452864671">
          <w:marLeft w:val="480"/>
          <w:marRight w:val="0"/>
          <w:marTop w:val="0"/>
          <w:marBottom w:val="0"/>
          <w:divBdr>
            <w:top w:val="none" w:sz="0" w:space="0" w:color="auto"/>
            <w:left w:val="none" w:sz="0" w:space="0" w:color="auto"/>
            <w:bottom w:val="none" w:sz="0" w:space="0" w:color="auto"/>
            <w:right w:val="none" w:sz="0" w:space="0" w:color="auto"/>
          </w:divBdr>
          <w:divsChild>
            <w:div w:id="1890650032">
              <w:marLeft w:val="0"/>
              <w:marRight w:val="0"/>
              <w:marTop w:val="0"/>
              <w:marBottom w:val="240"/>
              <w:divBdr>
                <w:top w:val="none" w:sz="0" w:space="0" w:color="auto"/>
                <w:left w:val="none" w:sz="0" w:space="0" w:color="auto"/>
                <w:bottom w:val="none" w:sz="0" w:space="0" w:color="auto"/>
                <w:right w:val="none" w:sz="0" w:space="0" w:color="auto"/>
              </w:divBdr>
            </w:div>
            <w:div w:id="1967732857">
              <w:marLeft w:val="0"/>
              <w:marRight w:val="0"/>
              <w:marTop w:val="0"/>
              <w:marBottom w:val="240"/>
              <w:divBdr>
                <w:top w:val="none" w:sz="0" w:space="0" w:color="auto"/>
                <w:left w:val="none" w:sz="0" w:space="0" w:color="auto"/>
                <w:bottom w:val="none" w:sz="0" w:space="0" w:color="auto"/>
                <w:right w:val="none" w:sz="0" w:space="0" w:color="auto"/>
              </w:divBdr>
            </w:div>
            <w:div w:id="26638421">
              <w:marLeft w:val="0"/>
              <w:marRight w:val="0"/>
              <w:marTop w:val="0"/>
              <w:marBottom w:val="240"/>
              <w:divBdr>
                <w:top w:val="none" w:sz="0" w:space="0" w:color="auto"/>
                <w:left w:val="none" w:sz="0" w:space="0" w:color="auto"/>
                <w:bottom w:val="none" w:sz="0" w:space="0" w:color="auto"/>
                <w:right w:val="none" w:sz="0" w:space="0" w:color="auto"/>
              </w:divBdr>
            </w:div>
            <w:div w:id="187854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454128">
      <w:bodyDiv w:val="1"/>
      <w:marLeft w:val="0"/>
      <w:marRight w:val="0"/>
      <w:marTop w:val="0"/>
      <w:marBottom w:val="0"/>
      <w:divBdr>
        <w:top w:val="none" w:sz="0" w:space="0" w:color="auto"/>
        <w:left w:val="none" w:sz="0" w:space="0" w:color="auto"/>
        <w:bottom w:val="none" w:sz="0" w:space="0" w:color="auto"/>
        <w:right w:val="none" w:sz="0" w:space="0" w:color="auto"/>
      </w:divBdr>
    </w:div>
    <w:div w:id="880824016">
      <w:bodyDiv w:val="1"/>
      <w:marLeft w:val="0"/>
      <w:marRight w:val="0"/>
      <w:marTop w:val="0"/>
      <w:marBottom w:val="0"/>
      <w:divBdr>
        <w:top w:val="none" w:sz="0" w:space="0" w:color="auto"/>
        <w:left w:val="none" w:sz="0" w:space="0" w:color="auto"/>
        <w:bottom w:val="none" w:sz="0" w:space="0" w:color="auto"/>
        <w:right w:val="none" w:sz="0" w:space="0" w:color="auto"/>
      </w:divBdr>
    </w:div>
    <w:div w:id="885021261">
      <w:bodyDiv w:val="1"/>
      <w:marLeft w:val="0"/>
      <w:marRight w:val="0"/>
      <w:marTop w:val="0"/>
      <w:marBottom w:val="0"/>
      <w:divBdr>
        <w:top w:val="none" w:sz="0" w:space="0" w:color="auto"/>
        <w:left w:val="none" w:sz="0" w:space="0" w:color="auto"/>
        <w:bottom w:val="none" w:sz="0" w:space="0" w:color="auto"/>
        <w:right w:val="none" w:sz="0" w:space="0" w:color="auto"/>
      </w:divBdr>
      <w:divsChild>
        <w:div w:id="734862669">
          <w:marLeft w:val="480"/>
          <w:marRight w:val="0"/>
          <w:marTop w:val="0"/>
          <w:marBottom w:val="0"/>
          <w:divBdr>
            <w:top w:val="none" w:sz="0" w:space="0" w:color="auto"/>
            <w:left w:val="none" w:sz="0" w:space="0" w:color="auto"/>
            <w:bottom w:val="none" w:sz="0" w:space="0" w:color="auto"/>
            <w:right w:val="none" w:sz="0" w:space="0" w:color="auto"/>
          </w:divBdr>
          <w:divsChild>
            <w:div w:id="1725526094">
              <w:marLeft w:val="0"/>
              <w:marRight w:val="0"/>
              <w:marTop w:val="0"/>
              <w:marBottom w:val="240"/>
              <w:divBdr>
                <w:top w:val="none" w:sz="0" w:space="0" w:color="auto"/>
                <w:left w:val="none" w:sz="0" w:space="0" w:color="auto"/>
                <w:bottom w:val="none" w:sz="0" w:space="0" w:color="auto"/>
                <w:right w:val="none" w:sz="0" w:space="0" w:color="auto"/>
              </w:divBdr>
            </w:div>
            <w:div w:id="91438668">
              <w:marLeft w:val="0"/>
              <w:marRight w:val="0"/>
              <w:marTop w:val="0"/>
              <w:marBottom w:val="240"/>
              <w:divBdr>
                <w:top w:val="none" w:sz="0" w:space="0" w:color="auto"/>
                <w:left w:val="none" w:sz="0" w:space="0" w:color="auto"/>
                <w:bottom w:val="none" w:sz="0" w:space="0" w:color="auto"/>
                <w:right w:val="none" w:sz="0" w:space="0" w:color="auto"/>
              </w:divBdr>
            </w:div>
            <w:div w:id="279646422">
              <w:marLeft w:val="0"/>
              <w:marRight w:val="0"/>
              <w:marTop w:val="0"/>
              <w:marBottom w:val="240"/>
              <w:divBdr>
                <w:top w:val="none" w:sz="0" w:space="0" w:color="auto"/>
                <w:left w:val="none" w:sz="0" w:space="0" w:color="auto"/>
                <w:bottom w:val="none" w:sz="0" w:space="0" w:color="auto"/>
                <w:right w:val="none" w:sz="0" w:space="0" w:color="auto"/>
              </w:divBdr>
            </w:div>
            <w:div w:id="1626111030">
              <w:marLeft w:val="0"/>
              <w:marRight w:val="0"/>
              <w:marTop w:val="0"/>
              <w:marBottom w:val="240"/>
              <w:divBdr>
                <w:top w:val="none" w:sz="0" w:space="0" w:color="auto"/>
                <w:left w:val="none" w:sz="0" w:space="0" w:color="auto"/>
                <w:bottom w:val="none" w:sz="0" w:space="0" w:color="auto"/>
                <w:right w:val="none" w:sz="0" w:space="0" w:color="auto"/>
              </w:divBdr>
            </w:div>
            <w:div w:id="1289823573">
              <w:marLeft w:val="0"/>
              <w:marRight w:val="0"/>
              <w:marTop w:val="0"/>
              <w:marBottom w:val="240"/>
              <w:divBdr>
                <w:top w:val="none" w:sz="0" w:space="0" w:color="auto"/>
                <w:left w:val="none" w:sz="0" w:space="0" w:color="auto"/>
                <w:bottom w:val="none" w:sz="0" w:space="0" w:color="auto"/>
                <w:right w:val="none" w:sz="0" w:space="0" w:color="auto"/>
              </w:divBdr>
            </w:div>
            <w:div w:id="1296568776">
              <w:marLeft w:val="0"/>
              <w:marRight w:val="0"/>
              <w:marTop w:val="0"/>
              <w:marBottom w:val="240"/>
              <w:divBdr>
                <w:top w:val="none" w:sz="0" w:space="0" w:color="auto"/>
                <w:left w:val="none" w:sz="0" w:space="0" w:color="auto"/>
                <w:bottom w:val="none" w:sz="0" w:space="0" w:color="auto"/>
                <w:right w:val="none" w:sz="0" w:space="0" w:color="auto"/>
              </w:divBdr>
            </w:div>
            <w:div w:id="544216797">
              <w:marLeft w:val="0"/>
              <w:marRight w:val="0"/>
              <w:marTop w:val="0"/>
              <w:marBottom w:val="240"/>
              <w:divBdr>
                <w:top w:val="none" w:sz="0" w:space="0" w:color="auto"/>
                <w:left w:val="none" w:sz="0" w:space="0" w:color="auto"/>
                <w:bottom w:val="none" w:sz="0" w:space="0" w:color="auto"/>
                <w:right w:val="none" w:sz="0" w:space="0" w:color="auto"/>
              </w:divBdr>
            </w:div>
            <w:div w:id="654719633">
              <w:marLeft w:val="0"/>
              <w:marRight w:val="0"/>
              <w:marTop w:val="0"/>
              <w:marBottom w:val="240"/>
              <w:divBdr>
                <w:top w:val="none" w:sz="0" w:space="0" w:color="auto"/>
                <w:left w:val="none" w:sz="0" w:space="0" w:color="auto"/>
                <w:bottom w:val="none" w:sz="0" w:space="0" w:color="auto"/>
                <w:right w:val="none" w:sz="0" w:space="0" w:color="auto"/>
              </w:divBdr>
            </w:div>
            <w:div w:id="1643198359">
              <w:marLeft w:val="0"/>
              <w:marRight w:val="0"/>
              <w:marTop w:val="0"/>
              <w:marBottom w:val="240"/>
              <w:divBdr>
                <w:top w:val="none" w:sz="0" w:space="0" w:color="auto"/>
                <w:left w:val="none" w:sz="0" w:space="0" w:color="auto"/>
                <w:bottom w:val="none" w:sz="0" w:space="0" w:color="auto"/>
                <w:right w:val="none" w:sz="0" w:space="0" w:color="auto"/>
              </w:divBdr>
            </w:div>
            <w:div w:id="739715691">
              <w:marLeft w:val="0"/>
              <w:marRight w:val="0"/>
              <w:marTop w:val="0"/>
              <w:marBottom w:val="240"/>
              <w:divBdr>
                <w:top w:val="none" w:sz="0" w:space="0" w:color="auto"/>
                <w:left w:val="none" w:sz="0" w:space="0" w:color="auto"/>
                <w:bottom w:val="none" w:sz="0" w:space="0" w:color="auto"/>
                <w:right w:val="none" w:sz="0" w:space="0" w:color="auto"/>
              </w:divBdr>
            </w:div>
            <w:div w:id="1731608806">
              <w:marLeft w:val="0"/>
              <w:marRight w:val="0"/>
              <w:marTop w:val="0"/>
              <w:marBottom w:val="240"/>
              <w:divBdr>
                <w:top w:val="none" w:sz="0" w:space="0" w:color="auto"/>
                <w:left w:val="none" w:sz="0" w:space="0" w:color="auto"/>
                <w:bottom w:val="none" w:sz="0" w:space="0" w:color="auto"/>
                <w:right w:val="none" w:sz="0" w:space="0" w:color="auto"/>
              </w:divBdr>
            </w:div>
            <w:div w:id="1272854574">
              <w:marLeft w:val="0"/>
              <w:marRight w:val="0"/>
              <w:marTop w:val="0"/>
              <w:marBottom w:val="240"/>
              <w:divBdr>
                <w:top w:val="none" w:sz="0" w:space="0" w:color="auto"/>
                <w:left w:val="none" w:sz="0" w:space="0" w:color="auto"/>
                <w:bottom w:val="none" w:sz="0" w:space="0" w:color="auto"/>
                <w:right w:val="none" w:sz="0" w:space="0" w:color="auto"/>
              </w:divBdr>
            </w:div>
            <w:div w:id="1429502261">
              <w:marLeft w:val="0"/>
              <w:marRight w:val="0"/>
              <w:marTop w:val="0"/>
              <w:marBottom w:val="240"/>
              <w:divBdr>
                <w:top w:val="none" w:sz="0" w:space="0" w:color="auto"/>
                <w:left w:val="none" w:sz="0" w:space="0" w:color="auto"/>
                <w:bottom w:val="none" w:sz="0" w:space="0" w:color="auto"/>
                <w:right w:val="none" w:sz="0" w:space="0" w:color="auto"/>
              </w:divBdr>
            </w:div>
            <w:div w:id="506604915">
              <w:marLeft w:val="0"/>
              <w:marRight w:val="0"/>
              <w:marTop w:val="0"/>
              <w:marBottom w:val="240"/>
              <w:divBdr>
                <w:top w:val="none" w:sz="0" w:space="0" w:color="auto"/>
                <w:left w:val="none" w:sz="0" w:space="0" w:color="auto"/>
                <w:bottom w:val="none" w:sz="0" w:space="0" w:color="auto"/>
                <w:right w:val="none" w:sz="0" w:space="0" w:color="auto"/>
              </w:divBdr>
            </w:div>
            <w:div w:id="607393514">
              <w:marLeft w:val="0"/>
              <w:marRight w:val="0"/>
              <w:marTop w:val="0"/>
              <w:marBottom w:val="240"/>
              <w:divBdr>
                <w:top w:val="none" w:sz="0" w:space="0" w:color="auto"/>
                <w:left w:val="none" w:sz="0" w:space="0" w:color="auto"/>
                <w:bottom w:val="none" w:sz="0" w:space="0" w:color="auto"/>
                <w:right w:val="none" w:sz="0" w:space="0" w:color="auto"/>
              </w:divBdr>
            </w:div>
            <w:div w:id="703292413">
              <w:marLeft w:val="0"/>
              <w:marRight w:val="0"/>
              <w:marTop w:val="0"/>
              <w:marBottom w:val="240"/>
              <w:divBdr>
                <w:top w:val="none" w:sz="0" w:space="0" w:color="auto"/>
                <w:left w:val="none" w:sz="0" w:space="0" w:color="auto"/>
                <w:bottom w:val="none" w:sz="0" w:space="0" w:color="auto"/>
                <w:right w:val="none" w:sz="0" w:space="0" w:color="auto"/>
              </w:divBdr>
            </w:div>
            <w:div w:id="330333053">
              <w:marLeft w:val="0"/>
              <w:marRight w:val="0"/>
              <w:marTop w:val="0"/>
              <w:marBottom w:val="240"/>
              <w:divBdr>
                <w:top w:val="none" w:sz="0" w:space="0" w:color="auto"/>
                <w:left w:val="none" w:sz="0" w:space="0" w:color="auto"/>
                <w:bottom w:val="none" w:sz="0" w:space="0" w:color="auto"/>
                <w:right w:val="none" w:sz="0" w:space="0" w:color="auto"/>
              </w:divBdr>
            </w:div>
            <w:div w:id="345863374">
              <w:marLeft w:val="0"/>
              <w:marRight w:val="0"/>
              <w:marTop w:val="0"/>
              <w:marBottom w:val="240"/>
              <w:divBdr>
                <w:top w:val="none" w:sz="0" w:space="0" w:color="auto"/>
                <w:left w:val="none" w:sz="0" w:space="0" w:color="auto"/>
                <w:bottom w:val="none" w:sz="0" w:space="0" w:color="auto"/>
                <w:right w:val="none" w:sz="0" w:space="0" w:color="auto"/>
              </w:divBdr>
            </w:div>
            <w:div w:id="623511216">
              <w:marLeft w:val="0"/>
              <w:marRight w:val="0"/>
              <w:marTop w:val="0"/>
              <w:marBottom w:val="240"/>
              <w:divBdr>
                <w:top w:val="none" w:sz="0" w:space="0" w:color="auto"/>
                <w:left w:val="none" w:sz="0" w:space="0" w:color="auto"/>
                <w:bottom w:val="none" w:sz="0" w:space="0" w:color="auto"/>
                <w:right w:val="none" w:sz="0" w:space="0" w:color="auto"/>
              </w:divBdr>
            </w:div>
            <w:div w:id="94059946">
              <w:marLeft w:val="0"/>
              <w:marRight w:val="0"/>
              <w:marTop w:val="0"/>
              <w:marBottom w:val="240"/>
              <w:divBdr>
                <w:top w:val="none" w:sz="0" w:space="0" w:color="auto"/>
                <w:left w:val="none" w:sz="0" w:space="0" w:color="auto"/>
                <w:bottom w:val="none" w:sz="0" w:space="0" w:color="auto"/>
                <w:right w:val="none" w:sz="0" w:space="0" w:color="auto"/>
              </w:divBdr>
            </w:div>
            <w:div w:id="1201043685">
              <w:marLeft w:val="0"/>
              <w:marRight w:val="0"/>
              <w:marTop w:val="0"/>
              <w:marBottom w:val="240"/>
              <w:divBdr>
                <w:top w:val="none" w:sz="0" w:space="0" w:color="auto"/>
                <w:left w:val="none" w:sz="0" w:space="0" w:color="auto"/>
                <w:bottom w:val="none" w:sz="0" w:space="0" w:color="auto"/>
                <w:right w:val="none" w:sz="0" w:space="0" w:color="auto"/>
              </w:divBdr>
            </w:div>
            <w:div w:id="538324379">
              <w:marLeft w:val="0"/>
              <w:marRight w:val="0"/>
              <w:marTop w:val="0"/>
              <w:marBottom w:val="240"/>
              <w:divBdr>
                <w:top w:val="none" w:sz="0" w:space="0" w:color="auto"/>
                <w:left w:val="none" w:sz="0" w:space="0" w:color="auto"/>
                <w:bottom w:val="none" w:sz="0" w:space="0" w:color="auto"/>
                <w:right w:val="none" w:sz="0" w:space="0" w:color="auto"/>
              </w:divBdr>
            </w:div>
            <w:div w:id="847862818">
              <w:marLeft w:val="0"/>
              <w:marRight w:val="0"/>
              <w:marTop w:val="0"/>
              <w:marBottom w:val="240"/>
              <w:divBdr>
                <w:top w:val="none" w:sz="0" w:space="0" w:color="auto"/>
                <w:left w:val="none" w:sz="0" w:space="0" w:color="auto"/>
                <w:bottom w:val="none" w:sz="0" w:space="0" w:color="auto"/>
                <w:right w:val="none" w:sz="0" w:space="0" w:color="auto"/>
              </w:divBdr>
            </w:div>
            <w:div w:id="822814631">
              <w:marLeft w:val="0"/>
              <w:marRight w:val="0"/>
              <w:marTop w:val="0"/>
              <w:marBottom w:val="240"/>
              <w:divBdr>
                <w:top w:val="none" w:sz="0" w:space="0" w:color="auto"/>
                <w:left w:val="none" w:sz="0" w:space="0" w:color="auto"/>
                <w:bottom w:val="none" w:sz="0" w:space="0" w:color="auto"/>
                <w:right w:val="none" w:sz="0" w:space="0" w:color="auto"/>
              </w:divBdr>
            </w:div>
            <w:div w:id="1442215940">
              <w:marLeft w:val="0"/>
              <w:marRight w:val="0"/>
              <w:marTop w:val="0"/>
              <w:marBottom w:val="240"/>
              <w:divBdr>
                <w:top w:val="none" w:sz="0" w:space="0" w:color="auto"/>
                <w:left w:val="none" w:sz="0" w:space="0" w:color="auto"/>
                <w:bottom w:val="none" w:sz="0" w:space="0" w:color="auto"/>
                <w:right w:val="none" w:sz="0" w:space="0" w:color="auto"/>
              </w:divBdr>
            </w:div>
            <w:div w:id="1705861018">
              <w:marLeft w:val="0"/>
              <w:marRight w:val="0"/>
              <w:marTop w:val="0"/>
              <w:marBottom w:val="240"/>
              <w:divBdr>
                <w:top w:val="none" w:sz="0" w:space="0" w:color="auto"/>
                <w:left w:val="none" w:sz="0" w:space="0" w:color="auto"/>
                <w:bottom w:val="none" w:sz="0" w:space="0" w:color="auto"/>
                <w:right w:val="none" w:sz="0" w:space="0" w:color="auto"/>
              </w:divBdr>
            </w:div>
            <w:div w:id="1117288267">
              <w:marLeft w:val="0"/>
              <w:marRight w:val="0"/>
              <w:marTop w:val="0"/>
              <w:marBottom w:val="240"/>
              <w:divBdr>
                <w:top w:val="none" w:sz="0" w:space="0" w:color="auto"/>
                <w:left w:val="none" w:sz="0" w:space="0" w:color="auto"/>
                <w:bottom w:val="none" w:sz="0" w:space="0" w:color="auto"/>
                <w:right w:val="none" w:sz="0" w:space="0" w:color="auto"/>
              </w:divBdr>
            </w:div>
            <w:div w:id="496188745">
              <w:marLeft w:val="0"/>
              <w:marRight w:val="0"/>
              <w:marTop w:val="0"/>
              <w:marBottom w:val="240"/>
              <w:divBdr>
                <w:top w:val="none" w:sz="0" w:space="0" w:color="auto"/>
                <w:left w:val="none" w:sz="0" w:space="0" w:color="auto"/>
                <w:bottom w:val="none" w:sz="0" w:space="0" w:color="auto"/>
                <w:right w:val="none" w:sz="0" w:space="0" w:color="auto"/>
              </w:divBdr>
            </w:div>
            <w:div w:id="941107689">
              <w:marLeft w:val="0"/>
              <w:marRight w:val="0"/>
              <w:marTop w:val="0"/>
              <w:marBottom w:val="240"/>
              <w:divBdr>
                <w:top w:val="none" w:sz="0" w:space="0" w:color="auto"/>
                <w:left w:val="none" w:sz="0" w:space="0" w:color="auto"/>
                <w:bottom w:val="none" w:sz="0" w:space="0" w:color="auto"/>
                <w:right w:val="none" w:sz="0" w:space="0" w:color="auto"/>
              </w:divBdr>
            </w:div>
            <w:div w:id="1490169183">
              <w:marLeft w:val="0"/>
              <w:marRight w:val="0"/>
              <w:marTop w:val="0"/>
              <w:marBottom w:val="240"/>
              <w:divBdr>
                <w:top w:val="none" w:sz="0" w:space="0" w:color="auto"/>
                <w:left w:val="none" w:sz="0" w:space="0" w:color="auto"/>
                <w:bottom w:val="none" w:sz="0" w:space="0" w:color="auto"/>
                <w:right w:val="none" w:sz="0" w:space="0" w:color="auto"/>
              </w:divBdr>
            </w:div>
            <w:div w:id="886407042">
              <w:marLeft w:val="0"/>
              <w:marRight w:val="0"/>
              <w:marTop w:val="0"/>
              <w:marBottom w:val="240"/>
              <w:divBdr>
                <w:top w:val="none" w:sz="0" w:space="0" w:color="auto"/>
                <w:left w:val="none" w:sz="0" w:space="0" w:color="auto"/>
                <w:bottom w:val="none" w:sz="0" w:space="0" w:color="auto"/>
                <w:right w:val="none" w:sz="0" w:space="0" w:color="auto"/>
              </w:divBdr>
            </w:div>
            <w:div w:id="1460688741">
              <w:marLeft w:val="0"/>
              <w:marRight w:val="0"/>
              <w:marTop w:val="0"/>
              <w:marBottom w:val="240"/>
              <w:divBdr>
                <w:top w:val="none" w:sz="0" w:space="0" w:color="auto"/>
                <w:left w:val="none" w:sz="0" w:space="0" w:color="auto"/>
                <w:bottom w:val="none" w:sz="0" w:space="0" w:color="auto"/>
                <w:right w:val="none" w:sz="0" w:space="0" w:color="auto"/>
              </w:divBdr>
            </w:div>
            <w:div w:id="1871868485">
              <w:marLeft w:val="0"/>
              <w:marRight w:val="0"/>
              <w:marTop w:val="0"/>
              <w:marBottom w:val="240"/>
              <w:divBdr>
                <w:top w:val="none" w:sz="0" w:space="0" w:color="auto"/>
                <w:left w:val="none" w:sz="0" w:space="0" w:color="auto"/>
                <w:bottom w:val="none" w:sz="0" w:space="0" w:color="auto"/>
                <w:right w:val="none" w:sz="0" w:space="0" w:color="auto"/>
              </w:divBdr>
            </w:div>
            <w:div w:id="1827554889">
              <w:marLeft w:val="0"/>
              <w:marRight w:val="0"/>
              <w:marTop w:val="0"/>
              <w:marBottom w:val="240"/>
              <w:divBdr>
                <w:top w:val="none" w:sz="0" w:space="0" w:color="auto"/>
                <w:left w:val="none" w:sz="0" w:space="0" w:color="auto"/>
                <w:bottom w:val="none" w:sz="0" w:space="0" w:color="auto"/>
                <w:right w:val="none" w:sz="0" w:space="0" w:color="auto"/>
              </w:divBdr>
            </w:div>
            <w:div w:id="1772554278">
              <w:marLeft w:val="0"/>
              <w:marRight w:val="0"/>
              <w:marTop w:val="0"/>
              <w:marBottom w:val="240"/>
              <w:divBdr>
                <w:top w:val="none" w:sz="0" w:space="0" w:color="auto"/>
                <w:left w:val="none" w:sz="0" w:space="0" w:color="auto"/>
                <w:bottom w:val="none" w:sz="0" w:space="0" w:color="auto"/>
                <w:right w:val="none" w:sz="0" w:space="0" w:color="auto"/>
              </w:divBdr>
            </w:div>
            <w:div w:id="790246182">
              <w:marLeft w:val="0"/>
              <w:marRight w:val="0"/>
              <w:marTop w:val="0"/>
              <w:marBottom w:val="240"/>
              <w:divBdr>
                <w:top w:val="none" w:sz="0" w:space="0" w:color="auto"/>
                <w:left w:val="none" w:sz="0" w:space="0" w:color="auto"/>
                <w:bottom w:val="none" w:sz="0" w:space="0" w:color="auto"/>
                <w:right w:val="none" w:sz="0" w:space="0" w:color="auto"/>
              </w:divBdr>
            </w:div>
            <w:div w:id="145825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659195">
      <w:bodyDiv w:val="1"/>
      <w:marLeft w:val="0"/>
      <w:marRight w:val="0"/>
      <w:marTop w:val="0"/>
      <w:marBottom w:val="0"/>
      <w:divBdr>
        <w:top w:val="none" w:sz="0" w:space="0" w:color="auto"/>
        <w:left w:val="none" w:sz="0" w:space="0" w:color="auto"/>
        <w:bottom w:val="none" w:sz="0" w:space="0" w:color="auto"/>
        <w:right w:val="none" w:sz="0" w:space="0" w:color="auto"/>
      </w:divBdr>
    </w:div>
    <w:div w:id="913472868">
      <w:bodyDiv w:val="1"/>
      <w:marLeft w:val="0"/>
      <w:marRight w:val="0"/>
      <w:marTop w:val="0"/>
      <w:marBottom w:val="0"/>
      <w:divBdr>
        <w:top w:val="none" w:sz="0" w:space="0" w:color="auto"/>
        <w:left w:val="none" w:sz="0" w:space="0" w:color="auto"/>
        <w:bottom w:val="none" w:sz="0" w:space="0" w:color="auto"/>
        <w:right w:val="none" w:sz="0" w:space="0" w:color="auto"/>
      </w:divBdr>
    </w:div>
    <w:div w:id="935485147">
      <w:bodyDiv w:val="1"/>
      <w:marLeft w:val="0"/>
      <w:marRight w:val="0"/>
      <w:marTop w:val="0"/>
      <w:marBottom w:val="0"/>
      <w:divBdr>
        <w:top w:val="none" w:sz="0" w:space="0" w:color="auto"/>
        <w:left w:val="none" w:sz="0" w:space="0" w:color="auto"/>
        <w:bottom w:val="none" w:sz="0" w:space="0" w:color="auto"/>
        <w:right w:val="none" w:sz="0" w:space="0" w:color="auto"/>
      </w:divBdr>
      <w:divsChild>
        <w:div w:id="506096442">
          <w:marLeft w:val="480"/>
          <w:marRight w:val="0"/>
          <w:marTop w:val="0"/>
          <w:marBottom w:val="0"/>
          <w:divBdr>
            <w:top w:val="none" w:sz="0" w:space="0" w:color="auto"/>
            <w:left w:val="none" w:sz="0" w:space="0" w:color="auto"/>
            <w:bottom w:val="none" w:sz="0" w:space="0" w:color="auto"/>
            <w:right w:val="none" w:sz="0" w:space="0" w:color="auto"/>
          </w:divBdr>
          <w:divsChild>
            <w:div w:id="380980366">
              <w:marLeft w:val="0"/>
              <w:marRight w:val="0"/>
              <w:marTop w:val="0"/>
              <w:marBottom w:val="240"/>
              <w:divBdr>
                <w:top w:val="none" w:sz="0" w:space="0" w:color="auto"/>
                <w:left w:val="none" w:sz="0" w:space="0" w:color="auto"/>
                <w:bottom w:val="none" w:sz="0" w:space="0" w:color="auto"/>
                <w:right w:val="none" w:sz="0" w:space="0" w:color="auto"/>
              </w:divBdr>
            </w:div>
            <w:div w:id="2109695834">
              <w:marLeft w:val="0"/>
              <w:marRight w:val="0"/>
              <w:marTop w:val="0"/>
              <w:marBottom w:val="240"/>
              <w:divBdr>
                <w:top w:val="none" w:sz="0" w:space="0" w:color="auto"/>
                <w:left w:val="none" w:sz="0" w:space="0" w:color="auto"/>
                <w:bottom w:val="none" w:sz="0" w:space="0" w:color="auto"/>
                <w:right w:val="none" w:sz="0" w:space="0" w:color="auto"/>
              </w:divBdr>
            </w:div>
            <w:div w:id="341660980">
              <w:marLeft w:val="0"/>
              <w:marRight w:val="0"/>
              <w:marTop w:val="0"/>
              <w:marBottom w:val="240"/>
              <w:divBdr>
                <w:top w:val="none" w:sz="0" w:space="0" w:color="auto"/>
                <w:left w:val="none" w:sz="0" w:space="0" w:color="auto"/>
                <w:bottom w:val="none" w:sz="0" w:space="0" w:color="auto"/>
                <w:right w:val="none" w:sz="0" w:space="0" w:color="auto"/>
              </w:divBdr>
            </w:div>
            <w:div w:id="1246526481">
              <w:marLeft w:val="0"/>
              <w:marRight w:val="0"/>
              <w:marTop w:val="0"/>
              <w:marBottom w:val="240"/>
              <w:divBdr>
                <w:top w:val="none" w:sz="0" w:space="0" w:color="auto"/>
                <w:left w:val="none" w:sz="0" w:space="0" w:color="auto"/>
                <w:bottom w:val="none" w:sz="0" w:space="0" w:color="auto"/>
                <w:right w:val="none" w:sz="0" w:space="0" w:color="auto"/>
              </w:divBdr>
            </w:div>
            <w:div w:id="1181050599">
              <w:marLeft w:val="0"/>
              <w:marRight w:val="0"/>
              <w:marTop w:val="0"/>
              <w:marBottom w:val="240"/>
              <w:divBdr>
                <w:top w:val="none" w:sz="0" w:space="0" w:color="auto"/>
                <w:left w:val="none" w:sz="0" w:space="0" w:color="auto"/>
                <w:bottom w:val="none" w:sz="0" w:space="0" w:color="auto"/>
                <w:right w:val="none" w:sz="0" w:space="0" w:color="auto"/>
              </w:divBdr>
            </w:div>
            <w:div w:id="1185754274">
              <w:marLeft w:val="0"/>
              <w:marRight w:val="0"/>
              <w:marTop w:val="0"/>
              <w:marBottom w:val="240"/>
              <w:divBdr>
                <w:top w:val="none" w:sz="0" w:space="0" w:color="auto"/>
                <w:left w:val="none" w:sz="0" w:space="0" w:color="auto"/>
                <w:bottom w:val="none" w:sz="0" w:space="0" w:color="auto"/>
                <w:right w:val="none" w:sz="0" w:space="0" w:color="auto"/>
              </w:divBdr>
            </w:div>
            <w:div w:id="1720129293">
              <w:marLeft w:val="0"/>
              <w:marRight w:val="0"/>
              <w:marTop w:val="0"/>
              <w:marBottom w:val="240"/>
              <w:divBdr>
                <w:top w:val="none" w:sz="0" w:space="0" w:color="auto"/>
                <w:left w:val="none" w:sz="0" w:space="0" w:color="auto"/>
                <w:bottom w:val="none" w:sz="0" w:space="0" w:color="auto"/>
                <w:right w:val="none" w:sz="0" w:space="0" w:color="auto"/>
              </w:divBdr>
            </w:div>
            <w:div w:id="1563173731">
              <w:marLeft w:val="0"/>
              <w:marRight w:val="0"/>
              <w:marTop w:val="0"/>
              <w:marBottom w:val="240"/>
              <w:divBdr>
                <w:top w:val="none" w:sz="0" w:space="0" w:color="auto"/>
                <w:left w:val="none" w:sz="0" w:space="0" w:color="auto"/>
                <w:bottom w:val="none" w:sz="0" w:space="0" w:color="auto"/>
                <w:right w:val="none" w:sz="0" w:space="0" w:color="auto"/>
              </w:divBdr>
            </w:div>
            <w:div w:id="782963504">
              <w:marLeft w:val="0"/>
              <w:marRight w:val="0"/>
              <w:marTop w:val="0"/>
              <w:marBottom w:val="240"/>
              <w:divBdr>
                <w:top w:val="none" w:sz="0" w:space="0" w:color="auto"/>
                <w:left w:val="none" w:sz="0" w:space="0" w:color="auto"/>
                <w:bottom w:val="none" w:sz="0" w:space="0" w:color="auto"/>
                <w:right w:val="none" w:sz="0" w:space="0" w:color="auto"/>
              </w:divBdr>
            </w:div>
            <w:div w:id="598366598">
              <w:marLeft w:val="0"/>
              <w:marRight w:val="0"/>
              <w:marTop w:val="0"/>
              <w:marBottom w:val="240"/>
              <w:divBdr>
                <w:top w:val="none" w:sz="0" w:space="0" w:color="auto"/>
                <w:left w:val="none" w:sz="0" w:space="0" w:color="auto"/>
                <w:bottom w:val="none" w:sz="0" w:space="0" w:color="auto"/>
                <w:right w:val="none" w:sz="0" w:space="0" w:color="auto"/>
              </w:divBdr>
            </w:div>
            <w:div w:id="483425919">
              <w:marLeft w:val="0"/>
              <w:marRight w:val="0"/>
              <w:marTop w:val="0"/>
              <w:marBottom w:val="240"/>
              <w:divBdr>
                <w:top w:val="none" w:sz="0" w:space="0" w:color="auto"/>
                <w:left w:val="none" w:sz="0" w:space="0" w:color="auto"/>
                <w:bottom w:val="none" w:sz="0" w:space="0" w:color="auto"/>
                <w:right w:val="none" w:sz="0" w:space="0" w:color="auto"/>
              </w:divBdr>
            </w:div>
            <w:div w:id="62680897">
              <w:marLeft w:val="0"/>
              <w:marRight w:val="0"/>
              <w:marTop w:val="0"/>
              <w:marBottom w:val="240"/>
              <w:divBdr>
                <w:top w:val="none" w:sz="0" w:space="0" w:color="auto"/>
                <w:left w:val="none" w:sz="0" w:space="0" w:color="auto"/>
                <w:bottom w:val="none" w:sz="0" w:space="0" w:color="auto"/>
                <w:right w:val="none" w:sz="0" w:space="0" w:color="auto"/>
              </w:divBdr>
            </w:div>
            <w:div w:id="805666069">
              <w:marLeft w:val="0"/>
              <w:marRight w:val="0"/>
              <w:marTop w:val="0"/>
              <w:marBottom w:val="240"/>
              <w:divBdr>
                <w:top w:val="none" w:sz="0" w:space="0" w:color="auto"/>
                <w:left w:val="none" w:sz="0" w:space="0" w:color="auto"/>
                <w:bottom w:val="none" w:sz="0" w:space="0" w:color="auto"/>
                <w:right w:val="none" w:sz="0" w:space="0" w:color="auto"/>
              </w:divBdr>
            </w:div>
            <w:div w:id="1017460638">
              <w:marLeft w:val="0"/>
              <w:marRight w:val="0"/>
              <w:marTop w:val="0"/>
              <w:marBottom w:val="240"/>
              <w:divBdr>
                <w:top w:val="none" w:sz="0" w:space="0" w:color="auto"/>
                <w:left w:val="none" w:sz="0" w:space="0" w:color="auto"/>
                <w:bottom w:val="none" w:sz="0" w:space="0" w:color="auto"/>
                <w:right w:val="none" w:sz="0" w:space="0" w:color="auto"/>
              </w:divBdr>
            </w:div>
            <w:div w:id="1140146441">
              <w:marLeft w:val="0"/>
              <w:marRight w:val="0"/>
              <w:marTop w:val="0"/>
              <w:marBottom w:val="240"/>
              <w:divBdr>
                <w:top w:val="none" w:sz="0" w:space="0" w:color="auto"/>
                <w:left w:val="none" w:sz="0" w:space="0" w:color="auto"/>
                <w:bottom w:val="none" w:sz="0" w:space="0" w:color="auto"/>
                <w:right w:val="none" w:sz="0" w:space="0" w:color="auto"/>
              </w:divBdr>
            </w:div>
            <w:div w:id="148718144">
              <w:marLeft w:val="0"/>
              <w:marRight w:val="0"/>
              <w:marTop w:val="0"/>
              <w:marBottom w:val="240"/>
              <w:divBdr>
                <w:top w:val="none" w:sz="0" w:space="0" w:color="auto"/>
                <w:left w:val="none" w:sz="0" w:space="0" w:color="auto"/>
                <w:bottom w:val="none" w:sz="0" w:space="0" w:color="auto"/>
                <w:right w:val="none" w:sz="0" w:space="0" w:color="auto"/>
              </w:divBdr>
            </w:div>
            <w:div w:id="927814915">
              <w:marLeft w:val="0"/>
              <w:marRight w:val="0"/>
              <w:marTop w:val="0"/>
              <w:marBottom w:val="240"/>
              <w:divBdr>
                <w:top w:val="none" w:sz="0" w:space="0" w:color="auto"/>
                <w:left w:val="none" w:sz="0" w:space="0" w:color="auto"/>
                <w:bottom w:val="none" w:sz="0" w:space="0" w:color="auto"/>
                <w:right w:val="none" w:sz="0" w:space="0" w:color="auto"/>
              </w:divBdr>
            </w:div>
            <w:div w:id="1833065953">
              <w:marLeft w:val="0"/>
              <w:marRight w:val="0"/>
              <w:marTop w:val="0"/>
              <w:marBottom w:val="240"/>
              <w:divBdr>
                <w:top w:val="none" w:sz="0" w:space="0" w:color="auto"/>
                <w:left w:val="none" w:sz="0" w:space="0" w:color="auto"/>
                <w:bottom w:val="none" w:sz="0" w:space="0" w:color="auto"/>
                <w:right w:val="none" w:sz="0" w:space="0" w:color="auto"/>
              </w:divBdr>
            </w:div>
            <w:div w:id="643123223">
              <w:marLeft w:val="0"/>
              <w:marRight w:val="0"/>
              <w:marTop w:val="0"/>
              <w:marBottom w:val="240"/>
              <w:divBdr>
                <w:top w:val="none" w:sz="0" w:space="0" w:color="auto"/>
                <w:left w:val="none" w:sz="0" w:space="0" w:color="auto"/>
                <w:bottom w:val="none" w:sz="0" w:space="0" w:color="auto"/>
                <w:right w:val="none" w:sz="0" w:space="0" w:color="auto"/>
              </w:divBdr>
            </w:div>
            <w:div w:id="969745357">
              <w:marLeft w:val="0"/>
              <w:marRight w:val="0"/>
              <w:marTop w:val="0"/>
              <w:marBottom w:val="240"/>
              <w:divBdr>
                <w:top w:val="none" w:sz="0" w:space="0" w:color="auto"/>
                <w:left w:val="none" w:sz="0" w:space="0" w:color="auto"/>
                <w:bottom w:val="none" w:sz="0" w:space="0" w:color="auto"/>
                <w:right w:val="none" w:sz="0" w:space="0" w:color="auto"/>
              </w:divBdr>
            </w:div>
            <w:div w:id="106386587">
              <w:marLeft w:val="0"/>
              <w:marRight w:val="0"/>
              <w:marTop w:val="0"/>
              <w:marBottom w:val="240"/>
              <w:divBdr>
                <w:top w:val="none" w:sz="0" w:space="0" w:color="auto"/>
                <w:left w:val="none" w:sz="0" w:space="0" w:color="auto"/>
                <w:bottom w:val="none" w:sz="0" w:space="0" w:color="auto"/>
                <w:right w:val="none" w:sz="0" w:space="0" w:color="auto"/>
              </w:divBdr>
            </w:div>
            <w:div w:id="1541741550">
              <w:marLeft w:val="0"/>
              <w:marRight w:val="0"/>
              <w:marTop w:val="0"/>
              <w:marBottom w:val="240"/>
              <w:divBdr>
                <w:top w:val="none" w:sz="0" w:space="0" w:color="auto"/>
                <w:left w:val="none" w:sz="0" w:space="0" w:color="auto"/>
                <w:bottom w:val="none" w:sz="0" w:space="0" w:color="auto"/>
                <w:right w:val="none" w:sz="0" w:space="0" w:color="auto"/>
              </w:divBdr>
            </w:div>
            <w:div w:id="164783458">
              <w:marLeft w:val="0"/>
              <w:marRight w:val="0"/>
              <w:marTop w:val="0"/>
              <w:marBottom w:val="240"/>
              <w:divBdr>
                <w:top w:val="none" w:sz="0" w:space="0" w:color="auto"/>
                <w:left w:val="none" w:sz="0" w:space="0" w:color="auto"/>
                <w:bottom w:val="none" w:sz="0" w:space="0" w:color="auto"/>
                <w:right w:val="none" w:sz="0" w:space="0" w:color="auto"/>
              </w:divBdr>
            </w:div>
            <w:div w:id="297225560">
              <w:marLeft w:val="0"/>
              <w:marRight w:val="0"/>
              <w:marTop w:val="0"/>
              <w:marBottom w:val="240"/>
              <w:divBdr>
                <w:top w:val="none" w:sz="0" w:space="0" w:color="auto"/>
                <w:left w:val="none" w:sz="0" w:space="0" w:color="auto"/>
                <w:bottom w:val="none" w:sz="0" w:space="0" w:color="auto"/>
                <w:right w:val="none" w:sz="0" w:space="0" w:color="auto"/>
              </w:divBdr>
            </w:div>
            <w:div w:id="1350258592">
              <w:marLeft w:val="0"/>
              <w:marRight w:val="0"/>
              <w:marTop w:val="0"/>
              <w:marBottom w:val="240"/>
              <w:divBdr>
                <w:top w:val="none" w:sz="0" w:space="0" w:color="auto"/>
                <w:left w:val="none" w:sz="0" w:space="0" w:color="auto"/>
                <w:bottom w:val="none" w:sz="0" w:space="0" w:color="auto"/>
                <w:right w:val="none" w:sz="0" w:space="0" w:color="auto"/>
              </w:divBdr>
            </w:div>
            <w:div w:id="1380278437">
              <w:marLeft w:val="0"/>
              <w:marRight w:val="0"/>
              <w:marTop w:val="0"/>
              <w:marBottom w:val="240"/>
              <w:divBdr>
                <w:top w:val="none" w:sz="0" w:space="0" w:color="auto"/>
                <w:left w:val="none" w:sz="0" w:space="0" w:color="auto"/>
                <w:bottom w:val="none" w:sz="0" w:space="0" w:color="auto"/>
                <w:right w:val="none" w:sz="0" w:space="0" w:color="auto"/>
              </w:divBdr>
            </w:div>
            <w:div w:id="1370105071">
              <w:marLeft w:val="0"/>
              <w:marRight w:val="0"/>
              <w:marTop w:val="0"/>
              <w:marBottom w:val="240"/>
              <w:divBdr>
                <w:top w:val="none" w:sz="0" w:space="0" w:color="auto"/>
                <w:left w:val="none" w:sz="0" w:space="0" w:color="auto"/>
                <w:bottom w:val="none" w:sz="0" w:space="0" w:color="auto"/>
                <w:right w:val="none" w:sz="0" w:space="0" w:color="auto"/>
              </w:divBdr>
            </w:div>
            <w:div w:id="1969622462">
              <w:marLeft w:val="0"/>
              <w:marRight w:val="0"/>
              <w:marTop w:val="0"/>
              <w:marBottom w:val="240"/>
              <w:divBdr>
                <w:top w:val="none" w:sz="0" w:space="0" w:color="auto"/>
                <w:left w:val="none" w:sz="0" w:space="0" w:color="auto"/>
                <w:bottom w:val="none" w:sz="0" w:space="0" w:color="auto"/>
                <w:right w:val="none" w:sz="0" w:space="0" w:color="auto"/>
              </w:divBdr>
            </w:div>
            <w:div w:id="748691771">
              <w:marLeft w:val="0"/>
              <w:marRight w:val="0"/>
              <w:marTop w:val="0"/>
              <w:marBottom w:val="240"/>
              <w:divBdr>
                <w:top w:val="none" w:sz="0" w:space="0" w:color="auto"/>
                <w:left w:val="none" w:sz="0" w:space="0" w:color="auto"/>
                <w:bottom w:val="none" w:sz="0" w:space="0" w:color="auto"/>
                <w:right w:val="none" w:sz="0" w:space="0" w:color="auto"/>
              </w:divBdr>
            </w:div>
            <w:div w:id="1698962847">
              <w:marLeft w:val="0"/>
              <w:marRight w:val="0"/>
              <w:marTop w:val="0"/>
              <w:marBottom w:val="240"/>
              <w:divBdr>
                <w:top w:val="none" w:sz="0" w:space="0" w:color="auto"/>
                <w:left w:val="none" w:sz="0" w:space="0" w:color="auto"/>
                <w:bottom w:val="none" w:sz="0" w:space="0" w:color="auto"/>
                <w:right w:val="none" w:sz="0" w:space="0" w:color="auto"/>
              </w:divBdr>
            </w:div>
            <w:div w:id="2066637076">
              <w:marLeft w:val="0"/>
              <w:marRight w:val="0"/>
              <w:marTop w:val="0"/>
              <w:marBottom w:val="240"/>
              <w:divBdr>
                <w:top w:val="none" w:sz="0" w:space="0" w:color="auto"/>
                <w:left w:val="none" w:sz="0" w:space="0" w:color="auto"/>
                <w:bottom w:val="none" w:sz="0" w:space="0" w:color="auto"/>
                <w:right w:val="none" w:sz="0" w:space="0" w:color="auto"/>
              </w:divBdr>
            </w:div>
            <w:div w:id="1491364074">
              <w:marLeft w:val="0"/>
              <w:marRight w:val="0"/>
              <w:marTop w:val="0"/>
              <w:marBottom w:val="240"/>
              <w:divBdr>
                <w:top w:val="none" w:sz="0" w:space="0" w:color="auto"/>
                <w:left w:val="none" w:sz="0" w:space="0" w:color="auto"/>
                <w:bottom w:val="none" w:sz="0" w:space="0" w:color="auto"/>
                <w:right w:val="none" w:sz="0" w:space="0" w:color="auto"/>
              </w:divBdr>
            </w:div>
            <w:div w:id="2011759808">
              <w:marLeft w:val="0"/>
              <w:marRight w:val="0"/>
              <w:marTop w:val="0"/>
              <w:marBottom w:val="240"/>
              <w:divBdr>
                <w:top w:val="none" w:sz="0" w:space="0" w:color="auto"/>
                <w:left w:val="none" w:sz="0" w:space="0" w:color="auto"/>
                <w:bottom w:val="none" w:sz="0" w:space="0" w:color="auto"/>
                <w:right w:val="none" w:sz="0" w:space="0" w:color="auto"/>
              </w:divBdr>
            </w:div>
            <w:div w:id="1081441039">
              <w:marLeft w:val="0"/>
              <w:marRight w:val="0"/>
              <w:marTop w:val="0"/>
              <w:marBottom w:val="240"/>
              <w:divBdr>
                <w:top w:val="none" w:sz="0" w:space="0" w:color="auto"/>
                <w:left w:val="none" w:sz="0" w:space="0" w:color="auto"/>
                <w:bottom w:val="none" w:sz="0" w:space="0" w:color="auto"/>
                <w:right w:val="none" w:sz="0" w:space="0" w:color="auto"/>
              </w:divBdr>
            </w:div>
            <w:div w:id="184484192">
              <w:marLeft w:val="0"/>
              <w:marRight w:val="0"/>
              <w:marTop w:val="0"/>
              <w:marBottom w:val="240"/>
              <w:divBdr>
                <w:top w:val="none" w:sz="0" w:space="0" w:color="auto"/>
                <w:left w:val="none" w:sz="0" w:space="0" w:color="auto"/>
                <w:bottom w:val="none" w:sz="0" w:space="0" w:color="auto"/>
                <w:right w:val="none" w:sz="0" w:space="0" w:color="auto"/>
              </w:divBdr>
            </w:div>
            <w:div w:id="1004937990">
              <w:marLeft w:val="0"/>
              <w:marRight w:val="0"/>
              <w:marTop w:val="0"/>
              <w:marBottom w:val="240"/>
              <w:divBdr>
                <w:top w:val="none" w:sz="0" w:space="0" w:color="auto"/>
                <w:left w:val="none" w:sz="0" w:space="0" w:color="auto"/>
                <w:bottom w:val="none" w:sz="0" w:space="0" w:color="auto"/>
                <w:right w:val="none" w:sz="0" w:space="0" w:color="auto"/>
              </w:divBdr>
            </w:div>
            <w:div w:id="985282801">
              <w:marLeft w:val="0"/>
              <w:marRight w:val="0"/>
              <w:marTop w:val="0"/>
              <w:marBottom w:val="240"/>
              <w:divBdr>
                <w:top w:val="none" w:sz="0" w:space="0" w:color="auto"/>
                <w:left w:val="none" w:sz="0" w:space="0" w:color="auto"/>
                <w:bottom w:val="none" w:sz="0" w:space="0" w:color="auto"/>
                <w:right w:val="none" w:sz="0" w:space="0" w:color="auto"/>
              </w:divBdr>
            </w:div>
            <w:div w:id="90514874">
              <w:marLeft w:val="0"/>
              <w:marRight w:val="0"/>
              <w:marTop w:val="0"/>
              <w:marBottom w:val="240"/>
              <w:divBdr>
                <w:top w:val="none" w:sz="0" w:space="0" w:color="auto"/>
                <w:left w:val="none" w:sz="0" w:space="0" w:color="auto"/>
                <w:bottom w:val="none" w:sz="0" w:space="0" w:color="auto"/>
                <w:right w:val="none" w:sz="0" w:space="0" w:color="auto"/>
              </w:divBdr>
            </w:div>
            <w:div w:id="1940218812">
              <w:marLeft w:val="0"/>
              <w:marRight w:val="0"/>
              <w:marTop w:val="0"/>
              <w:marBottom w:val="240"/>
              <w:divBdr>
                <w:top w:val="none" w:sz="0" w:space="0" w:color="auto"/>
                <w:left w:val="none" w:sz="0" w:space="0" w:color="auto"/>
                <w:bottom w:val="none" w:sz="0" w:space="0" w:color="auto"/>
                <w:right w:val="none" w:sz="0" w:space="0" w:color="auto"/>
              </w:divBdr>
            </w:div>
            <w:div w:id="1490513488">
              <w:marLeft w:val="0"/>
              <w:marRight w:val="0"/>
              <w:marTop w:val="0"/>
              <w:marBottom w:val="240"/>
              <w:divBdr>
                <w:top w:val="none" w:sz="0" w:space="0" w:color="auto"/>
                <w:left w:val="none" w:sz="0" w:space="0" w:color="auto"/>
                <w:bottom w:val="none" w:sz="0" w:space="0" w:color="auto"/>
                <w:right w:val="none" w:sz="0" w:space="0" w:color="auto"/>
              </w:divBdr>
            </w:div>
            <w:div w:id="449709846">
              <w:marLeft w:val="0"/>
              <w:marRight w:val="0"/>
              <w:marTop w:val="0"/>
              <w:marBottom w:val="240"/>
              <w:divBdr>
                <w:top w:val="none" w:sz="0" w:space="0" w:color="auto"/>
                <w:left w:val="none" w:sz="0" w:space="0" w:color="auto"/>
                <w:bottom w:val="none" w:sz="0" w:space="0" w:color="auto"/>
                <w:right w:val="none" w:sz="0" w:space="0" w:color="auto"/>
              </w:divBdr>
            </w:div>
            <w:div w:id="1514757444">
              <w:marLeft w:val="0"/>
              <w:marRight w:val="0"/>
              <w:marTop w:val="0"/>
              <w:marBottom w:val="240"/>
              <w:divBdr>
                <w:top w:val="none" w:sz="0" w:space="0" w:color="auto"/>
                <w:left w:val="none" w:sz="0" w:space="0" w:color="auto"/>
                <w:bottom w:val="none" w:sz="0" w:space="0" w:color="auto"/>
                <w:right w:val="none" w:sz="0" w:space="0" w:color="auto"/>
              </w:divBdr>
            </w:div>
            <w:div w:id="712001714">
              <w:marLeft w:val="0"/>
              <w:marRight w:val="0"/>
              <w:marTop w:val="0"/>
              <w:marBottom w:val="240"/>
              <w:divBdr>
                <w:top w:val="none" w:sz="0" w:space="0" w:color="auto"/>
                <w:left w:val="none" w:sz="0" w:space="0" w:color="auto"/>
                <w:bottom w:val="none" w:sz="0" w:space="0" w:color="auto"/>
                <w:right w:val="none" w:sz="0" w:space="0" w:color="auto"/>
              </w:divBdr>
            </w:div>
            <w:div w:id="1658724453">
              <w:marLeft w:val="0"/>
              <w:marRight w:val="0"/>
              <w:marTop w:val="0"/>
              <w:marBottom w:val="240"/>
              <w:divBdr>
                <w:top w:val="none" w:sz="0" w:space="0" w:color="auto"/>
                <w:left w:val="none" w:sz="0" w:space="0" w:color="auto"/>
                <w:bottom w:val="none" w:sz="0" w:space="0" w:color="auto"/>
                <w:right w:val="none" w:sz="0" w:space="0" w:color="auto"/>
              </w:divBdr>
            </w:div>
            <w:div w:id="1601988074">
              <w:marLeft w:val="0"/>
              <w:marRight w:val="0"/>
              <w:marTop w:val="0"/>
              <w:marBottom w:val="240"/>
              <w:divBdr>
                <w:top w:val="none" w:sz="0" w:space="0" w:color="auto"/>
                <w:left w:val="none" w:sz="0" w:space="0" w:color="auto"/>
                <w:bottom w:val="none" w:sz="0" w:space="0" w:color="auto"/>
                <w:right w:val="none" w:sz="0" w:space="0" w:color="auto"/>
              </w:divBdr>
            </w:div>
            <w:div w:id="1984459608">
              <w:marLeft w:val="0"/>
              <w:marRight w:val="0"/>
              <w:marTop w:val="0"/>
              <w:marBottom w:val="240"/>
              <w:divBdr>
                <w:top w:val="none" w:sz="0" w:space="0" w:color="auto"/>
                <w:left w:val="none" w:sz="0" w:space="0" w:color="auto"/>
                <w:bottom w:val="none" w:sz="0" w:space="0" w:color="auto"/>
                <w:right w:val="none" w:sz="0" w:space="0" w:color="auto"/>
              </w:divBdr>
            </w:div>
            <w:div w:id="669336790">
              <w:marLeft w:val="0"/>
              <w:marRight w:val="0"/>
              <w:marTop w:val="0"/>
              <w:marBottom w:val="240"/>
              <w:divBdr>
                <w:top w:val="none" w:sz="0" w:space="0" w:color="auto"/>
                <w:left w:val="none" w:sz="0" w:space="0" w:color="auto"/>
                <w:bottom w:val="none" w:sz="0" w:space="0" w:color="auto"/>
                <w:right w:val="none" w:sz="0" w:space="0" w:color="auto"/>
              </w:divBdr>
            </w:div>
            <w:div w:id="1937975350">
              <w:marLeft w:val="0"/>
              <w:marRight w:val="0"/>
              <w:marTop w:val="0"/>
              <w:marBottom w:val="240"/>
              <w:divBdr>
                <w:top w:val="none" w:sz="0" w:space="0" w:color="auto"/>
                <w:left w:val="none" w:sz="0" w:space="0" w:color="auto"/>
                <w:bottom w:val="none" w:sz="0" w:space="0" w:color="auto"/>
                <w:right w:val="none" w:sz="0" w:space="0" w:color="auto"/>
              </w:divBdr>
            </w:div>
            <w:div w:id="741609914">
              <w:marLeft w:val="0"/>
              <w:marRight w:val="0"/>
              <w:marTop w:val="0"/>
              <w:marBottom w:val="240"/>
              <w:divBdr>
                <w:top w:val="none" w:sz="0" w:space="0" w:color="auto"/>
                <w:left w:val="none" w:sz="0" w:space="0" w:color="auto"/>
                <w:bottom w:val="none" w:sz="0" w:space="0" w:color="auto"/>
                <w:right w:val="none" w:sz="0" w:space="0" w:color="auto"/>
              </w:divBdr>
            </w:div>
            <w:div w:id="712080497">
              <w:marLeft w:val="0"/>
              <w:marRight w:val="0"/>
              <w:marTop w:val="0"/>
              <w:marBottom w:val="240"/>
              <w:divBdr>
                <w:top w:val="none" w:sz="0" w:space="0" w:color="auto"/>
                <w:left w:val="none" w:sz="0" w:space="0" w:color="auto"/>
                <w:bottom w:val="none" w:sz="0" w:space="0" w:color="auto"/>
                <w:right w:val="none" w:sz="0" w:space="0" w:color="auto"/>
              </w:divBdr>
            </w:div>
            <w:div w:id="544175017">
              <w:marLeft w:val="0"/>
              <w:marRight w:val="0"/>
              <w:marTop w:val="0"/>
              <w:marBottom w:val="240"/>
              <w:divBdr>
                <w:top w:val="none" w:sz="0" w:space="0" w:color="auto"/>
                <w:left w:val="none" w:sz="0" w:space="0" w:color="auto"/>
                <w:bottom w:val="none" w:sz="0" w:space="0" w:color="auto"/>
                <w:right w:val="none" w:sz="0" w:space="0" w:color="auto"/>
              </w:divBdr>
            </w:div>
            <w:div w:id="962883126">
              <w:marLeft w:val="0"/>
              <w:marRight w:val="0"/>
              <w:marTop w:val="0"/>
              <w:marBottom w:val="240"/>
              <w:divBdr>
                <w:top w:val="none" w:sz="0" w:space="0" w:color="auto"/>
                <w:left w:val="none" w:sz="0" w:space="0" w:color="auto"/>
                <w:bottom w:val="none" w:sz="0" w:space="0" w:color="auto"/>
                <w:right w:val="none" w:sz="0" w:space="0" w:color="auto"/>
              </w:divBdr>
            </w:div>
            <w:div w:id="1139490353">
              <w:marLeft w:val="0"/>
              <w:marRight w:val="0"/>
              <w:marTop w:val="0"/>
              <w:marBottom w:val="240"/>
              <w:divBdr>
                <w:top w:val="none" w:sz="0" w:space="0" w:color="auto"/>
                <w:left w:val="none" w:sz="0" w:space="0" w:color="auto"/>
                <w:bottom w:val="none" w:sz="0" w:space="0" w:color="auto"/>
                <w:right w:val="none" w:sz="0" w:space="0" w:color="auto"/>
              </w:divBdr>
            </w:div>
            <w:div w:id="1873495095">
              <w:marLeft w:val="0"/>
              <w:marRight w:val="0"/>
              <w:marTop w:val="0"/>
              <w:marBottom w:val="240"/>
              <w:divBdr>
                <w:top w:val="none" w:sz="0" w:space="0" w:color="auto"/>
                <w:left w:val="none" w:sz="0" w:space="0" w:color="auto"/>
                <w:bottom w:val="none" w:sz="0" w:space="0" w:color="auto"/>
                <w:right w:val="none" w:sz="0" w:space="0" w:color="auto"/>
              </w:divBdr>
            </w:div>
            <w:div w:id="296762238">
              <w:marLeft w:val="0"/>
              <w:marRight w:val="0"/>
              <w:marTop w:val="0"/>
              <w:marBottom w:val="240"/>
              <w:divBdr>
                <w:top w:val="none" w:sz="0" w:space="0" w:color="auto"/>
                <w:left w:val="none" w:sz="0" w:space="0" w:color="auto"/>
                <w:bottom w:val="none" w:sz="0" w:space="0" w:color="auto"/>
                <w:right w:val="none" w:sz="0" w:space="0" w:color="auto"/>
              </w:divBdr>
            </w:div>
            <w:div w:id="1872641751">
              <w:marLeft w:val="0"/>
              <w:marRight w:val="0"/>
              <w:marTop w:val="0"/>
              <w:marBottom w:val="240"/>
              <w:divBdr>
                <w:top w:val="none" w:sz="0" w:space="0" w:color="auto"/>
                <w:left w:val="none" w:sz="0" w:space="0" w:color="auto"/>
                <w:bottom w:val="none" w:sz="0" w:space="0" w:color="auto"/>
                <w:right w:val="none" w:sz="0" w:space="0" w:color="auto"/>
              </w:divBdr>
            </w:div>
            <w:div w:id="1224947578">
              <w:marLeft w:val="0"/>
              <w:marRight w:val="0"/>
              <w:marTop w:val="0"/>
              <w:marBottom w:val="240"/>
              <w:divBdr>
                <w:top w:val="none" w:sz="0" w:space="0" w:color="auto"/>
                <w:left w:val="none" w:sz="0" w:space="0" w:color="auto"/>
                <w:bottom w:val="none" w:sz="0" w:space="0" w:color="auto"/>
                <w:right w:val="none" w:sz="0" w:space="0" w:color="auto"/>
              </w:divBdr>
            </w:div>
            <w:div w:id="1272276621">
              <w:marLeft w:val="0"/>
              <w:marRight w:val="0"/>
              <w:marTop w:val="0"/>
              <w:marBottom w:val="240"/>
              <w:divBdr>
                <w:top w:val="none" w:sz="0" w:space="0" w:color="auto"/>
                <w:left w:val="none" w:sz="0" w:space="0" w:color="auto"/>
                <w:bottom w:val="none" w:sz="0" w:space="0" w:color="auto"/>
                <w:right w:val="none" w:sz="0" w:space="0" w:color="auto"/>
              </w:divBdr>
            </w:div>
            <w:div w:id="1533347432">
              <w:marLeft w:val="0"/>
              <w:marRight w:val="0"/>
              <w:marTop w:val="0"/>
              <w:marBottom w:val="240"/>
              <w:divBdr>
                <w:top w:val="none" w:sz="0" w:space="0" w:color="auto"/>
                <w:left w:val="none" w:sz="0" w:space="0" w:color="auto"/>
                <w:bottom w:val="none" w:sz="0" w:space="0" w:color="auto"/>
                <w:right w:val="none" w:sz="0" w:space="0" w:color="auto"/>
              </w:divBdr>
            </w:div>
            <w:div w:id="1256985592">
              <w:marLeft w:val="0"/>
              <w:marRight w:val="0"/>
              <w:marTop w:val="0"/>
              <w:marBottom w:val="240"/>
              <w:divBdr>
                <w:top w:val="none" w:sz="0" w:space="0" w:color="auto"/>
                <w:left w:val="none" w:sz="0" w:space="0" w:color="auto"/>
                <w:bottom w:val="none" w:sz="0" w:space="0" w:color="auto"/>
                <w:right w:val="none" w:sz="0" w:space="0" w:color="auto"/>
              </w:divBdr>
            </w:div>
            <w:div w:id="539980648">
              <w:marLeft w:val="0"/>
              <w:marRight w:val="0"/>
              <w:marTop w:val="0"/>
              <w:marBottom w:val="240"/>
              <w:divBdr>
                <w:top w:val="none" w:sz="0" w:space="0" w:color="auto"/>
                <w:left w:val="none" w:sz="0" w:space="0" w:color="auto"/>
                <w:bottom w:val="none" w:sz="0" w:space="0" w:color="auto"/>
                <w:right w:val="none" w:sz="0" w:space="0" w:color="auto"/>
              </w:divBdr>
            </w:div>
            <w:div w:id="231890928">
              <w:marLeft w:val="0"/>
              <w:marRight w:val="0"/>
              <w:marTop w:val="0"/>
              <w:marBottom w:val="240"/>
              <w:divBdr>
                <w:top w:val="none" w:sz="0" w:space="0" w:color="auto"/>
                <w:left w:val="none" w:sz="0" w:space="0" w:color="auto"/>
                <w:bottom w:val="none" w:sz="0" w:space="0" w:color="auto"/>
                <w:right w:val="none" w:sz="0" w:space="0" w:color="auto"/>
              </w:divBdr>
            </w:div>
            <w:div w:id="262229274">
              <w:marLeft w:val="0"/>
              <w:marRight w:val="0"/>
              <w:marTop w:val="0"/>
              <w:marBottom w:val="240"/>
              <w:divBdr>
                <w:top w:val="none" w:sz="0" w:space="0" w:color="auto"/>
                <w:left w:val="none" w:sz="0" w:space="0" w:color="auto"/>
                <w:bottom w:val="none" w:sz="0" w:space="0" w:color="auto"/>
                <w:right w:val="none" w:sz="0" w:space="0" w:color="auto"/>
              </w:divBdr>
            </w:div>
            <w:div w:id="1808007494">
              <w:marLeft w:val="0"/>
              <w:marRight w:val="0"/>
              <w:marTop w:val="0"/>
              <w:marBottom w:val="240"/>
              <w:divBdr>
                <w:top w:val="none" w:sz="0" w:space="0" w:color="auto"/>
                <w:left w:val="none" w:sz="0" w:space="0" w:color="auto"/>
                <w:bottom w:val="none" w:sz="0" w:space="0" w:color="auto"/>
                <w:right w:val="none" w:sz="0" w:space="0" w:color="auto"/>
              </w:divBdr>
            </w:div>
            <w:div w:id="1527517806">
              <w:marLeft w:val="0"/>
              <w:marRight w:val="0"/>
              <w:marTop w:val="0"/>
              <w:marBottom w:val="240"/>
              <w:divBdr>
                <w:top w:val="none" w:sz="0" w:space="0" w:color="auto"/>
                <w:left w:val="none" w:sz="0" w:space="0" w:color="auto"/>
                <w:bottom w:val="none" w:sz="0" w:space="0" w:color="auto"/>
                <w:right w:val="none" w:sz="0" w:space="0" w:color="auto"/>
              </w:divBdr>
            </w:div>
            <w:div w:id="175778571">
              <w:marLeft w:val="0"/>
              <w:marRight w:val="0"/>
              <w:marTop w:val="0"/>
              <w:marBottom w:val="240"/>
              <w:divBdr>
                <w:top w:val="none" w:sz="0" w:space="0" w:color="auto"/>
                <w:left w:val="none" w:sz="0" w:space="0" w:color="auto"/>
                <w:bottom w:val="none" w:sz="0" w:space="0" w:color="auto"/>
                <w:right w:val="none" w:sz="0" w:space="0" w:color="auto"/>
              </w:divBdr>
            </w:div>
            <w:div w:id="1649937354">
              <w:marLeft w:val="0"/>
              <w:marRight w:val="0"/>
              <w:marTop w:val="0"/>
              <w:marBottom w:val="240"/>
              <w:divBdr>
                <w:top w:val="none" w:sz="0" w:space="0" w:color="auto"/>
                <w:left w:val="none" w:sz="0" w:space="0" w:color="auto"/>
                <w:bottom w:val="none" w:sz="0" w:space="0" w:color="auto"/>
                <w:right w:val="none" w:sz="0" w:space="0" w:color="auto"/>
              </w:divBdr>
            </w:div>
            <w:div w:id="1349024698">
              <w:marLeft w:val="0"/>
              <w:marRight w:val="0"/>
              <w:marTop w:val="0"/>
              <w:marBottom w:val="240"/>
              <w:divBdr>
                <w:top w:val="none" w:sz="0" w:space="0" w:color="auto"/>
                <w:left w:val="none" w:sz="0" w:space="0" w:color="auto"/>
                <w:bottom w:val="none" w:sz="0" w:space="0" w:color="auto"/>
                <w:right w:val="none" w:sz="0" w:space="0" w:color="auto"/>
              </w:divBdr>
            </w:div>
            <w:div w:id="854076023">
              <w:marLeft w:val="0"/>
              <w:marRight w:val="0"/>
              <w:marTop w:val="0"/>
              <w:marBottom w:val="240"/>
              <w:divBdr>
                <w:top w:val="none" w:sz="0" w:space="0" w:color="auto"/>
                <w:left w:val="none" w:sz="0" w:space="0" w:color="auto"/>
                <w:bottom w:val="none" w:sz="0" w:space="0" w:color="auto"/>
                <w:right w:val="none" w:sz="0" w:space="0" w:color="auto"/>
              </w:divBdr>
            </w:div>
            <w:div w:id="558439215">
              <w:marLeft w:val="0"/>
              <w:marRight w:val="0"/>
              <w:marTop w:val="0"/>
              <w:marBottom w:val="240"/>
              <w:divBdr>
                <w:top w:val="none" w:sz="0" w:space="0" w:color="auto"/>
                <w:left w:val="none" w:sz="0" w:space="0" w:color="auto"/>
                <w:bottom w:val="none" w:sz="0" w:space="0" w:color="auto"/>
                <w:right w:val="none" w:sz="0" w:space="0" w:color="auto"/>
              </w:divBdr>
            </w:div>
            <w:div w:id="2097555745">
              <w:marLeft w:val="0"/>
              <w:marRight w:val="0"/>
              <w:marTop w:val="0"/>
              <w:marBottom w:val="240"/>
              <w:divBdr>
                <w:top w:val="none" w:sz="0" w:space="0" w:color="auto"/>
                <w:left w:val="none" w:sz="0" w:space="0" w:color="auto"/>
                <w:bottom w:val="none" w:sz="0" w:space="0" w:color="auto"/>
                <w:right w:val="none" w:sz="0" w:space="0" w:color="auto"/>
              </w:divBdr>
            </w:div>
            <w:div w:id="2038969979">
              <w:marLeft w:val="0"/>
              <w:marRight w:val="0"/>
              <w:marTop w:val="0"/>
              <w:marBottom w:val="240"/>
              <w:divBdr>
                <w:top w:val="none" w:sz="0" w:space="0" w:color="auto"/>
                <w:left w:val="none" w:sz="0" w:space="0" w:color="auto"/>
                <w:bottom w:val="none" w:sz="0" w:space="0" w:color="auto"/>
                <w:right w:val="none" w:sz="0" w:space="0" w:color="auto"/>
              </w:divBdr>
            </w:div>
            <w:div w:id="697778246">
              <w:marLeft w:val="0"/>
              <w:marRight w:val="0"/>
              <w:marTop w:val="0"/>
              <w:marBottom w:val="240"/>
              <w:divBdr>
                <w:top w:val="none" w:sz="0" w:space="0" w:color="auto"/>
                <w:left w:val="none" w:sz="0" w:space="0" w:color="auto"/>
                <w:bottom w:val="none" w:sz="0" w:space="0" w:color="auto"/>
                <w:right w:val="none" w:sz="0" w:space="0" w:color="auto"/>
              </w:divBdr>
            </w:div>
            <w:div w:id="1390378989">
              <w:marLeft w:val="0"/>
              <w:marRight w:val="0"/>
              <w:marTop w:val="0"/>
              <w:marBottom w:val="240"/>
              <w:divBdr>
                <w:top w:val="none" w:sz="0" w:space="0" w:color="auto"/>
                <w:left w:val="none" w:sz="0" w:space="0" w:color="auto"/>
                <w:bottom w:val="none" w:sz="0" w:space="0" w:color="auto"/>
                <w:right w:val="none" w:sz="0" w:space="0" w:color="auto"/>
              </w:divBdr>
            </w:div>
            <w:div w:id="1263344602">
              <w:marLeft w:val="0"/>
              <w:marRight w:val="0"/>
              <w:marTop w:val="0"/>
              <w:marBottom w:val="240"/>
              <w:divBdr>
                <w:top w:val="none" w:sz="0" w:space="0" w:color="auto"/>
                <w:left w:val="none" w:sz="0" w:space="0" w:color="auto"/>
                <w:bottom w:val="none" w:sz="0" w:space="0" w:color="auto"/>
                <w:right w:val="none" w:sz="0" w:space="0" w:color="auto"/>
              </w:divBdr>
            </w:div>
            <w:div w:id="417142952">
              <w:marLeft w:val="0"/>
              <w:marRight w:val="0"/>
              <w:marTop w:val="0"/>
              <w:marBottom w:val="240"/>
              <w:divBdr>
                <w:top w:val="none" w:sz="0" w:space="0" w:color="auto"/>
                <w:left w:val="none" w:sz="0" w:space="0" w:color="auto"/>
                <w:bottom w:val="none" w:sz="0" w:space="0" w:color="auto"/>
                <w:right w:val="none" w:sz="0" w:space="0" w:color="auto"/>
              </w:divBdr>
            </w:div>
            <w:div w:id="1953900570">
              <w:marLeft w:val="0"/>
              <w:marRight w:val="0"/>
              <w:marTop w:val="0"/>
              <w:marBottom w:val="240"/>
              <w:divBdr>
                <w:top w:val="none" w:sz="0" w:space="0" w:color="auto"/>
                <w:left w:val="none" w:sz="0" w:space="0" w:color="auto"/>
                <w:bottom w:val="none" w:sz="0" w:space="0" w:color="auto"/>
                <w:right w:val="none" w:sz="0" w:space="0" w:color="auto"/>
              </w:divBdr>
            </w:div>
            <w:div w:id="2100905275">
              <w:marLeft w:val="0"/>
              <w:marRight w:val="0"/>
              <w:marTop w:val="0"/>
              <w:marBottom w:val="240"/>
              <w:divBdr>
                <w:top w:val="none" w:sz="0" w:space="0" w:color="auto"/>
                <w:left w:val="none" w:sz="0" w:space="0" w:color="auto"/>
                <w:bottom w:val="none" w:sz="0" w:space="0" w:color="auto"/>
                <w:right w:val="none" w:sz="0" w:space="0" w:color="auto"/>
              </w:divBdr>
            </w:div>
            <w:div w:id="2131589869">
              <w:marLeft w:val="0"/>
              <w:marRight w:val="0"/>
              <w:marTop w:val="0"/>
              <w:marBottom w:val="240"/>
              <w:divBdr>
                <w:top w:val="none" w:sz="0" w:space="0" w:color="auto"/>
                <w:left w:val="none" w:sz="0" w:space="0" w:color="auto"/>
                <w:bottom w:val="none" w:sz="0" w:space="0" w:color="auto"/>
                <w:right w:val="none" w:sz="0" w:space="0" w:color="auto"/>
              </w:divBdr>
            </w:div>
            <w:div w:id="2079354535">
              <w:marLeft w:val="0"/>
              <w:marRight w:val="0"/>
              <w:marTop w:val="0"/>
              <w:marBottom w:val="240"/>
              <w:divBdr>
                <w:top w:val="none" w:sz="0" w:space="0" w:color="auto"/>
                <w:left w:val="none" w:sz="0" w:space="0" w:color="auto"/>
                <w:bottom w:val="none" w:sz="0" w:space="0" w:color="auto"/>
                <w:right w:val="none" w:sz="0" w:space="0" w:color="auto"/>
              </w:divBdr>
            </w:div>
            <w:div w:id="314840103">
              <w:marLeft w:val="0"/>
              <w:marRight w:val="0"/>
              <w:marTop w:val="0"/>
              <w:marBottom w:val="240"/>
              <w:divBdr>
                <w:top w:val="none" w:sz="0" w:space="0" w:color="auto"/>
                <w:left w:val="none" w:sz="0" w:space="0" w:color="auto"/>
                <w:bottom w:val="none" w:sz="0" w:space="0" w:color="auto"/>
                <w:right w:val="none" w:sz="0" w:space="0" w:color="auto"/>
              </w:divBdr>
            </w:div>
            <w:div w:id="900600080">
              <w:marLeft w:val="0"/>
              <w:marRight w:val="0"/>
              <w:marTop w:val="0"/>
              <w:marBottom w:val="240"/>
              <w:divBdr>
                <w:top w:val="none" w:sz="0" w:space="0" w:color="auto"/>
                <w:left w:val="none" w:sz="0" w:space="0" w:color="auto"/>
                <w:bottom w:val="none" w:sz="0" w:space="0" w:color="auto"/>
                <w:right w:val="none" w:sz="0" w:space="0" w:color="auto"/>
              </w:divBdr>
            </w:div>
            <w:div w:id="614558709">
              <w:marLeft w:val="0"/>
              <w:marRight w:val="0"/>
              <w:marTop w:val="0"/>
              <w:marBottom w:val="240"/>
              <w:divBdr>
                <w:top w:val="none" w:sz="0" w:space="0" w:color="auto"/>
                <w:left w:val="none" w:sz="0" w:space="0" w:color="auto"/>
                <w:bottom w:val="none" w:sz="0" w:space="0" w:color="auto"/>
                <w:right w:val="none" w:sz="0" w:space="0" w:color="auto"/>
              </w:divBdr>
            </w:div>
            <w:div w:id="798719468">
              <w:marLeft w:val="0"/>
              <w:marRight w:val="0"/>
              <w:marTop w:val="0"/>
              <w:marBottom w:val="240"/>
              <w:divBdr>
                <w:top w:val="none" w:sz="0" w:space="0" w:color="auto"/>
                <w:left w:val="none" w:sz="0" w:space="0" w:color="auto"/>
                <w:bottom w:val="none" w:sz="0" w:space="0" w:color="auto"/>
                <w:right w:val="none" w:sz="0" w:space="0" w:color="auto"/>
              </w:divBdr>
            </w:div>
            <w:div w:id="1712992758">
              <w:marLeft w:val="0"/>
              <w:marRight w:val="0"/>
              <w:marTop w:val="0"/>
              <w:marBottom w:val="240"/>
              <w:divBdr>
                <w:top w:val="none" w:sz="0" w:space="0" w:color="auto"/>
                <w:left w:val="none" w:sz="0" w:space="0" w:color="auto"/>
                <w:bottom w:val="none" w:sz="0" w:space="0" w:color="auto"/>
                <w:right w:val="none" w:sz="0" w:space="0" w:color="auto"/>
              </w:divBdr>
            </w:div>
            <w:div w:id="790128045">
              <w:marLeft w:val="0"/>
              <w:marRight w:val="0"/>
              <w:marTop w:val="0"/>
              <w:marBottom w:val="240"/>
              <w:divBdr>
                <w:top w:val="none" w:sz="0" w:space="0" w:color="auto"/>
                <w:left w:val="none" w:sz="0" w:space="0" w:color="auto"/>
                <w:bottom w:val="none" w:sz="0" w:space="0" w:color="auto"/>
                <w:right w:val="none" w:sz="0" w:space="0" w:color="auto"/>
              </w:divBdr>
            </w:div>
            <w:div w:id="1218782822">
              <w:marLeft w:val="0"/>
              <w:marRight w:val="0"/>
              <w:marTop w:val="0"/>
              <w:marBottom w:val="240"/>
              <w:divBdr>
                <w:top w:val="none" w:sz="0" w:space="0" w:color="auto"/>
                <w:left w:val="none" w:sz="0" w:space="0" w:color="auto"/>
                <w:bottom w:val="none" w:sz="0" w:space="0" w:color="auto"/>
                <w:right w:val="none" w:sz="0" w:space="0" w:color="auto"/>
              </w:divBdr>
            </w:div>
            <w:div w:id="929313284">
              <w:marLeft w:val="0"/>
              <w:marRight w:val="0"/>
              <w:marTop w:val="0"/>
              <w:marBottom w:val="240"/>
              <w:divBdr>
                <w:top w:val="none" w:sz="0" w:space="0" w:color="auto"/>
                <w:left w:val="none" w:sz="0" w:space="0" w:color="auto"/>
                <w:bottom w:val="none" w:sz="0" w:space="0" w:color="auto"/>
                <w:right w:val="none" w:sz="0" w:space="0" w:color="auto"/>
              </w:divBdr>
            </w:div>
            <w:div w:id="1291283777">
              <w:marLeft w:val="0"/>
              <w:marRight w:val="0"/>
              <w:marTop w:val="0"/>
              <w:marBottom w:val="240"/>
              <w:divBdr>
                <w:top w:val="none" w:sz="0" w:space="0" w:color="auto"/>
                <w:left w:val="none" w:sz="0" w:space="0" w:color="auto"/>
                <w:bottom w:val="none" w:sz="0" w:space="0" w:color="auto"/>
                <w:right w:val="none" w:sz="0" w:space="0" w:color="auto"/>
              </w:divBdr>
            </w:div>
            <w:div w:id="40061118">
              <w:marLeft w:val="0"/>
              <w:marRight w:val="0"/>
              <w:marTop w:val="0"/>
              <w:marBottom w:val="240"/>
              <w:divBdr>
                <w:top w:val="none" w:sz="0" w:space="0" w:color="auto"/>
                <w:left w:val="none" w:sz="0" w:space="0" w:color="auto"/>
                <w:bottom w:val="none" w:sz="0" w:space="0" w:color="auto"/>
                <w:right w:val="none" w:sz="0" w:space="0" w:color="auto"/>
              </w:divBdr>
            </w:div>
            <w:div w:id="1274942325">
              <w:marLeft w:val="0"/>
              <w:marRight w:val="0"/>
              <w:marTop w:val="0"/>
              <w:marBottom w:val="240"/>
              <w:divBdr>
                <w:top w:val="none" w:sz="0" w:space="0" w:color="auto"/>
                <w:left w:val="none" w:sz="0" w:space="0" w:color="auto"/>
                <w:bottom w:val="none" w:sz="0" w:space="0" w:color="auto"/>
                <w:right w:val="none" w:sz="0" w:space="0" w:color="auto"/>
              </w:divBdr>
            </w:div>
            <w:div w:id="206836832">
              <w:marLeft w:val="0"/>
              <w:marRight w:val="0"/>
              <w:marTop w:val="0"/>
              <w:marBottom w:val="240"/>
              <w:divBdr>
                <w:top w:val="none" w:sz="0" w:space="0" w:color="auto"/>
                <w:left w:val="none" w:sz="0" w:space="0" w:color="auto"/>
                <w:bottom w:val="none" w:sz="0" w:space="0" w:color="auto"/>
                <w:right w:val="none" w:sz="0" w:space="0" w:color="auto"/>
              </w:divBdr>
            </w:div>
            <w:div w:id="594245067">
              <w:marLeft w:val="0"/>
              <w:marRight w:val="0"/>
              <w:marTop w:val="0"/>
              <w:marBottom w:val="240"/>
              <w:divBdr>
                <w:top w:val="none" w:sz="0" w:space="0" w:color="auto"/>
                <w:left w:val="none" w:sz="0" w:space="0" w:color="auto"/>
                <w:bottom w:val="none" w:sz="0" w:space="0" w:color="auto"/>
                <w:right w:val="none" w:sz="0" w:space="0" w:color="auto"/>
              </w:divBdr>
            </w:div>
            <w:div w:id="566653416">
              <w:marLeft w:val="0"/>
              <w:marRight w:val="0"/>
              <w:marTop w:val="0"/>
              <w:marBottom w:val="240"/>
              <w:divBdr>
                <w:top w:val="none" w:sz="0" w:space="0" w:color="auto"/>
                <w:left w:val="none" w:sz="0" w:space="0" w:color="auto"/>
                <w:bottom w:val="none" w:sz="0" w:space="0" w:color="auto"/>
                <w:right w:val="none" w:sz="0" w:space="0" w:color="auto"/>
              </w:divBdr>
            </w:div>
            <w:div w:id="106390171">
              <w:marLeft w:val="0"/>
              <w:marRight w:val="0"/>
              <w:marTop w:val="0"/>
              <w:marBottom w:val="240"/>
              <w:divBdr>
                <w:top w:val="none" w:sz="0" w:space="0" w:color="auto"/>
                <w:left w:val="none" w:sz="0" w:space="0" w:color="auto"/>
                <w:bottom w:val="none" w:sz="0" w:space="0" w:color="auto"/>
                <w:right w:val="none" w:sz="0" w:space="0" w:color="auto"/>
              </w:divBdr>
            </w:div>
            <w:div w:id="2089618578">
              <w:marLeft w:val="0"/>
              <w:marRight w:val="0"/>
              <w:marTop w:val="0"/>
              <w:marBottom w:val="240"/>
              <w:divBdr>
                <w:top w:val="none" w:sz="0" w:space="0" w:color="auto"/>
                <w:left w:val="none" w:sz="0" w:space="0" w:color="auto"/>
                <w:bottom w:val="none" w:sz="0" w:space="0" w:color="auto"/>
                <w:right w:val="none" w:sz="0" w:space="0" w:color="auto"/>
              </w:divBdr>
            </w:div>
            <w:div w:id="1142577493">
              <w:marLeft w:val="0"/>
              <w:marRight w:val="0"/>
              <w:marTop w:val="0"/>
              <w:marBottom w:val="240"/>
              <w:divBdr>
                <w:top w:val="none" w:sz="0" w:space="0" w:color="auto"/>
                <w:left w:val="none" w:sz="0" w:space="0" w:color="auto"/>
                <w:bottom w:val="none" w:sz="0" w:space="0" w:color="auto"/>
                <w:right w:val="none" w:sz="0" w:space="0" w:color="auto"/>
              </w:divBdr>
            </w:div>
            <w:div w:id="833303515">
              <w:marLeft w:val="0"/>
              <w:marRight w:val="0"/>
              <w:marTop w:val="0"/>
              <w:marBottom w:val="240"/>
              <w:divBdr>
                <w:top w:val="none" w:sz="0" w:space="0" w:color="auto"/>
                <w:left w:val="none" w:sz="0" w:space="0" w:color="auto"/>
                <w:bottom w:val="none" w:sz="0" w:space="0" w:color="auto"/>
                <w:right w:val="none" w:sz="0" w:space="0" w:color="auto"/>
              </w:divBdr>
            </w:div>
            <w:div w:id="1949312622">
              <w:marLeft w:val="0"/>
              <w:marRight w:val="0"/>
              <w:marTop w:val="0"/>
              <w:marBottom w:val="240"/>
              <w:divBdr>
                <w:top w:val="none" w:sz="0" w:space="0" w:color="auto"/>
                <w:left w:val="none" w:sz="0" w:space="0" w:color="auto"/>
                <w:bottom w:val="none" w:sz="0" w:space="0" w:color="auto"/>
                <w:right w:val="none" w:sz="0" w:space="0" w:color="auto"/>
              </w:divBdr>
            </w:div>
            <w:div w:id="1365600296">
              <w:marLeft w:val="0"/>
              <w:marRight w:val="0"/>
              <w:marTop w:val="0"/>
              <w:marBottom w:val="240"/>
              <w:divBdr>
                <w:top w:val="none" w:sz="0" w:space="0" w:color="auto"/>
                <w:left w:val="none" w:sz="0" w:space="0" w:color="auto"/>
                <w:bottom w:val="none" w:sz="0" w:space="0" w:color="auto"/>
                <w:right w:val="none" w:sz="0" w:space="0" w:color="auto"/>
              </w:divBdr>
            </w:div>
            <w:div w:id="1829052164">
              <w:marLeft w:val="0"/>
              <w:marRight w:val="0"/>
              <w:marTop w:val="0"/>
              <w:marBottom w:val="240"/>
              <w:divBdr>
                <w:top w:val="none" w:sz="0" w:space="0" w:color="auto"/>
                <w:left w:val="none" w:sz="0" w:space="0" w:color="auto"/>
                <w:bottom w:val="none" w:sz="0" w:space="0" w:color="auto"/>
                <w:right w:val="none" w:sz="0" w:space="0" w:color="auto"/>
              </w:divBdr>
            </w:div>
            <w:div w:id="2138259031">
              <w:marLeft w:val="0"/>
              <w:marRight w:val="0"/>
              <w:marTop w:val="0"/>
              <w:marBottom w:val="240"/>
              <w:divBdr>
                <w:top w:val="none" w:sz="0" w:space="0" w:color="auto"/>
                <w:left w:val="none" w:sz="0" w:space="0" w:color="auto"/>
                <w:bottom w:val="none" w:sz="0" w:space="0" w:color="auto"/>
                <w:right w:val="none" w:sz="0" w:space="0" w:color="auto"/>
              </w:divBdr>
            </w:div>
            <w:div w:id="622931504">
              <w:marLeft w:val="0"/>
              <w:marRight w:val="0"/>
              <w:marTop w:val="0"/>
              <w:marBottom w:val="240"/>
              <w:divBdr>
                <w:top w:val="none" w:sz="0" w:space="0" w:color="auto"/>
                <w:left w:val="none" w:sz="0" w:space="0" w:color="auto"/>
                <w:bottom w:val="none" w:sz="0" w:space="0" w:color="auto"/>
                <w:right w:val="none" w:sz="0" w:space="0" w:color="auto"/>
              </w:divBdr>
            </w:div>
            <w:div w:id="189729914">
              <w:marLeft w:val="0"/>
              <w:marRight w:val="0"/>
              <w:marTop w:val="0"/>
              <w:marBottom w:val="240"/>
              <w:divBdr>
                <w:top w:val="none" w:sz="0" w:space="0" w:color="auto"/>
                <w:left w:val="none" w:sz="0" w:space="0" w:color="auto"/>
                <w:bottom w:val="none" w:sz="0" w:space="0" w:color="auto"/>
                <w:right w:val="none" w:sz="0" w:space="0" w:color="auto"/>
              </w:divBdr>
            </w:div>
            <w:div w:id="624310469">
              <w:marLeft w:val="0"/>
              <w:marRight w:val="0"/>
              <w:marTop w:val="0"/>
              <w:marBottom w:val="240"/>
              <w:divBdr>
                <w:top w:val="none" w:sz="0" w:space="0" w:color="auto"/>
                <w:left w:val="none" w:sz="0" w:space="0" w:color="auto"/>
                <w:bottom w:val="none" w:sz="0" w:space="0" w:color="auto"/>
                <w:right w:val="none" w:sz="0" w:space="0" w:color="auto"/>
              </w:divBdr>
            </w:div>
            <w:div w:id="1801025293">
              <w:marLeft w:val="0"/>
              <w:marRight w:val="0"/>
              <w:marTop w:val="0"/>
              <w:marBottom w:val="240"/>
              <w:divBdr>
                <w:top w:val="none" w:sz="0" w:space="0" w:color="auto"/>
                <w:left w:val="none" w:sz="0" w:space="0" w:color="auto"/>
                <w:bottom w:val="none" w:sz="0" w:space="0" w:color="auto"/>
                <w:right w:val="none" w:sz="0" w:space="0" w:color="auto"/>
              </w:divBdr>
            </w:div>
            <w:div w:id="1754543223">
              <w:marLeft w:val="0"/>
              <w:marRight w:val="0"/>
              <w:marTop w:val="0"/>
              <w:marBottom w:val="240"/>
              <w:divBdr>
                <w:top w:val="none" w:sz="0" w:space="0" w:color="auto"/>
                <w:left w:val="none" w:sz="0" w:space="0" w:color="auto"/>
                <w:bottom w:val="none" w:sz="0" w:space="0" w:color="auto"/>
                <w:right w:val="none" w:sz="0" w:space="0" w:color="auto"/>
              </w:divBdr>
            </w:div>
            <w:div w:id="1063527762">
              <w:marLeft w:val="0"/>
              <w:marRight w:val="0"/>
              <w:marTop w:val="0"/>
              <w:marBottom w:val="240"/>
              <w:divBdr>
                <w:top w:val="none" w:sz="0" w:space="0" w:color="auto"/>
                <w:left w:val="none" w:sz="0" w:space="0" w:color="auto"/>
                <w:bottom w:val="none" w:sz="0" w:space="0" w:color="auto"/>
                <w:right w:val="none" w:sz="0" w:space="0" w:color="auto"/>
              </w:divBdr>
            </w:div>
            <w:div w:id="1394281466">
              <w:marLeft w:val="0"/>
              <w:marRight w:val="0"/>
              <w:marTop w:val="0"/>
              <w:marBottom w:val="240"/>
              <w:divBdr>
                <w:top w:val="none" w:sz="0" w:space="0" w:color="auto"/>
                <w:left w:val="none" w:sz="0" w:space="0" w:color="auto"/>
                <w:bottom w:val="none" w:sz="0" w:space="0" w:color="auto"/>
                <w:right w:val="none" w:sz="0" w:space="0" w:color="auto"/>
              </w:divBdr>
            </w:div>
            <w:div w:id="2037848714">
              <w:marLeft w:val="0"/>
              <w:marRight w:val="0"/>
              <w:marTop w:val="0"/>
              <w:marBottom w:val="240"/>
              <w:divBdr>
                <w:top w:val="none" w:sz="0" w:space="0" w:color="auto"/>
                <w:left w:val="none" w:sz="0" w:space="0" w:color="auto"/>
                <w:bottom w:val="none" w:sz="0" w:space="0" w:color="auto"/>
                <w:right w:val="none" w:sz="0" w:space="0" w:color="auto"/>
              </w:divBdr>
            </w:div>
            <w:div w:id="674840777">
              <w:marLeft w:val="0"/>
              <w:marRight w:val="0"/>
              <w:marTop w:val="0"/>
              <w:marBottom w:val="240"/>
              <w:divBdr>
                <w:top w:val="none" w:sz="0" w:space="0" w:color="auto"/>
                <w:left w:val="none" w:sz="0" w:space="0" w:color="auto"/>
                <w:bottom w:val="none" w:sz="0" w:space="0" w:color="auto"/>
                <w:right w:val="none" w:sz="0" w:space="0" w:color="auto"/>
              </w:divBdr>
            </w:div>
            <w:div w:id="214588412">
              <w:marLeft w:val="0"/>
              <w:marRight w:val="0"/>
              <w:marTop w:val="0"/>
              <w:marBottom w:val="240"/>
              <w:divBdr>
                <w:top w:val="none" w:sz="0" w:space="0" w:color="auto"/>
                <w:left w:val="none" w:sz="0" w:space="0" w:color="auto"/>
                <w:bottom w:val="none" w:sz="0" w:space="0" w:color="auto"/>
                <w:right w:val="none" w:sz="0" w:space="0" w:color="auto"/>
              </w:divBdr>
            </w:div>
            <w:div w:id="1660962266">
              <w:marLeft w:val="0"/>
              <w:marRight w:val="0"/>
              <w:marTop w:val="0"/>
              <w:marBottom w:val="240"/>
              <w:divBdr>
                <w:top w:val="none" w:sz="0" w:space="0" w:color="auto"/>
                <w:left w:val="none" w:sz="0" w:space="0" w:color="auto"/>
                <w:bottom w:val="none" w:sz="0" w:space="0" w:color="auto"/>
                <w:right w:val="none" w:sz="0" w:space="0" w:color="auto"/>
              </w:divBdr>
            </w:div>
            <w:div w:id="1565137233">
              <w:marLeft w:val="0"/>
              <w:marRight w:val="0"/>
              <w:marTop w:val="0"/>
              <w:marBottom w:val="240"/>
              <w:divBdr>
                <w:top w:val="none" w:sz="0" w:space="0" w:color="auto"/>
                <w:left w:val="none" w:sz="0" w:space="0" w:color="auto"/>
                <w:bottom w:val="none" w:sz="0" w:space="0" w:color="auto"/>
                <w:right w:val="none" w:sz="0" w:space="0" w:color="auto"/>
              </w:divBdr>
            </w:div>
            <w:div w:id="1484854967">
              <w:marLeft w:val="0"/>
              <w:marRight w:val="0"/>
              <w:marTop w:val="0"/>
              <w:marBottom w:val="240"/>
              <w:divBdr>
                <w:top w:val="none" w:sz="0" w:space="0" w:color="auto"/>
                <w:left w:val="none" w:sz="0" w:space="0" w:color="auto"/>
                <w:bottom w:val="none" w:sz="0" w:space="0" w:color="auto"/>
                <w:right w:val="none" w:sz="0" w:space="0" w:color="auto"/>
              </w:divBdr>
            </w:div>
            <w:div w:id="29235138">
              <w:marLeft w:val="0"/>
              <w:marRight w:val="0"/>
              <w:marTop w:val="0"/>
              <w:marBottom w:val="240"/>
              <w:divBdr>
                <w:top w:val="none" w:sz="0" w:space="0" w:color="auto"/>
                <w:left w:val="none" w:sz="0" w:space="0" w:color="auto"/>
                <w:bottom w:val="none" w:sz="0" w:space="0" w:color="auto"/>
                <w:right w:val="none" w:sz="0" w:space="0" w:color="auto"/>
              </w:divBdr>
            </w:div>
            <w:div w:id="202528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98868">
      <w:bodyDiv w:val="1"/>
      <w:marLeft w:val="0"/>
      <w:marRight w:val="0"/>
      <w:marTop w:val="0"/>
      <w:marBottom w:val="0"/>
      <w:divBdr>
        <w:top w:val="none" w:sz="0" w:space="0" w:color="auto"/>
        <w:left w:val="none" w:sz="0" w:space="0" w:color="auto"/>
        <w:bottom w:val="none" w:sz="0" w:space="0" w:color="auto"/>
        <w:right w:val="none" w:sz="0" w:space="0" w:color="auto"/>
      </w:divBdr>
      <w:divsChild>
        <w:div w:id="1116563441">
          <w:marLeft w:val="480"/>
          <w:marRight w:val="0"/>
          <w:marTop w:val="0"/>
          <w:marBottom w:val="0"/>
          <w:divBdr>
            <w:top w:val="none" w:sz="0" w:space="0" w:color="auto"/>
            <w:left w:val="none" w:sz="0" w:space="0" w:color="auto"/>
            <w:bottom w:val="none" w:sz="0" w:space="0" w:color="auto"/>
            <w:right w:val="none" w:sz="0" w:space="0" w:color="auto"/>
          </w:divBdr>
          <w:divsChild>
            <w:div w:id="1036927014">
              <w:marLeft w:val="0"/>
              <w:marRight w:val="0"/>
              <w:marTop w:val="0"/>
              <w:marBottom w:val="240"/>
              <w:divBdr>
                <w:top w:val="none" w:sz="0" w:space="0" w:color="auto"/>
                <w:left w:val="none" w:sz="0" w:space="0" w:color="auto"/>
                <w:bottom w:val="none" w:sz="0" w:space="0" w:color="auto"/>
                <w:right w:val="none" w:sz="0" w:space="0" w:color="auto"/>
              </w:divBdr>
            </w:div>
            <w:div w:id="524515056">
              <w:marLeft w:val="0"/>
              <w:marRight w:val="0"/>
              <w:marTop w:val="0"/>
              <w:marBottom w:val="240"/>
              <w:divBdr>
                <w:top w:val="none" w:sz="0" w:space="0" w:color="auto"/>
                <w:left w:val="none" w:sz="0" w:space="0" w:color="auto"/>
                <w:bottom w:val="none" w:sz="0" w:space="0" w:color="auto"/>
                <w:right w:val="none" w:sz="0" w:space="0" w:color="auto"/>
              </w:divBdr>
            </w:div>
            <w:div w:id="262230965">
              <w:marLeft w:val="0"/>
              <w:marRight w:val="0"/>
              <w:marTop w:val="0"/>
              <w:marBottom w:val="240"/>
              <w:divBdr>
                <w:top w:val="none" w:sz="0" w:space="0" w:color="auto"/>
                <w:left w:val="none" w:sz="0" w:space="0" w:color="auto"/>
                <w:bottom w:val="none" w:sz="0" w:space="0" w:color="auto"/>
                <w:right w:val="none" w:sz="0" w:space="0" w:color="auto"/>
              </w:divBdr>
            </w:div>
            <w:div w:id="1861311417">
              <w:marLeft w:val="0"/>
              <w:marRight w:val="0"/>
              <w:marTop w:val="0"/>
              <w:marBottom w:val="240"/>
              <w:divBdr>
                <w:top w:val="none" w:sz="0" w:space="0" w:color="auto"/>
                <w:left w:val="none" w:sz="0" w:space="0" w:color="auto"/>
                <w:bottom w:val="none" w:sz="0" w:space="0" w:color="auto"/>
                <w:right w:val="none" w:sz="0" w:space="0" w:color="auto"/>
              </w:divBdr>
            </w:div>
            <w:div w:id="2106413983">
              <w:marLeft w:val="0"/>
              <w:marRight w:val="0"/>
              <w:marTop w:val="0"/>
              <w:marBottom w:val="240"/>
              <w:divBdr>
                <w:top w:val="none" w:sz="0" w:space="0" w:color="auto"/>
                <w:left w:val="none" w:sz="0" w:space="0" w:color="auto"/>
                <w:bottom w:val="none" w:sz="0" w:space="0" w:color="auto"/>
                <w:right w:val="none" w:sz="0" w:space="0" w:color="auto"/>
              </w:divBdr>
            </w:div>
            <w:div w:id="432358405">
              <w:marLeft w:val="0"/>
              <w:marRight w:val="0"/>
              <w:marTop w:val="0"/>
              <w:marBottom w:val="240"/>
              <w:divBdr>
                <w:top w:val="none" w:sz="0" w:space="0" w:color="auto"/>
                <w:left w:val="none" w:sz="0" w:space="0" w:color="auto"/>
                <w:bottom w:val="none" w:sz="0" w:space="0" w:color="auto"/>
                <w:right w:val="none" w:sz="0" w:space="0" w:color="auto"/>
              </w:divBdr>
            </w:div>
            <w:div w:id="2095468680">
              <w:marLeft w:val="0"/>
              <w:marRight w:val="0"/>
              <w:marTop w:val="0"/>
              <w:marBottom w:val="240"/>
              <w:divBdr>
                <w:top w:val="none" w:sz="0" w:space="0" w:color="auto"/>
                <w:left w:val="none" w:sz="0" w:space="0" w:color="auto"/>
                <w:bottom w:val="none" w:sz="0" w:space="0" w:color="auto"/>
                <w:right w:val="none" w:sz="0" w:space="0" w:color="auto"/>
              </w:divBdr>
            </w:div>
            <w:div w:id="12806572">
              <w:marLeft w:val="0"/>
              <w:marRight w:val="0"/>
              <w:marTop w:val="0"/>
              <w:marBottom w:val="240"/>
              <w:divBdr>
                <w:top w:val="none" w:sz="0" w:space="0" w:color="auto"/>
                <w:left w:val="none" w:sz="0" w:space="0" w:color="auto"/>
                <w:bottom w:val="none" w:sz="0" w:space="0" w:color="auto"/>
                <w:right w:val="none" w:sz="0" w:space="0" w:color="auto"/>
              </w:divBdr>
            </w:div>
            <w:div w:id="600534675">
              <w:marLeft w:val="0"/>
              <w:marRight w:val="0"/>
              <w:marTop w:val="0"/>
              <w:marBottom w:val="240"/>
              <w:divBdr>
                <w:top w:val="none" w:sz="0" w:space="0" w:color="auto"/>
                <w:left w:val="none" w:sz="0" w:space="0" w:color="auto"/>
                <w:bottom w:val="none" w:sz="0" w:space="0" w:color="auto"/>
                <w:right w:val="none" w:sz="0" w:space="0" w:color="auto"/>
              </w:divBdr>
            </w:div>
            <w:div w:id="415519405">
              <w:marLeft w:val="0"/>
              <w:marRight w:val="0"/>
              <w:marTop w:val="0"/>
              <w:marBottom w:val="240"/>
              <w:divBdr>
                <w:top w:val="none" w:sz="0" w:space="0" w:color="auto"/>
                <w:left w:val="none" w:sz="0" w:space="0" w:color="auto"/>
                <w:bottom w:val="none" w:sz="0" w:space="0" w:color="auto"/>
                <w:right w:val="none" w:sz="0" w:space="0" w:color="auto"/>
              </w:divBdr>
            </w:div>
            <w:div w:id="1663241530">
              <w:marLeft w:val="0"/>
              <w:marRight w:val="0"/>
              <w:marTop w:val="0"/>
              <w:marBottom w:val="240"/>
              <w:divBdr>
                <w:top w:val="none" w:sz="0" w:space="0" w:color="auto"/>
                <w:left w:val="none" w:sz="0" w:space="0" w:color="auto"/>
                <w:bottom w:val="none" w:sz="0" w:space="0" w:color="auto"/>
                <w:right w:val="none" w:sz="0" w:space="0" w:color="auto"/>
              </w:divBdr>
            </w:div>
            <w:div w:id="1718775769">
              <w:marLeft w:val="0"/>
              <w:marRight w:val="0"/>
              <w:marTop w:val="0"/>
              <w:marBottom w:val="240"/>
              <w:divBdr>
                <w:top w:val="none" w:sz="0" w:space="0" w:color="auto"/>
                <w:left w:val="none" w:sz="0" w:space="0" w:color="auto"/>
                <w:bottom w:val="none" w:sz="0" w:space="0" w:color="auto"/>
                <w:right w:val="none" w:sz="0" w:space="0" w:color="auto"/>
              </w:divBdr>
            </w:div>
            <w:div w:id="106393007">
              <w:marLeft w:val="0"/>
              <w:marRight w:val="0"/>
              <w:marTop w:val="0"/>
              <w:marBottom w:val="240"/>
              <w:divBdr>
                <w:top w:val="none" w:sz="0" w:space="0" w:color="auto"/>
                <w:left w:val="none" w:sz="0" w:space="0" w:color="auto"/>
                <w:bottom w:val="none" w:sz="0" w:space="0" w:color="auto"/>
                <w:right w:val="none" w:sz="0" w:space="0" w:color="auto"/>
              </w:divBdr>
            </w:div>
            <w:div w:id="232159501">
              <w:marLeft w:val="0"/>
              <w:marRight w:val="0"/>
              <w:marTop w:val="0"/>
              <w:marBottom w:val="240"/>
              <w:divBdr>
                <w:top w:val="none" w:sz="0" w:space="0" w:color="auto"/>
                <w:left w:val="none" w:sz="0" w:space="0" w:color="auto"/>
                <w:bottom w:val="none" w:sz="0" w:space="0" w:color="auto"/>
                <w:right w:val="none" w:sz="0" w:space="0" w:color="auto"/>
              </w:divBdr>
            </w:div>
            <w:div w:id="248974382">
              <w:marLeft w:val="0"/>
              <w:marRight w:val="0"/>
              <w:marTop w:val="0"/>
              <w:marBottom w:val="240"/>
              <w:divBdr>
                <w:top w:val="none" w:sz="0" w:space="0" w:color="auto"/>
                <w:left w:val="none" w:sz="0" w:space="0" w:color="auto"/>
                <w:bottom w:val="none" w:sz="0" w:space="0" w:color="auto"/>
                <w:right w:val="none" w:sz="0" w:space="0" w:color="auto"/>
              </w:divBdr>
            </w:div>
            <w:div w:id="1580099615">
              <w:marLeft w:val="0"/>
              <w:marRight w:val="0"/>
              <w:marTop w:val="0"/>
              <w:marBottom w:val="240"/>
              <w:divBdr>
                <w:top w:val="none" w:sz="0" w:space="0" w:color="auto"/>
                <w:left w:val="none" w:sz="0" w:space="0" w:color="auto"/>
                <w:bottom w:val="none" w:sz="0" w:space="0" w:color="auto"/>
                <w:right w:val="none" w:sz="0" w:space="0" w:color="auto"/>
              </w:divBdr>
            </w:div>
            <w:div w:id="371854302">
              <w:marLeft w:val="0"/>
              <w:marRight w:val="0"/>
              <w:marTop w:val="0"/>
              <w:marBottom w:val="240"/>
              <w:divBdr>
                <w:top w:val="none" w:sz="0" w:space="0" w:color="auto"/>
                <w:left w:val="none" w:sz="0" w:space="0" w:color="auto"/>
                <w:bottom w:val="none" w:sz="0" w:space="0" w:color="auto"/>
                <w:right w:val="none" w:sz="0" w:space="0" w:color="auto"/>
              </w:divBdr>
            </w:div>
            <w:div w:id="1156796669">
              <w:marLeft w:val="0"/>
              <w:marRight w:val="0"/>
              <w:marTop w:val="0"/>
              <w:marBottom w:val="240"/>
              <w:divBdr>
                <w:top w:val="none" w:sz="0" w:space="0" w:color="auto"/>
                <w:left w:val="none" w:sz="0" w:space="0" w:color="auto"/>
                <w:bottom w:val="none" w:sz="0" w:space="0" w:color="auto"/>
                <w:right w:val="none" w:sz="0" w:space="0" w:color="auto"/>
              </w:divBdr>
            </w:div>
            <w:div w:id="309486980">
              <w:marLeft w:val="0"/>
              <w:marRight w:val="0"/>
              <w:marTop w:val="0"/>
              <w:marBottom w:val="240"/>
              <w:divBdr>
                <w:top w:val="none" w:sz="0" w:space="0" w:color="auto"/>
                <w:left w:val="none" w:sz="0" w:space="0" w:color="auto"/>
                <w:bottom w:val="none" w:sz="0" w:space="0" w:color="auto"/>
                <w:right w:val="none" w:sz="0" w:space="0" w:color="auto"/>
              </w:divBdr>
            </w:div>
            <w:div w:id="716513079">
              <w:marLeft w:val="0"/>
              <w:marRight w:val="0"/>
              <w:marTop w:val="0"/>
              <w:marBottom w:val="240"/>
              <w:divBdr>
                <w:top w:val="none" w:sz="0" w:space="0" w:color="auto"/>
                <w:left w:val="none" w:sz="0" w:space="0" w:color="auto"/>
                <w:bottom w:val="none" w:sz="0" w:space="0" w:color="auto"/>
                <w:right w:val="none" w:sz="0" w:space="0" w:color="auto"/>
              </w:divBdr>
            </w:div>
            <w:div w:id="280386194">
              <w:marLeft w:val="0"/>
              <w:marRight w:val="0"/>
              <w:marTop w:val="0"/>
              <w:marBottom w:val="240"/>
              <w:divBdr>
                <w:top w:val="none" w:sz="0" w:space="0" w:color="auto"/>
                <w:left w:val="none" w:sz="0" w:space="0" w:color="auto"/>
                <w:bottom w:val="none" w:sz="0" w:space="0" w:color="auto"/>
                <w:right w:val="none" w:sz="0" w:space="0" w:color="auto"/>
              </w:divBdr>
            </w:div>
            <w:div w:id="1133327063">
              <w:marLeft w:val="0"/>
              <w:marRight w:val="0"/>
              <w:marTop w:val="0"/>
              <w:marBottom w:val="240"/>
              <w:divBdr>
                <w:top w:val="none" w:sz="0" w:space="0" w:color="auto"/>
                <w:left w:val="none" w:sz="0" w:space="0" w:color="auto"/>
                <w:bottom w:val="none" w:sz="0" w:space="0" w:color="auto"/>
                <w:right w:val="none" w:sz="0" w:space="0" w:color="auto"/>
              </w:divBdr>
            </w:div>
            <w:div w:id="80639872">
              <w:marLeft w:val="0"/>
              <w:marRight w:val="0"/>
              <w:marTop w:val="0"/>
              <w:marBottom w:val="240"/>
              <w:divBdr>
                <w:top w:val="none" w:sz="0" w:space="0" w:color="auto"/>
                <w:left w:val="none" w:sz="0" w:space="0" w:color="auto"/>
                <w:bottom w:val="none" w:sz="0" w:space="0" w:color="auto"/>
                <w:right w:val="none" w:sz="0" w:space="0" w:color="auto"/>
              </w:divBdr>
            </w:div>
            <w:div w:id="112748792">
              <w:marLeft w:val="0"/>
              <w:marRight w:val="0"/>
              <w:marTop w:val="0"/>
              <w:marBottom w:val="240"/>
              <w:divBdr>
                <w:top w:val="none" w:sz="0" w:space="0" w:color="auto"/>
                <w:left w:val="none" w:sz="0" w:space="0" w:color="auto"/>
                <w:bottom w:val="none" w:sz="0" w:space="0" w:color="auto"/>
                <w:right w:val="none" w:sz="0" w:space="0" w:color="auto"/>
              </w:divBdr>
            </w:div>
            <w:div w:id="363941556">
              <w:marLeft w:val="0"/>
              <w:marRight w:val="0"/>
              <w:marTop w:val="0"/>
              <w:marBottom w:val="240"/>
              <w:divBdr>
                <w:top w:val="none" w:sz="0" w:space="0" w:color="auto"/>
                <w:left w:val="none" w:sz="0" w:space="0" w:color="auto"/>
                <w:bottom w:val="none" w:sz="0" w:space="0" w:color="auto"/>
                <w:right w:val="none" w:sz="0" w:space="0" w:color="auto"/>
              </w:divBdr>
            </w:div>
            <w:div w:id="1917280012">
              <w:marLeft w:val="0"/>
              <w:marRight w:val="0"/>
              <w:marTop w:val="0"/>
              <w:marBottom w:val="240"/>
              <w:divBdr>
                <w:top w:val="none" w:sz="0" w:space="0" w:color="auto"/>
                <w:left w:val="none" w:sz="0" w:space="0" w:color="auto"/>
                <w:bottom w:val="none" w:sz="0" w:space="0" w:color="auto"/>
                <w:right w:val="none" w:sz="0" w:space="0" w:color="auto"/>
              </w:divBdr>
            </w:div>
            <w:div w:id="1915554424">
              <w:marLeft w:val="0"/>
              <w:marRight w:val="0"/>
              <w:marTop w:val="0"/>
              <w:marBottom w:val="240"/>
              <w:divBdr>
                <w:top w:val="none" w:sz="0" w:space="0" w:color="auto"/>
                <w:left w:val="none" w:sz="0" w:space="0" w:color="auto"/>
                <w:bottom w:val="none" w:sz="0" w:space="0" w:color="auto"/>
                <w:right w:val="none" w:sz="0" w:space="0" w:color="auto"/>
              </w:divBdr>
            </w:div>
            <w:div w:id="394745417">
              <w:marLeft w:val="0"/>
              <w:marRight w:val="0"/>
              <w:marTop w:val="0"/>
              <w:marBottom w:val="240"/>
              <w:divBdr>
                <w:top w:val="none" w:sz="0" w:space="0" w:color="auto"/>
                <w:left w:val="none" w:sz="0" w:space="0" w:color="auto"/>
                <w:bottom w:val="none" w:sz="0" w:space="0" w:color="auto"/>
                <w:right w:val="none" w:sz="0" w:space="0" w:color="auto"/>
              </w:divBdr>
            </w:div>
            <w:div w:id="1509632986">
              <w:marLeft w:val="0"/>
              <w:marRight w:val="0"/>
              <w:marTop w:val="0"/>
              <w:marBottom w:val="240"/>
              <w:divBdr>
                <w:top w:val="none" w:sz="0" w:space="0" w:color="auto"/>
                <w:left w:val="none" w:sz="0" w:space="0" w:color="auto"/>
                <w:bottom w:val="none" w:sz="0" w:space="0" w:color="auto"/>
                <w:right w:val="none" w:sz="0" w:space="0" w:color="auto"/>
              </w:divBdr>
            </w:div>
            <w:div w:id="1427725373">
              <w:marLeft w:val="0"/>
              <w:marRight w:val="0"/>
              <w:marTop w:val="0"/>
              <w:marBottom w:val="240"/>
              <w:divBdr>
                <w:top w:val="none" w:sz="0" w:space="0" w:color="auto"/>
                <w:left w:val="none" w:sz="0" w:space="0" w:color="auto"/>
                <w:bottom w:val="none" w:sz="0" w:space="0" w:color="auto"/>
                <w:right w:val="none" w:sz="0" w:space="0" w:color="auto"/>
              </w:divBdr>
            </w:div>
            <w:div w:id="974676696">
              <w:marLeft w:val="0"/>
              <w:marRight w:val="0"/>
              <w:marTop w:val="0"/>
              <w:marBottom w:val="240"/>
              <w:divBdr>
                <w:top w:val="none" w:sz="0" w:space="0" w:color="auto"/>
                <w:left w:val="none" w:sz="0" w:space="0" w:color="auto"/>
                <w:bottom w:val="none" w:sz="0" w:space="0" w:color="auto"/>
                <w:right w:val="none" w:sz="0" w:space="0" w:color="auto"/>
              </w:divBdr>
            </w:div>
            <w:div w:id="335615003">
              <w:marLeft w:val="0"/>
              <w:marRight w:val="0"/>
              <w:marTop w:val="0"/>
              <w:marBottom w:val="240"/>
              <w:divBdr>
                <w:top w:val="none" w:sz="0" w:space="0" w:color="auto"/>
                <w:left w:val="none" w:sz="0" w:space="0" w:color="auto"/>
                <w:bottom w:val="none" w:sz="0" w:space="0" w:color="auto"/>
                <w:right w:val="none" w:sz="0" w:space="0" w:color="auto"/>
              </w:divBdr>
            </w:div>
            <w:div w:id="1424957453">
              <w:marLeft w:val="0"/>
              <w:marRight w:val="0"/>
              <w:marTop w:val="0"/>
              <w:marBottom w:val="240"/>
              <w:divBdr>
                <w:top w:val="none" w:sz="0" w:space="0" w:color="auto"/>
                <w:left w:val="none" w:sz="0" w:space="0" w:color="auto"/>
                <w:bottom w:val="none" w:sz="0" w:space="0" w:color="auto"/>
                <w:right w:val="none" w:sz="0" w:space="0" w:color="auto"/>
              </w:divBdr>
            </w:div>
            <w:div w:id="579481197">
              <w:marLeft w:val="0"/>
              <w:marRight w:val="0"/>
              <w:marTop w:val="0"/>
              <w:marBottom w:val="240"/>
              <w:divBdr>
                <w:top w:val="none" w:sz="0" w:space="0" w:color="auto"/>
                <w:left w:val="none" w:sz="0" w:space="0" w:color="auto"/>
                <w:bottom w:val="none" w:sz="0" w:space="0" w:color="auto"/>
                <w:right w:val="none" w:sz="0" w:space="0" w:color="auto"/>
              </w:divBdr>
            </w:div>
            <w:div w:id="693190260">
              <w:marLeft w:val="0"/>
              <w:marRight w:val="0"/>
              <w:marTop w:val="0"/>
              <w:marBottom w:val="240"/>
              <w:divBdr>
                <w:top w:val="none" w:sz="0" w:space="0" w:color="auto"/>
                <w:left w:val="none" w:sz="0" w:space="0" w:color="auto"/>
                <w:bottom w:val="none" w:sz="0" w:space="0" w:color="auto"/>
                <w:right w:val="none" w:sz="0" w:space="0" w:color="auto"/>
              </w:divBdr>
            </w:div>
            <w:div w:id="242957503">
              <w:marLeft w:val="0"/>
              <w:marRight w:val="0"/>
              <w:marTop w:val="0"/>
              <w:marBottom w:val="240"/>
              <w:divBdr>
                <w:top w:val="none" w:sz="0" w:space="0" w:color="auto"/>
                <w:left w:val="none" w:sz="0" w:space="0" w:color="auto"/>
                <w:bottom w:val="none" w:sz="0" w:space="0" w:color="auto"/>
                <w:right w:val="none" w:sz="0" w:space="0" w:color="auto"/>
              </w:divBdr>
            </w:div>
            <w:div w:id="2050255517">
              <w:marLeft w:val="0"/>
              <w:marRight w:val="0"/>
              <w:marTop w:val="0"/>
              <w:marBottom w:val="240"/>
              <w:divBdr>
                <w:top w:val="none" w:sz="0" w:space="0" w:color="auto"/>
                <w:left w:val="none" w:sz="0" w:space="0" w:color="auto"/>
                <w:bottom w:val="none" w:sz="0" w:space="0" w:color="auto"/>
                <w:right w:val="none" w:sz="0" w:space="0" w:color="auto"/>
              </w:divBdr>
            </w:div>
            <w:div w:id="863059606">
              <w:marLeft w:val="0"/>
              <w:marRight w:val="0"/>
              <w:marTop w:val="0"/>
              <w:marBottom w:val="240"/>
              <w:divBdr>
                <w:top w:val="none" w:sz="0" w:space="0" w:color="auto"/>
                <w:left w:val="none" w:sz="0" w:space="0" w:color="auto"/>
                <w:bottom w:val="none" w:sz="0" w:space="0" w:color="auto"/>
                <w:right w:val="none" w:sz="0" w:space="0" w:color="auto"/>
              </w:divBdr>
            </w:div>
            <w:div w:id="255478458">
              <w:marLeft w:val="0"/>
              <w:marRight w:val="0"/>
              <w:marTop w:val="0"/>
              <w:marBottom w:val="240"/>
              <w:divBdr>
                <w:top w:val="none" w:sz="0" w:space="0" w:color="auto"/>
                <w:left w:val="none" w:sz="0" w:space="0" w:color="auto"/>
                <w:bottom w:val="none" w:sz="0" w:space="0" w:color="auto"/>
                <w:right w:val="none" w:sz="0" w:space="0" w:color="auto"/>
              </w:divBdr>
            </w:div>
            <w:div w:id="1492062909">
              <w:marLeft w:val="0"/>
              <w:marRight w:val="0"/>
              <w:marTop w:val="0"/>
              <w:marBottom w:val="240"/>
              <w:divBdr>
                <w:top w:val="none" w:sz="0" w:space="0" w:color="auto"/>
                <w:left w:val="none" w:sz="0" w:space="0" w:color="auto"/>
                <w:bottom w:val="none" w:sz="0" w:space="0" w:color="auto"/>
                <w:right w:val="none" w:sz="0" w:space="0" w:color="auto"/>
              </w:divBdr>
            </w:div>
            <w:div w:id="1586259524">
              <w:marLeft w:val="0"/>
              <w:marRight w:val="0"/>
              <w:marTop w:val="0"/>
              <w:marBottom w:val="240"/>
              <w:divBdr>
                <w:top w:val="none" w:sz="0" w:space="0" w:color="auto"/>
                <w:left w:val="none" w:sz="0" w:space="0" w:color="auto"/>
                <w:bottom w:val="none" w:sz="0" w:space="0" w:color="auto"/>
                <w:right w:val="none" w:sz="0" w:space="0" w:color="auto"/>
              </w:divBdr>
            </w:div>
            <w:div w:id="1389375632">
              <w:marLeft w:val="0"/>
              <w:marRight w:val="0"/>
              <w:marTop w:val="0"/>
              <w:marBottom w:val="240"/>
              <w:divBdr>
                <w:top w:val="none" w:sz="0" w:space="0" w:color="auto"/>
                <w:left w:val="none" w:sz="0" w:space="0" w:color="auto"/>
                <w:bottom w:val="none" w:sz="0" w:space="0" w:color="auto"/>
                <w:right w:val="none" w:sz="0" w:space="0" w:color="auto"/>
              </w:divBdr>
            </w:div>
            <w:div w:id="699357832">
              <w:marLeft w:val="0"/>
              <w:marRight w:val="0"/>
              <w:marTop w:val="0"/>
              <w:marBottom w:val="240"/>
              <w:divBdr>
                <w:top w:val="none" w:sz="0" w:space="0" w:color="auto"/>
                <w:left w:val="none" w:sz="0" w:space="0" w:color="auto"/>
                <w:bottom w:val="none" w:sz="0" w:space="0" w:color="auto"/>
                <w:right w:val="none" w:sz="0" w:space="0" w:color="auto"/>
              </w:divBdr>
            </w:div>
            <w:div w:id="652486845">
              <w:marLeft w:val="0"/>
              <w:marRight w:val="0"/>
              <w:marTop w:val="0"/>
              <w:marBottom w:val="240"/>
              <w:divBdr>
                <w:top w:val="none" w:sz="0" w:space="0" w:color="auto"/>
                <w:left w:val="none" w:sz="0" w:space="0" w:color="auto"/>
                <w:bottom w:val="none" w:sz="0" w:space="0" w:color="auto"/>
                <w:right w:val="none" w:sz="0" w:space="0" w:color="auto"/>
              </w:divBdr>
            </w:div>
            <w:div w:id="1606302215">
              <w:marLeft w:val="0"/>
              <w:marRight w:val="0"/>
              <w:marTop w:val="0"/>
              <w:marBottom w:val="240"/>
              <w:divBdr>
                <w:top w:val="none" w:sz="0" w:space="0" w:color="auto"/>
                <w:left w:val="none" w:sz="0" w:space="0" w:color="auto"/>
                <w:bottom w:val="none" w:sz="0" w:space="0" w:color="auto"/>
                <w:right w:val="none" w:sz="0" w:space="0" w:color="auto"/>
              </w:divBdr>
            </w:div>
            <w:div w:id="1151556192">
              <w:marLeft w:val="0"/>
              <w:marRight w:val="0"/>
              <w:marTop w:val="0"/>
              <w:marBottom w:val="240"/>
              <w:divBdr>
                <w:top w:val="none" w:sz="0" w:space="0" w:color="auto"/>
                <w:left w:val="none" w:sz="0" w:space="0" w:color="auto"/>
                <w:bottom w:val="none" w:sz="0" w:space="0" w:color="auto"/>
                <w:right w:val="none" w:sz="0" w:space="0" w:color="auto"/>
              </w:divBdr>
            </w:div>
            <w:div w:id="720054084">
              <w:marLeft w:val="0"/>
              <w:marRight w:val="0"/>
              <w:marTop w:val="0"/>
              <w:marBottom w:val="240"/>
              <w:divBdr>
                <w:top w:val="none" w:sz="0" w:space="0" w:color="auto"/>
                <w:left w:val="none" w:sz="0" w:space="0" w:color="auto"/>
                <w:bottom w:val="none" w:sz="0" w:space="0" w:color="auto"/>
                <w:right w:val="none" w:sz="0" w:space="0" w:color="auto"/>
              </w:divBdr>
            </w:div>
            <w:div w:id="10563">
              <w:marLeft w:val="0"/>
              <w:marRight w:val="0"/>
              <w:marTop w:val="0"/>
              <w:marBottom w:val="240"/>
              <w:divBdr>
                <w:top w:val="none" w:sz="0" w:space="0" w:color="auto"/>
                <w:left w:val="none" w:sz="0" w:space="0" w:color="auto"/>
                <w:bottom w:val="none" w:sz="0" w:space="0" w:color="auto"/>
                <w:right w:val="none" w:sz="0" w:space="0" w:color="auto"/>
              </w:divBdr>
            </w:div>
            <w:div w:id="201748520">
              <w:marLeft w:val="0"/>
              <w:marRight w:val="0"/>
              <w:marTop w:val="0"/>
              <w:marBottom w:val="240"/>
              <w:divBdr>
                <w:top w:val="none" w:sz="0" w:space="0" w:color="auto"/>
                <w:left w:val="none" w:sz="0" w:space="0" w:color="auto"/>
                <w:bottom w:val="none" w:sz="0" w:space="0" w:color="auto"/>
                <w:right w:val="none" w:sz="0" w:space="0" w:color="auto"/>
              </w:divBdr>
            </w:div>
            <w:div w:id="1620063738">
              <w:marLeft w:val="0"/>
              <w:marRight w:val="0"/>
              <w:marTop w:val="0"/>
              <w:marBottom w:val="240"/>
              <w:divBdr>
                <w:top w:val="none" w:sz="0" w:space="0" w:color="auto"/>
                <w:left w:val="none" w:sz="0" w:space="0" w:color="auto"/>
                <w:bottom w:val="none" w:sz="0" w:space="0" w:color="auto"/>
                <w:right w:val="none" w:sz="0" w:space="0" w:color="auto"/>
              </w:divBdr>
            </w:div>
            <w:div w:id="1290893244">
              <w:marLeft w:val="0"/>
              <w:marRight w:val="0"/>
              <w:marTop w:val="0"/>
              <w:marBottom w:val="240"/>
              <w:divBdr>
                <w:top w:val="none" w:sz="0" w:space="0" w:color="auto"/>
                <w:left w:val="none" w:sz="0" w:space="0" w:color="auto"/>
                <w:bottom w:val="none" w:sz="0" w:space="0" w:color="auto"/>
                <w:right w:val="none" w:sz="0" w:space="0" w:color="auto"/>
              </w:divBdr>
            </w:div>
            <w:div w:id="179709211">
              <w:marLeft w:val="0"/>
              <w:marRight w:val="0"/>
              <w:marTop w:val="0"/>
              <w:marBottom w:val="240"/>
              <w:divBdr>
                <w:top w:val="none" w:sz="0" w:space="0" w:color="auto"/>
                <w:left w:val="none" w:sz="0" w:space="0" w:color="auto"/>
                <w:bottom w:val="none" w:sz="0" w:space="0" w:color="auto"/>
                <w:right w:val="none" w:sz="0" w:space="0" w:color="auto"/>
              </w:divBdr>
            </w:div>
            <w:div w:id="146096974">
              <w:marLeft w:val="0"/>
              <w:marRight w:val="0"/>
              <w:marTop w:val="0"/>
              <w:marBottom w:val="240"/>
              <w:divBdr>
                <w:top w:val="none" w:sz="0" w:space="0" w:color="auto"/>
                <w:left w:val="none" w:sz="0" w:space="0" w:color="auto"/>
                <w:bottom w:val="none" w:sz="0" w:space="0" w:color="auto"/>
                <w:right w:val="none" w:sz="0" w:space="0" w:color="auto"/>
              </w:divBdr>
            </w:div>
            <w:div w:id="519903827">
              <w:marLeft w:val="0"/>
              <w:marRight w:val="0"/>
              <w:marTop w:val="0"/>
              <w:marBottom w:val="240"/>
              <w:divBdr>
                <w:top w:val="none" w:sz="0" w:space="0" w:color="auto"/>
                <w:left w:val="none" w:sz="0" w:space="0" w:color="auto"/>
                <w:bottom w:val="none" w:sz="0" w:space="0" w:color="auto"/>
                <w:right w:val="none" w:sz="0" w:space="0" w:color="auto"/>
              </w:divBdr>
            </w:div>
            <w:div w:id="1761293115">
              <w:marLeft w:val="0"/>
              <w:marRight w:val="0"/>
              <w:marTop w:val="0"/>
              <w:marBottom w:val="240"/>
              <w:divBdr>
                <w:top w:val="none" w:sz="0" w:space="0" w:color="auto"/>
                <w:left w:val="none" w:sz="0" w:space="0" w:color="auto"/>
                <w:bottom w:val="none" w:sz="0" w:space="0" w:color="auto"/>
                <w:right w:val="none" w:sz="0" w:space="0" w:color="auto"/>
              </w:divBdr>
            </w:div>
            <w:div w:id="1987466051">
              <w:marLeft w:val="0"/>
              <w:marRight w:val="0"/>
              <w:marTop w:val="0"/>
              <w:marBottom w:val="240"/>
              <w:divBdr>
                <w:top w:val="none" w:sz="0" w:space="0" w:color="auto"/>
                <w:left w:val="none" w:sz="0" w:space="0" w:color="auto"/>
                <w:bottom w:val="none" w:sz="0" w:space="0" w:color="auto"/>
                <w:right w:val="none" w:sz="0" w:space="0" w:color="auto"/>
              </w:divBdr>
            </w:div>
            <w:div w:id="1576431264">
              <w:marLeft w:val="0"/>
              <w:marRight w:val="0"/>
              <w:marTop w:val="0"/>
              <w:marBottom w:val="240"/>
              <w:divBdr>
                <w:top w:val="none" w:sz="0" w:space="0" w:color="auto"/>
                <w:left w:val="none" w:sz="0" w:space="0" w:color="auto"/>
                <w:bottom w:val="none" w:sz="0" w:space="0" w:color="auto"/>
                <w:right w:val="none" w:sz="0" w:space="0" w:color="auto"/>
              </w:divBdr>
            </w:div>
            <w:div w:id="542716330">
              <w:marLeft w:val="0"/>
              <w:marRight w:val="0"/>
              <w:marTop w:val="0"/>
              <w:marBottom w:val="240"/>
              <w:divBdr>
                <w:top w:val="none" w:sz="0" w:space="0" w:color="auto"/>
                <w:left w:val="none" w:sz="0" w:space="0" w:color="auto"/>
                <w:bottom w:val="none" w:sz="0" w:space="0" w:color="auto"/>
                <w:right w:val="none" w:sz="0" w:space="0" w:color="auto"/>
              </w:divBdr>
            </w:div>
            <w:div w:id="1329560387">
              <w:marLeft w:val="0"/>
              <w:marRight w:val="0"/>
              <w:marTop w:val="0"/>
              <w:marBottom w:val="240"/>
              <w:divBdr>
                <w:top w:val="none" w:sz="0" w:space="0" w:color="auto"/>
                <w:left w:val="none" w:sz="0" w:space="0" w:color="auto"/>
                <w:bottom w:val="none" w:sz="0" w:space="0" w:color="auto"/>
                <w:right w:val="none" w:sz="0" w:space="0" w:color="auto"/>
              </w:divBdr>
            </w:div>
            <w:div w:id="1546793948">
              <w:marLeft w:val="0"/>
              <w:marRight w:val="0"/>
              <w:marTop w:val="0"/>
              <w:marBottom w:val="240"/>
              <w:divBdr>
                <w:top w:val="none" w:sz="0" w:space="0" w:color="auto"/>
                <w:left w:val="none" w:sz="0" w:space="0" w:color="auto"/>
                <w:bottom w:val="none" w:sz="0" w:space="0" w:color="auto"/>
                <w:right w:val="none" w:sz="0" w:space="0" w:color="auto"/>
              </w:divBdr>
            </w:div>
            <w:div w:id="500892211">
              <w:marLeft w:val="0"/>
              <w:marRight w:val="0"/>
              <w:marTop w:val="0"/>
              <w:marBottom w:val="240"/>
              <w:divBdr>
                <w:top w:val="none" w:sz="0" w:space="0" w:color="auto"/>
                <w:left w:val="none" w:sz="0" w:space="0" w:color="auto"/>
                <w:bottom w:val="none" w:sz="0" w:space="0" w:color="auto"/>
                <w:right w:val="none" w:sz="0" w:space="0" w:color="auto"/>
              </w:divBdr>
            </w:div>
            <w:div w:id="1416824565">
              <w:marLeft w:val="0"/>
              <w:marRight w:val="0"/>
              <w:marTop w:val="0"/>
              <w:marBottom w:val="240"/>
              <w:divBdr>
                <w:top w:val="none" w:sz="0" w:space="0" w:color="auto"/>
                <w:left w:val="none" w:sz="0" w:space="0" w:color="auto"/>
                <w:bottom w:val="none" w:sz="0" w:space="0" w:color="auto"/>
                <w:right w:val="none" w:sz="0" w:space="0" w:color="auto"/>
              </w:divBdr>
            </w:div>
            <w:div w:id="1883205510">
              <w:marLeft w:val="0"/>
              <w:marRight w:val="0"/>
              <w:marTop w:val="0"/>
              <w:marBottom w:val="240"/>
              <w:divBdr>
                <w:top w:val="none" w:sz="0" w:space="0" w:color="auto"/>
                <w:left w:val="none" w:sz="0" w:space="0" w:color="auto"/>
                <w:bottom w:val="none" w:sz="0" w:space="0" w:color="auto"/>
                <w:right w:val="none" w:sz="0" w:space="0" w:color="auto"/>
              </w:divBdr>
            </w:div>
            <w:div w:id="139151779">
              <w:marLeft w:val="0"/>
              <w:marRight w:val="0"/>
              <w:marTop w:val="0"/>
              <w:marBottom w:val="240"/>
              <w:divBdr>
                <w:top w:val="none" w:sz="0" w:space="0" w:color="auto"/>
                <w:left w:val="none" w:sz="0" w:space="0" w:color="auto"/>
                <w:bottom w:val="none" w:sz="0" w:space="0" w:color="auto"/>
                <w:right w:val="none" w:sz="0" w:space="0" w:color="auto"/>
              </w:divBdr>
            </w:div>
            <w:div w:id="142477860">
              <w:marLeft w:val="0"/>
              <w:marRight w:val="0"/>
              <w:marTop w:val="0"/>
              <w:marBottom w:val="240"/>
              <w:divBdr>
                <w:top w:val="none" w:sz="0" w:space="0" w:color="auto"/>
                <w:left w:val="none" w:sz="0" w:space="0" w:color="auto"/>
                <w:bottom w:val="none" w:sz="0" w:space="0" w:color="auto"/>
                <w:right w:val="none" w:sz="0" w:space="0" w:color="auto"/>
              </w:divBdr>
            </w:div>
            <w:div w:id="395781733">
              <w:marLeft w:val="0"/>
              <w:marRight w:val="0"/>
              <w:marTop w:val="0"/>
              <w:marBottom w:val="240"/>
              <w:divBdr>
                <w:top w:val="none" w:sz="0" w:space="0" w:color="auto"/>
                <w:left w:val="none" w:sz="0" w:space="0" w:color="auto"/>
                <w:bottom w:val="none" w:sz="0" w:space="0" w:color="auto"/>
                <w:right w:val="none" w:sz="0" w:space="0" w:color="auto"/>
              </w:divBdr>
            </w:div>
            <w:div w:id="214005295">
              <w:marLeft w:val="0"/>
              <w:marRight w:val="0"/>
              <w:marTop w:val="0"/>
              <w:marBottom w:val="240"/>
              <w:divBdr>
                <w:top w:val="none" w:sz="0" w:space="0" w:color="auto"/>
                <w:left w:val="none" w:sz="0" w:space="0" w:color="auto"/>
                <w:bottom w:val="none" w:sz="0" w:space="0" w:color="auto"/>
                <w:right w:val="none" w:sz="0" w:space="0" w:color="auto"/>
              </w:divBdr>
            </w:div>
            <w:div w:id="615791774">
              <w:marLeft w:val="0"/>
              <w:marRight w:val="0"/>
              <w:marTop w:val="0"/>
              <w:marBottom w:val="240"/>
              <w:divBdr>
                <w:top w:val="none" w:sz="0" w:space="0" w:color="auto"/>
                <w:left w:val="none" w:sz="0" w:space="0" w:color="auto"/>
                <w:bottom w:val="none" w:sz="0" w:space="0" w:color="auto"/>
                <w:right w:val="none" w:sz="0" w:space="0" w:color="auto"/>
              </w:divBdr>
            </w:div>
            <w:div w:id="201015292">
              <w:marLeft w:val="0"/>
              <w:marRight w:val="0"/>
              <w:marTop w:val="0"/>
              <w:marBottom w:val="240"/>
              <w:divBdr>
                <w:top w:val="none" w:sz="0" w:space="0" w:color="auto"/>
                <w:left w:val="none" w:sz="0" w:space="0" w:color="auto"/>
                <w:bottom w:val="none" w:sz="0" w:space="0" w:color="auto"/>
                <w:right w:val="none" w:sz="0" w:space="0" w:color="auto"/>
              </w:divBdr>
            </w:div>
            <w:div w:id="973170082">
              <w:marLeft w:val="0"/>
              <w:marRight w:val="0"/>
              <w:marTop w:val="0"/>
              <w:marBottom w:val="240"/>
              <w:divBdr>
                <w:top w:val="none" w:sz="0" w:space="0" w:color="auto"/>
                <w:left w:val="none" w:sz="0" w:space="0" w:color="auto"/>
                <w:bottom w:val="none" w:sz="0" w:space="0" w:color="auto"/>
                <w:right w:val="none" w:sz="0" w:space="0" w:color="auto"/>
              </w:divBdr>
            </w:div>
            <w:div w:id="640816473">
              <w:marLeft w:val="0"/>
              <w:marRight w:val="0"/>
              <w:marTop w:val="0"/>
              <w:marBottom w:val="240"/>
              <w:divBdr>
                <w:top w:val="none" w:sz="0" w:space="0" w:color="auto"/>
                <w:left w:val="none" w:sz="0" w:space="0" w:color="auto"/>
                <w:bottom w:val="none" w:sz="0" w:space="0" w:color="auto"/>
                <w:right w:val="none" w:sz="0" w:space="0" w:color="auto"/>
              </w:divBdr>
            </w:div>
            <w:div w:id="290020194">
              <w:marLeft w:val="0"/>
              <w:marRight w:val="0"/>
              <w:marTop w:val="0"/>
              <w:marBottom w:val="240"/>
              <w:divBdr>
                <w:top w:val="none" w:sz="0" w:space="0" w:color="auto"/>
                <w:left w:val="none" w:sz="0" w:space="0" w:color="auto"/>
                <w:bottom w:val="none" w:sz="0" w:space="0" w:color="auto"/>
                <w:right w:val="none" w:sz="0" w:space="0" w:color="auto"/>
              </w:divBdr>
            </w:div>
            <w:div w:id="1456607590">
              <w:marLeft w:val="0"/>
              <w:marRight w:val="0"/>
              <w:marTop w:val="0"/>
              <w:marBottom w:val="240"/>
              <w:divBdr>
                <w:top w:val="none" w:sz="0" w:space="0" w:color="auto"/>
                <w:left w:val="none" w:sz="0" w:space="0" w:color="auto"/>
                <w:bottom w:val="none" w:sz="0" w:space="0" w:color="auto"/>
                <w:right w:val="none" w:sz="0" w:space="0" w:color="auto"/>
              </w:divBdr>
            </w:div>
            <w:div w:id="95517967">
              <w:marLeft w:val="0"/>
              <w:marRight w:val="0"/>
              <w:marTop w:val="0"/>
              <w:marBottom w:val="240"/>
              <w:divBdr>
                <w:top w:val="none" w:sz="0" w:space="0" w:color="auto"/>
                <w:left w:val="none" w:sz="0" w:space="0" w:color="auto"/>
                <w:bottom w:val="none" w:sz="0" w:space="0" w:color="auto"/>
                <w:right w:val="none" w:sz="0" w:space="0" w:color="auto"/>
              </w:divBdr>
            </w:div>
            <w:div w:id="1688679860">
              <w:marLeft w:val="0"/>
              <w:marRight w:val="0"/>
              <w:marTop w:val="0"/>
              <w:marBottom w:val="240"/>
              <w:divBdr>
                <w:top w:val="none" w:sz="0" w:space="0" w:color="auto"/>
                <w:left w:val="none" w:sz="0" w:space="0" w:color="auto"/>
                <w:bottom w:val="none" w:sz="0" w:space="0" w:color="auto"/>
                <w:right w:val="none" w:sz="0" w:space="0" w:color="auto"/>
              </w:divBdr>
            </w:div>
            <w:div w:id="1650594747">
              <w:marLeft w:val="0"/>
              <w:marRight w:val="0"/>
              <w:marTop w:val="0"/>
              <w:marBottom w:val="240"/>
              <w:divBdr>
                <w:top w:val="none" w:sz="0" w:space="0" w:color="auto"/>
                <w:left w:val="none" w:sz="0" w:space="0" w:color="auto"/>
                <w:bottom w:val="none" w:sz="0" w:space="0" w:color="auto"/>
                <w:right w:val="none" w:sz="0" w:space="0" w:color="auto"/>
              </w:divBdr>
            </w:div>
            <w:div w:id="67851634">
              <w:marLeft w:val="0"/>
              <w:marRight w:val="0"/>
              <w:marTop w:val="0"/>
              <w:marBottom w:val="240"/>
              <w:divBdr>
                <w:top w:val="none" w:sz="0" w:space="0" w:color="auto"/>
                <w:left w:val="none" w:sz="0" w:space="0" w:color="auto"/>
                <w:bottom w:val="none" w:sz="0" w:space="0" w:color="auto"/>
                <w:right w:val="none" w:sz="0" w:space="0" w:color="auto"/>
              </w:divBdr>
            </w:div>
            <w:div w:id="331298982">
              <w:marLeft w:val="0"/>
              <w:marRight w:val="0"/>
              <w:marTop w:val="0"/>
              <w:marBottom w:val="240"/>
              <w:divBdr>
                <w:top w:val="none" w:sz="0" w:space="0" w:color="auto"/>
                <w:left w:val="none" w:sz="0" w:space="0" w:color="auto"/>
                <w:bottom w:val="none" w:sz="0" w:space="0" w:color="auto"/>
                <w:right w:val="none" w:sz="0" w:space="0" w:color="auto"/>
              </w:divBdr>
            </w:div>
            <w:div w:id="1213276118">
              <w:marLeft w:val="0"/>
              <w:marRight w:val="0"/>
              <w:marTop w:val="0"/>
              <w:marBottom w:val="240"/>
              <w:divBdr>
                <w:top w:val="none" w:sz="0" w:space="0" w:color="auto"/>
                <w:left w:val="none" w:sz="0" w:space="0" w:color="auto"/>
                <w:bottom w:val="none" w:sz="0" w:space="0" w:color="auto"/>
                <w:right w:val="none" w:sz="0" w:space="0" w:color="auto"/>
              </w:divBdr>
            </w:div>
            <w:div w:id="1598824928">
              <w:marLeft w:val="0"/>
              <w:marRight w:val="0"/>
              <w:marTop w:val="0"/>
              <w:marBottom w:val="240"/>
              <w:divBdr>
                <w:top w:val="none" w:sz="0" w:space="0" w:color="auto"/>
                <w:left w:val="none" w:sz="0" w:space="0" w:color="auto"/>
                <w:bottom w:val="none" w:sz="0" w:space="0" w:color="auto"/>
                <w:right w:val="none" w:sz="0" w:space="0" w:color="auto"/>
              </w:divBdr>
            </w:div>
            <w:div w:id="480539582">
              <w:marLeft w:val="0"/>
              <w:marRight w:val="0"/>
              <w:marTop w:val="0"/>
              <w:marBottom w:val="240"/>
              <w:divBdr>
                <w:top w:val="none" w:sz="0" w:space="0" w:color="auto"/>
                <w:left w:val="none" w:sz="0" w:space="0" w:color="auto"/>
                <w:bottom w:val="none" w:sz="0" w:space="0" w:color="auto"/>
                <w:right w:val="none" w:sz="0" w:space="0" w:color="auto"/>
              </w:divBdr>
            </w:div>
            <w:div w:id="1554081188">
              <w:marLeft w:val="0"/>
              <w:marRight w:val="0"/>
              <w:marTop w:val="0"/>
              <w:marBottom w:val="240"/>
              <w:divBdr>
                <w:top w:val="none" w:sz="0" w:space="0" w:color="auto"/>
                <w:left w:val="none" w:sz="0" w:space="0" w:color="auto"/>
                <w:bottom w:val="none" w:sz="0" w:space="0" w:color="auto"/>
                <w:right w:val="none" w:sz="0" w:space="0" w:color="auto"/>
              </w:divBdr>
            </w:div>
            <w:div w:id="1603227350">
              <w:marLeft w:val="0"/>
              <w:marRight w:val="0"/>
              <w:marTop w:val="0"/>
              <w:marBottom w:val="240"/>
              <w:divBdr>
                <w:top w:val="none" w:sz="0" w:space="0" w:color="auto"/>
                <w:left w:val="none" w:sz="0" w:space="0" w:color="auto"/>
                <w:bottom w:val="none" w:sz="0" w:space="0" w:color="auto"/>
                <w:right w:val="none" w:sz="0" w:space="0" w:color="auto"/>
              </w:divBdr>
            </w:div>
            <w:div w:id="239104319">
              <w:marLeft w:val="0"/>
              <w:marRight w:val="0"/>
              <w:marTop w:val="0"/>
              <w:marBottom w:val="240"/>
              <w:divBdr>
                <w:top w:val="none" w:sz="0" w:space="0" w:color="auto"/>
                <w:left w:val="none" w:sz="0" w:space="0" w:color="auto"/>
                <w:bottom w:val="none" w:sz="0" w:space="0" w:color="auto"/>
                <w:right w:val="none" w:sz="0" w:space="0" w:color="auto"/>
              </w:divBdr>
            </w:div>
            <w:div w:id="934093668">
              <w:marLeft w:val="0"/>
              <w:marRight w:val="0"/>
              <w:marTop w:val="0"/>
              <w:marBottom w:val="240"/>
              <w:divBdr>
                <w:top w:val="none" w:sz="0" w:space="0" w:color="auto"/>
                <w:left w:val="none" w:sz="0" w:space="0" w:color="auto"/>
                <w:bottom w:val="none" w:sz="0" w:space="0" w:color="auto"/>
                <w:right w:val="none" w:sz="0" w:space="0" w:color="auto"/>
              </w:divBdr>
            </w:div>
            <w:div w:id="941376349">
              <w:marLeft w:val="0"/>
              <w:marRight w:val="0"/>
              <w:marTop w:val="0"/>
              <w:marBottom w:val="240"/>
              <w:divBdr>
                <w:top w:val="none" w:sz="0" w:space="0" w:color="auto"/>
                <w:left w:val="none" w:sz="0" w:space="0" w:color="auto"/>
                <w:bottom w:val="none" w:sz="0" w:space="0" w:color="auto"/>
                <w:right w:val="none" w:sz="0" w:space="0" w:color="auto"/>
              </w:divBdr>
            </w:div>
            <w:div w:id="1500536216">
              <w:marLeft w:val="0"/>
              <w:marRight w:val="0"/>
              <w:marTop w:val="0"/>
              <w:marBottom w:val="240"/>
              <w:divBdr>
                <w:top w:val="none" w:sz="0" w:space="0" w:color="auto"/>
                <w:left w:val="none" w:sz="0" w:space="0" w:color="auto"/>
                <w:bottom w:val="none" w:sz="0" w:space="0" w:color="auto"/>
                <w:right w:val="none" w:sz="0" w:space="0" w:color="auto"/>
              </w:divBdr>
            </w:div>
            <w:div w:id="867257725">
              <w:marLeft w:val="0"/>
              <w:marRight w:val="0"/>
              <w:marTop w:val="0"/>
              <w:marBottom w:val="240"/>
              <w:divBdr>
                <w:top w:val="none" w:sz="0" w:space="0" w:color="auto"/>
                <w:left w:val="none" w:sz="0" w:space="0" w:color="auto"/>
                <w:bottom w:val="none" w:sz="0" w:space="0" w:color="auto"/>
                <w:right w:val="none" w:sz="0" w:space="0" w:color="auto"/>
              </w:divBdr>
            </w:div>
            <w:div w:id="1218010147">
              <w:marLeft w:val="0"/>
              <w:marRight w:val="0"/>
              <w:marTop w:val="0"/>
              <w:marBottom w:val="240"/>
              <w:divBdr>
                <w:top w:val="none" w:sz="0" w:space="0" w:color="auto"/>
                <w:left w:val="none" w:sz="0" w:space="0" w:color="auto"/>
                <w:bottom w:val="none" w:sz="0" w:space="0" w:color="auto"/>
                <w:right w:val="none" w:sz="0" w:space="0" w:color="auto"/>
              </w:divBdr>
            </w:div>
            <w:div w:id="1237591679">
              <w:marLeft w:val="0"/>
              <w:marRight w:val="0"/>
              <w:marTop w:val="0"/>
              <w:marBottom w:val="240"/>
              <w:divBdr>
                <w:top w:val="none" w:sz="0" w:space="0" w:color="auto"/>
                <w:left w:val="none" w:sz="0" w:space="0" w:color="auto"/>
                <w:bottom w:val="none" w:sz="0" w:space="0" w:color="auto"/>
                <w:right w:val="none" w:sz="0" w:space="0" w:color="auto"/>
              </w:divBdr>
            </w:div>
            <w:div w:id="1933119524">
              <w:marLeft w:val="0"/>
              <w:marRight w:val="0"/>
              <w:marTop w:val="0"/>
              <w:marBottom w:val="240"/>
              <w:divBdr>
                <w:top w:val="none" w:sz="0" w:space="0" w:color="auto"/>
                <w:left w:val="none" w:sz="0" w:space="0" w:color="auto"/>
                <w:bottom w:val="none" w:sz="0" w:space="0" w:color="auto"/>
                <w:right w:val="none" w:sz="0" w:space="0" w:color="auto"/>
              </w:divBdr>
            </w:div>
            <w:div w:id="798912262">
              <w:marLeft w:val="0"/>
              <w:marRight w:val="0"/>
              <w:marTop w:val="0"/>
              <w:marBottom w:val="240"/>
              <w:divBdr>
                <w:top w:val="none" w:sz="0" w:space="0" w:color="auto"/>
                <w:left w:val="none" w:sz="0" w:space="0" w:color="auto"/>
                <w:bottom w:val="none" w:sz="0" w:space="0" w:color="auto"/>
                <w:right w:val="none" w:sz="0" w:space="0" w:color="auto"/>
              </w:divBdr>
            </w:div>
            <w:div w:id="1536189089">
              <w:marLeft w:val="0"/>
              <w:marRight w:val="0"/>
              <w:marTop w:val="0"/>
              <w:marBottom w:val="240"/>
              <w:divBdr>
                <w:top w:val="none" w:sz="0" w:space="0" w:color="auto"/>
                <w:left w:val="none" w:sz="0" w:space="0" w:color="auto"/>
                <w:bottom w:val="none" w:sz="0" w:space="0" w:color="auto"/>
                <w:right w:val="none" w:sz="0" w:space="0" w:color="auto"/>
              </w:divBdr>
            </w:div>
            <w:div w:id="1459690484">
              <w:marLeft w:val="0"/>
              <w:marRight w:val="0"/>
              <w:marTop w:val="0"/>
              <w:marBottom w:val="240"/>
              <w:divBdr>
                <w:top w:val="none" w:sz="0" w:space="0" w:color="auto"/>
                <w:left w:val="none" w:sz="0" w:space="0" w:color="auto"/>
                <w:bottom w:val="none" w:sz="0" w:space="0" w:color="auto"/>
                <w:right w:val="none" w:sz="0" w:space="0" w:color="auto"/>
              </w:divBdr>
            </w:div>
            <w:div w:id="1659965842">
              <w:marLeft w:val="0"/>
              <w:marRight w:val="0"/>
              <w:marTop w:val="0"/>
              <w:marBottom w:val="240"/>
              <w:divBdr>
                <w:top w:val="none" w:sz="0" w:space="0" w:color="auto"/>
                <w:left w:val="none" w:sz="0" w:space="0" w:color="auto"/>
                <w:bottom w:val="none" w:sz="0" w:space="0" w:color="auto"/>
                <w:right w:val="none" w:sz="0" w:space="0" w:color="auto"/>
              </w:divBdr>
            </w:div>
            <w:div w:id="339545357">
              <w:marLeft w:val="0"/>
              <w:marRight w:val="0"/>
              <w:marTop w:val="0"/>
              <w:marBottom w:val="240"/>
              <w:divBdr>
                <w:top w:val="none" w:sz="0" w:space="0" w:color="auto"/>
                <w:left w:val="none" w:sz="0" w:space="0" w:color="auto"/>
                <w:bottom w:val="none" w:sz="0" w:space="0" w:color="auto"/>
                <w:right w:val="none" w:sz="0" w:space="0" w:color="auto"/>
              </w:divBdr>
            </w:div>
            <w:div w:id="1128209425">
              <w:marLeft w:val="0"/>
              <w:marRight w:val="0"/>
              <w:marTop w:val="0"/>
              <w:marBottom w:val="240"/>
              <w:divBdr>
                <w:top w:val="none" w:sz="0" w:space="0" w:color="auto"/>
                <w:left w:val="none" w:sz="0" w:space="0" w:color="auto"/>
                <w:bottom w:val="none" w:sz="0" w:space="0" w:color="auto"/>
                <w:right w:val="none" w:sz="0" w:space="0" w:color="auto"/>
              </w:divBdr>
            </w:div>
            <w:div w:id="1229875319">
              <w:marLeft w:val="0"/>
              <w:marRight w:val="0"/>
              <w:marTop w:val="0"/>
              <w:marBottom w:val="240"/>
              <w:divBdr>
                <w:top w:val="none" w:sz="0" w:space="0" w:color="auto"/>
                <w:left w:val="none" w:sz="0" w:space="0" w:color="auto"/>
                <w:bottom w:val="none" w:sz="0" w:space="0" w:color="auto"/>
                <w:right w:val="none" w:sz="0" w:space="0" w:color="auto"/>
              </w:divBdr>
            </w:div>
            <w:div w:id="1222669390">
              <w:marLeft w:val="0"/>
              <w:marRight w:val="0"/>
              <w:marTop w:val="0"/>
              <w:marBottom w:val="240"/>
              <w:divBdr>
                <w:top w:val="none" w:sz="0" w:space="0" w:color="auto"/>
                <w:left w:val="none" w:sz="0" w:space="0" w:color="auto"/>
                <w:bottom w:val="none" w:sz="0" w:space="0" w:color="auto"/>
                <w:right w:val="none" w:sz="0" w:space="0" w:color="auto"/>
              </w:divBdr>
            </w:div>
            <w:div w:id="220361519">
              <w:marLeft w:val="0"/>
              <w:marRight w:val="0"/>
              <w:marTop w:val="0"/>
              <w:marBottom w:val="240"/>
              <w:divBdr>
                <w:top w:val="none" w:sz="0" w:space="0" w:color="auto"/>
                <w:left w:val="none" w:sz="0" w:space="0" w:color="auto"/>
                <w:bottom w:val="none" w:sz="0" w:space="0" w:color="auto"/>
                <w:right w:val="none" w:sz="0" w:space="0" w:color="auto"/>
              </w:divBdr>
            </w:div>
            <w:div w:id="1977757570">
              <w:marLeft w:val="0"/>
              <w:marRight w:val="0"/>
              <w:marTop w:val="0"/>
              <w:marBottom w:val="240"/>
              <w:divBdr>
                <w:top w:val="none" w:sz="0" w:space="0" w:color="auto"/>
                <w:left w:val="none" w:sz="0" w:space="0" w:color="auto"/>
                <w:bottom w:val="none" w:sz="0" w:space="0" w:color="auto"/>
                <w:right w:val="none" w:sz="0" w:space="0" w:color="auto"/>
              </w:divBdr>
            </w:div>
            <w:div w:id="471410228">
              <w:marLeft w:val="0"/>
              <w:marRight w:val="0"/>
              <w:marTop w:val="0"/>
              <w:marBottom w:val="240"/>
              <w:divBdr>
                <w:top w:val="none" w:sz="0" w:space="0" w:color="auto"/>
                <w:left w:val="none" w:sz="0" w:space="0" w:color="auto"/>
                <w:bottom w:val="none" w:sz="0" w:space="0" w:color="auto"/>
                <w:right w:val="none" w:sz="0" w:space="0" w:color="auto"/>
              </w:divBdr>
            </w:div>
            <w:div w:id="986087342">
              <w:marLeft w:val="0"/>
              <w:marRight w:val="0"/>
              <w:marTop w:val="0"/>
              <w:marBottom w:val="240"/>
              <w:divBdr>
                <w:top w:val="none" w:sz="0" w:space="0" w:color="auto"/>
                <w:left w:val="none" w:sz="0" w:space="0" w:color="auto"/>
                <w:bottom w:val="none" w:sz="0" w:space="0" w:color="auto"/>
                <w:right w:val="none" w:sz="0" w:space="0" w:color="auto"/>
              </w:divBdr>
            </w:div>
            <w:div w:id="1592353500">
              <w:marLeft w:val="0"/>
              <w:marRight w:val="0"/>
              <w:marTop w:val="0"/>
              <w:marBottom w:val="240"/>
              <w:divBdr>
                <w:top w:val="none" w:sz="0" w:space="0" w:color="auto"/>
                <w:left w:val="none" w:sz="0" w:space="0" w:color="auto"/>
                <w:bottom w:val="none" w:sz="0" w:space="0" w:color="auto"/>
                <w:right w:val="none" w:sz="0" w:space="0" w:color="auto"/>
              </w:divBdr>
            </w:div>
            <w:div w:id="1078595134">
              <w:marLeft w:val="0"/>
              <w:marRight w:val="0"/>
              <w:marTop w:val="0"/>
              <w:marBottom w:val="240"/>
              <w:divBdr>
                <w:top w:val="none" w:sz="0" w:space="0" w:color="auto"/>
                <w:left w:val="none" w:sz="0" w:space="0" w:color="auto"/>
                <w:bottom w:val="none" w:sz="0" w:space="0" w:color="auto"/>
                <w:right w:val="none" w:sz="0" w:space="0" w:color="auto"/>
              </w:divBdr>
            </w:div>
            <w:div w:id="1698239329">
              <w:marLeft w:val="0"/>
              <w:marRight w:val="0"/>
              <w:marTop w:val="0"/>
              <w:marBottom w:val="240"/>
              <w:divBdr>
                <w:top w:val="none" w:sz="0" w:space="0" w:color="auto"/>
                <w:left w:val="none" w:sz="0" w:space="0" w:color="auto"/>
                <w:bottom w:val="none" w:sz="0" w:space="0" w:color="auto"/>
                <w:right w:val="none" w:sz="0" w:space="0" w:color="auto"/>
              </w:divBdr>
            </w:div>
            <w:div w:id="128675486">
              <w:marLeft w:val="0"/>
              <w:marRight w:val="0"/>
              <w:marTop w:val="0"/>
              <w:marBottom w:val="240"/>
              <w:divBdr>
                <w:top w:val="none" w:sz="0" w:space="0" w:color="auto"/>
                <w:left w:val="none" w:sz="0" w:space="0" w:color="auto"/>
                <w:bottom w:val="none" w:sz="0" w:space="0" w:color="auto"/>
                <w:right w:val="none" w:sz="0" w:space="0" w:color="auto"/>
              </w:divBdr>
            </w:div>
            <w:div w:id="1315329168">
              <w:marLeft w:val="0"/>
              <w:marRight w:val="0"/>
              <w:marTop w:val="0"/>
              <w:marBottom w:val="240"/>
              <w:divBdr>
                <w:top w:val="none" w:sz="0" w:space="0" w:color="auto"/>
                <w:left w:val="none" w:sz="0" w:space="0" w:color="auto"/>
                <w:bottom w:val="none" w:sz="0" w:space="0" w:color="auto"/>
                <w:right w:val="none" w:sz="0" w:space="0" w:color="auto"/>
              </w:divBdr>
            </w:div>
            <w:div w:id="1221209632">
              <w:marLeft w:val="0"/>
              <w:marRight w:val="0"/>
              <w:marTop w:val="0"/>
              <w:marBottom w:val="240"/>
              <w:divBdr>
                <w:top w:val="none" w:sz="0" w:space="0" w:color="auto"/>
                <w:left w:val="none" w:sz="0" w:space="0" w:color="auto"/>
                <w:bottom w:val="none" w:sz="0" w:space="0" w:color="auto"/>
                <w:right w:val="none" w:sz="0" w:space="0" w:color="auto"/>
              </w:divBdr>
            </w:div>
            <w:div w:id="453911064">
              <w:marLeft w:val="0"/>
              <w:marRight w:val="0"/>
              <w:marTop w:val="0"/>
              <w:marBottom w:val="240"/>
              <w:divBdr>
                <w:top w:val="none" w:sz="0" w:space="0" w:color="auto"/>
                <w:left w:val="none" w:sz="0" w:space="0" w:color="auto"/>
                <w:bottom w:val="none" w:sz="0" w:space="0" w:color="auto"/>
                <w:right w:val="none" w:sz="0" w:space="0" w:color="auto"/>
              </w:divBdr>
            </w:div>
            <w:div w:id="1981493640">
              <w:marLeft w:val="0"/>
              <w:marRight w:val="0"/>
              <w:marTop w:val="0"/>
              <w:marBottom w:val="240"/>
              <w:divBdr>
                <w:top w:val="none" w:sz="0" w:space="0" w:color="auto"/>
                <w:left w:val="none" w:sz="0" w:space="0" w:color="auto"/>
                <w:bottom w:val="none" w:sz="0" w:space="0" w:color="auto"/>
                <w:right w:val="none" w:sz="0" w:space="0" w:color="auto"/>
              </w:divBdr>
            </w:div>
            <w:div w:id="1430351218">
              <w:marLeft w:val="0"/>
              <w:marRight w:val="0"/>
              <w:marTop w:val="0"/>
              <w:marBottom w:val="240"/>
              <w:divBdr>
                <w:top w:val="none" w:sz="0" w:space="0" w:color="auto"/>
                <w:left w:val="none" w:sz="0" w:space="0" w:color="auto"/>
                <w:bottom w:val="none" w:sz="0" w:space="0" w:color="auto"/>
                <w:right w:val="none" w:sz="0" w:space="0" w:color="auto"/>
              </w:divBdr>
            </w:div>
            <w:div w:id="1250113396">
              <w:marLeft w:val="0"/>
              <w:marRight w:val="0"/>
              <w:marTop w:val="0"/>
              <w:marBottom w:val="240"/>
              <w:divBdr>
                <w:top w:val="none" w:sz="0" w:space="0" w:color="auto"/>
                <w:left w:val="none" w:sz="0" w:space="0" w:color="auto"/>
                <w:bottom w:val="none" w:sz="0" w:space="0" w:color="auto"/>
                <w:right w:val="none" w:sz="0" w:space="0" w:color="auto"/>
              </w:divBdr>
            </w:div>
            <w:div w:id="1971401360">
              <w:marLeft w:val="0"/>
              <w:marRight w:val="0"/>
              <w:marTop w:val="0"/>
              <w:marBottom w:val="240"/>
              <w:divBdr>
                <w:top w:val="none" w:sz="0" w:space="0" w:color="auto"/>
                <w:left w:val="none" w:sz="0" w:space="0" w:color="auto"/>
                <w:bottom w:val="none" w:sz="0" w:space="0" w:color="auto"/>
                <w:right w:val="none" w:sz="0" w:space="0" w:color="auto"/>
              </w:divBdr>
            </w:div>
            <w:div w:id="1672370166">
              <w:marLeft w:val="0"/>
              <w:marRight w:val="0"/>
              <w:marTop w:val="0"/>
              <w:marBottom w:val="240"/>
              <w:divBdr>
                <w:top w:val="none" w:sz="0" w:space="0" w:color="auto"/>
                <w:left w:val="none" w:sz="0" w:space="0" w:color="auto"/>
                <w:bottom w:val="none" w:sz="0" w:space="0" w:color="auto"/>
                <w:right w:val="none" w:sz="0" w:space="0" w:color="auto"/>
              </w:divBdr>
            </w:div>
            <w:div w:id="150876319">
              <w:marLeft w:val="0"/>
              <w:marRight w:val="0"/>
              <w:marTop w:val="0"/>
              <w:marBottom w:val="240"/>
              <w:divBdr>
                <w:top w:val="none" w:sz="0" w:space="0" w:color="auto"/>
                <w:left w:val="none" w:sz="0" w:space="0" w:color="auto"/>
                <w:bottom w:val="none" w:sz="0" w:space="0" w:color="auto"/>
                <w:right w:val="none" w:sz="0" w:space="0" w:color="auto"/>
              </w:divBdr>
            </w:div>
            <w:div w:id="1253658680">
              <w:marLeft w:val="0"/>
              <w:marRight w:val="0"/>
              <w:marTop w:val="0"/>
              <w:marBottom w:val="240"/>
              <w:divBdr>
                <w:top w:val="none" w:sz="0" w:space="0" w:color="auto"/>
                <w:left w:val="none" w:sz="0" w:space="0" w:color="auto"/>
                <w:bottom w:val="none" w:sz="0" w:space="0" w:color="auto"/>
                <w:right w:val="none" w:sz="0" w:space="0" w:color="auto"/>
              </w:divBdr>
            </w:div>
            <w:div w:id="572814386">
              <w:marLeft w:val="0"/>
              <w:marRight w:val="0"/>
              <w:marTop w:val="0"/>
              <w:marBottom w:val="240"/>
              <w:divBdr>
                <w:top w:val="none" w:sz="0" w:space="0" w:color="auto"/>
                <w:left w:val="none" w:sz="0" w:space="0" w:color="auto"/>
                <w:bottom w:val="none" w:sz="0" w:space="0" w:color="auto"/>
                <w:right w:val="none" w:sz="0" w:space="0" w:color="auto"/>
              </w:divBdr>
            </w:div>
            <w:div w:id="127705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003193">
      <w:bodyDiv w:val="1"/>
      <w:marLeft w:val="0"/>
      <w:marRight w:val="0"/>
      <w:marTop w:val="0"/>
      <w:marBottom w:val="0"/>
      <w:divBdr>
        <w:top w:val="none" w:sz="0" w:space="0" w:color="auto"/>
        <w:left w:val="none" w:sz="0" w:space="0" w:color="auto"/>
        <w:bottom w:val="none" w:sz="0" w:space="0" w:color="auto"/>
        <w:right w:val="none" w:sz="0" w:space="0" w:color="auto"/>
      </w:divBdr>
    </w:div>
    <w:div w:id="946348862">
      <w:bodyDiv w:val="1"/>
      <w:marLeft w:val="0"/>
      <w:marRight w:val="0"/>
      <w:marTop w:val="0"/>
      <w:marBottom w:val="0"/>
      <w:divBdr>
        <w:top w:val="none" w:sz="0" w:space="0" w:color="auto"/>
        <w:left w:val="none" w:sz="0" w:space="0" w:color="auto"/>
        <w:bottom w:val="none" w:sz="0" w:space="0" w:color="auto"/>
        <w:right w:val="none" w:sz="0" w:space="0" w:color="auto"/>
      </w:divBdr>
    </w:div>
    <w:div w:id="947737275">
      <w:bodyDiv w:val="1"/>
      <w:marLeft w:val="0"/>
      <w:marRight w:val="0"/>
      <w:marTop w:val="0"/>
      <w:marBottom w:val="0"/>
      <w:divBdr>
        <w:top w:val="none" w:sz="0" w:space="0" w:color="auto"/>
        <w:left w:val="none" w:sz="0" w:space="0" w:color="auto"/>
        <w:bottom w:val="none" w:sz="0" w:space="0" w:color="auto"/>
        <w:right w:val="none" w:sz="0" w:space="0" w:color="auto"/>
      </w:divBdr>
    </w:div>
    <w:div w:id="948588104">
      <w:bodyDiv w:val="1"/>
      <w:marLeft w:val="0"/>
      <w:marRight w:val="0"/>
      <w:marTop w:val="0"/>
      <w:marBottom w:val="0"/>
      <w:divBdr>
        <w:top w:val="none" w:sz="0" w:space="0" w:color="auto"/>
        <w:left w:val="none" w:sz="0" w:space="0" w:color="auto"/>
        <w:bottom w:val="none" w:sz="0" w:space="0" w:color="auto"/>
        <w:right w:val="none" w:sz="0" w:space="0" w:color="auto"/>
      </w:divBdr>
    </w:div>
    <w:div w:id="959728660">
      <w:bodyDiv w:val="1"/>
      <w:marLeft w:val="0"/>
      <w:marRight w:val="0"/>
      <w:marTop w:val="0"/>
      <w:marBottom w:val="0"/>
      <w:divBdr>
        <w:top w:val="none" w:sz="0" w:space="0" w:color="auto"/>
        <w:left w:val="none" w:sz="0" w:space="0" w:color="auto"/>
        <w:bottom w:val="none" w:sz="0" w:space="0" w:color="auto"/>
        <w:right w:val="none" w:sz="0" w:space="0" w:color="auto"/>
      </w:divBdr>
    </w:div>
    <w:div w:id="960847229">
      <w:bodyDiv w:val="1"/>
      <w:marLeft w:val="0"/>
      <w:marRight w:val="0"/>
      <w:marTop w:val="0"/>
      <w:marBottom w:val="0"/>
      <w:divBdr>
        <w:top w:val="none" w:sz="0" w:space="0" w:color="auto"/>
        <w:left w:val="none" w:sz="0" w:space="0" w:color="auto"/>
        <w:bottom w:val="none" w:sz="0" w:space="0" w:color="auto"/>
        <w:right w:val="none" w:sz="0" w:space="0" w:color="auto"/>
      </w:divBdr>
    </w:div>
    <w:div w:id="964850769">
      <w:bodyDiv w:val="1"/>
      <w:marLeft w:val="0"/>
      <w:marRight w:val="0"/>
      <w:marTop w:val="0"/>
      <w:marBottom w:val="0"/>
      <w:divBdr>
        <w:top w:val="none" w:sz="0" w:space="0" w:color="auto"/>
        <w:left w:val="none" w:sz="0" w:space="0" w:color="auto"/>
        <w:bottom w:val="none" w:sz="0" w:space="0" w:color="auto"/>
        <w:right w:val="none" w:sz="0" w:space="0" w:color="auto"/>
      </w:divBdr>
      <w:divsChild>
        <w:div w:id="260719302">
          <w:marLeft w:val="480"/>
          <w:marRight w:val="0"/>
          <w:marTop w:val="0"/>
          <w:marBottom w:val="0"/>
          <w:divBdr>
            <w:top w:val="none" w:sz="0" w:space="0" w:color="auto"/>
            <w:left w:val="none" w:sz="0" w:space="0" w:color="auto"/>
            <w:bottom w:val="none" w:sz="0" w:space="0" w:color="auto"/>
            <w:right w:val="none" w:sz="0" w:space="0" w:color="auto"/>
          </w:divBdr>
          <w:divsChild>
            <w:div w:id="340619545">
              <w:marLeft w:val="0"/>
              <w:marRight w:val="0"/>
              <w:marTop w:val="0"/>
              <w:marBottom w:val="240"/>
              <w:divBdr>
                <w:top w:val="none" w:sz="0" w:space="0" w:color="auto"/>
                <w:left w:val="none" w:sz="0" w:space="0" w:color="auto"/>
                <w:bottom w:val="none" w:sz="0" w:space="0" w:color="auto"/>
                <w:right w:val="none" w:sz="0" w:space="0" w:color="auto"/>
              </w:divBdr>
            </w:div>
            <w:div w:id="119998808">
              <w:marLeft w:val="0"/>
              <w:marRight w:val="0"/>
              <w:marTop w:val="0"/>
              <w:marBottom w:val="240"/>
              <w:divBdr>
                <w:top w:val="none" w:sz="0" w:space="0" w:color="auto"/>
                <w:left w:val="none" w:sz="0" w:space="0" w:color="auto"/>
                <w:bottom w:val="none" w:sz="0" w:space="0" w:color="auto"/>
                <w:right w:val="none" w:sz="0" w:space="0" w:color="auto"/>
              </w:divBdr>
            </w:div>
            <w:div w:id="2096854895">
              <w:marLeft w:val="0"/>
              <w:marRight w:val="0"/>
              <w:marTop w:val="0"/>
              <w:marBottom w:val="240"/>
              <w:divBdr>
                <w:top w:val="none" w:sz="0" w:space="0" w:color="auto"/>
                <w:left w:val="none" w:sz="0" w:space="0" w:color="auto"/>
                <w:bottom w:val="none" w:sz="0" w:space="0" w:color="auto"/>
                <w:right w:val="none" w:sz="0" w:space="0" w:color="auto"/>
              </w:divBdr>
            </w:div>
            <w:div w:id="1978025866">
              <w:marLeft w:val="0"/>
              <w:marRight w:val="0"/>
              <w:marTop w:val="0"/>
              <w:marBottom w:val="240"/>
              <w:divBdr>
                <w:top w:val="none" w:sz="0" w:space="0" w:color="auto"/>
                <w:left w:val="none" w:sz="0" w:space="0" w:color="auto"/>
                <w:bottom w:val="none" w:sz="0" w:space="0" w:color="auto"/>
                <w:right w:val="none" w:sz="0" w:space="0" w:color="auto"/>
              </w:divBdr>
            </w:div>
            <w:div w:id="536554038">
              <w:marLeft w:val="0"/>
              <w:marRight w:val="0"/>
              <w:marTop w:val="0"/>
              <w:marBottom w:val="240"/>
              <w:divBdr>
                <w:top w:val="none" w:sz="0" w:space="0" w:color="auto"/>
                <w:left w:val="none" w:sz="0" w:space="0" w:color="auto"/>
                <w:bottom w:val="none" w:sz="0" w:space="0" w:color="auto"/>
                <w:right w:val="none" w:sz="0" w:space="0" w:color="auto"/>
              </w:divBdr>
            </w:div>
            <w:div w:id="1792244095">
              <w:marLeft w:val="0"/>
              <w:marRight w:val="0"/>
              <w:marTop w:val="0"/>
              <w:marBottom w:val="240"/>
              <w:divBdr>
                <w:top w:val="none" w:sz="0" w:space="0" w:color="auto"/>
                <w:left w:val="none" w:sz="0" w:space="0" w:color="auto"/>
                <w:bottom w:val="none" w:sz="0" w:space="0" w:color="auto"/>
                <w:right w:val="none" w:sz="0" w:space="0" w:color="auto"/>
              </w:divBdr>
            </w:div>
            <w:div w:id="946962313">
              <w:marLeft w:val="0"/>
              <w:marRight w:val="0"/>
              <w:marTop w:val="0"/>
              <w:marBottom w:val="240"/>
              <w:divBdr>
                <w:top w:val="none" w:sz="0" w:space="0" w:color="auto"/>
                <w:left w:val="none" w:sz="0" w:space="0" w:color="auto"/>
                <w:bottom w:val="none" w:sz="0" w:space="0" w:color="auto"/>
                <w:right w:val="none" w:sz="0" w:space="0" w:color="auto"/>
              </w:divBdr>
            </w:div>
            <w:div w:id="1651134270">
              <w:marLeft w:val="0"/>
              <w:marRight w:val="0"/>
              <w:marTop w:val="0"/>
              <w:marBottom w:val="240"/>
              <w:divBdr>
                <w:top w:val="none" w:sz="0" w:space="0" w:color="auto"/>
                <w:left w:val="none" w:sz="0" w:space="0" w:color="auto"/>
                <w:bottom w:val="none" w:sz="0" w:space="0" w:color="auto"/>
                <w:right w:val="none" w:sz="0" w:space="0" w:color="auto"/>
              </w:divBdr>
            </w:div>
            <w:div w:id="378478480">
              <w:marLeft w:val="0"/>
              <w:marRight w:val="0"/>
              <w:marTop w:val="0"/>
              <w:marBottom w:val="240"/>
              <w:divBdr>
                <w:top w:val="none" w:sz="0" w:space="0" w:color="auto"/>
                <w:left w:val="none" w:sz="0" w:space="0" w:color="auto"/>
                <w:bottom w:val="none" w:sz="0" w:space="0" w:color="auto"/>
                <w:right w:val="none" w:sz="0" w:space="0" w:color="auto"/>
              </w:divBdr>
            </w:div>
            <w:div w:id="1755399774">
              <w:marLeft w:val="0"/>
              <w:marRight w:val="0"/>
              <w:marTop w:val="0"/>
              <w:marBottom w:val="240"/>
              <w:divBdr>
                <w:top w:val="none" w:sz="0" w:space="0" w:color="auto"/>
                <w:left w:val="none" w:sz="0" w:space="0" w:color="auto"/>
                <w:bottom w:val="none" w:sz="0" w:space="0" w:color="auto"/>
                <w:right w:val="none" w:sz="0" w:space="0" w:color="auto"/>
              </w:divBdr>
            </w:div>
            <w:div w:id="627393065">
              <w:marLeft w:val="0"/>
              <w:marRight w:val="0"/>
              <w:marTop w:val="0"/>
              <w:marBottom w:val="240"/>
              <w:divBdr>
                <w:top w:val="none" w:sz="0" w:space="0" w:color="auto"/>
                <w:left w:val="none" w:sz="0" w:space="0" w:color="auto"/>
                <w:bottom w:val="none" w:sz="0" w:space="0" w:color="auto"/>
                <w:right w:val="none" w:sz="0" w:space="0" w:color="auto"/>
              </w:divBdr>
            </w:div>
            <w:div w:id="1252471118">
              <w:marLeft w:val="0"/>
              <w:marRight w:val="0"/>
              <w:marTop w:val="0"/>
              <w:marBottom w:val="240"/>
              <w:divBdr>
                <w:top w:val="none" w:sz="0" w:space="0" w:color="auto"/>
                <w:left w:val="none" w:sz="0" w:space="0" w:color="auto"/>
                <w:bottom w:val="none" w:sz="0" w:space="0" w:color="auto"/>
                <w:right w:val="none" w:sz="0" w:space="0" w:color="auto"/>
              </w:divBdr>
            </w:div>
            <w:div w:id="637534570">
              <w:marLeft w:val="0"/>
              <w:marRight w:val="0"/>
              <w:marTop w:val="0"/>
              <w:marBottom w:val="240"/>
              <w:divBdr>
                <w:top w:val="none" w:sz="0" w:space="0" w:color="auto"/>
                <w:left w:val="none" w:sz="0" w:space="0" w:color="auto"/>
                <w:bottom w:val="none" w:sz="0" w:space="0" w:color="auto"/>
                <w:right w:val="none" w:sz="0" w:space="0" w:color="auto"/>
              </w:divBdr>
            </w:div>
            <w:div w:id="906691678">
              <w:marLeft w:val="0"/>
              <w:marRight w:val="0"/>
              <w:marTop w:val="0"/>
              <w:marBottom w:val="240"/>
              <w:divBdr>
                <w:top w:val="none" w:sz="0" w:space="0" w:color="auto"/>
                <w:left w:val="none" w:sz="0" w:space="0" w:color="auto"/>
                <w:bottom w:val="none" w:sz="0" w:space="0" w:color="auto"/>
                <w:right w:val="none" w:sz="0" w:space="0" w:color="auto"/>
              </w:divBdr>
            </w:div>
            <w:div w:id="568081416">
              <w:marLeft w:val="0"/>
              <w:marRight w:val="0"/>
              <w:marTop w:val="0"/>
              <w:marBottom w:val="240"/>
              <w:divBdr>
                <w:top w:val="none" w:sz="0" w:space="0" w:color="auto"/>
                <w:left w:val="none" w:sz="0" w:space="0" w:color="auto"/>
                <w:bottom w:val="none" w:sz="0" w:space="0" w:color="auto"/>
                <w:right w:val="none" w:sz="0" w:space="0" w:color="auto"/>
              </w:divBdr>
            </w:div>
            <w:div w:id="664942571">
              <w:marLeft w:val="0"/>
              <w:marRight w:val="0"/>
              <w:marTop w:val="0"/>
              <w:marBottom w:val="240"/>
              <w:divBdr>
                <w:top w:val="none" w:sz="0" w:space="0" w:color="auto"/>
                <w:left w:val="none" w:sz="0" w:space="0" w:color="auto"/>
                <w:bottom w:val="none" w:sz="0" w:space="0" w:color="auto"/>
                <w:right w:val="none" w:sz="0" w:space="0" w:color="auto"/>
              </w:divBdr>
            </w:div>
            <w:div w:id="111740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671138">
      <w:bodyDiv w:val="1"/>
      <w:marLeft w:val="0"/>
      <w:marRight w:val="0"/>
      <w:marTop w:val="0"/>
      <w:marBottom w:val="0"/>
      <w:divBdr>
        <w:top w:val="none" w:sz="0" w:space="0" w:color="auto"/>
        <w:left w:val="none" w:sz="0" w:space="0" w:color="auto"/>
        <w:bottom w:val="none" w:sz="0" w:space="0" w:color="auto"/>
        <w:right w:val="none" w:sz="0" w:space="0" w:color="auto"/>
      </w:divBdr>
    </w:div>
    <w:div w:id="983582077">
      <w:bodyDiv w:val="1"/>
      <w:marLeft w:val="0"/>
      <w:marRight w:val="0"/>
      <w:marTop w:val="0"/>
      <w:marBottom w:val="0"/>
      <w:divBdr>
        <w:top w:val="none" w:sz="0" w:space="0" w:color="auto"/>
        <w:left w:val="none" w:sz="0" w:space="0" w:color="auto"/>
        <w:bottom w:val="none" w:sz="0" w:space="0" w:color="auto"/>
        <w:right w:val="none" w:sz="0" w:space="0" w:color="auto"/>
      </w:divBdr>
    </w:div>
    <w:div w:id="1014920827">
      <w:bodyDiv w:val="1"/>
      <w:marLeft w:val="0"/>
      <w:marRight w:val="0"/>
      <w:marTop w:val="0"/>
      <w:marBottom w:val="0"/>
      <w:divBdr>
        <w:top w:val="none" w:sz="0" w:space="0" w:color="auto"/>
        <w:left w:val="none" w:sz="0" w:space="0" w:color="auto"/>
        <w:bottom w:val="none" w:sz="0" w:space="0" w:color="auto"/>
        <w:right w:val="none" w:sz="0" w:space="0" w:color="auto"/>
      </w:divBdr>
    </w:div>
    <w:div w:id="1019501864">
      <w:bodyDiv w:val="1"/>
      <w:marLeft w:val="0"/>
      <w:marRight w:val="0"/>
      <w:marTop w:val="0"/>
      <w:marBottom w:val="0"/>
      <w:divBdr>
        <w:top w:val="none" w:sz="0" w:space="0" w:color="auto"/>
        <w:left w:val="none" w:sz="0" w:space="0" w:color="auto"/>
        <w:bottom w:val="none" w:sz="0" w:space="0" w:color="auto"/>
        <w:right w:val="none" w:sz="0" w:space="0" w:color="auto"/>
      </w:divBdr>
    </w:div>
    <w:div w:id="1022627201">
      <w:bodyDiv w:val="1"/>
      <w:marLeft w:val="0"/>
      <w:marRight w:val="0"/>
      <w:marTop w:val="0"/>
      <w:marBottom w:val="0"/>
      <w:divBdr>
        <w:top w:val="none" w:sz="0" w:space="0" w:color="auto"/>
        <w:left w:val="none" w:sz="0" w:space="0" w:color="auto"/>
        <w:bottom w:val="none" w:sz="0" w:space="0" w:color="auto"/>
        <w:right w:val="none" w:sz="0" w:space="0" w:color="auto"/>
      </w:divBdr>
    </w:div>
    <w:div w:id="1024866935">
      <w:bodyDiv w:val="1"/>
      <w:marLeft w:val="0"/>
      <w:marRight w:val="0"/>
      <w:marTop w:val="0"/>
      <w:marBottom w:val="0"/>
      <w:divBdr>
        <w:top w:val="none" w:sz="0" w:space="0" w:color="auto"/>
        <w:left w:val="none" w:sz="0" w:space="0" w:color="auto"/>
        <w:bottom w:val="none" w:sz="0" w:space="0" w:color="auto"/>
        <w:right w:val="none" w:sz="0" w:space="0" w:color="auto"/>
      </w:divBdr>
    </w:div>
    <w:div w:id="1028947905">
      <w:bodyDiv w:val="1"/>
      <w:marLeft w:val="0"/>
      <w:marRight w:val="0"/>
      <w:marTop w:val="0"/>
      <w:marBottom w:val="0"/>
      <w:divBdr>
        <w:top w:val="none" w:sz="0" w:space="0" w:color="auto"/>
        <w:left w:val="none" w:sz="0" w:space="0" w:color="auto"/>
        <w:bottom w:val="none" w:sz="0" w:space="0" w:color="auto"/>
        <w:right w:val="none" w:sz="0" w:space="0" w:color="auto"/>
      </w:divBdr>
      <w:divsChild>
        <w:div w:id="377317909">
          <w:marLeft w:val="480"/>
          <w:marRight w:val="0"/>
          <w:marTop w:val="0"/>
          <w:marBottom w:val="0"/>
          <w:divBdr>
            <w:top w:val="none" w:sz="0" w:space="0" w:color="auto"/>
            <w:left w:val="none" w:sz="0" w:space="0" w:color="auto"/>
            <w:bottom w:val="none" w:sz="0" w:space="0" w:color="auto"/>
            <w:right w:val="none" w:sz="0" w:space="0" w:color="auto"/>
          </w:divBdr>
          <w:divsChild>
            <w:div w:id="293757220">
              <w:marLeft w:val="0"/>
              <w:marRight w:val="0"/>
              <w:marTop w:val="0"/>
              <w:marBottom w:val="240"/>
              <w:divBdr>
                <w:top w:val="none" w:sz="0" w:space="0" w:color="auto"/>
                <w:left w:val="none" w:sz="0" w:space="0" w:color="auto"/>
                <w:bottom w:val="none" w:sz="0" w:space="0" w:color="auto"/>
                <w:right w:val="none" w:sz="0" w:space="0" w:color="auto"/>
              </w:divBdr>
            </w:div>
            <w:div w:id="1323703191">
              <w:marLeft w:val="0"/>
              <w:marRight w:val="0"/>
              <w:marTop w:val="0"/>
              <w:marBottom w:val="240"/>
              <w:divBdr>
                <w:top w:val="none" w:sz="0" w:space="0" w:color="auto"/>
                <w:left w:val="none" w:sz="0" w:space="0" w:color="auto"/>
                <w:bottom w:val="none" w:sz="0" w:space="0" w:color="auto"/>
                <w:right w:val="none" w:sz="0" w:space="0" w:color="auto"/>
              </w:divBdr>
            </w:div>
            <w:div w:id="273942630">
              <w:marLeft w:val="0"/>
              <w:marRight w:val="0"/>
              <w:marTop w:val="0"/>
              <w:marBottom w:val="240"/>
              <w:divBdr>
                <w:top w:val="none" w:sz="0" w:space="0" w:color="auto"/>
                <w:left w:val="none" w:sz="0" w:space="0" w:color="auto"/>
                <w:bottom w:val="none" w:sz="0" w:space="0" w:color="auto"/>
                <w:right w:val="none" w:sz="0" w:space="0" w:color="auto"/>
              </w:divBdr>
            </w:div>
            <w:div w:id="1115320758">
              <w:marLeft w:val="0"/>
              <w:marRight w:val="0"/>
              <w:marTop w:val="0"/>
              <w:marBottom w:val="240"/>
              <w:divBdr>
                <w:top w:val="none" w:sz="0" w:space="0" w:color="auto"/>
                <w:left w:val="none" w:sz="0" w:space="0" w:color="auto"/>
                <w:bottom w:val="none" w:sz="0" w:space="0" w:color="auto"/>
                <w:right w:val="none" w:sz="0" w:space="0" w:color="auto"/>
              </w:divBdr>
            </w:div>
            <w:div w:id="1945571267">
              <w:marLeft w:val="0"/>
              <w:marRight w:val="0"/>
              <w:marTop w:val="0"/>
              <w:marBottom w:val="240"/>
              <w:divBdr>
                <w:top w:val="none" w:sz="0" w:space="0" w:color="auto"/>
                <w:left w:val="none" w:sz="0" w:space="0" w:color="auto"/>
                <w:bottom w:val="none" w:sz="0" w:space="0" w:color="auto"/>
                <w:right w:val="none" w:sz="0" w:space="0" w:color="auto"/>
              </w:divBdr>
            </w:div>
            <w:div w:id="1171719744">
              <w:marLeft w:val="0"/>
              <w:marRight w:val="0"/>
              <w:marTop w:val="0"/>
              <w:marBottom w:val="240"/>
              <w:divBdr>
                <w:top w:val="none" w:sz="0" w:space="0" w:color="auto"/>
                <w:left w:val="none" w:sz="0" w:space="0" w:color="auto"/>
                <w:bottom w:val="none" w:sz="0" w:space="0" w:color="auto"/>
                <w:right w:val="none" w:sz="0" w:space="0" w:color="auto"/>
              </w:divBdr>
            </w:div>
            <w:div w:id="1211303837">
              <w:marLeft w:val="0"/>
              <w:marRight w:val="0"/>
              <w:marTop w:val="0"/>
              <w:marBottom w:val="240"/>
              <w:divBdr>
                <w:top w:val="none" w:sz="0" w:space="0" w:color="auto"/>
                <w:left w:val="none" w:sz="0" w:space="0" w:color="auto"/>
                <w:bottom w:val="none" w:sz="0" w:space="0" w:color="auto"/>
                <w:right w:val="none" w:sz="0" w:space="0" w:color="auto"/>
              </w:divBdr>
            </w:div>
            <w:div w:id="314140990">
              <w:marLeft w:val="0"/>
              <w:marRight w:val="0"/>
              <w:marTop w:val="0"/>
              <w:marBottom w:val="240"/>
              <w:divBdr>
                <w:top w:val="none" w:sz="0" w:space="0" w:color="auto"/>
                <w:left w:val="none" w:sz="0" w:space="0" w:color="auto"/>
                <w:bottom w:val="none" w:sz="0" w:space="0" w:color="auto"/>
                <w:right w:val="none" w:sz="0" w:space="0" w:color="auto"/>
              </w:divBdr>
            </w:div>
            <w:div w:id="409737706">
              <w:marLeft w:val="0"/>
              <w:marRight w:val="0"/>
              <w:marTop w:val="0"/>
              <w:marBottom w:val="240"/>
              <w:divBdr>
                <w:top w:val="none" w:sz="0" w:space="0" w:color="auto"/>
                <w:left w:val="none" w:sz="0" w:space="0" w:color="auto"/>
                <w:bottom w:val="none" w:sz="0" w:space="0" w:color="auto"/>
                <w:right w:val="none" w:sz="0" w:space="0" w:color="auto"/>
              </w:divBdr>
            </w:div>
            <w:div w:id="1185704445">
              <w:marLeft w:val="0"/>
              <w:marRight w:val="0"/>
              <w:marTop w:val="0"/>
              <w:marBottom w:val="240"/>
              <w:divBdr>
                <w:top w:val="none" w:sz="0" w:space="0" w:color="auto"/>
                <w:left w:val="none" w:sz="0" w:space="0" w:color="auto"/>
                <w:bottom w:val="none" w:sz="0" w:space="0" w:color="auto"/>
                <w:right w:val="none" w:sz="0" w:space="0" w:color="auto"/>
              </w:divBdr>
            </w:div>
            <w:div w:id="811748906">
              <w:marLeft w:val="0"/>
              <w:marRight w:val="0"/>
              <w:marTop w:val="0"/>
              <w:marBottom w:val="240"/>
              <w:divBdr>
                <w:top w:val="none" w:sz="0" w:space="0" w:color="auto"/>
                <w:left w:val="none" w:sz="0" w:space="0" w:color="auto"/>
                <w:bottom w:val="none" w:sz="0" w:space="0" w:color="auto"/>
                <w:right w:val="none" w:sz="0" w:space="0" w:color="auto"/>
              </w:divBdr>
            </w:div>
            <w:div w:id="978801319">
              <w:marLeft w:val="0"/>
              <w:marRight w:val="0"/>
              <w:marTop w:val="0"/>
              <w:marBottom w:val="240"/>
              <w:divBdr>
                <w:top w:val="none" w:sz="0" w:space="0" w:color="auto"/>
                <w:left w:val="none" w:sz="0" w:space="0" w:color="auto"/>
                <w:bottom w:val="none" w:sz="0" w:space="0" w:color="auto"/>
                <w:right w:val="none" w:sz="0" w:space="0" w:color="auto"/>
              </w:divBdr>
            </w:div>
            <w:div w:id="1649507586">
              <w:marLeft w:val="0"/>
              <w:marRight w:val="0"/>
              <w:marTop w:val="0"/>
              <w:marBottom w:val="240"/>
              <w:divBdr>
                <w:top w:val="none" w:sz="0" w:space="0" w:color="auto"/>
                <w:left w:val="none" w:sz="0" w:space="0" w:color="auto"/>
                <w:bottom w:val="none" w:sz="0" w:space="0" w:color="auto"/>
                <w:right w:val="none" w:sz="0" w:space="0" w:color="auto"/>
              </w:divBdr>
            </w:div>
            <w:div w:id="1799185110">
              <w:marLeft w:val="0"/>
              <w:marRight w:val="0"/>
              <w:marTop w:val="0"/>
              <w:marBottom w:val="240"/>
              <w:divBdr>
                <w:top w:val="none" w:sz="0" w:space="0" w:color="auto"/>
                <w:left w:val="none" w:sz="0" w:space="0" w:color="auto"/>
                <w:bottom w:val="none" w:sz="0" w:space="0" w:color="auto"/>
                <w:right w:val="none" w:sz="0" w:space="0" w:color="auto"/>
              </w:divBdr>
            </w:div>
            <w:div w:id="1595213368">
              <w:marLeft w:val="0"/>
              <w:marRight w:val="0"/>
              <w:marTop w:val="0"/>
              <w:marBottom w:val="240"/>
              <w:divBdr>
                <w:top w:val="none" w:sz="0" w:space="0" w:color="auto"/>
                <w:left w:val="none" w:sz="0" w:space="0" w:color="auto"/>
                <w:bottom w:val="none" w:sz="0" w:space="0" w:color="auto"/>
                <w:right w:val="none" w:sz="0" w:space="0" w:color="auto"/>
              </w:divBdr>
            </w:div>
            <w:div w:id="362828069">
              <w:marLeft w:val="0"/>
              <w:marRight w:val="0"/>
              <w:marTop w:val="0"/>
              <w:marBottom w:val="240"/>
              <w:divBdr>
                <w:top w:val="none" w:sz="0" w:space="0" w:color="auto"/>
                <w:left w:val="none" w:sz="0" w:space="0" w:color="auto"/>
                <w:bottom w:val="none" w:sz="0" w:space="0" w:color="auto"/>
                <w:right w:val="none" w:sz="0" w:space="0" w:color="auto"/>
              </w:divBdr>
            </w:div>
            <w:div w:id="218253168">
              <w:marLeft w:val="0"/>
              <w:marRight w:val="0"/>
              <w:marTop w:val="0"/>
              <w:marBottom w:val="240"/>
              <w:divBdr>
                <w:top w:val="none" w:sz="0" w:space="0" w:color="auto"/>
                <w:left w:val="none" w:sz="0" w:space="0" w:color="auto"/>
                <w:bottom w:val="none" w:sz="0" w:space="0" w:color="auto"/>
                <w:right w:val="none" w:sz="0" w:space="0" w:color="auto"/>
              </w:divBdr>
            </w:div>
            <w:div w:id="1122454552">
              <w:marLeft w:val="0"/>
              <w:marRight w:val="0"/>
              <w:marTop w:val="0"/>
              <w:marBottom w:val="240"/>
              <w:divBdr>
                <w:top w:val="none" w:sz="0" w:space="0" w:color="auto"/>
                <w:left w:val="none" w:sz="0" w:space="0" w:color="auto"/>
                <w:bottom w:val="none" w:sz="0" w:space="0" w:color="auto"/>
                <w:right w:val="none" w:sz="0" w:space="0" w:color="auto"/>
              </w:divBdr>
            </w:div>
            <w:div w:id="1431320548">
              <w:marLeft w:val="0"/>
              <w:marRight w:val="0"/>
              <w:marTop w:val="0"/>
              <w:marBottom w:val="240"/>
              <w:divBdr>
                <w:top w:val="none" w:sz="0" w:space="0" w:color="auto"/>
                <w:left w:val="none" w:sz="0" w:space="0" w:color="auto"/>
                <w:bottom w:val="none" w:sz="0" w:space="0" w:color="auto"/>
                <w:right w:val="none" w:sz="0" w:space="0" w:color="auto"/>
              </w:divBdr>
            </w:div>
            <w:div w:id="831792970">
              <w:marLeft w:val="0"/>
              <w:marRight w:val="0"/>
              <w:marTop w:val="0"/>
              <w:marBottom w:val="240"/>
              <w:divBdr>
                <w:top w:val="none" w:sz="0" w:space="0" w:color="auto"/>
                <w:left w:val="none" w:sz="0" w:space="0" w:color="auto"/>
                <w:bottom w:val="none" w:sz="0" w:space="0" w:color="auto"/>
                <w:right w:val="none" w:sz="0" w:space="0" w:color="auto"/>
              </w:divBdr>
            </w:div>
            <w:div w:id="1752461081">
              <w:marLeft w:val="0"/>
              <w:marRight w:val="0"/>
              <w:marTop w:val="0"/>
              <w:marBottom w:val="240"/>
              <w:divBdr>
                <w:top w:val="none" w:sz="0" w:space="0" w:color="auto"/>
                <w:left w:val="none" w:sz="0" w:space="0" w:color="auto"/>
                <w:bottom w:val="none" w:sz="0" w:space="0" w:color="auto"/>
                <w:right w:val="none" w:sz="0" w:space="0" w:color="auto"/>
              </w:divBdr>
            </w:div>
            <w:div w:id="929195084">
              <w:marLeft w:val="0"/>
              <w:marRight w:val="0"/>
              <w:marTop w:val="0"/>
              <w:marBottom w:val="240"/>
              <w:divBdr>
                <w:top w:val="none" w:sz="0" w:space="0" w:color="auto"/>
                <w:left w:val="none" w:sz="0" w:space="0" w:color="auto"/>
                <w:bottom w:val="none" w:sz="0" w:space="0" w:color="auto"/>
                <w:right w:val="none" w:sz="0" w:space="0" w:color="auto"/>
              </w:divBdr>
            </w:div>
            <w:div w:id="1690984233">
              <w:marLeft w:val="0"/>
              <w:marRight w:val="0"/>
              <w:marTop w:val="0"/>
              <w:marBottom w:val="240"/>
              <w:divBdr>
                <w:top w:val="none" w:sz="0" w:space="0" w:color="auto"/>
                <w:left w:val="none" w:sz="0" w:space="0" w:color="auto"/>
                <w:bottom w:val="none" w:sz="0" w:space="0" w:color="auto"/>
                <w:right w:val="none" w:sz="0" w:space="0" w:color="auto"/>
              </w:divBdr>
            </w:div>
            <w:div w:id="1587299700">
              <w:marLeft w:val="0"/>
              <w:marRight w:val="0"/>
              <w:marTop w:val="0"/>
              <w:marBottom w:val="240"/>
              <w:divBdr>
                <w:top w:val="none" w:sz="0" w:space="0" w:color="auto"/>
                <w:left w:val="none" w:sz="0" w:space="0" w:color="auto"/>
                <w:bottom w:val="none" w:sz="0" w:space="0" w:color="auto"/>
                <w:right w:val="none" w:sz="0" w:space="0" w:color="auto"/>
              </w:divBdr>
            </w:div>
            <w:div w:id="938900">
              <w:marLeft w:val="0"/>
              <w:marRight w:val="0"/>
              <w:marTop w:val="0"/>
              <w:marBottom w:val="240"/>
              <w:divBdr>
                <w:top w:val="none" w:sz="0" w:space="0" w:color="auto"/>
                <w:left w:val="none" w:sz="0" w:space="0" w:color="auto"/>
                <w:bottom w:val="none" w:sz="0" w:space="0" w:color="auto"/>
                <w:right w:val="none" w:sz="0" w:space="0" w:color="auto"/>
              </w:divBdr>
            </w:div>
            <w:div w:id="18314724">
              <w:marLeft w:val="0"/>
              <w:marRight w:val="0"/>
              <w:marTop w:val="0"/>
              <w:marBottom w:val="240"/>
              <w:divBdr>
                <w:top w:val="none" w:sz="0" w:space="0" w:color="auto"/>
                <w:left w:val="none" w:sz="0" w:space="0" w:color="auto"/>
                <w:bottom w:val="none" w:sz="0" w:space="0" w:color="auto"/>
                <w:right w:val="none" w:sz="0" w:space="0" w:color="auto"/>
              </w:divBdr>
            </w:div>
            <w:div w:id="1461418427">
              <w:marLeft w:val="0"/>
              <w:marRight w:val="0"/>
              <w:marTop w:val="0"/>
              <w:marBottom w:val="240"/>
              <w:divBdr>
                <w:top w:val="none" w:sz="0" w:space="0" w:color="auto"/>
                <w:left w:val="none" w:sz="0" w:space="0" w:color="auto"/>
                <w:bottom w:val="none" w:sz="0" w:space="0" w:color="auto"/>
                <w:right w:val="none" w:sz="0" w:space="0" w:color="auto"/>
              </w:divBdr>
            </w:div>
            <w:div w:id="359009757">
              <w:marLeft w:val="0"/>
              <w:marRight w:val="0"/>
              <w:marTop w:val="0"/>
              <w:marBottom w:val="240"/>
              <w:divBdr>
                <w:top w:val="none" w:sz="0" w:space="0" w:color="auto"/>
                <w:left w:val="none" w:sz="0" w:space="0" w:color="auto"/>
                <w:bottom w:val="none" w:sz="0" w:space="0" w:color="auto"/>
                <w:right w:val="none" w:sz="0" w:space="0" w:color="auto"/>
              </w:divBdr>
            </w:div>
            <w:div w:id="1431509923">
              <w:marLeft w:val="0"/>
              <w:marRight w:val="0"/>
              <w:marTop w:val="0"/>
              <w:marBottom w:val="240"/>
              <w:divBdr>
                <w:top w:val="none" w:sz="0" w:space="0" w:color="auto"/>
                <w:left w:val="none" w:sz="0" w:space="0" w:color="auto"/>
                <w:bottom w:val="none" w:sz="0" w:space="0" w:color="auto"/>
                <w:right w:val="none" w:sz="0" w:space="0" w:color="auto"/>
              </w:divBdr>
            </w:div>
            <w:div w:id="1509715032">
              <w:marLeft w:val="0"/>
              <w:marRight w:val="0"/>
              <w:marTop w:val="0"/>
              <w:marBottom w:val="240"/>
              <w:divBdr>
                <w:top w:val="none" w:sz="0" w:space="0" w:color="auto"/>
                <w:left w:val="none" w:sz="0" w:space="0" w:color="auto"/>
                <w:bottom w:val="none" w:sz="0" w:space="0" w:color="auto"/>
                <w:right w:val="none" w:sz="0" w:space="0" w:color="auto"/>
              </w:divBdr>
            </w:div>
            <w:div w:id="209223538">
              <w:marLeft w:val="0"/>
              <w:marRight w:val="0"/>
              <w:marTop w:val="0"/>
              <w:marBottom w:val="240"/>
              <w:divBdr>
                <w:top w:val="none" w:sz="0" w:space="0" w:color="auto"/>
                <w:left w:val="none" w:sz="0" w:space="0" w:color="auto"/>
                <w:bottom w:val="none" w:sz="0" w:space="0" w:color="auto"/>
                <w:right w:val="none" w:sz="0" w:space="0" w:color="auto"/>
              </w:divBdr>
            </w:div>
            <w:div w:id="1657100991">
              <w:marLeft w:val="0"/>
              <w:marRight w:val="0"/>
              <w:marTop w:val="0"/>
              <w:marBottom w:val="240"/>
              <w:divBdr>
                <w:top w:val="none" w:sz="0" w:space="0" w:color="auto"/>
                <w:left w:val="none" w:sz="0" w:space="0" w:color="auto"/>
                <w:bottom w:val="none" w:sz="0" w:space="0" w:color="auto"/>
                <w:right w:val="none" w:sz="0" w:space="0" w:color="auto"/>
              </w:divBdr>
            </w:div>
            <w:div w:id="2040156768">
              <w:marLeft w:val="0"/>
              <w:marRight w:val="0"/>
              <w:marTop w:val="0"/>
              <w:marBottom w:val="240"/>
              <w:divBdr>
                <w:top w:val="none" w:sz="0" w:space="0" w:color="auto"/>
                <w:left w:val="none" w:sz="0" w:space="0" w:color="auto"/>
                <w:bottom w:val="none" w:sz="0" w:space="0" w:color="auto"/>
                <w:right w:val="none" w:sz="0" w:space="0" w:color="auto"/>
              </w:divBdr>
            </w:div>
            <w:div w:id="1236936577">
              <w:marLeft w:val="0"/>
              <w:marRight w:val="0"/>
              <w:marTop w:val="0"/>
              <w:marBottom w:val="240"/>
              <w:divBdr>
                <w:top w:val="none" w:sz="0" w:space="0" w:color="auto"/>
                <w:left w:val="none" w:sz="0" w:space="0" w:color="auto"/>
                <w:bottom w:val="none" w:sz="0" w:space="0" w:color="auto"/>
                <w:right w:val="none" w:sz="0" w:space="0" w:color="auto"/>
              </w:divBdr>
            </w:div>
            <w:div w:id="377319982">
              <w:marLeft w:val="0"/>
              <w:marRight w:val="0"/>
              <w:marTop w:val="0"/>
              <w:marBottom w:val="240"/>
              <w:divBdr>
                <w:top w:val="none" w:sz="0" w:space="0" w:color="auto"/>
                <w:left w:val="none" w:sz="0" w:space="0" w:color="auto"/>
                <w:bottom w:val="none" w:sz="0" w:space="0" w:color="auto"/>
                <w:right w:val="none" w:sz="0" w:space="0" w:color="auto"/>
              </w:divBdr>
            </w:div>
            <w:div w:id="1985700124">
              <w:marLeft w:val="0"/>
              <w:marRight w:val="0"/>
              <w:marTop w:val="0"/>
              <w:marBottom w:val="240"/>
              <w:divBdr>
                <w:top w:val="none" w:sz="0" w:space="0" w:color="auto"/>
                <w:left w:val="none" w:sz="0" w:space="0" w:color="auto"/>
                <w:bottom w:val="none" w:sz="0" w:space="0" w:color="auto"/>
                <w:right w:val="none" w:sz="0" w:space="0" w:color="auto"/>
              </w:divBdr>
            </w:div>
            <w:div w:id="267936572">
              <w:marLeft w:val="0"/>
              <w:marRight w:val="0"/>
              <w:marTop w:val="0"/>
              <w:marBottom w:val="240"/>
              <w:divBdr>
                <w:top w:val="none" w:sz="0" w:space="0" w:color="auto"/>
                <w:left w:val="none" w:sz="0" w:space="0" w:color="auto"/>
                <w:bottom w:val="none" w:sz="0" w:space="0" w:color="auto"/>
                <w:right w:val="none" w:sz="0" w:space="0" w:color="auto"/>
              </w:divBdr>
            </w:div>
            <w:div w:id="256259102">
              <w:marLeft w:val="0"/>
              <w:marRight w:val="0"/>
              <w:marTop w:val="0"/>
              <w:marBottom w:val="240"/>
              <w:divBdr>
                <w:top w:val="none" w:sz="0" w:space="0" w:color="auto"/>
                <w:left w:val="none" w:sz="0" w:space="0" w:color="auto"/>
                <w:bottom w:val="none" w:sz="0" w:space="0" w:color="auto"/>
                <w:right w:val="none" w:sz="0" w:space="0" w:color="auto"/>
              </w:divBdr>
            </w:div>
            <w:div w:id="1795057976">
              <w:marLeft w:val="0"/>
              <w:marRight w:val="0"/>
              <w:marTop w:val="0"/>
              <w:marBottom w:val="240"/>
              <w:divBdr>
                <w:top w:val="none" w:sz="0" w:space="0" w:color="auto"/>
                <w:left w:val="none" w:sz="0" w:space="0" w:color="auto"/>
                <w:bottom w:val="none" w:sz="0" w:space="0" w:color="auto"/>
                <w:right w:val="none" w:sz="0" w:space="0" w:color="auto"/>
              </w:divBdr>
            </w:div>
            <w:div w:id="561328434">
              <w:marLeft w:val="0"/>
              <w:marRight w:val="0"/>
              <w:marTop w:val="0"/>
              <w:marBottom w:val="240"/>
              <w:divBdr>
                <w:top w:val="none" w:sz="0" w:space="0" w:color="auto"/>
                <w:left w:val="none" w:sz="0" w:space="0" w:color="auto"/>
                <w:bottom w:val="none" w:sz="0" w:space="0" w:color="auto"/>
                <w:right w:val="none" w:sz="0" w:space="0" w:color="auto"/>
              </w:divBdr>
            </w:div>
            <w:div w:id="1916012515">
              <w:marLeft w:val="0"/>
              <w:marRight w:val="0"/>
              <w:marTop w:val="0"/>
              <w:marBottom w:val="240"/>
              <w:divBdr>
                <w:top w:val="none" w:sz="0" w:space="0" w:color="auto"/>
                <w:left w:val="none" w:sz="0" w:space="0" w:color="auto"/>
                <w:bottom w:val="none" w:sz="0" w:space="0" w:color="auto"/>
                <w:right w:val="none" w:sz="0" w:space="0" w:color="auto"/>
              </w:divBdr>
            </w:div>
            <w:div w:id="241069939">
              <w:marLeft w:val="0"/>
              <w:marRight w:val="0"/>
              <w:marTop w:val="0"/>
              <w:marBottom w:val="240"/>
              <w:divBdr>
                <w:top w:val="none" w:sz="0" w:space="0" w:color="auto"/>
                <w:left w:val="none" w:sz="0" w:space="0" w:color="auto"/>
                <w:bottom w:val="none" w:sz="0" w:space="0" w:color="auto"/>
                <w:right w:val="none" w:sz="0" w:space="0" w:color="auto"/>
              </w:divBdr>
            </w:div>
            <w:div w:id="910387870">
              <w:marLeft w:val="0"/>
              <w:marRight w:val="0"/>
              <w:marTop w:val="0"/>
              <w:marBottom w:val="240"/>
              <w:divBdr>
                <w:top w:val="none" w:sz="0" w:space="0" w:color="auto"/>
                <w:left w:val="none" w:sz="0" w:space="0" w:color="auto"/>
                <w:bottom w:val="none" w:sz="0" w:space="0" w:color="auto"/>
                <w:right w:val="none" w:sz="0" w:space="0" w:color="auto"/>
              </w:divBdr>
            </w:div>
            <w:div w:id="1735005010">
              <w:marLeft w:val="0"/>
              <w:marRight w:val="0"/>
              <w:marTop w:val="0"/>
              <w:marBottom w:val="240"/>
              <w:divBdr>
                <w:top w:val="none" w:sz="0" w:space="0" w:color="auto"/>
                <w:left w:val="none" w:sz="0" w:space="0" w:color="auto"/>
                <w:bottom w:val="none" w:sz="0" w:space="0" w:color="auto"/>
                <w:right w:val="none" w:sz="0" w:space="0" w:color="auto"/>
              </w:divBdr>
            </w:div>
            <w:div w:id="827483406">
              <w:marLeft w:val="0"/>
              <w:marRight w:val="0"/>
              <w:marTop w:val="0"/>
              <w:marBottom w:val="240"/>
              <w:divBdr>
                <w:top w:val="none" w:sz="0" w:space="0" w:color="auto"/>
                <w:left w:val="none" w:sz="0" w:space="0" w:color="auto"/>
                <w:bottom w:val="none" w:sz="0" w:space="0" w:color="auto"/>
                <w:right w:val="none" w:sz="0" w:space="0" w:color="auto"/>
              </w:divBdr>
            </w:div>
            <w:div w:id="9992549">
              <w:marLeft w:val="0"/>
              <w:marRight w:val="0"/>
              <w:marTop w:val="0"/>
              <w:marBottom w:val="240"/>
              <w:divBdr>
                <w:top w:val="none" w:sz="0" w:space="0" w:color="auto"/>
                <w:left w:val="none" w:sz="0" w:space="0" w:color="auto"/>
                <w:bottom w:val="none" w:sz="0" w:space="0" w:color="auto"/>
                <w:right w:val="none" w:sz="0" w:space="0" w:color="auto"/>
              </w:divBdr>
            </w:div>
            <w:div w:id="1447390807">
              <w:marLeft w:val="0"/>
              <w:marRight w:val="0"/>
              <w:marTop w:val="0"/>
              <w:marBottom w:val="240"/>
              <w:divBdr>
                <w:top w:val="none" w:sz="0" w:space="0" w:color="auto"/>
                <w:left w:val="none" w:sz="0" w:space="0" w:color="auto"/>
                <w:bottom w:val="none" w:sz="0" w:space="0" w:color="auto"/>
                <w:right w:val="none" w:sz="0" w:space="0" w:color="auto"/>
              </w:divBdr>
            </w:div>
            <w:div w:id="483283326">
              <w:marLeft w:val="0"/>
              <w:marRight w:val="0"/>
              <w:marTop w:val="0"/>
              <w:marBottom w:val="240"/>
              <w:divBdr>
                <w:top w:val="none" w:sz="0" w:space="0" w:color="auto"/>
                <w:left w:val="none" w:sz="0" w:space="0" w:color="auto"/>
                <w:bottom w:val="none" w:sz="0" w:space="0" w:color="auto"/>
                <w:right w:val="none" w:sz="0" w:space="0" w:color="auto"/>
              </w:divBdr>
            </w:div>
            <w:div w:id="1762019159">
              <w:marLeft w:val="0"/>
              <w:marRight w:val="0"/>
              <w:marTop w:val="0"/>
              <w:marBottom w:val="240"/>
              <w:divBdr>
                <w:top w:val="none" w:sz="0" w:space="0" w:color="auto"/>
                <w:left w:val="none" w:sz="0" w:space="0" w:color="auto"/>
                <w:bottom w:val="none" w:sz="0" w:space="0" w:color="auto"/>
                <w:right w:val="none" w:sz="0" w:space="0" w:color="auto"/>
              </w:divBdr>
            </w:div>
            <w:div w:id="1922981945">
              <w:marLeft w:val="0"/>
              <w:marRight w:val="0"/>
              <w:marTop w:val="0"/>
              <w:marBottom w:val="240"/>
              <w:divBdr>
                <w:top w:val="none" w:sz="0" w:space="0" w:color="auto"/>
                <w:left w:val="none" w:sz="0" w:space="0" w:color="auto"/>
                <w:bottom w:val="none" w:sz="0" w:space="0" w:color="auto"/>
                <w:right w:val="none" w:sz="0" w:space="0" w:color="auto"/>
              </w:divBdr>
            </w:div>
            <w:div w:id="176426020">
              <w:marLeft w:val="0"/>
              <w:marRight w:val="0"/>
              <w:marTop w:val="0"/>
              <w:marBottom w:val="240"/>
              <w:divBdr>
                <w:top w:val="none" w:sz="0" w:space="0" w:color="auto"/>
                <w:left w:val="none" w:sz="0" w:space="0" w:color="auto"/>
                <w:bottom w:val="none" w:sz="0" w:space="0" w:color="auto"/>
                <w:right w:val="none" w:sz="0" w:space="0" w:color="auto"/>
              </w:divBdr>
            </w:div>
            <w:div w:id="1242835118">
              <w:marLeft w:val="0"/>
              <w:marRight w:val="0"/>
              <w:marTop w:val="0"/>
              <w:marBottom w:val="240"/>
              <w:divBdr>
                <w:top w:val="none" w:sz="0" w:space="0" w:color="auto"/>
                <w:left w:val="none" w:sz="0" w:space="0" w:color="auto"/>
                <w:bottom w:val="none" w:sz="0" w:space="0" w:color="auto"/>
                <w:right w:val="none" w:sz="0" w:space="0" w:color="auto"/>
              </w:divBdr>
            </w:div>
            <w:div w:id="711657507">
              <w:marLeft w:val="0"/>
              <w:marRight w:val="0"/>
              <w:marTop w:val="0"/>
              <w:marBottom w:val="240"/>
              <w:divBdr>
                <w:top w:val="none" w:sz="0" w:space="0" w:color="auto"/>
                <w:left w:val="none" w:sz="0" w:space="0" w:color="auto"/>
                <w:bottom w:val="none" w:sz="0" w:space="0" w:color="auto"/>
                <w:right w:val="none" w:sz="0" w:space="0" w:color="auto"/>
              </w:divBdr>
            </w:div>
            <w:div w:id="647319329">
              <w:marLeft w:val="0"/>
              <w:marRight w:val="0"/>
              <w:marTop w:val="0"/>
              <w:marBottom w:val="240"/>
              <w:divBdr>
                <w:top w:val="none" w:sz="0" w:space="0" w:color="auto"/>
                <w:left w:val="none" w:sz="0" w:space="0" w:color="auto"/>
                <w:bottom w:val="none" w:sz="0" w:space="0" w:color="auto"/>
                <w:right w:val="none" w:sz="0" w:space="0" w:color="auto"/>
              </w:divBdr>
            </w:div>
            <w:div w:id="917858923">
              <w:marLeft w:val="0"/>
              <w:marRight w:val="0"/>
              <w:marTop w:val="0"/>
              <w:marBottom w:val="240"/>
              <w:divBdr>
                <w:top w:val="none" w:sz="0" w:space="0" w:color="auto"/>
                <w:left w:val="none" w:sz="0" w:space="0" w:color="auto"/>
                <w:bottom w:val="none" w:sz="0" w:space="0" w:color="auto"/>
                <w:right w:val="none" w:sz="0" w:space="0" w:color="auto"/>
              </w:divBdr>
            </w:div>
            <w:div w:id="1101607148">
              <w:marLeft w:val="0"/>
              <w:marRight w:val="0"/>
              <w:marTop w:val="0"/>
              <w:marBottom w:val="240"/>
              <w:divBdr>
                <w:top w:val="none" w:sz="0" w:space="0" w:color="auto"/>
                <w:left w:val="none" w:sz="0" w:space="0" w:color="auto"/>
                <w:bottom w:val="none" w:sz="0" w:space="0" w:color="auto"/>
                <w:right w:val="none" w:sz="0" w:space="0" w:color="auto"/>
              </w:divBdr>
            </w:div>
            <w:div w:id="1683318028">
              <w:marLeft w:val="0"/>
              <w:marRight w:val="0"/>
              <w:marTop w:val="0"/>
              <w:marBottom w:val="240"/>
              <w:divBdr>
                <w:top w:val="none" w:sz="0" w:space="0" w:color="auto"/>
                <w:left w:val="none" w:sz="0" w:space="0" w:color="auto"/>
                <w:bottom w:val="none" w:sz="0" w:space="0" w:color="auto"/>
                <w:right w:val="none" w:sz="0" w:space="0" w:color="auto"/>
              </w:divBdr>
            </w:div>
            <w:div w:id="845705343">
              <w:marLeft w:val="0"/>
              <w:marRight w:val="0"/>
              <w:marTop w:val="0"/>
              <w:marBottom w:val="240"/>
              <w:divBdr>
                <w:top w:val="none" w:sz="0" w:space="0" w:color="auto"/>
                <w:left w:val="none" w:sz="0" w:space="0" w:color="auto"/>
                <w:bottom w:val="none" w:sz="0" w:space="0" w:color="auto"/>
                <w:right w:val="none" w:sz="0" w:space="0" w:color="auto"/>
              </w:divBdr>
            </w:div>
            <w:div w:id="1324428705">
              <w:marLeft w:val="0"/>
              <w:marRight w:val="0"/>
              <w:marTop w:val="0"/>
              <w:marBottom w:val="240"/>
              <w:divBdr>
                <w:top w:val="none" w:sz="0" w:space="0" w:color="auto"/>
                <w:left w:val="none" w:sz="0" w:space="0" w:color="auto"/>
                <w:bottom w:val="none" w:sz="0" w:space="0" w:color="auto"/>
                <w:right w:val="none" w:sz="0" w:space="0" w:color="auto"/>
              </w:divBdr>
            </w:div>
            <w:div w:id="263609787">
              <w:marLeft w:val="0"/>
              <w:marRight w:val="0"/>
              <w:marTop w:val="0"/>
              <w:marBottom w:val="240"/>
              <w:divBdr>
                <w:top w:val="none" w:sz="0" w:space="0" w:color="auto"/>
                <w:left w:val="none" w:sz="0" w:space="0" w:color="auto"/>
                <w:bottom w:val="none" w:sz="0" w:space="0" w:color="auto"/>
                <w:right w:val="none" w:sz="0" w:space="0" w:color="auto"/>
              </w:divBdr>
            </w:div>
            <w:div w:id="1866819379">
              <w:marLeft w:val="0"/>
              <w:marRight w:val="0"/>
              <w:marTop w:val="0"/>
              <w:marBottom w:val="240"/>
              <w:divBdr>
                <w:top w:val="none" w:sz="0" w:space="0" w:color="auto"/>
                <w:left w:val="none" w:sz="0" w:space="0" w:color="auto"/>
                <w:bottom w:val="none" w:sz="0" w:space="0" w:color="auto"/>
                <w:right w:val="none" w:sz="0" w:space="0" w:color="auto"/>
              </w:divBdr>
            </w:div>
            <w:div w:id="831986598">
              <w:marLeft w:val="0"/>
              <w:marRight w:val="0"/>
              <w:marTop w:val="0"/>
              <w:marBottom w:val="240"/>
              <w:divBdr>
                <w:top w:val="none" w:sz="0" w:space="0" w:color="auto"/>
                <w:left w:val="none" w:sz="0" w:space="0" w:color="auto"/>
                <w:bottom w:val="none" w:sz="0" w:space="0" w:color="auto"/>
                <w:right w:val="none" w:sz="0" w:space="0" w:color="auto"/>
              </w:divBdr>
            </w:div>
            <w:div w:id="995256940">
              <w:marLeft w:val="0"/>
              <w:marRight w:val="0"/>
              <w:marTop w:val="0"/>
              <w:marBottom w:val="240"/>
              <w:divBdr>
                <w:top w:val="none" w:sz="0" w:space="0" w:color="auto"/>
                <w:left w:val="none" w:sz="0" w:space="0" w:color="auto"/>
                <w:bottom w:val="none" w:sz="0" w:space="0" w:color="auto"/>
                <w:right w:val="none" w:sz="0" w:space="0" w:color="auto"/>
              </w:divBdr>
            </w:div>
            <w:div w:id="1732079388">
              <w:marLeft w:val="0"/>
              <w:marRight w:val="0"/>
              <w:marTop w:val="0"/>
              <w:marBottom w:val="240"/>
              <w:divBdr>
                <w:top w:val="none" w:sz="0" w:space="0" w:color="auto"/>
                <w:left w:val="none" w:sz="0" w:space="0" w:color="auto"/>
                <w:bottom w:val="none" w:sz="0" w:space="0" w:color="auto"/>
                <w:right w:val="none" w:sz="0" w:space="0" w:color="auto"/>
              </w:divBdr>
            </w:div>
            <w:div w:id="9559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613817">
      <w:bodyDiv w:val="1"/>
      <w:marLeft w:val="0"/>
      <w:marRight w:val="0"/>
      <w:marTop w:val="0"/>
      <w:marBottom w:val="0"/>
      <w:divBdr>
        <w:top w:val="none" w:sz="0" w:space="0" w:color="auto"/>
        <w:left w:val="none" w:sz="0" w:space="0" w:color="auto"/>
        <w:bottom w:val="none" w:sz="0" w:space="0" w:color="auto"/>
        <w:right w:val="none" w:sz="0" w:space="0" w:color="auto"/>
      </w:divBdr>
      <w:divsChild>
        <w:div w:id="1587492743">
          <w:marLeft w:val="480"/>
          <w:marRight w:val="0"/>
          <w:marTop w:val="0"/>
          <w:marBottom w:val="0"/>
          <w:divBdr>
            <w:top w:val="none" w:sz="0" w:space="0" w:color="auto"/>
            <w:left w:val="none" w:sz="0" w:space="0" w:color="auto"/>
            <w:bottom w:val="none" w:sz="0" w:space="0" w:color="auto"/>
            <w:right w:val="none" w:sz="0" w:space="0" w:color="auto"/>
          </w:divBdr>
          <w:divsChild>
            <w:div w:id="1236622221">
              <w:marLeft w:val="0"/>
              <w:marRight w:val="0"/>
              <w:marTop w:val="0"/>
              <w:marBottom w:val="240"/>
              <w:divBdr>
                <w:top w:val="none" w:sz="0" w:space="0" w:color="auto"/>
                <w:left w:val="none" w:sz="0" w:space="0" w:color="auto"/>
                <w:bottom w:val="none" w:sz="0" w:space="0" w:color="auto"/>
                <w:right w:val="none" w:sz="0" w:space="0" w:color="auto"/>
              </w:divBdr>
            </w:div>
            <w:div w:id="1396660648">
              <w:marLeft w:val="0"/>
              <w:marRight w:val="0"/>
              <w:marTop w:val="0"/>
              <w:marBottom w:val="240"/>
              <w:divBdr>
                <w:top w:val="none" w:sz="0" w:space="0" w:color="auto"/>
                <w:left w:val="none" w:sz="0" w:space="0" w:color="auto"/>
                <w:bottom w:val="none" w:sz="0" w:space="0" w:color="auto"/>
                <w:right w:val="none" w:sz="0" w:space="0" w:color="auto"/>
              </w:divBdr>
            </w:div>
            <w:div w:id="642001021">
              <w:marLeft w:val="0"/>
              <w:marRight w:val="0"/>
              <w:marTop w:val="0"/>
              <w:marBottom w:val="240"/>
              <w:divBdr>
                <w:top w:val="none" w:sz="0" w:space="0" w:color="auto"/>
                <w:left w:val="none" w:sz="0" w:space="0" w:color="auto"/>
                <w:bottom w:val="none" w:sz="0" w:space="0" w:color="auto"/>
                <w:right w:val="none" w:sz="0" w:space="0" w:color="auto"/>
              </w:divBdr>
            </w:div>
            <w:div w:id="1591158001">
              <w:marLeft w:val="0"/>
              <w:marRight w:val="0"/>
              <w:marTop w:val="0"/>
              <w:marBottom w:val="240"/>
              <w:divBdr>
                <w:top w:val="none" w:sz="0" w:space="0" w:color="auto"/>
                <w:left w:val="none" w:sz="0" w:space="0" w:color="auto"/>
                <w:bottom w:val="none" w:sz="0" w:space="0" w:color="auto"/>
                <w:right w:val="none" w:sz="0" w:space="0" w:color="auto"/>
              </w:divBdr>
            </w:div>
            <w:div w:id="1186286877">
              <w:marLeft w:val="0"/>
              <w:marRight w:val="0"/>
              <w:marTop w:val="0"/>
              <w:marBottom w:val="240"/>
              <w:divBdr>
                <w:top w:val="none" w:sz="0" w:space="0" w:color="auto"/>
                <w:left w:val="none" w:sz="0" w:space="0" w:color="auto"/>
                <w:bottom w:val="none" w:sz="0" w:space="0" w:color="auto"/>
                <w:right w:val="none" w:sz="0" w:space="0" w:color="auto"/>
              </w:divBdr>
            </w:div>
            <w:div w:id="1745296716">
              <w:marLeft w:val="0"/>
              <w:marRight w:val="0"/>
              <w:marTop w:val="0"/>
              <w:marBottom w:val="240"/>
              <w:divBdr>
                <w:top w:val="none" w:sz="0" w:space="0" w:color="auto"/>
                <w:left w:val="none" w:sz="0" w:space="0" w:color="auto"/>
                <w:bottom w:val="none" w:sz="0" w:space="0" w:color="auto"/>
                <w:right w:val="none" w:sz="0" w:space="0" w:color="auto"/>
              </w:divBdr>
            </w:div>
            <w:div w:id="75832913">
              <w:marLeft w:val="0"/>
              <w:marRight w:val="0"/>
              <w:marTop w:val="0"/>
              <w:marBottom w:val="240"/>
              <w:divBdr>
                <w:top w:val="none" w:sz="0" w:space="0" w:color="auto"/>
                <w:left w:val="none" w:sz="0" w:space="0" w:color="auto"/>
                <w:bottom w:val="none" w:sz="0" w:space="0" w:color="auto"/>
                <w:right w:val="none" w:sz="0" w:space="0" w:color="auto"/>
              </w:divBdr>
            </w:div>
            <w:div w:id="422604524">
              <w:marLeft w:val="0"/>
              <w:marRight w:val="0"/>
              <w:marTop w:val="0"/>
              <w:marBottom w:val="240"/>
              <w:divBdr>
                <w:top w:val="none" w:sz="0" w:space="0" w:color="auto"/>
                <w:left w:val="none" w:sz="0" w:space="0" w:color="auto"/>
                <w:bottom w:val="none" w:sz="0" w:space="0" w:color="auto"/>
                <w:right w:val="none" w:sz="0" w:space="0" w:color="auto"/>
              </w:divBdr>
            </w:div>
            <w:div w:id="200243312">
              <w:marLeft w:val="0"/>
              <w:marRight w:val="0"/>
              <w:marTop w:val="0"/>
              <w:marBottom w:val="240"/>
              <w:divBdr>
                <w:top w:val="none" w:sz="0" w:space="0" w:color="auto"/>
                <w:left w:val="none" w:sz="0" w:space="0" w:color="auto"/>
                <w:bottom w:val="none" w:sz="0" w:space="0" w:color="auto"/>
                <w:right w:val="none" w:sz="0" w:space="0" w:color="auto"/>
              </w:divBdr>
            </w:div>
            <w:div w:id="2076316771">
              <w:marLeft w:val="0"/>
              <w:marRight w:val="0"/>
              <w:marTop w:val="0"/>
              <w:marBottom w:val="240"/>
              <w:divBdr>
                <w:top w:val="none" w:sz="0" w:space="0" w:color="auto"/>
                <w:left w:val="none" w:sz="0" w:space="0" w:color="auto"/>
                <w:bottom w:val="none" w:sz="0" w:space="0" w:color="auto"/>
                <w:right w:val="none" w:sz="0" w:space="0" w:color="auto"/>
              </w:divBdr>
            </w:div>
            <w:div w:id="629015557">
              <w:marLeft w:val="0"/>
              <w:marRight w:val="0"/>
              <w:marTop w:val="0"/>
              <w:marBottom w:val="240"/>
              <w:divBdr>
                <w:top w:val="none" w:sz="0" w:space="0" w:color="auto"/>
                <w:left w:val="none" w:sz="0" w:space="0" w:color="auto"/>
                <w:bottom w:val="none" w:sz="0" w:space="0" w:color="auto"/>
                <w:right w:val="none" w:sz="0" w:space="0" w:color="auto"/>
              </w:divBdr>
            </w:div>
            <w:div w:id="820969840">
              <w:marLeft w:val="0"/>
              <w:marRight w:val="0"/>
              <w:marTop w:val="0"/>
              <w:marBottom w:val="240"/>
              <w:divBdr>
                <w:top w:val="none" w:sz="0" w:space="0" w:color="auto"/>
                <w:left w:val="none" w:sz="0" w:space="0" w:color="auto"/>
                <w:bottom w:val="none" w:sz="0" w:space="0" w:color="auto"/>
                <w:right w:val="none" w:sz="0" w:space="0" w:color="auto"/>
              </w:divBdr>
            </w:div>
            <w:div w:id="748237708">
              <w:marLeft w:val="0"/>
              <w:marRight w:val="0"/>
              <w:marTop w:val="0"/>
              <w:marBottom w:val="240"/>
              <w:divBdr>
                <w:top w:val="none" w:sz="0" w:space="0" w:color="auto"/>
                <w:left w:val="none" w:sz="0" w:space="0" w:color="auto"/>
                <w:bottom w:val="none" w:sz="0" w:space="0" w:color="auto"/>
                <w:right w:val="none" w:sz="0" w:space="0" w:color="auto"/>
              </w:divBdr>
            </w:div>
            <w:div w:id="313874802">
              <w:marLeft w:val="0"/>
              <w:marRight w:val="0"/>
              <w:marTop w:val="0"/>
              <w:marBottom w:val="240"/>
              <w:divBdr>
                <w:top w:val="none" w:sz="0" w:space="0" w:color="auto"/>
                <w:left w:val="none" w:sz="0" w:space="0" w:color="auto"/>
                <w:bottom w:val="none" w:sz="0" w:space="0" w:color="auto"/>
                <w:right w:val="none" w:sz="0" w:space="0" w:color="auto"/>
              </w:divBdr>
            </w:div>
            <w:div w:id="121583116">
              <w:marLeft w:val="0"/>
              <w:marRight w:val="0"/>
              <w:marTop w:val="0"/>
              <w:marBottom w:val="240"/>
              <w:divBdr>
                <w:top w:val="none" w:sz="0" w:space="0" w:color="auto"/>
                <w:left w:val="none" w:sz="0" w:space="0" w:color="auto"/>
                <w:bottom w:val="none" w:sz="0" w:space="0" w:color="auto"/>
                <w:right w:val="none" w:sz="0" w:space="0" w:color="auto"/>
              </w:divBdr>
            </w:div>
            <w:div w:id="1898399265">
              <w:marLeft w:val="0"/>
              <w:marRight w:val="0"/>
              <w:marTop w:val="0"/>
              <w:marBottom w:val="240"/>
              <w:divBdr>
                <w:top w:val="none" w:sz="0" w:space="0" w:color="auto"/>
                <w:left w:val="none" w:sz="0" w:space="0" w:color="auto"/>
                <w:bottom w:val="none" w:sz="0" w:space="0" w:color="auto"/>
                <w:right w:val="none" w:sz="0" w:space="0" w:color="auto"/>
              </w:divBdr>
            </w:div>
            <w:div w:id="1889956110">
              <w:marLeft w:val="0"/>
              <w:marRight w:val="0"/>
              <w:marTop w:val="0"/>
              <w:marBottom w:val="240"/>
              <w:divBdr>
                <w:top w:val="none" w:sz="0" w:space="0" w:color="auto"/>
                <w:left w:val="none" w:sz="0" w:space="0" w:color="auto"/>
                <w:bottom w:val="none" w:sz="0" w:space="0" w:color="auto"/>
                <w:right w:val="none" w:sz="0" w:space="0" w:color="auto"/>
              </w:divBdr>
            </w:div>
            <w:div w:id="1494684019">
              <w:marLeft w:val="0"/>
              <w:marRight w:val="0"/>
              <w:marTop w:val="0"/>
              <w:marBottom w:val="240"/>
              <w:divBdr>
                <w:top w:val="none" w:sz="0" w:space="0" w:color="auto"/>
                <w:left w:val="none" w:sz="0" w:space="0" w:color="auto"/>
                <w:bottom w:val="none" w:sz="0" w:space="0" w:color="auto"/>
                <w:right w:val="none" w:sz="0" w:space="0" w:color="auto"/>
              </w:divBdr>
            </w:div>
            <w:div w:id="1692603358">
              <w:marLeft w:val="0"/>
              <w:marRight w:val="0"/>
              <w:marTop w:val="0"/>
              <w:marBottom w:val="240"/>
              <w:divBdr>
                <w:top w:val="none" w:sz="0" w:space="0" w:color="auto"/>
                <w:left w:val="none" w:sz="0" w:space="0" w:color="auto"/>
                <w:bottom w:val="none" w:sz="0" w:space="0" w:color="auto"/>
                <w:right w:val="none" w:sz="0" w:space="0" w:color="auto"/>
              </w:divBdr>
            </w:div>
            <w:div w:id="794370051">
              <w:marLeft w:val="0"/>
              <w:marRight w:val="0"/>
              <w:marTop w:val="0"/>
              <w:marBottom w:val="240"/>
              <w:divBdr>
                <w:top w:val="none" w:sz="0" w:space="0" w:color="auto"/>
                <w:left w:val="none" w:sz="0" w:space="0" w:color="auto"/>
                <w:bottom w:val="none" w:sz="0" w:space="0" w:color="auto"/>
                <w:right w:val="none" w:sz="0" w:space="0" w:color="auto"/>
              </w:divBdr>
            </w:div>
            <w:div w:id="609894993">
              <w:marLeft w:val="0"/>
              <w:marRight w:val="0"/>
              <w:marTop w:val="0"/>
              <w:marBottom w:val="240"/>
              <w:divBdr>
                <w:top w:val="none" w:sz="0" w:space="0" w:color="auto"/>
                <w:left w:val="none" w:sz="0" w:space="0" w:color="auto"/>
                <w:bottom w:val="none" w:sz="0" w:space="0" w:color="auto"/>
                <w:right w:val="none" w:sz="0" w:space="0" w:color="auto"/>
              </w:divBdr>
            </w:div>
            <w:div w:id="990404936">
              <w:marLeft w:val="0"/>
              <w:marRight w:val="0"/>
              <w:marTop w:val="0"/>
              <w:marBottom w:val="240"/>
              <w:divBdr>
                <w:top w:val="none" w:sz="0" w:space="0" w:color="auto"/>
                <w:left w:val="none" w:sz="0" w:space="0" w:color="auto"/>
                <w:bottom w:val="none" w:sz="0" w:space="0" w:color="auto"/>
                <w:right w:val="none" w:sz="0" w:space="0" w:color="auto"/>
              </w:divBdr>
            </w:div>
            <w:div w:id="607810298">
              <w:marLeft w:val="0"/>
              <w:marRight w:val="0"/>
              <w:marTop w:val="0"/>
              <w:marBottom w:val="240"/>
              <w:divBdr>
                <w:top w:val="none" w:sz="0" w:space="0" w:color="auto"/>
                <w:left w:val="none" w:sz="0" w:space="0" w:color="auto"/>
                <w:bottom w:val="none" w:sz="0" w:space="0" w:color="auto"/>
                <w:right w:val="none" w:sz="0" w:space="0" w:color="auto"/>
              </w:divBdr>
            </w:div>
            <w:div w:id="2110276990">
              <w:marLeft w:val="0"/>
              <w:marRight w:val="0"/>
              <w:marTop w:val="0"/>
              <w:marBottom w:val="240"/>
              <w:divBdr>
                <w:top w:val="none" w:sz="0" w:space="0" w:color="auto"/>
                <w:left w:val="none" w:sz="0" w:space="0" w:color="auto"/>
                <w:bottom w:val="none" w:sz="0" w:space="0" w:color="auto"/>
                <w:right w:val="none" w:sz="0" w:space="0" w:color="auto"/>
              </w:divBdr>
            </w:div>
            <w:div w:id="39861752">
              <w:marLeft w:val="0"/>
              <w:marRight w:val="0"/>
              <w:marTop w:val="0"/>
              <w:marBottom w:val="240"/>
              <w:divBdr>
                <w:top w:val="none" w:sz="0" w:space="0" w:color="auto"/>
                <w:left w:val="none" w:sz="0" w:space="0" w:color="auto"/>
                <w:bottom w:val="none" w:sz="0" w:space="0" w:color="auto"/>
                <w:right w:val="none" w:sz="0" w:space="0" w:color="auto"/>
              </w:divBdr>
            </w:div>
            <w:div w:id="1997956108">
              <w:marLeft w:val="0"/>
              <w:marRight w:val="0"/>
              <w:marTop w:val="0"/>
              <w:marBottom w:val="240"/>
              <w:divBdr>
                <w:top w:val="none" w:sz="0" w:space="0" w:color="auto"/>
                <w:left w:val="none" w:sz="0" w:space="0" w:color="auto"/>
                <w:bottom w:val="none" w:sz="0" w:space="0" w:color="auto"/>
                <w:right w:val="none" w:sz="0" w:space="0" w:color="auto"/>
              </w:divBdr>
            </w:div>
            <w:div w:id="1434206939">
              <w:marLeft w:val="0"/>
              <w:marRight w:val="0"/>
              <w:marTop w:val="0"/>
              <w:marBottom w:val="240"/>
              <w:divBdr>
                <w:top w:val="none" w:sz="0" w:space="0" w:color="auto"/>
                <w:left w:val="none" w:sz="0" w:space="0" w:color="auto"/>
                <w:bottom w:val="none" w:sz="0" w:space="0" w:color="auto"/>
                <w:right w:val="none" w:sz="0" w:space="0" w:color="auto"/>
              </w:divBdr>
            </w:div>
            <w:div w:id="1628466728">
              <w:marLeft w:val="0"/>
              <w:marRight w:val="0"/>
              <w:marTop w:val="0"/>
              <w:marBottom w:val="240"/>
              <w:divBdr>
                <w:top w:val="none" w:sz="0" w:space="0" w:color="auto"/>
                <w:left w:val="none" w:sz="0" w:space="0" w:color="auto"/>
                <w:bottom w:val="none" w:sz="0" w:space="0" w:color="auto"/>
                <w:right w:val="none" w:sz="0" w:space="0" w:color="auto"/>
              </w:divBdr>
            </w:div>
            <w:div w:id="649751985">
              <w:marLeft w:val="0"/>
              <w:marRight w:val="0"/>
              <w:marTop w:val="0"/>
              <w:marBottom w:val="240"/>
              <w:divBdr>
                <w:top w:val="none" w:sz="0" w:space="0" w:color="auto"/>
                <w:left w:val="none" w:sz="0" w:space="0" w:color="auto"/>
                <w:bottom w:val="none" w:sz="0" w:space="0" w:color="auto"/>
                <w:right w:val="none" w:sz="0" w:space="0" w:color="auto"/>
              </w:divBdr>
            </w:div>
            <w:div w:id="1251231022">
              <w:marLeft w:val="0"/>
              <w:marRight w:val="0"/>
              <w:marTop w:val="0"/>
              <w:marBottom w:val="240"/>
              <w:divBdr>
                <w:top w:val="none" w:sz="0" w:space="0" w:color="auto"/>
                <w:left w:val="none" w:sz="0" w:space="0" w:color="auto"/>
                <w:bottom w:val="none" w:sz="0" w:space="0" w:color="auto"/>
                <w:right w:val="none" w:sz="0" w:space="0" w:color="auto"/>
              </w:divBdr>
            </w:div>
            <w:div w:id="131793412">
              <w:marLeft w:val="0"/>
              <w:marRight w:val="0"/>
              <w:marTop w:val="0"/>
              <w:marBottom w:val="240"/>
              <w:divBdr>
                <w:top w:val="none" w:sz="0" w:space="0" w:color="auto"/>
                <w:left w:val="none" w:sz="0" w:space="0" w:color="auto"/>
                <w:bottom w:val="none" w:sz="0" w:space="0" w:color="auto"/>
                <w:right w:val="none" w:sz="0" w:space="0" w:color="auto"/>
              </w:divBdr>
            </w:div>
            <w:div w:id="1235507412">
              <w:marLeft w:val="0"/>
              <w:marRight w:val="0"/>
              <w:marTop w:val="0"/>
              <w:marBottom w:val="240"/>
              <w:divBdr>
                <w:top w:val="none" w:sz="0" w:space="0" w:color="auto"/>
                <w:left w:val="none" w:sz="0" w:space="0" w:color="auto"/>
                <w:bottom w:val="none" w:sz="0" w:space="0" w:color="auto"/>
                <w:right w:val="none" w:sz="0" w:space="0" w:color="auto"/>
              </w:divBdr>
            </w:div>
            <w:div w:id="1819808057">
              <w:marLeft w:val="0"/>
              <w:marRight w:val="0"/>
              <w:marTop w:val="0"/>
              <w:marBottom w:val="240"/>
              <w:divBdr>
                <w:top w:val="none" w:sz="0" w:space="0" w:color="auto"/>
                <w:left w:val="none" w:sz="0" w:space="0" w:color="auto"/>
                <w:bottom w:val="none" w:sz="0" w:space="0" w:color="auto"/>
                <w:right w:val="none" w:sz="0" w:space="0" w:color="auto"/>
              </w:divBdr>
            </w:div>
            <w:div w:id="1178543195">
              <w:marLeft w:val="0"/>
              <w:marRight w:val="0"/>
              <w:marTop w:val="0"/>
              <w:marBottom w:val="240"/>
              <w:divBdr>
                <w:top w:val="none" w:sz="0" w:space="0" w:color="auto"/>
                <w:left w:val="none" w:sz="0" w:space="0" w:color="auto"/>
                <w:bottom w:val="none" w:sz="0" w:space="0" w:color="auto"/>
                <w:right w:val="none" w:sz="0" w:space="0" w:color="auto"/>
              </w:divBdr>
            </w:div>
            <w:div w:id="1099178644">
              <w:marLeft w:val="0"/>
              <w:marRight w:val="0"/>
              <w:marTop w:val="0"/>
              <w:marBottom w:val="240"/>
              <w:divBdr>
                <w:top w:val="none" w:sz="0" w:space="0" w:color="auto"/>
                <w:left w:val="none" w:sz="0" w:space="0" w:color="auto"/>
                <w:bottom w:val="none" w:sz="0" w:space="0" w:color="auto"/>
                <w:right w:val="none" w:sz="0" w:space="0" w:color="auto"/>
              </w:divBdr>
            </w:div>
            <w:div w:id="156463313">
              <w:marLeft w:val="0"/>
              <w:marRight w:val="0"/>
              <w:marTop w:val="0"/>
              <w:marBottom w:val="240"/>
              <w:divBdr>
                <w:top w:val="none" w:sz="0" w:space="0" w:color="auto"/>
                <w:left w:val="none" w:sz="0" w:space="0" w:color="auto"/>
                <w:bottom w:val="none" w:sz="0" w:space="0" w:color="auto"/>
                <w:right w:val="none" w:sz="0" w:space="0" w:color="auto"/>
              </w:divBdr>
            </w:div>
            <w:div w:id="480316103">
              <w:marLeft w:val="0"/>
              <w:marRight w:val="0"/>
              <w:marTop w:val="0"/>
              <w:marBottom w:val="240"/>
              <w:divBdr>
                <w:top w:val="none" w:sz="0" w:space="0" w:color="auto"/>
                <w:left w:val="none" w:sz="0" w:space="0" w:color="auto"/>
                <w:bottom w:val="none" w:sz="0" w:space="0" w:color="auto"/>
                <w:right w:val="none" w:sz="0" w:space="0" w:color="auto"/>
              </w:divBdr>
            </w:div>
            <w:div w:id="2013145064">
              <w:marLeft w:val="0"/>
              <w:marRight w:val="0"/>
              <w:marTop w:val="0"/>
              <w:marBottom w:val="240"/>
              <w:divBdr>
                <w:top w:val="none" w:sz="0" w:space="0" w:color="auto"/>
                <w:left w:val="none" w:sz="0" w:space="0" w:color="auto"/>
                <w:bottom w:val="none" w:sz="0" w:space="0" w:color="auto"/>
                <w:right w:val="none" w:sz="0" w:space="0" w:color="auto"/>
              </w:divBdr>
            </w:div>
            <w:div w:id="202297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3241">
      <w:bodyDiv w:val="1"/>
      <w:marLeft w:val="0"/>
      <w:marRight w:val="0"/>
      <w:marTop w:val="0"/>
      <w:marBottom w:val="0"/>
      <w:divBdr>
        <w:top w:val="none" w:sz="0" w:space="0" w:color="auto"/>
        <w:left w:val="none" w:sz="0" w:space="0" w:color="auto"/>
        <w:bottom w:val="none" w:sz="0" w:space="0" w:color="auto"/>
        <w:right w:val="none" w:sz="0" w:space="0" w:color="auto"/>
      </w:divBdr>
    </w:div>
    <w:div w:id="1039358546">
      <w:bodyDiv w:val="1"/>
      <w:marLeft w:val="0"/>
      <w:marRight w:val="0"/>
      <w:marTop w:val="0"/>
      <w:marBottom w:val="0"/>
      <w:divBdr>
        <w:top w:val="none" w:sz="0" w:space="0" w:color="auto"/>
        <w:left w:val="none" w:sz="0" w:space="0" w:color="auto"/>
        <w:bottom w:val="none" w:sz="0" w:space="0" w:color="auto"/>
        <w:right w:val="none" w:sz="0" w:space="0" w:color="auto"/>
      </w:divBdr>
    </w:div>
    <w:div w:id="1041437885">
      <w:bodyDiv w:val="1"/>
      <w:marLeft w:val="0"/>
      <w:marRight w:val="0"/>
      <w:marTop w:val="0"/>
      <w:marBottom w:val="0"/>
      <w:divBdr>
        <w:top w:val="none" w:sz="0" w:space="0" w:color="auto"/>
        <w:left w:val="none" w:sz="0" w:space="0" w:color="auto"/>
        <w:bottom w:val="none" w:sz="0" w:space="0" w:color="auto"/>
        <w:right w:val="none" w:sz="0" w:space="0" w:color="auto"/>
      </w:divBdr>
      <w:divsChild>
        <w:div w:id="313533748">
          <w:marLeft w:val="480"/>
          <w:marRight w:val="0"/>
          <w:marTop w:val="0"/>
          <w:marBottom w:val="0"/>
          <w:divBdr>
            <w:top w:val="none" w:sz="0" w:space="0" w:color="auto"/>
            <w:left w:val="none" w:sz="0" w:space="0" w:color="auto"/>
            <w:bottom w:val="none" w:sz="0" w:space="0" w:color="auto"/>
            <w:right w:val="none" w:sz="0" w:space="0" w:color="auto"/>
          </w:divBdr>
          <w:divsChild>
            <w:div w:id="783883685">
              <w:marLeft w:val="0"/>
              <w:marRight w:val="0"/>
              <w:marTop w:val="0"/>
              <w:marBottom w:val="240"/>
              <w:divBdr>
                <w:top w:val="none" w:sz="0" w:space="0" w:color="auto"/>
                <w:left w:val="none" w:sz="0" w:space="0" w:color="auto"/>
                <w:bottom w:val="none" w:sz="0" w:space="0" w:color="auto"/>
                <w:right w:val="none" w:sz="0" w:space="0" w:color="auto"/>
              </w:divBdr>
            </w:div>
            <w:div w:id="1128741449">
              <w:marLeft w:val="0"/>
              <w:marRight w:val="0"/>
              <w:marTop w:val="0"/>
              <w:marBottom w:val="240"/>
              <w:divBdr>
                <w:top w:val="none" w:sz="0" w:space="0" w:color="auto"/>
                <w:left w:val="none" w:sz="0" w:space="0" w:color="auto"/>
                <w:bottom w:val="none" w:sz="0" w:space="0" w:color="auto"/>
                <w:right w:val="none" w:sz="0" w:space="0" w:color="auto"/>
              </w:divBdr>
            </w:div>
            <w:div w:id="451215781">
              <w:marLeft w:val="0"/>
              <w:marRight w:val="0"/>
              <w:marTop w:val="0"/>
              <w:marBottom w:val="240"/>
              <w:divBdr>
                <w:top w:val="none" w:sz="0" w:space="0" w:color="auto"/>
                <w:left w:val="none" w:sz="0" w:space="0" w:color="auto"/>
                <w:bottom w:val="none" w:sz="0" w:space="0" w:color="auto"/>
                <w:right w:val="none" w:sz="0" w:space="0" w:color="auto"/>
              </w:divBdr>
            </w:div>
            <w:div w:id="807744327">
              <w:marLeft w:val="0"/>
              <w:marRight w:val="0"/>
              <w:marTop w:val="0"/>
              <w:marBottom w:val="240"/>
              <w:divBdr>
                <w:top w:val="none" w:sz="0" w:space="0" w:color="auto"/>
                <w:left w:val="none" w:sz="0" w:space="0" w:color="auto"/>
                <w:bottom w:val="none" w:sz="0" w:space="0" w:color="auto"/>
                <w:right w:val="none" w:sz="0" w:space="0" w:color="auto"/>
              </w:divBdr>
            </w:div>
            <w:div w:id="1228763175">
              <w:marLeft w:val="0"/>
              <w:marRight w:val="0"/>
              <w:marTop w:val="0"/>
              <w:marBottom w:val="240"/>
              <w:divBdr>
                <w:top w:val="none" w:sz="0" w:space="0" w:color="auto"/>
                <w:left w:val="none" w:sz="0" w:space="0" w:color="auto"/>
                <w:bottom w:val="none" w:sz="0" w:space="0" w:color="auto"/>
                <w:right w:val="none" w:sz="0" w:space="0" w:color="auto"/>
              </w:divBdr>
            </w:div>
            <w:div w:id="708918455">
              <w:marLeft w:val="0"/>
              <w:marRight w:val="0"/>
              <w:marTop w:val="0"/>
              <w:marBottom w:val="240"/>
              <w:divBdr>
                <w:top w:val="none" w:sz="0" w:space="0" w:color="auto"/>
                <w:left w:val="none" w:sz="0" w:space="0" w:color="auto"/>
                <w:bottom w:val="none" w:sz="0" w:space="0" w:color="auto"/>
                <w:right w:val="none" w:sz="0" w:space="0" w:color="auto"/>
              </w:divBdr>
            </w:div>
            <w:div w:id="1201237123">
              <w:marLeft w:val="0"/>
              <w:marRight w:val="0"/>
              <w:marTop w:val="0"/>
              <w:marBottom w:val="240"/>
              <w:divBdr>
                <w:top w:val="none" w:sz="0" w:space="0" w:color="auto"/>
                <w:left w:val="none" w:sz="0" w:space="0" w:color="auto"/>
                <w:bottom w:val="none" w:sz="0" w:space="0" w:color="auto"/>
                <w:right w:val="none" w:sz="0" w:space="0" w:color="auto"/>
              </w:divBdr>
            </w:div>
            <w:div w:id="2045981070">
              <w:marLeft w:val="0"/>
              <w:marRight w:val="0"/>
              <w:marTop w:val="0"/>
              <w:marBottom w:val="240"/>
              <w:divBdr>
                <w:top w:val="none" w:sz="0" w:space="0" w:color="auto"/>
                <w:left w:val="none" w:sz="0" w:space="0" w:color="auto"/>
                <w:bottom w:val="none" w:sz="0" w:space="0" w:color="auto"/>
                <w:right w:val="none" w:sz="0" w:space="0" w:color="auto"/>
              </w:divBdr>
            </w:div>
            <w:div w:id="988896543">
              <w:marLeft w:val="0"/>
              <w:marRight w:val="0"/>
              <w:marTop w:val="0"/>
              <w:marBottom w:val="240"/>
              <w:divBdr>
                <w:top w:val="none" w:sz="0" w:space="0" w:color="auto"/>
                <w:left w:val="none" w:sz="0" w:space="0" w:color="auto"/>
                <w:bottom w:val="none" w:sz="0" w:space="0" w:color="auto"/>
                <w:right w:val="none" w:sz="0" w:space="0" w:color="auto"/>
              </w:divBdr>
            </w:div>
            <w:div w:id="2142265404">
              <w:marLeft w:val="0"/>
              <w:marRight w:val="0"/>
              <w:marTop w:val="0"/>
              <w:marBottom w:val="240"/>
              <w:divBdr>
                <w:top w:val="none" w:sz="0" w:space="0" w:color="auto"/>
                <w:left w:val="none" w:sz="0" w:space="0" w:color="auto"/>
                <w:bottom w:val="none" w:sz="0" w:space="0" w:color="auto"/>
                <w:right w:val="none" w:sz="0" w:space="0" w:color="auto"/>
              </w:divBdr>
            </w:div>
            <w:div w:id="31152647">
              <w:marLeft w:val="0"/>
              <w:marRight w:val="0"/>
              <w:marTop w:val="0"/>
              <w:marBottom w:val="240"/>
              <w:divBdr>
                <w:top w:val="none" w:sz="0" w:space="0" w:color="auto"/>
                <w:left w:val="none" w:sz="0" w:space="0" w:color="auto"/>
                <w:bottom w:val="none" w:sz="0" w:space="0" w:color="auto"/>
                <w:right w:val="none" w:sz="0" w:space="0" w:color="auto"/>
              </w:divBdr>
            </w:div>
            <w:div w:id="1650474416">
              <w:marLeft w:val="0"/>
              <w:marRight w:val="0"/>
              <w:marTop w:val="0"/>
              <w:marBottom w:val="240"/>
              <w:divBdr>
                <w:top w:val="none" w:sz="0" w:space="0" w:color="auto"/>
                <w:left w:val="none" w:sz="0" w:space="0" w:color="auto"/>
                <w:bottom w:val="none" w:sz="0" w:space="0" w:color="auto"/>
                <w:right w:val="none" w:sz="0" w:space="0" w:color="auto"/>
              </w:divBdr>
            </w:div>
            <w:div w:id="742988901">
              <w:marLeft w:val="0"/>
              <w:marRight w:val="0"/>
              <w:marTop w:val="0"/>
              <w:marBottom w:val="240"/>
              <w:divBdr>
                <w:top w:val="none" w:sz="0" w:space="0" w:color="auto"/>
                <w:left w:val="none" w:sz="0" w:space="0" w:color="auto"/>
                <w:bottom w:val="none" w:sz="0" w:space="0" w:color="auto"/>
                <w:right w:val="none" w:sz="0" w:space="0" w:color="auto"/>
              </w:divBdr>
            </w:div>
            <w:div w:id="1636906791">
              <w:marLeft w:val="0"/>
              <w:marRight w:val="0"/>
              <w:marTop w:val="0"/>
              <w:marBottom w:val="240"/>
              <w:divBdr>
                <w:top w:val="none" w:sz="0" w:space="0" w:color="auto"/>
                <w:left w:val="none" w:sz="0" w:space="0" w:color="auto"/>
                <w:bottom w:val="none" w:sz="0" w:space="0" w:color="auto"/>
                <w:right w:val="none" w:sz="0" w:space="0" w:color="auto"/>
              </w:divBdr>
            </w:div>
            <w:div w:id="2079009597">
              <w:marLeft w:val="0"/>
              <w:marRight w:val="0"/>
              <w:marTop w:val="0"/>
              <w:marBottom w:val="240"/>
              <w:divBdr>
                <w:top w:val="none" w:sz="0" w:space="0" w:color="auto"/>
                <w:left w:val="none" w:sz="0" w:space="0" w:color="auto"/>
                <w:bottom w:val="none" w:sz="0" w:space="0" w:color="auto"/>
                <w:right w:val="none" w:sz="0" w:space="0" w:color="auto"/>
              </w:divBdr>
            </w:div>
            <w:div w:id="1767800749">
              <w:marLeft w:val="0"/>
              <w:marRight w:val="0"/>
              <w:marTop w:val="0"/>
              <w:marBottom w:val="240"/>
              <w:divBdr>
                <w:top w:val="none" w:sz="0" w:space="0" w:color="auto"/>
                <w:left w:val="none" w:sz="0" w:space="0" w:color="auto"/>
                <w:bottom w:val="none" w:sz="0" w:space="0" w:color="auto"/>
                <w:right w:val="none" w:sz="0" w:space="0" w:color="auto"/>
              </w:divBdr>
            </w:div>
            <w:div w:id="107631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643150">
      <w:bodyDiv w:val="1"/>
      <w:marLeft w:val="0"/>
      <w:marRight w:val="0"/>
      <w:marTop w:val="0"/>
      <w:marBottom w:val="0"/>
      <w:divBdr>
        <w:top w:val="none" w:sz="0" w:space="0" w:color="auto"/>
        <w:left w:val="none" w:sz="0" w:space="0" w:color="auto"/>
        <w:bottom w:val="none" w:sz="0" w:space="0" w:color="auto"/>
        <w:right w:val="none" w:sz="0" w:space="0" w:color="auto"/>
      </w:divBdr>
    </w:div>
    <w:div w:id="1045832930">
      <w:bodyDiv w:val="1"/>
      <w:marLeft w:val="0"/>
      <w:marRight w:val="0"/>
      <w:marTop w:val="0"/>
      <w:marBottom w:val="0"/>
      <w:divBdr>
        <w:top w:val="none" w:sz="0" w:space="0" w:color="auto"/>
        <w:left w:val="none" w:sz="0" w:space="0" w:color="auto"/>
        <w:bottom w:val="none" w:sz="0" w:space="0" w:color="auto"/>
        <w:right w:val="none" w:sz="0" w:space="0" w:color="auto"/>
      </w:divBdr>
    </w:div>
    <w:div w:id="1050224384">
      <w:bodyDiv w:val="1"/>
      <w:marLeft w:val="0"/>
      <w:marRight w:val="0"/>
      <w:marTop w:val="0"/>
      <w:marBottom w:val="0"/>
      <w:divBdr>
        <w:top w:val="none" w:sz="0" w:space="0" w:color="auto"/>
        <w:left w:val="none" w:sz="0" w:space="0" w:color="auto"/>
        <w:bottom w:val="none" w:sz="0" w:space="0" w:color="auto"/>
        <w:right w:val="none" w:sz="0" w:space="0" w:color="auto"/>
      </w:divBdr>
    </w:div>
    <w:div w:id="1066565168">
      <w:bodyDiv w:val="1"/>
      <w:marLeft w:val="0"/>
      <w:marRight w:val="0"/>
      <w:marTop w:val="0"/>
      <w:marBottom w:val="0"/>
      <w:divBdr>
        <w:top w:val="none" w:sz="0" w:space="0" w:color="auto"/>
        <w:left w:val="none" w:sz="0" w:space="0" w:color="auto"/>
        <w:bottom w:val="none" w:sz="0" w:space="0" w:color="auto"/>
        <w:right w:val="none" w:sz="0" w:space="0" w:color="auto"/>
      </w:divBdr>
    </w:div>
    <w:div w:id="1072696425">
      <w:bodyDiv w:val="1"/>
      <w:marLeft w:val="0"/>
      <w:marRight w:val="0"/>
      <w:marTop w:val="0"/>
      <w:marBottom w:val="0"/>
      <w:divBdr>
        <w:top w:val="none" w:sz="0" w:space="0" w:color="auto"/>
        <w:left w:val="none" w:sz="0" w:space="0" w:color="auto"/>
        <w:bottom w:val="none" w:sz="0" w:space="0" w:color="auto"/>
        <w:right w:val="none" w:sz="0" w:space="0" w:color="auto"/>
      </w:divBdr>
    </w:div>
    <w:div w:id="1077285462">
      <w:bodyDiv w:val="1"/>
      <w:marLeft w:val="0"/>
      <w:marRight w:val="0"/>
      <w:marTop w:val="0"/>
      <w:marBottom w:val="0"/>
      <w:divBdr>
        <w:top w:val="none" w:sz="0" w:space="0" w:color="auto"/>
        <w:left w:val="none" w:sz="0" w:space="0" w:color="auto"/>
        <w:bottom w:val="none" w:sz="0" w:space="0" w:color="auto"/>
        <w:right w:val="none" w:sz="0" w:space="0" w:color="auto"/>
      </w:divBdr>
    </w:div>
    <w:div w:id="1080249443">
      <w:bodyDiv w:val="1"/>
      <w:marLeft w:val="0"/>
      <w:marRight w:val="0"/>
      <w:marTop w:val="0"/>
      <w:marBottom w:val="0"/>
      <w:divBdr>
        <w:top w:val="none" w:sz="0" w:space="0" w:color="auto"/>
        <w:left w:val="none" w:sz="0" w:space="0" w:color="auto"/>
        <w:bottom w:val="none" w:sz="0" w:space="0" w:color="auto"/>
        <w:right w:val="none" w:sz="0" w:space="0" w:color="auto"/>
      </w:divBdr>
      <w:divsChild>
        <w:div w:id="205214737">
          <w:marLeft w:val="480"/>
          <w:marRight w:val="0"/>
          <w:marTop w:val="0"/>
          <w:marBottom w:val="0"/>
          <w:divBdr>
            <w:top w:val="none" w:sz="0" w:space="0" w:color="auto"/>
            <w:left w:val="none" w:sz="0" w:space="0" w:color="auto"/>
            <w:bottom w:val="none" w:sz="0" w:space="0" w:color="auto"/>
            <w:right w:val="none" w:sz="0" w:space="0" w:color="auto"/>
          </w:divBdr>
          <w:divsChild>
            <w:div w:id="1991136754">
              <w:marLeft w:val="0"/>
              <w:marRight w:val="0"/>
              <w:marTop w:val="0"/>
              <w:marBottom w:val="240"/>
              <w:divBdr>
                <w:top w:val="none" w:sz="0" w:space="0" w:color="auto"/>
                <w:left w:val="none" w:sz="0" w:space="0" w:color="auto"/>
                <w:bottom w:val="none" w:sz="0" w:space="0" w:color="auto"/>
                <w:right w:val="none" w:sz="0" w:space="0" w:color="auto"/>
              </w:divBdr>
            </w:div>
            <w:div w:id="897208300">
              <w:marLeft w:val="0"/>
              <w:marRight w:val="0"/>
              <w:marTop w:val="0"/>
              <w:marBottom w:val="240"/>
              <w:divBdr>
                <w:top w:val="none" w:sz="0" w:space="0" w:color="auto"/>
                <w:left w:val="none" w:sz="0" w:space="0" w:color="auto"/>
                <w:bottom w:val="none" w:sz="0" w:space="0" w:color="auto"/>
                <w:right w:val="none" w:sz="0" w:space="0" w:color="auto"/>
              </w:divBdr>
            </w:div>
            <w:div w:id="702948780">
              <w:marLeft w:val="0"/>
              <w:marRight w:val="0"/>
              <w:marTop w:val="0"/>
              <w:marBottom w:val="240"/>
              <w:divBdr>
                <w:top w:val="none" w:sz="0" w:space="0" w:color="auto"/>
                <w:left w:val="none" w:sz="0" w:space="0" w:color="auto"/>
                <w:bottom w:val="none" w:sz="0" w:space="0" w:color="auto"/>
                <w:right w:val="none" w:sz="0" w:space="0" w:color="auto"/>
              </w:divBdr>
            </w:div>
            <w:div w:id="1349914708">
              <w:marLeft w:val="0"/>
              <w:marRight w:val="0"/>
              <w:marTop w:val="0"/>
              <w:marBottom w:val="240"/>
              <w:divBdr>
                <w:top w:val="none" w:sz="0" w:space="0" w:color="auto"/>
                <w:left w:val="none" w:sz="0" w:space="0" w:color="auto"/>
                <w:bottom w:val="none" w:sz="0" w:space="0" w:color="auto"/>
                <w:right w:val="none" w:sz="0" w:space="0" w:color="auto"/>
              </w:divBdr>
            </w:div>
            <w:div w:id="1638602305">
              <w:marLeft w:val="0"/>
              <w:marRight w:val="0"/>
              <w:marTop w:val="0"/>
              <w:marBottom w:val="240"/>
              <w:divBdr>
                <w:top w:val="none" w:sz="0" w:space="0" w:color="auto"/>
                <w:left w:val="none" w:sz="0" w:space="0" w:color="auto"/>
                <w:bottom w:val="none" w:sz="0" w:space="0" w:color="auto"/>
                <w:right w:val="none" w:sz="0" w:space="0" w:color="auto"/>
              </w:divBdr>
            </w:div>
            <w:div w:id="1445660882">
              <w:marLeft w:val="0"/>
              <w:marRight w:val="0"/>
              <w:marTop w:val="0"/>
              <w:marBottom w:val="240"/>
              <w:divBdr>
                <w:top w:val="none" w:sz="0" w:space="0" w:color="auto"/>
                <w:left w:val="none" w:sz="0" w:space="0" w:color="auto"/>
                <w:bottom w:val="none" w:sz="0" w:space="0" w:color="auto"/>
                <w:right w:val="none" w:sz="0" w:space="0" w:color="auto"/>
              </w:divBdr>
            </w:div>
            <w:div w:id="2080905253">
              <w:marLeft w:val="0"/>
              <w:marRight w:val="0"/>
              <w:marTop w:val="0"/>
              <w:marBottom w:val="240"/>
              <w:divBdr>
                <w:top w:val="none" w:sz="0" w:space="0" w:color="auto"/>
                <w:left w:val="none" w:sz="0" w:space="0" w:color="auto"/>
                <w:bottom w:val="none" w:sz="0" w:space="0" w:color="auto"/>
                <w:right w:val="none" w:sz="0" w:space="0" w:color="auto"/>
              </w:divBdr>
            </w:div>
            <w:div w:id="1626347991">
              <w:marLeft w:val="0"/>
              <w:marRight w:val="0"/>
              <w:marTop w:val="0"/>
              <w:marBottom w:val="240"/>
              <w:divBdr>
                <w:top w:val="none" w:sz="0" w:space="0" w:color="auto"/>
                <w:left w:val="none" w:sz="0" w:space="0" w:color="auto"/>
                <w:bottom w:val="none" w:sz="0" w:space="0" w:color="auto"/>
                <w:right w:val="none" w:sz="0" w:space="0" w:color="auto"/>
              </w:divBdr>
            </w:div>
            <w:div w:id="1656101755">
              <w:marLeft w:val="0"/>
              <w:marRight w:val="0"/>
              <w:marTop w:val="0"/>
              <w:marBottom w:val="240"/>
              <w:divBdr>
                <w:top w:val="none" w:sz="0" w:space="0" w:color="auto"/>
                <w:left w:val="none" w:sz="0" w:space="0" w:color="auto"/>
                <w:bottom w:val="none" w:sz="0" w:space="0" w:color="auto"/>
                <w:right w:val="none" w:sz="0" w:space="0" w:color="auto"/>
              </w:divBdr>
            </w:div>
            <w:div w:id="1132555685">
              <w:marLeft w:val="0"/>
              <w:marRight w:val="0"/>
              <w:marTop w:val="0"/>
              <w:marBottom w:val="240"/>
              <w:divBdr>
                <w:top w:val="none" w:sz="0" w:space="0" w:color="auto"/>
                <w:left w:val="none" w:sz="0" w:space="0" w:color="auto"/>
                <w:bottom w:val="none" w:sz="0" w:space="0" w:color="auto"/>
                <w:right w:val="none" w:sz="0" w:space="0" w:color="auto"/>
              </w:divBdr>
            </w:div>
            <w:div w:id="119306591">
              <w:marLeft w:val="0"/>
              <w:marRight w:val="0"/>
              <w:marTop w:val="0"/>
              <w:marBottom w:val="240"/>
              <w:divBdr>
                <w:top w:val="none" w:sz="0" w:space="0" w:color="auto"/>
                <w:left w:val="none" w:sz="0" w:space="0" w:color="auto"/>
                <w:bottom w:val="none" w:sz="0" w:space="0" w:color="auto"/>
                <w:right w:val="none" w:sz="0" w:space="0" w:color="auto"/>
              </w:divBdr>
            </w:div>
            <w:div w:id="1749031371">
              <w:marLeft w:val="0"/>
              <w:marRight w:val="0"/>
              <w:marTop w:val="0"/>
              <w:marBottom w:val="240"/>
              <w:divBdr>
                <w:top w:val="none" w:sz="0" w:space="0" w:color="auto"/>
                <w:left w:val="none" w:sz="0" w:space="0" w:color="auto"/>
                <w:bottom w:val="none" w:sz="0" w:space="0" w:color="auto"/>
                <w:right w:val="none" w:sz="0" w:space="0" w:color="auto"/>
              </w:divBdr>
            </w:div>
            <w:div w:id="2109419523">
              <w:marLeft w:val="0"/>
              <w:marRight w:val="0"/>
              <w:marTop w:val="0"/>
              <w:marBottom w:val="240"/>
              <w:divBdr>
                <w:top w:val="none" w:sz="0" w:space="0" w:color="auto"/>
                <w:left w:val="none" w:sz="0" w:space="0" w:color="auto"/>
                <w:bottom w:val="none" w:sz="0" w:space="0" w:color="auto"/>
                <w:right w:val="none" w:sz="0" w:space="0" w:color="auto"/>
              </w:divBdr>
            </w:div>
            <w:div w:id="1802771220">
              <w:marLeft w:val="0"/>
              <w:marRight w:val="0"/>
              <w:marTop w:val="0"/>
              <w:marBottom w:val="240"/>
              <w:divBdr>
                <w:top w:val="none" w:sz="0" w:space="0" w:color="auto"/>
                <w:left w:val="none" w:sz="0" w:space="0" w:color="auto"/>
                <w:bottom w:val="none" w:sz="0" w:space="0" w:color="auto"/>
                <w:right w:val="none" w:sz="0" w:space="0" w:color="auto"/>
              </w:divBdr>
            </w:div>
            <w:div w:id="1892421900">
              <w:marLeft w:val="0"/>
              <w:marRight w:val="0"/>
              <w:marTop w:val="0"/>
              <w:marBottom w:val="240"/>
              <w:divBdr>
                <w:top w:val="none" w:sz="0" w:space="0" w:color="auto"/>
                <w:left w:val="none" w:sz="0" w:space="0" w:color="auto"/>
                <w:bottom w:val="none" w:sz="0" w:space="0" w:color="auto"/>
                <w:right w:val="none" w:sz="0" w:space="0" w:color="auto"/>
              </w:divBdr>
            </w:div>
            <w:div w:id="340743743">
              <w:marLeft w:val="0"/>
              <w:marRight w:val="0"/>
              <w:marTop w:val="0"/>
              <w:marBottom w:val="240"/>
              <w:divBdr>
                <w:top w:val="none" w:sz="0" w:space="0" w:color="auto"/>
                <w:left w:val="none" w:sz="0" w:space="0" w:color="auto"/>
                <w:bottom w:val="none" w:sz="0" w:space="0" w:color="auto"/>
                <w:right w:val="none" w:sz="0" w:space="0" w:color="auto"/>
              </w:divBdr>
            </w:div>
            <w:div w:id="1579364515">
              <w:marLeft w:val="0"/>
              <w:marRight w:val="0"/>
              <w:marTop w:val="0"/>
              <w:marBottom w:val="240"/>
              <w:divBdr>
                <w:top w:val="none" w:sz="0" w:space="0" w:color="auto"/>
                <w:left w:val="none" w:sz="0" w:space="0" w:color="auto"/>
                <w:bottom w:val="none" w:sz="0" w:space="0" w:color="auto"/>
                <w:right w:val="none" w:sz="0" w:space="0" w:color="auto"/>
              </w:divBdr>
            </w:div>
            <w:div w:id="1723169946">
              <w:marLeft w:val="0"/>
              <w:marRight w:val="0"/>
              <w:marTop w:val="0"/>
              <w:marBottom w:val="240"/>
              <w:divBdr>
                <w:top w:val="none" w:sz="0" w:space="0" w:color="auto"/>
                <w:left w:val="none" w:sz="0" w:space="0" w:color="auto"/>
                <w:bottom w:val="none" w:sz="0" w:space="0" w:color="auto"/>
                <w:right w:val="none" w:sz="0" w:space="0" w:color="auto"/>
              </w:divBdr>
            </w:div>
            <w:div w:id="1396052303">
              <w:marLeft w:val="0"/>
              <w:marRight w:val="0"/>
              <w:marTop w:val="0"/>
              <w:marBottom w:val="240"/>
              <w:divBdr>
                <w:top w:val="none" w:sz="0" w:space="0" w:color="auto"/>
                <w:left w:val="none" w:sz="0" w:space="0" w:color="auto"/>
                <w:bottom w:val="none" w:sz="0" w:space="0" w:color="auto"/>
                <w:right w:val="none" w:sz="0" w:space="0" w:color="auto"/>
              </w:divBdr>
            </w:div>
            <w:div w:id="139350502">
              <w:marLeft w:val="0"/>
              <w:marRight w:val="0"/>
              <w:marTop w:val="0"/>
              <w:marBottom w:val="240"/>
              <w:divBdr>
                <w:top w:val="none" w:sz="0" w:space="0" w:color="auto"/>
                <w:left w:val="none" w:sz="0" w:space="0" w:color="auto"/>
                <w:bottom w:val="none" w:sz="0" w:space="0" w:color="auto"/>
                <w:right w:val="none" w:sz="0" w:space="0" w:color="auto"/>
              </w:divBdr>
            </w:div>
            <w:div w:id="1937593214">
              <w:marLeft w:val="0"/>
              <w:marRight w:val="0"/>
              <w:marTop w:val="0"/>
              <w:marBottom w:val="240"/>
              <w:divBdr>
                <w:top w:val="none" w:sz="0" w:space="0" w:color="auto"/>
                <w:left w:val="none" w:sz="0" w:space="0" w:color="auto"/>
                <w:bottom w:val="none" w:sz="0" w:space="0" w:color="auto"/>
                <w:right w:val="none" w:sz="0" w:space="0" w:color="auto"/>
              </w:divBdr>
            </w:div>
            <w:div w:id="500895513">
              <w:marLeft w:val="0"/>
              <w:marRight w:val="0"/>
              <w:marTop w:val="0"/>
              <w:marBottom w:val="240"/>
              <w:divBdr>
                <w:top w:val="none" w:sz="0" w:space="0" w:color="auto"/>
                <w:left w:val="none" w:sz="0" w:space="0" w:color="auto"/>
                <w:bottom w:val="none" w:sz="0" w:space="0" w:color="auto"/>
                <w:right w:val="none" w:sz="0" w:space="0" w:color="auto"/>
              </w:divBdr>
            </w:div>
            <w:div w:id="1317805558">
              <w:marLeft w:val="0"/>
              <w:marRight w:val="0"/>
              <w:marTop w:val="0"/>
              <w:marBottom w:val="240"/>
              <w:divBdr>
                <w:top w:val="none" w:sz="0" w:space="0" w:color="auto"/>
                <w:left w:val="none" w:sz="0" w:space="0" w:color="auto"/>
                <w:bottom w:val="none" w:sz="0" w:space="0" w:color="auto"/>
                <w:right w:val="none" w:sz="0" w:space="0" w:color="auto"/>
              </w:divBdr>
            </w:div>
            <w:div w:id="1882093098">
              <w:marLeft w:val="0"/>
              <w:marRight w:val="0"/>
              <w:marTop w:val="0"/>
              <w:marBottom w:val="240"/>
              <w:divBdr>
                <w:top w:val="none" w:sz="0" w:space="0" w:color="auto"/>
                <w:left w:val="none" w:sz="0" w:space="0" w:color="auto"/>
                <w:bottom w:val="none" w:sz="0" w:space="0" w:color="auto"/>
                <w:right w:val="none" w:sz="0" w:space="0" w:color="auto"/>
              </w:divBdr>
            </w:div>
            <w:div w:id="1154182828">
              <w:marLeft w:val="0"/>
              <w:marRight w:val="0"/>
              <w:marTop w:val="0"/>
              <w:marBottom w:val="240"/>
              <w:divBdr>
                <w:top w:val="none" w:sz="0" w:space="0" w:color="auto"/>
                <w:left w:val="none" w:sz="0" w:space="0" w:color="auto"/>
                <w:bottom w:val="none" w:sz="0" w:space="0" w:color="auto"/>
                <w:right w:val="none" w:sz="0" w:space="0" w:color="auto"/>
              </w:divBdr>
            </w:div>
            <w:div w:id="1954971026">
              <w:marLeft w:val="0"/>
              <w:marRight w:val="0"/>
              <w:marTop w:val="0"/>
              <w:marBottom w:val="240"/>
              <w:divBdr>
                <w:top w:val="none" w:sz="0" w:space="0" w:color="auto"/>
                <w:left w:val="none" w:sz="0" w:space="0" w:color="auto"/>
                <w:bottom w:val="none" w:sz="0" w:space="0" w:color="auto"/>
                <w:right w:val="none" w:sz="0" w:space="0" w:color="auto"/>
              </w:divBdr>
            </w:div>
            <w:div w:id="27803553">
              <w:marLeft w:val="0"/>
              <w:marRight w:val="0"/>
              <w:marTop w:val="0"/>
              <w:marBottom w:val="240"/>
              <w:divBdr>
                <w:top w:val="none" w:sz="0" w:space="0" w:color="auto"/>
                <w:left w:val="none" w:sz="0" w:space="0" w:color="auto"/>
                <w:bottom w:val="none" w:sz="0" w:space="0" w:color="auto"/>
                <w:right w:val="none" w:sz="0" w:space="0" w:color="auto"/>
              </w:divBdr>
            </w:div>
            <w:div w:id="650717629">
              <w:marLeft w:val="0"/>
              <w:marRight w:val="0"/>
              <w:marTop w:val="0"/>
              <w:marBottom w:val="240"/>
              <w:divBdr>
                <w:top w:val="none" w:sz="0" w:space="0" w:color="auto"/>
                <w:left w:val="none" w:sz="0" w:space="0" w:color="auto"/>
                <w:bottom w:val="none" w:sz="0" w:space="0" w:color="auto"/>
                <w:right w:val="none" w:sz="0" w:space="0" w:color="auto"/>
              </w:divBdr>
            </w:div>
            <w:div w:id="1189294249">
              <w:marLeft w:val="0"/>
              <w:marRight w:val="0"/>
              <w:marTop w:val="0"/>
              <w:marBottom w:val="240"/>
              <w:divBdr>
                <w:top w:val="none" w:sz="0" w:space="0" w:color="auto"/>
                <w:left w:val="none" w:sz="0" w:space="0" w:color="auto"/>
                <w:bottom w:val="none" w:sz="0" w:space="0" w:color="auto"/>
                <w:right w:val="none" w:sz="0" w:space="0" w:color="auto"/>
              </w:divBdr>
            </w:div>
            <w:div w:id="1500535946">
              <w:marLeft w:val="0"/>
              <w:marRight w:val="0"/>
              <w:marTop w:val="0"/>
              <w:marBottom w:val="240"/>
              <w:divBdr>
                <w:top w:val="none" w:sz="0" w:space="0" w:color="auto"/>
                <w:left w:val="none" w:sz="0" w:space="0" w:color="auto"/>
                <w:bottom w:val="none" w:sz="0" w:space="0" w:color="auto"/>
                <w:right w:val="none" w:sz="0" w:space="0" w:color="auto"/>
              </w:divBdr>
            </w:div>
            <w:div w:id="717319677">
              <w:marLeft w:val="0"/>
              <w:marRight w:val="0"/>
              <w:marTop w:val="0"/>
              <w:marBottom w:val="240"/>
              <w:divBdr>
                <w:top w:val="none" w:sz="0" w:space="0" w:color="auto"/>
                <w:left w:val="none" w:sz="0" w:space="0" w:color="auto"/>
                <w:bottom w:val="none" w:sz="0" w:space="0" w:color="auto"/>
                <w:right w:val="none" w:sz="0" w:space="0" w:color="auto"/>
              </w:divBdr>
            </w:div>
            <w:div w:id="575748216">
              <w:marLeft w:val="0"/>
              <w:marRight w:val="0"/>
              <w:marTop w:val="0"/>
              <w:marBottom w:val="240"/>
              <w:divBdr>
                <w:top w:val="none" w:sz="0" w:space="0" w:color="auto"/>
                <w:left w:val="none" w:sz="0" w:space="0" w:color="auto"/>
                <w:bottom w:val="none" w:sz="0" w:space="0" w:color="auto"/>
                <w:right w:val="none" w:sz="0" w:space="0" w:color="auto"/>
              </w:divBdr>
            </w:div>
            <w:div w:id="1977908227">
              <w:marLeft w:val="0"/>
              <w:marRight w:val="0"/>
              <w:marTop w:val="0"/>
              <w:marBottom w:val="240"/>
              <w:divBdr>
                <w:top w:val="none" w:sz="0" w:space="0" w:color="auto"/>
                <w:left w:val="none" w:sz="0" w:space="0" w:color="auto"/>
                <w:bottom w:val="none" w:sz="0" w:space="0" w:color="auto"/>
                <w:right w:val="none" w:sz="0" w:space="0" w:color="auto"/>
              </w:divBdr>
            </w:div>
            <w:div w:id="519667175">
              <w:marLeft w:val="0"/>
              <w:marRight w:val="0"/>
              <w:marTop w:val="0"/>
              <w:marBottom w:val="240"/>
              <w:divBdr>
                <w:top w:val="none" w:sz="0" w:space="0" w:color="auto"/>
                <w:left w:val="none" w:sz="0" w:space="0" w:color="auto"/>
                <w:bottom w:val="none" w:sz="0" w:space="0" w:color="auto"/>
                <w:right w:val="none" w:sz="0" w:space="0" w:color="auto"/>
              </w:divBdr>
            </w:div>
            <w:div w:id="1090854744">
              <w:marLeft w:val="0"/>
              <w:marRight w:val="0"/>
              <w:marTop w:val="0"/>
              <w:marBottom w:val="240"/>
              <w:divBdr>
                <w:top w:val="none" w:sz="0" w:space="0" w:color="auto"/>
                <w:left w:val="none" w:sz="0" w:space="0" w:color="auto"/>
                <w:bottom w:val="none" w:sz="0" w:space="0" w:color="auto"/>
                <w:right w:val="none" w:sz="0" w:space="0" w:color="auto"/>
              </w:divBdr>
            </w:div>
            <w:div w:id="1916087842">
              <w:marLeft w:val="0"/>
              <w:marRight w:val="0"/>
              <w:marTop w:val="0"/>
              <w:marBottom w:val="240"/>
              <w:divBdr>
                <w:top w:val="none" w:sz="0" w:space="0" w:color="auto"/>
                <w:left w:val="none" w:sz="0" w:space="0" w:color="auto"/>
                <w:bottom w:val="none" w:sz="0" w:space="0" w:color="auto"/>
                <w:right w:val="none" w:sz="0" w:space="0" w:color="auto"/>
              </w:divBdr>
            </w:div>
            <w:div w:id="1969583203">
              <w:marLeft w:val="0"/>
              <w:marRight w:val="0"/>
              <w:marTop w:val="0"/>
              <w:marBottom w:val="240"/>
              <w:divBdr>
                <w:top w:val="none" w:sz="0" w:space="0" w:color="auto"/>
                <w:left w:val="none" w:sz="0" w:space="0" w:color="auto"/>
                <w:bottom w:val="none" w:sz="0" w:space="0" w:color="auto"/>
                <w:right w:val="none" w:sz="0" w:space="0" w:color="auto"/>
              </w:divBdr>
            </w:div>
            <w:div w:id="445079777">
              <w:marLeft w:val="0"/>
              <w:marRight w:val="0"/>
              <w:marTop w:val="0"/>
              <w:marBottom w:val="240"/>
              <w:divBdr>
                <w:top w:val="none" w:sz="0" w:space="0" w:color="auto"/>
                <w:left w:val="none" w:sz="0" w:space="0" w:color="auto"/>
                <w:bottom w:val="none" w:sz="0" w:space="0" w:color="auto"/>
                <w:right w:val="none" w:sz="0" w:space="0" w:color="auto"/>
              </w:divBdr>
            </w:div>
            <w:div w:id="1250193252">
              <w:marLeft w:val="0"/>
              <w:marRight w:val="0"/>
              <w:marTop w:val="0"/>
              <w:marBottom w:val="240"/>
              <w:divBdr>
                <w:top w:val="none" w:sz="0" w:space="0" w:color="auto"/>
                <w:left w:val="none" w:sz="0" w:space="0" w:color="auto"/>
                <w:bottom w:val="none" w:sz="0" w:space="0" w:color="auto"/>
                <w:right w:val="none" w:sz="0" w:space="0" w:color="auto"/>
              </w:divBdr>
            </w:div>
            <w:div w:id="46073674">
              <w:marLeft w:val="0"/>
              <w:marRight w:val="0"/>
              <w:marTop w:val="0"/>
              <w:marBottom w:val="240"/>
              <w:divBdr>
                <w:top w:val="none" w:sz="0" w:space="0" w:color="auto"/>
                <w:left w:val="none" w:sz="0" w:space="0" w:color="auto"/>
                <w:bottom w:val="none" w:sz="0" w:space="0" w:color="auto"/>
                <w:right w:val="none" w:sz="0" w:space="0" w:color="auto"/>
              </w:divBdr>
            </w:div>
            <w:div w:id="623923644">
              <w:marLeft w:val="0"/>
              <w:marRight w:val="0"/>
              <w:marTop w:val="0"/>
              <w:marBottom w:val="240"/>
              <w:divBdr>
                <w:top w:val="none" w:sz="0" w:space="0" w:color="auto"/>
                <w:left w:val="none" w:sz="0" w:space="0" w:color="auto"/>
                <w:bottom w:val="none" w:sz="0" w:space="0" w:color="auto"/>
                <w:right w:val="none" w:sz="0" w:space="0" w:color="auto"/>
              </w:divBdr>
            </w:div>
            <w:div w:id="1034189121">
              <w:marLeft w:val="0"/>
              <w:marRight w:val="0"/>
              <w:marTop w:val="0"/>
              <w:marBottom w:val="240"/>
              <w:divBdr>
                <w:top w:val="none" w:sz="0" w:space="0" w:color="auto"/>
                <w:left w:val="none" w:sz="0" w:space="0" w:color="auto"/>
                <w:bottom w:val="none" w:sz="0" w:space="0" w:color="auto"/>
                <w:right w:val="none" w:sz="0" w:space="0" w:color="auto"/>
              </w:divBdr>
            </w:div>
            <w:div w:id="1878616014">
              <w:marLeft w:val="0"/>
              <w:marRight w:val="0"/>
              <w:marTop w:val="0"/>
              <w:marBottom w:val="240"/>
              <w:divBdr>
                <w:top w:val="none" w:sz="0" w:space="0" w:color="auto"/>
                <w:left w:val="none" w:sz="0" w:space="0" w:color="auto"/>
                <w:bottom w:val="none" w:sz="0" w:space="0" w:color="auto"/>
                <w:right w:val="none" w:sz="0" w:space="0" w:color="auto"/>
              </w:divBdr>
            </w:div>
            <w:div w:id="1588466769">
              <w:marLeft w:val="0"/>
              <w:marRight w:val="0"/>
              <w:marTop w:val="0"/>
              <w:marBottom w:val="240"/>
              <w:divBdr>
                <w:top w:val="none" w:sz="0" w:space="0" w:color="auto"/>
                <w:left w:val="none" w:sz="0" w:space="0" w:color="auto"/>
                <w:bottom w:val="none" w:sz="0" w:space="0" w:color="auto"/>
                <w:right w:val="none" w:sz="0" w:space="0" w:color="auto"/>
              </w:divBdr>
            </w:div>
            <w:div w:id="2084445588">
              <w:marLeft w:val="0"/>
              <w:marRight w:val="0"/>
              <w:marTop w:val="0"/>
              <w:marBottom w:val="240"/>
              <w:divBdr>
                <w:top w:val="none" w:sz="0" w:space="0" w:color="auto"/>
                <w:left w:val="none" w:sz="0" w:space="0" w:color="auto"/>
                <w:bottom w:val="none" w:sz="0" w:space="0" w:color="auto"/>
                <w:right w:val="none" w:sz="0" w:space="0" w:color="auto"/>
              </w:divBdr>
            </w:div>
            <w:div w:id="1096944075">
              <w:marLeft w:val="0"/>
              <w:marRight w:val="0"/>
              <w:marTop w:val="0"/>
              <w:marBottom w:val="240"/>
              <w:divBdr>
                <w:top w:val="none" w:sz="0" w:space="0" w:color="auto"/>
                <w:left w:val="none" w:sz="0" w:space="0" w:color="auto"/>
                <w:bottom w:val="none" w:sz="0" w:space="0" w:color="auto"/>
                <w:right w:val="none" w:sz="0" w:space="0" w:color="auto"/>
              </w:divBdr>
            </w:div>
            <w:div w:id="846333876">
              <w:marLeft w:val="0"/>
              <w:marRight w:val="0"/>
              <w:marTop w:val="0"/>
              <w:marBottom w:val="240"/>
              <w:divBdr>
                <w:top w:val="none" w:sz="0" w:space="0" w:color="auto"/>
                <w:left w:val="none" w:sz="0" w:space="0" w:color="auto"/>
                <w:bottom w:val="none" w:sz="0" w:space="0" w:color="auto"/>
                <w:right w:val="none" w:sz="0" w:space="0" w:color="auto"/>
              </w:divBdr>
            </w:div>
            <w:div w:id="551355980">
              <w:marLeft w:val="0"/>
              <w:marRight w:val="0"/>
              <w:marTop w:val="0"/>
              <w:marBottom w:val="240"/>
              <w:divBdr>
                <w:top w:val="none" w:sz="0" w:space="0" w:color="auto"/>
                <w:left w:val="none" w:sz="0" w:space="0" w:color="auto"/>
                <w:bottom w:val="none" w:sz="0" w:space="0" w:color="auto"/>
                <w:right w:val="none" w:sz="0" w:space="0" w:color="auto"/>
              </w:divBdr>
            </w:div>
            <w:div w:id="638417811">
              <w:marLeft w:val="0"/>
              <w:marRight w:val="0"/>
              <w:marTop w:val="0"/>
              <w:marBottom w:val="240"/>
              <w:divBdr>
                <w:top w:val="none" w:sz="0" w:space="0" w:color="auto"/>
                <w:left w:val="none" w:sz="0" w:space="0" w:color="auto"/>
                <w:bottom w:val="none" w:sz="0" w:space="0" w:color="auto"/>
                <w:right w:val="none" w:sz="0" w:space="0" w:color="auto"/>
              </w:divBdr>
            </w:div>
            <w:div w:id="1891727963">
              <w:marLeft w:val="0"/>
              <w:marRight w:val="0"/>
              <w:marTop w:val="0"/>
              <w:marBottom w:val="240"/>
              <w:divBdr>
                <w:top w:val="none" w:sz="0" w:space="0" w:color="auto"/>
                <w:left w:val="none" w:sz="0" w:space="0" w:color="auto"/>
                <w:bottom w:val="none" w:sz="0" w:space="0" w:color="auto"/>
                <w:right w:val="none" w:sz="0" w:space="0" w:color="auto"/>
              </w:divBdr>
            </w:div>
            <w:div w:id="392317370">
              <w:marLeft w:val="0"/>
              <w:marRight w:val="0"/>
              <w:marTop w:val="0"/>
              <w:marBottom w:val="240"/>
              <w:divBdr>
                <w:top w:val="none" w:sz="0" w:space="0" w:color="auto"/>
                <w:left w:val="none" w:sz="0" w:space="0" w:color="auto"/>
                <w:bottom w:val="none" w:sz="0" w:space="0" w:color="auto"/>
                <w:right w:val="none" w:sz="0" w:space="0" w:color="auto"/>
              </w:divBdr>
            </w:div>
            <w:div w:id="113907459">
              <w:marLeft w:val="0"/>
              <w:marRight w:val="0"/>
              <w:marTop w:val="0"/>
              <w:marBottom w:val="240"/>
              <w:divBdr>
                <w:top w:val="none" w:sz="0" w:space="0" w:color="auto"/>
                <w:left w:val="none" w:sz="0" w:space="0" w:color="auto"/>
                <w:bottom w:val="none" w:sz="0" w:space="0" w:color="auto"/>
                <w:right w:val="none" w:sz="0" w:space="0" w:color="auto"/>
              </w:divBdr>
            </w:div>
            <w:div w:id="1860775484">
              <w:marLeft w:val="0"/>
              <w:marRight w:val="0"/>
              <w:marTop w:val="0"/>
              <w:marBottom w:val="240"/>
              <w:divBdr>
                <w:top w:val="none" w:sz="0" w:space="0" w:color="auto"/>
                <w:left w:val="none" w:sz="0" w:space="0" w:color="auto"/>
                <w:bottom w:val="none" w:sz="0" w:space="0" w:color="auto"/>
                <w:right w:val="none" w:sz="0" w:space="0" w:color="auto"/>
              </w:divBdr>
            </w:div>
            <w:div w:id="1270697057">
              <w:marLeft w:val="0"/>
              <w:marRight w:val="0"/>
              <w:marTop w:val="0"/>
              <w:marBottom w:val="240"/>
              <w:divBdr>
                <w:top w:val="none" w:sz="0" w:space="0" w:color="auto"/>
                <w:left w:val="none" w:sz="0" w:space="0" w:color="auto"/>
                <w:bottom w:val="none" w:sz="0" w:space="0" w:color="auto"/>
                <w:right w:val="none" w:sz="0" w:space="0" w:color="auto"/>
              </w:divBdr>
            </w:div>
            <w:div w:id="1452047824">
              <w:marLeft w:val="0"/>
              <w:marRight w:val="0"/>
              <w:marTop w:val="0"/>
              <w:marBottom w:val="240"/>
              <w:divBdr>
                <w:top w:val="none" w:sz="0" w:space="0" w:color="auto"/>
                <w:left w:val="none" w:sz="0" w:space="0" w:color="auto"/>
                <w:bottom w:val="none" w:sz="0" w:space="0" w:color="auto"/>
                <w:right w:val="none" w:sz="0" w:space="0" w:color="auto"/>
              </w:divBdr>
            </w:div>
            <w:div w:id="963735739">
              <w:marLeft w:val="0"/>
              <w:marRight w:val="0"/>
              <w:marTop w:val="0"/>
              <w:marBottom w:val="240"/>
              <w:divBdr>
                <w:top w:val="none" w:sz="0" w:space="0" w:color="auto"/>
                <w:left w:val="none" w:sz="0" w:space="0" w:color="auto"/>
                <w:bottom w:val="none" w:sz="0" w:space="0" w:color="auto"/>
                <w:right w:val="none" w:sz="0" w:space="0" w:color="auto"/>
              </w:divBdr>
            </w:div>
            <w:div w:id="1858108743">
              <w:marLeft w:val="0"/>
              <w:marRight w:val="0"/>
              <w:marTop w:val="0"/>
              <w:marBottom w:val="240"/>
              <w:divBdr>
                <w:top w:val="none" w:sz="0" w:space="0" w:color="auto"/>
                <w:left w:val="none" w:sz="0" w:space="0" w:color="auto"/>
                <w:bottom w:val="none" w:sz="0" w:space="0" w:color="auto"/>
                <w:right w:val="none" w:sz="0" w:space="0" w:color="auto"/>
              </w:divBdr>
            </w:div>
            <w:div w:id="1262448642">
              <w:marLeft w:val="0"/>
              <w:marRight w:val="0"/>
              <w:marTop w:val="0"/>
              <w:marBottom w:val="240"/>
              <w:divBdr>
                <w:top w:val="none" w:sz="0" w:space="0" w:color="auto"/>
                <w:left w:val="none" w:sz="0" w:space="0" w:color="auto"/>
                <w:bottom w:val="none" w:sz="0" w:space="0" w:color="auto"/>
                <w:right w:val="none" w:sz="0" w:space="0" w:color="auto"/>
              </w:divBdr>
            </w:div>
            <w:div w:id="881401533">
              <w:marLeft w:val="0"/>
              <w:marRight w:val="0"/>
              <w:marTop w:val="0"/>
              <w:marBottom w:val="240"/>
              <w:divBdr>
                <w:top w:val="none" w:sz="0" w:space="0" w:color="auto"/>
                <w:left w:val="none" w:sz="0" w:space="0" w:color="auto"/>
                <w:bottom w:val="none" w:sz="0" w:space="0" w:color="auto"/>
                <w:right w:val="none" w:sz="0" w:space="0" w:color="auto"/>
              </w:divBdr>
            </w:div>
            <w:div w:id="1008558671">
              <w:marLeft w:val="0"/>
              <w:marRight w:val="0"/>
              <w:marTop w:val="0"/>
              <w:marBottom w:val="240"/>
              <w:divBdr>
                <w:top w:val="none" w:sz="0" w:space="0" w:color="auto"/>
                <w:left w:val="none" w:sz="0" w:space="0" w:color="auto"/>
                <w:bottom w:val="none" w:sz="0" w:space="0" w:color="auto"/>
                <w:right w:val="none" w:sz="0" w:space="0" w:color="auto"/>
              </w:divBdr>
            </w:div>
            <w:div w:id="141390131">
              <w:marLeft w:val="0"/>
              <w:marRight w:val="0"/>
              <w:marTop w:val="0"/>
              <w:marBottom w:val="240"/>
              <w:divBdr>
                <w:top w:val="none" w:sz="0" w:space="0" w:color="auto"/>
                <w:left w:val="none" w:sz="0" w:space="0" w:color="auto"/>
                <w:bottom w:val="none" w:sz="0" w:space="0" w:color="auto"/>
                <w:right w:val="none" w:sz="0" w:space="0" w:color="auto"/>
              </w:divBdr>
            </w:div>
            <w:div w:id="1416826801">
              <w:marLeft w:val="0"/>
              <w:marRight w:val="0"/>
              <w:marTop w:val="0"/>
              <w:marBottom w:val="240"/>
              <w:divBdr>
                <w:top w:val="none" w:sz="0" w:space="0" w:color="auto"/>
                <w:left w:val="none" w:sz="0" w:space="0" w:color="auto"/>
                <w:bottom w:val="none" w:sz="0" w:space="0" w:color="auto"/>
                <w:right w:val="none" w:sz="0" w:space="0" w:color="auto"/>
              </w:divBdr>
            </w:div>
            <w:div w:id="328287860">
              <w:marLeft w:val="0"/>
              <w:marRight w:val="0"/>
              <w:marTop w:val="0"/>
              <w:marBottom w:val="240"/>
              <w:divBdr>
                <w:top w:val="none" w:sz="0" w:space="0" w:color="auto"/>
                <w:left w:val="none" w:sz="0" w:space="0" w:color="auto"/>
                <w:bottom w:val="none" w:sz="0" w:space="0" w:color="auto"/>
                <w:right w:val="none" w:sz="0" w:space="0" w:color="auto"/>
              </w:divBdr>
            </w:div>
            <w:div w:id="1943300617">
              <w:marLeft w:val="0"/>
              <w:marRight w:val="0"/>
              <w:marTop w:val="0"/>
              <w:marBottom w:val="240"/>
              <w:divBdr>
                <w:top w:val="none" w:sz="0" w:space="0" w:color="auto"/>
                <w:left w:val="none" w:sz="0" w:space="0" w:color="auto"/>
                <w:bottom w:val="none" w:sz="0" w:space="0" w:color="auto"/>
                <w:right w:val="none" w:sz="0" w:space="0" w:color="auto"/>
              </w:divBdr>
            </w:div>
            <w:div w:id="3015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381075">
      <w:bodyDiv w:val="1"/>
      <w:marLeft w:val="0"/>
      <w:marRight w:val="0"/>
      <w:marTop w:val="0"/>
      <w:marBottom w:val="0"/>
      <w:divBdr>
        <w:top w:val="none" w:sz="0" w:space="0" w:color="auto"/>
        <w:left w:val="none" w:sz="0" w:space="0" w:color="auto"/>
        <w:bottom w:val="none" w:sz="0" w:space="0" w:color="auto"/>
        <w:right w:val="none" w:sz="0" w:space="0" w:color="auto"/>
      </w:divBdr>
    </w:div>
    <w:div w:id="1084839421">
      <w:bodyDiv w:val="1"/>
      <w:marLeft w:val="0"/>
      <w:marRight w:val="0"/>
      <w:marTop w:val="0"/>
      <w:marBottom w:val="0"/>
      <w:divBdr>
        <w:top w:val="none" w:sz="0" w:space="0" w:color="auto"/>
        <w:left w:val="none" w:sz="0" w:space="0" w:color="auto"/>
        <w:bottom w:val="none" w:sz="0" w:space="0" w:color="auto"/>
        <w:right w:val="none" w:sz="0" w:space="0" w:color="auto"/>
      </w:divBdr>
    </w:div>
    <w:div w:id="1091195564">
      <w:bodyDiv w:val="1"/>
      <w:marLeft w:val="0"/>
      <w:marRight w:val="0"/>
      <w:marTop w:val="0"/>
      <w:marBottom w:val="0"/>
      <w:divBdr>
        <w:top w:val="none" w:sz="0" w:space="0" w:color="auto"/>
        <w:left w:val="none" w:sz="0" w:space="0" w:color="auto"/>
        <w:bottom w:val="none" w:sz="0" w:space="0" w:color="auto"/>
        <w:right w:val="none" w:sz="0" w:space="0" w:color="auto"/>
      </w:divBdr>
    </w:div>
    <w:div w:id="1094593929">
      <w:bodyDiv w:val="1"/>
      <w:marLeft w:val="0"/>
      <w:marRight w:val="0"/>
      <w:marTop w:val="0"/>
      <w:marBottom w:val="0"/>
      <w:divBdr>
        <w:top w:val="none" w:sz="0" w:space="0" w:color="auto"/>
        <w:left w:val="none" w:sz="0" w:space="0" w:color="auto"/>
        <w:bottom w:val="none" w:sz="0" w:space="0" w:color="auto"/>
        <w:right w:val="none" w:sz="0" w:space="0" w:color="auto"/>
      </w:divBdr>
      <w:divsChild>
        <w:div w:id="25523170">
          <w:marLeft w:val="480"/>
          <w:marRight w:val="0"/>
          <w:marTop w:val="0"/>
          <w:marBottom w:val="0"/>
          <w:divBdr>
            <w:top w:val="none" w:sz="0" w:space="0" w:color="auto"/>
            <w:left w:val="none" w:sz="0" w:space="0" w:color="auto"/>
            <w:bottom w:val="none" w:sz="0" w:space="0" w:color="auto"/>
            <w:right w:val="none" w:sz="0" w:space="0" w:color="auto"/>
          </w:divBdr>
          <w:divsChild>
            <w:div w:id="457186226">
              <w:marLeft w:val="0"/>
              <w:marRight w:val="0"/>
              <w:marTop w:val="0"/>
              <w:marBottom w:val="240"/>
              <w:divBdr>
                <w:top w:val="none" w:sz="0" w:space="0" w:color="auto"/>
                <w:left w:val="none" w:sz="0" w:space="0" w:color="auto"/>
                <w:bottom w:val="none" w:sz="0" w:space="0" w:color="auto"/>
                <w:right w:val="none" w:sz="0" w:space="0" w:color="auto"/>
              </w:divBdr>
            </w:div>
            <w:div w:id="2075657291">
              <w:marLeft w:val="0"/>
              <w:marRight w:val="0"/>
              <w:marTop w:val="0"/>
              <w:marBottom w:val="240"/>
              <w:divBdr>
                <w:top w:val="none" w:sz="0" w:space="0" w:color="auto"/>
                <w:left w:val="none" w:sz="0" w:space="0" w:color="auto"/>
                <w:bottom w:val="none" w:sz="0" w:space="0" w:color="auto"/>
                <w:right w:val="none" w:sz="0" w:space="0" w:color="auto"/>
              </w:divBdr>
            </w:div>
            <w:div w:id="1002656987">
              <w:marLeft w:val="0"/>
              <w:marRight w:val="0"/>
              <w:marTop w:val="0"/>
              <w:marBottom w:val="240"/>
              <w:divBdr>
                <w:top w:val="none" w:sz="0" w:space="0" w:color="auto"/>
                <w:left w:val="none" w:sz="0" w:space="0" w:color="auto"/>
                <w:bottom w:val="none" w:sz="0" w:space="0" w:color="auto"/>
                <w:right w:val="none" w:sz="0" w:space="0" w:color="auto"/>
              </w:divBdr>
            </w:div>
            <w:div w:id="1852376610">
              <w:marLeft w:val="0"/>
              <w:marRight w:val="0"/>
              <w:marTop w:val="0"/>
              <w:marBottom w:val="240"/>
              <w:divBdr>
                <w:top w:val="none" w:sz="0" w:space="0" w:color="auto"/>
                <w:left w:val="none" w:sz="0" w:space="0" w:color="auto"/>
                <w:bottom w:val="none" w:sz="0" w:space="0" w:color="auto"/>
                <w:right w:val="none" w:sz="0" w:space="0" w:color="auto"/>
              </w:divBdr>
            </w:div>
            <w:div w:id="1335910978">
              <w:marLeft w:val="0"/>
              <w:marRight w:val="0"/>
              <w:marTop w:val="0"/>
              <w:marBottom w:val="240"/>
              <w:divBdr>
                <w:top w:val="none" w:sz="0" w:space="0" w:color="auto"/>
                <w:left w:val="none" w:sz="0" w:space="0" w:color="auto"/>
                <w:bottom w:val="none" w:sz="0" w:space="0" w:color="auto"/>
                <w:right w:val="none" w:sz="0" w:space="0" w:color="auto"/>
              </w:divBdr>
            </w:div>
            <w:div w:id="383911194">
              <w:marLeft w:val="0"/>
              <w:marRight w:val="0"/>
              <w:marTop w:val="0"/>
              <w:marBottom w:val="240"/>
              <w:divBdr>
                <w:top w:val="none" w:sz="0" w:space="0" w:color="auto"/>
                <w:left w:val="none" w:sz="0" w:space="0" w:color="auto"/>
                <w:bottom w:val="none" w:sz="0" w:space="0" w:color="auto"/>
                <w:right w:val="none" w:sz="0" w:space="0" w:color="auto"/>
              </w:divBdr>
            </w:div>
            <w:div w:id="1242836451">
              <w:marLeft w:val="0"/>
              <w:marRight w:val="0"/>
              <w:marTop w:val="0"/>
              <w:marBottom w:val="240"/>
              <w:divBdr>
                <w:top w:val="none" w:sz="0" w:space="0" w:color="auto"/>
                <w:left w:val="none" w:sz="0" w:space="0" w:color="auto"/>
                <w:bottom w:val="none" w:sz="0" w:space="0" w:color="auto"/>
                <w:right w:val="none" w:sz="0" w:space="0" w:color="auto"/>
              </w:divBdr>
            </w:div>
            <w:div w:id="2052607469">
              <w:marLeft w:val="0"/>
              <w:marRight w:val="0"/>
              <w:marTop w:val="0"/>
              <w:marBottom w:val="240"/>
              <w:divBdr>
                <w:top w:val="none" w:sz="0" w:space="0" w:color="auto"/>
                <w:left w:val="none" w:sz="0" w:space="0" w:color="auto"/>
                <w:bottom w:val="none" w:sz="0" w:space="0" w:color="auto"/>
                <w:right w:val="none" w:sz="0" w:space="0" w:color="auto"/>
              </w:divBdr>
            </w:div>
            <w:div w:id="660428322">
              <w:marLeft w:val="0"/>
              <w:marRight w:val="0"/>
              <w:marTop w:val="0"/>
              <w:marBottom w:val="240"/>
              <w:divBdr>
                <w:top w:val="none" w:sz="0" w:space="0" w:color="auto"/>
                <w:left w:val="none" w:sz="0" w:space="0" w:color="auto"/>
                <w:bottom w:val="none" w:sz="0" w:space="0" w:color="auto"/>
                <w:right w:val="none" w:sz="0" w:space="0" w:color="auto"/>
              </w:divBdr>
            </w:div>
            <w:div w:id="1843352452">
              <w:marLeft w:val="0"/>
              <w:marRight w:val="0"/>
              <w:marTop w:val="0"/>
              <w:marBottom w:val="240"/>
              <w:divBdr>
                <w:top w:val="none" w:sz="0" w:space="0" w:color="auto"/>
                <w:left w:val="none" w:sz="0" w:space="0" w:color="auto"/>
                <w:bottom w:val="none" w:sz="0" w:space="0" w:color="auto"/>
                <w:right w:val="none" w:sz="0" w:space="0" w:color="auto"/>
              </w:divBdr>
            </w:div>
            <w:div w:id="40903680">
              <w:marLeft w:val="0"/>
              <w:marRight w:val="0"/>
              <w:marTop w:val="0"/>
              <w:marBottom w:val="240"/>
              <w:divBdr>
                <w:top w:val="none" w:sz="0" w:space="0" w:color="auto"/>
                <w:left w:val="none" w:sz="0" w:space="0" w:color="auto"/>
                <w:bottom w:val="none" w:sz="0" w:space="0" w:color="auto"/>
                <w:right w:val="none" w:sz="0" w:space="0" w:color="auto"/>
              </w:divBdr>
            </w:div>
            <w:div w:id="521675836">
              <w:marLeft w:val="0"/>
              <w:marRight w:val="0"/>
              <w:marTop w:val="0"/>
              <w:marBottom w:val="240"/>
              <w:divBdr>
                <w:top w:val="none" w:sz="0" w:space="0" w:color="auto"/>
                <w:left w:val="none" w:sz="0" w:space="0" w:color="auto"/>
                <w:bottom w:val="none" w:sz="0" w:space="0" w:color="auto"/>
                <w:right w:val="none" w:sz="0" w:space="0" w:color="auto"/>
              </w:divBdr>
            </w:div>
            <w:div w:id="815530530">
              <w:marLeft w:val="0"/>
              <w:marRight w:val="0"/>
              <w:marTop w:val="0"/>
              <w:marBottom w:val="240"/>
              <w:divBdr>
                <w:top w:val="none" w:sz="0" w:space="0" w:color="auto"/>
                <w:left w:val="none" w:sz="0" w:space="0" w:color="auto"/>
                <w:bottom w:val="none" w:sz="0" w:space="0" w:color="auto"/>
                <w:right w:val="none" w:sz="0" w:space="0" w:color="auto"/>
              </w:divBdr>
            </w:div>
            <w:div w:id="1253778697">
              <w:marLeft w:val="0"/>
              <w:marRight w:val="0"/>
              <w:marTop w:val="0"/>
              <w:marBottom w:val="240"/>
              <w:divBdr>
                <w:top w:val="none" w:sz="0" w:space="0" w:color="auto"/>
                <w:left w:val="none" w:sz="0" w:space="0" w:color="auto"/>
                <w:bottom w:val="none" w:sz="0" w:space="0" w:color="auto"/>
                <w:right w:val="none" w:sz="0" w:space="0" w:color="auto"/>
              </w:divBdr>
            </w:div>
            <w:div w:id="1307509194">
              <w:marLeft w:val="0"/>
              <w:marRight w:val="0"/>
              <w:marTop w:val="0"/>
              <w:marBottom w:val="240"/>
              <w:divBdr>
                <w:top w:val="none" w:sz="0" w:space="0" w:color="auto"/>
                <w:left w:val="none" w:sz="0" w:space="0" w:color="auto"/>
                <w:bottom w:val="none" w:sz="0" w:space="0" w:color="auto"/>
                <w:right w:val="none" w:sz="0" w:space="0" w:color="auto"/>
              </w:divBdr>
            </w:div>
            <w:div w:id="770663978">
              <w:marLeft w:val="0"/>
              <w:marRight w:val="0"/>
              <w:marTop w:val="0"/>
              <w:marBottom w:val="240"/>
              <w:divBdr>
                <w:top w:val="none" w:sz="0" w:space="0" w:color="auto"/>
                <w:left w:val="none" w:sz="0" w:space="0" w:color="auto"/>
                <w:bottom w:val="none" w:sz="0" w:space="0" w:color="auto"/>
                <w:right w:val="none" w:sz="0" w:space="0" w:color="auto"/>
              </w:divBdr>
            </w:div>
            <w:div w:id="38476933">
              <w:marLeft w:val="0"/>
              <w:marRight w:val="0"/>
              <w:marTop w:val="0"/>
              <w:marBottom w:val="240"/>
              <w:divBdr>
                <w:top w:val="none" w:sz="0" w:space="0" w:color="auto"/>
                <w:left w:val="none" w:sz="0" w:space="0" w:color="auto"/>
                <w:bottom w:val="none" w:sz="0" w:space="0" w:color="auto"/>
                <w:right w:val="none" w:sz="0" w:space="0" w:color="auto"/>
              </w:divBdr>
            </w:div>
            <w:div w:id="872615599">
              <w:marLeft w:val="0"/>
              <w:marRight w:val="0"/>
              <w:marTop w:val="0"/>
              <w:marBottom w:val="240"/>
              <w:divBdr>
                <w:top w:val="none" w:sz="0" w:space="0" w:color="auto"/>
                <w:left w:val="none" w:sz="0" w:space="0" w:color="auto"/>
                <w:bottom w:val="none" w:sz="0" w:space="0" w:color="auto"/>
                <w:right w:val="none" w:sz="0" w:space="0" w:color="auto"/>
              </w:divBdr>
            </w:div>
            <w:div w:id="1765610070">
              <w:marLeft w:val="0"/>
              <w:marRight w:val="0"/>
              <w:marTop w:val="0"/>
              <w:marBottom w:val="240"/>
              <w:divBdr>
                <w:top w:val="none" w:sz="0" w:space="0" w:color="auto"/>
                <w:left w:val="none" w:sz="0" w:space="0" w:color="auto"/>
                <w:bottom w:val="none" w:sz="0" w:space="0" w:color="auto"/>
                <w:right w:val="none" w:sz="0" w:space="0" w:color="auto"/>
              </w:divBdr>
            </w:div>
            <w:div w:id="2135980050">
              <w:marLeft w:val="0"/>
              <w:marRight w:val="0"/>
              <w:marTop w:val="0"/>
              <w:marBottom w:val="240"/>
              <w:divBdr>
                <w:top w:val="none" w:sz="0" w:space="0" w:color="auto"/>
                <w:left w:val="none" w:sz="0" w:space="0" w:color="auto"/>
                <w:bottom w:val="none" w:sz="0" w:space="0" w:color="auto"/>
                <w:right w:val="none" w:sz="0" w:space="0" w:color="auto"/>
              </w:divBdr>
            </w:div>
            <w:div w:id="1822498418">
              <w:marLeft w:val="0"/>
              <w:marRight w:val="0"/>
              <w:marTop w:val="0"/>
              <w:marBottom w:val="240"/>
              <w:divBdr>
                <w:top w:val="none" w:sz="0" w:space="0" w:color="auto"/>
                <w:left w:val="none" w:sz="0" w:space="0" w:color="auto"/>
                <w:bottom w:val="none" w:sz="0" w:space="0" w:color="auto"/>
                <w:right w:val="none" w:sz="0" w:space="0" w:color="auto"/>
              </w:divBdr>
            </w:div>
            <w:div w:id="131799165">
              <w:marLeft w:val="0"/>
              <w:marRight w:val="0"/>
              <w:marTop w:val="0"/>
              <w:marBottom w:val="240"/>
              <w:divBdr>
                <w:top w:val="none" w:sz="0" w:space="0" w:color="auto"/>
                <w:left w:val="none" w:sz="0" w:space="0" w:color="auto"/>
                <w:bottom w:val="none" w:sz="0" w:space="0" w:color="auto"/>
                <w:right w:val="none" w:sz="0" w:space="0" w:color="auto"/>
              </w:divBdr>
            </w:div>
            <w:div w:id="1975676336">
              <w:marLeft w:val="0"/>
              <w:marRight w:val="0"/>
              <w:marTop w:val="0"/>
              <w:marBottom w:val="240"/>
              <w:divBdr>
                <w:top w:val="none" w:sz="0" w:space="0" w:color="auto"/>
                <w:left w:val="none" w:sz="0" w:space="0" w:color="auto"/>
                <w:bottom w:val="none" w:sz="0" w:space="0" w:color="auto"/>
                <w:right w:val="none" w:sz="0" w:space="0" w:color="auto"/>
              </w:divBdr>
            </w:div>
            <w:div w:id="795835367">
              <w:marLeft w:val="0"/>
              <w:marRight w:val="0"/>
              <w:marTop w:val="0"/>
              <w:marBottom w:val="240"/>
              <w:divBdr>
                <w:top w:val="none" w:sz="0" w:space="0" w:color="auto"/>
                <w:left w:val="none" w:sz="0" w:space="0" w:color="auto"/>
                <w:bottom w:val="none" w:sz="0" w:space="0" w:color="auto"/>
                <w:right w:val="none" w:sz="0" w:space="0" w:color="auto"/>
              </w:divBdr>
            </w:div>
            <w:div w:id="1944875521">
              <w:marLeft w:val="0"/>
              <w:marRight w:val="0"/>
              <w:marTop w:val="0"/>
              <w:marBottom w:val="240"/>
              <w:divBdr>
                <w:top w:val="none" w:sz="0" w:space="0" w:color="auto"/>
                <w:left w:val="none" w:sz="0" w:space="0" w:color="auto"/>
                <w:bottom w:val="none" w:sz="0" w:space="0" w:color="auto"/>
                <w:right w:val="none" w:sz="0" w:space="0" w:color="auto"/>
              </w:divBdr>
            </w:div>
            <w:div w:id="1007248771">
              <w:marLeft w:val="0"/>
              <w:marRight w:val="0"/>
              <w:marTop w:val="0"/>
              <w:marBottom w:val="240"/>
              <w:divBdr>
                <w:top w:val="none" w:sz="0" w:space="0" w:color="auto"/>
                <w:left w:val="none" w:sz="0" w:space="0" w:color="auto"/>
                <w:bottom w:val="none" w:sz="0" w:space="0" w:color="auto"/>
                <w:right w:val="none" w:sz="0" w:space="0" w:color="auto"/>
              </w:divBdr>
            </w:div>
            <w:div w:id="1729914484">
              <w:marLeft w:val="0"/>
              <w:marRight w:val="0"/>
              <w:marTop w:val="0"/>
              <w:marBottom w:val="240"/>
              <w:divBdr>
                <w:top w:val="none" w:sz="0" w:space="0" w:color="auto"/>
                <w:left w:val="none" w:sz="0" w:space="0" w:color="auto"/>
                <w:bottom w:val="none" w:sz="0" w:space="0" w:color="auto"/>
                <w:right w:val="none" w:sz="0" w:space="0" w:color="auto"/>
              </w:divBdr>
            </w:div>
            <w:div w:id="523713281">
              <w:marLeft w:val="0"/>
              <w:marRight w:val="0"/>
              <w:marTop w:val="0"/>
              <w:marBottom w:val="240"/>
              <w:divBdr>
                <w:top w:val="none" w:sz="0" w:space="0" w:color="auto"/>
                <w:left w:val="none" w:sz="0" w:space="0" w:color="auto"/>
                <w:bottom w:val="none" w:sz="0" w:space="0" w:color="auto"/>
                <w:right w:val="none" w:sz="0" w:space="0" w:color="auto"/>
              </w:divBdr>
            </w:div>
            <w:div w:id="582107369">
              <w:marLeft w:val="0"/>
              <w:marRight w:val="0"/>
              <w:marTop w:val="0"/>
              <w:marBottom w:val="240"/>
              <w:divBdr>
                <w:top w:val="none" w:sz="0" w:space="0" w:color="auto"/>
                <w:left w:val="none" w:sz="0" w:space="0" w:color="auto"/>
                <w:bottom w:val="none" w:sz="0" w:space="0" w:color="auto"/>
                <w:right w:val="none" w:sz="0" w:space="0" w:color="auto"/>
              </w:divBdr>
            </w:div>
            <w:div w:id="866724407">
              <w:marLeft w:val="0"/>
              <w:marRight w:val="0"/>
              <w:marTop w:val="0"/>
              <w:marBottom w:val="240"/>
              <w:divBdr>
                <w:top w:val="none" w:sz="0" w:space="0" w:color="auto"/>
                <w:left w:val="none" w:sz="0" w:space="0" w:color="auto"/>
                <w:bottom w:val="none" w:sz="0" w:space="0" w:color="auto"/>
                <w:right w:val="none" w:sz="0" w:space="0" w:color="auto"/>
              </w:divBdr>
            </w:div>
            <w:div w:id="153687568">
              <w:marLeft w:val="0"/>
              <w:marRight w:val="0"/>
              <w:marTop w:val="0"/>
              <w:marBottom w:val="240"/>
              <w:divBdr>
                <w:top w:val="none" w:sz="0" w:space="0" w:color="auto"/>
                <w:left w:val="none" w:sz="0" w:space="0" w:color="auto"/>
                <w:bottom w:val="none" w:sz="0" w:space="0" w:color="auto"/>
                <w:right w:val="none" w:sz="0" w:space="0" w:color="auto"/>
              </w:divBdr>
            </w:div>
            <w:div w:id="1739865231">
              <w:marLeft w:val="0"/>
              <w:marRight w:val="0"/>
              <w:marTop w:val="0"/>
              <w:marBottom w:val="240"/>
              <w:divBdr>
                <w:top w:val="none" w:sz="0" w:space="0" w:color="auto"/>
                <w:left w:val="none" w:sz="0" w:space="0" w:color="auto"/>
                <w:bottom w:val="none" w:sz="0" w:space="0" w:color="auto"/>
                <w:right w:val="none" w:sz="0" w:space="0" w:color="auto"/>
              </w:divBdr>
            </w:div>
            <w:div w:id="1531800058">
              <w:marLeft w:val="0"/>
              <w:marRight w:val="0"/>
              <w:marTop w:val="0"/>
              <w:marBottom w:val="240"/>
              <w:divBdr>
                <w:top w:val="none" w:sz="0" w:space="0" w:color="auto"/>
                <w:left w:val="none" w:sz="0" w:space="0" w:color="auto"/>
                <w:bottom w:val="none" w:sz="0" w:space="0" w:color="auto"/>
                <w:right w:val="none" w:sz="0" w:space="0" w:color="auto"/>
              </w:divBdr>
            </w:div>
            <w:div w:id="1422490183">
              <w:marLeft w:val="0"/>
              <w:marRight w:val="0"/>
              <w:marTop w:val="0"/>
              <w:marBottom w:val="240"/>
              <w:divBdr>
                <w:top w:val="none" w:sz="0" w:space="0" w:color="auto"/>
                <w:left w:val="none" w:sz="0" w:space="0" w:color="auto"/>
                <w:bottom w:val="none" w:sz="0" w:space="0" w:color="auto"/>
                <w:right w:val="none" w:sz="0" w:space="0" w:color="auto"/>
              </w:divBdr>
            </w:div>
            <w:div w:id="673151531">
              <w:marLeft w:val="0"/>
              <w:marRight w:val="0"/>
              <w:marTop w:val="0"/>
              <w:marBottom w:val="240"/>
              <w:divBdr>
                <w:top w:val="none" w:sz="0" w:space="0" w:color="auto"/>
                <w:left w:val="none" w:sz="0" w:space="0" w:color="auto"/>
                <w:bottom w:val="none" w:sz="0" w:space="0" w:color="auto"/>
                <w:right w:val="none" w:sz="0" w:space="0" w:color="auto"/>
              </w:divBdr>
            </w:div>
            <w:div w:id="1774472869">
              <w:marLeft w:val="0"/>
              <w:marRight w:val="0"/>
              <w:marTop w:val="0"/>
              <w:marBottom w:val="240"/>
              <w:divBdr>
                <w:top w:val="none" w:sz="0" w:space="0" w:color="auto"/>
                <w:left w:val="none" w:sz="0" w:space="0" w:color="auto"/>
                <w:bottom w:val="none" w:sz="0" w:space="0" w:color="auto"/>
                <w:right w:val="none" w:sz="0" w:space="0" w:color="auto"/>
              </w:divBdr>
            </w:div>
            <w:div w:id="901212502">
              <w:marLeft w:val="0"/>
              <w:marRight w:val="0"/>
              <w:marTop w:val="0"/>
              <w:marBottom w:val="240"/>
              <w:divBdr>
                <w:top w:val="none" w:sz="0" w:space="0" w:color="auto"/>
                <w:left w:val="none" w:sz="0" w:space="0" w:color="auto"/>
                <w:bottom w:val="none" w:sz="0" w:space="0" w:color="auto"/>
                <w:right w:val="none" w:sz="0" w:space="0" w:color="auto"/>
              </w:divBdr>
            </w:div>
            <w:div w:id="852576037">
              <w:marLeft w:val="0"/>
              <w:marRight w:val="0"/>
              <w:marTop w:val="0"/>
              <w:marBottom w:val="240"/>
              <w:divBdr>
                <w:top w:val="none" w:sz="0" w:space="0" w:color="auto"/>
                <w:left w:val="none" w:sz="0" w:space="0" w:color="auto"/>
                <w:bottom w:val="none" w:sz="0" w:space="0" w:color="auto"/>
                <w:right w:val="none" w:sz="0" w:space="0" w:color="auto"/>
              </w:divBdr>
            </w:div>
            <w:div w:id="2042657764">
              <w:marLeft w:val="0"/>
              <w:marRight w:val="0"/>
              <w:marTop w:val="0"/>
              <w:marBottom w:val="240"/>
              <w:divBdr>
                <w:top w:val="none" w:sz="0" w:space="0" w:color="auto"/>
                <w:left w:val="none" w:sz="0" w:space="0" w:color="auto"/>
                <w:bottom w:val="none" w:sz="0" w:space="0" w:color="auto"/>
                <w:right w:val="none" w:sz="0" w:space="0" w:color="auto"/>
              </w:divBdr>
            </w:div>
            <w:div w:id="308947025">
              <w:marLeft w:val="0"/>
              <w:marRight w:val="0"/>
              <w:marTop w:val="0"/>
              <w:marBottom w:val="240"/>
              <w:divBdr>
                <w:top w:val="none" w:sz="0" w:space="0" w:color="auto"/>
                <w:left w:val="none" w:sz="0" w:space="0" w:color="auto"/>
                <w:bottom w:val="none" w:sz="0" w:space="0" w:color="auto"/>
                <w:right w:val="none" w:sz="0" w:space="0" w:color="auto"/>
              </w:divBdr>
            </w:div>
            <w:div w:id="1271664566">
              <w:marLeft w:val="0"/>
              <w:marRight w:val="0"/>
              <w:marTop w:val="0"/>
              <w:marBottom w:val="240"/>
              <w:divBdr>
                <w:top w:val="none" w:sz="0" w:space="0" w:color="auto"/>
                <w:left w:val="none" w:sz="0" w:space="0" w:color="auto"/>
                <w:bottom w:val="none" w:sz="0" w:space="0" w:color="auto"/>
                <w:right w:val="none" w:sz="0" w:space="0" w:color="auto"/>
              </w:divBdr>
            </w:div>
            <w:div w:id="1143615331">
              <w:marLeft w:val="0"/>
              <w:marRight w:val="0"/>
              <w:marTop w:val="0"/>
              <w:marBottom w:val="240"/>
              <w:divBdr>
                <w:top w:val="none" w:sz="0" w:space="0" w:color="auto"/>
                <w:left w:val="none" w:sz="0" w:space="0" w:color="auto"/>
                <w:bottom w:val="none" w:sz="0" w:space="0" w:color="auto"/>
                <w:right w:val="none" w:sz="0" w:space="0" w:color="auto"/>
              </w:divBdr>
            </w:div>
            <w:div w:id="191119117">
              <w:marLeft w:val="0"/>
              <w:marRight w:val="0"/>
              <w:marTop w:val="0"/>
              <w:marBottom w:val="240"/>
              <w:divBdr>
                <w:top w:val="none" w:sz="0" w:space="0" w:color="auto"/>
                <w:left w:val="none" w:sz="0" w:space="0" w:color="auto"/>
                <w:bottom w:val="none" w:sz="0" w:space="0" w:color="auto"/>
                <w:right w:val="none" w:sz="0" w:space="0" w:color="auto"/>
              </w:divBdr>
            </w:div>
            <w:div w:id="1878352359">
              <w:marLeft w:val="0"/>
              <w:marRight w:val="0"/>
              <w:marTop w:val="0"/>
              <w:marBottom w:val="240"/>
              <w:divBdr>
                <w:top w:val="none" w:sz="0" w:space="0" w:color="auto"/>
                <w:left w:val="none" w:sz="0" w:space="0" w:color="auto"/>
                <w:bottom w:val="none" w:sz="0" w:space="0" w:color="auto"/>
                <w:right w:val="none" w:sz="0" w:space="0" w:color="auto"/>
              </w:divBdr>
            </w:div>
            <w:div w:id="2129272184">
              <w:marLeft w:val="0"/>
              <w:marRight w:val="0"/>
              <w:marTop w:val="0"/>
              <w:marBottom w:val="240"/>
              <w:divBdr>
                <w:top w:val="none" w:sz="0" w:space="0" w:color="auto"/>
                <w:left w:val="none" w:sz="0" w:space="0" w:color="auto"/>
                <w:bottom w:val="none" w:sz="0" w:space="0" w:color="auto"/>
                <w:right w:val="none" w:sz="0" w:space="0" w:color="auto"/>
              </w:divBdr>
            </w:div>
            <w:div w:id="132258318">
              <w:marLeft w:val="0"/>
              <w:marRight w:val="0"/>
              <w:marTop w:val="0"/>
              <w:marBottom w:val="240"/>
              <w:divBdr>
                <w:top w:val="none" w:sz="0" w:space="0" w:color="auto"/>
                <w:left w:val="none" w:sz="0" w:space="0" w:color="auto"/>
                <w:bottom w:val="none" w:sz="0" w:space="0" w:color="auto"/>
                <w:right w:val="none" w:sz="0" w:space="0" w:color="auto"/>
              </w:divBdr>
            </w:div>
            <w:div w:id="547765032">
              <w:marLeft w:val="0"/>
              <w:marRight w:val="0"/>
              <w:marTop w:val="0"/>
              <w:marBottom w:val="240"/>
              <w:divBdr>
                <w:top w:val="none" w:sz="0" w:space="0" w:color="auto"/>
                <w:left w:val="none" w:sz="0" w:space="0" w:color="auto"/>
                <w:bottom w:val="none" w:sz="0" w:space="0" w:color="auto"/>
                <w:right w:val="none" w:sz="0" w:space="0" w:color="auto"/>
              </w:divBdr>
            </w:div>
            <w:div w:id="115373744">
              <w:marLeft w:val="0"/>
              <w:marRight w:val="0"/>
              <w:marTop w:val="0"/>
              <w:marBottom w:val="240"/>
              <w:divBdr>
                <w:top w:val="none" w:sz="0" w:space="0" w:color="auto"/>
                <w:left w:val="none" w:sz="0" w:space="0" w:color="auto"/>
                <w:bottom w:val="none" w:sz="0" w:space="0" w:color="auto"/>
                <w:right w:val="none" w:sz="0" w:space="0" w:color="auto"/>
              </w:divBdr>
            </w:div>
            <w:div w:id="1558124525">
              <w:marLeft w:val="0"/>
              <w:marRight w:val="0"/>
              <w:marTop w:val="0"/>
              <w:marBottom w:val="240"/>
              <w:divBdr>
                <w:top w:val="none" w:sz="0" w:space="0" w:color="auto"/>
                <w:left w:val="none" w:sz="0" w:space="0" w:color="auto"/>
                <w:bottom w:val="none" w:sz="0" w:space="0" w:color="auto"/>
                <w:right w:val="none" w:sz="0" w:space="0" w:color="auto"/>
              </w:divBdr>
            </w:div>
            <w:div w:id="1740591188">
              <w:marLeft w:val="0"/>
              <w:marRight w:val="0"/>
              <w:marTop w:val="0"/>
              <w:marBottom w:val="240"/>
              <w:divBdr>
                <w:top w:val="none" w:sz="0" w:space="0" w:color="auto"/>
                <w:left w:val="none" w:sz="0" w:space="0" w:color="auto"/>
                <w:bottom w:val="none" w:sz="0" w:space="0" w:color="auto"/>
                <w:right w:val="none" w:sz="0" w:space="0" w:color="auto"/>
              </w:divBdr>
            </w:div>
            <w:div w:id="1242911895">
              <w:marLeft w:val="0"/>
              <w:marRight w:val="0"/>
              <w:marTop w:val="0"/>
              <w:marBottom w:val="240"/>
              <w:divBdr>
                <w:top w:val="none" w:sz="0" w:space="0" w:color="auto"/>
                <w:left w:val="none" w:sz="0" w:space="0" w:color="auto"/>
                <w:bottom w:val="none" w:sz="0" w:space="0" w:color="auto"/>
                <w:right w:val="none" w:sz="0" w:space="0" w:color="auto"/>
              </w:divBdr>
            </w:div>
            <w:div w:id="957954653">
              <w:marLeft w:val="0"/>
              <w:marRight w:val="0"/>
              <w:marTop w:val="0"/>
              <w:marBottom w:val="240"/>
              <w:divBdr>
                <w:top w:val="none" w:sz="0" w:space="0" w:color="auto"/>
                <w:left w:val="none" w:sz="0" w:space="0" w:color="auto"/>
                <w:bottom w:val="none" w:sz="0" w:space="0" w:color="auto"/>
                <w:right w:val="none" w:sz="0" w:space="0" w:color="auto"/>
              </w:divBdr>
            </w:div>
            <w:div w:id="453334075">
              <w:marLeft w:val="0"/>
              <w:marRight w:val="0"/>
              <w:marTop w:val="0"/>
              <w:marBottom w:val="240"/>
              <w:divBdr>
                <w:top w:val="none" w:sz="0" w:space="0" w:color="auto"/>
                <w:left w:val="none" w:sz="0" w:space="0" w:color="auto"/>
                <w:bottom w:val="none" w:sz="0" w:space="0" w:color="auto"/>
                <w:right w:val="none" w:sz="0" w:space="0" w:color="auto"/>
              </w:divBdr>
            </w:div>
            <w:div w:id="1936161531">
              <w:marLeft w:val="0"/>
              <w:marRight w:val="0"/>
              <w:marTop w:val="0"/>
              <w:marBottom w:val="240"/>
              <w:divBdr>
                <w:top w:val="none" w:sz="0" w:space="0" w:color="auto"/>
                <w:left w:val="none" w:sz="0" w:space="0" w:color="auto"/>
                <w:bottom w:val="none" w:sz="0" w:space="0" w:color="auto"/>
                <w:right w:val="none" w:sz="0" w:space="0" w:color="auto"/>
              </w:divBdr>
            </w:div>
            <w:div w:id="770442694">
              <w:marLeft w:val="0"/>
              <w:marRight w:val="0"/>
              <w:marTop w:val="0"/>
              <w:marBottom w:val="240"/>
              <w:divBdr>
                <w:top w:val="none" w:sz="0" w:space="0" w:color="auto"/>
                <w:left w:val="none" w:sz="0" w:space="0" w:color="auto"/>
                <w:bottom w:val="none" w:sz="0" w:space="0" w:color="auto"/>
                <w:right w:val="none" w:sz="0" w:space="0" w:color="auto"/>
              </w:divBdr>
            </w:div>
            <w:div w:id="132677627">
              <w:marLeft w:val="0"/>
              <w:marRight w:val="0"/>
              <w:marTop w:val="0"/>
              <w:marBottom w:val="240"/>
              <w:divBdr>
                <w:top w:val="none" w:sz="0" w:space="0" w:color="auto"/>
                <w:left w:val="none" w:sz="0" w:space="0" w:color="auto"/>
                <w:bottom w:val="none" w:sz="0" w:space="0" w:color="auto"/>
                <w:right w:val="none" w:sz="0" w:space="0" w:color="auto"/>
              </w:divBdr>
            </w:div>
            <w:div w:id="1681616009">
              <w:marLeft w:val="0"/>
              <w:marRight w:val="0"/>
              <w:marTop w:val="0"/>
              <w:marBottom w:val="240"/>
              <w:divBdr>
                <w:top w:val="none" w:sz="0" w:space="0" w:color="auto"/>
                <w:left w:val="none" w:sz="0" w:space="0" w:color="auto"/>
                <w:bottom w:val="none" w:sz="0" w:space="0" w:color="auto"/>
                <w:right w:val="none" w:sz="0" w:space="0" w:color="auto"/>
              </w:divBdr>
            </w:div>
            <w:div w:id="2111195020">
              <w:marLeft w:val="0"/>
              <w:marRight w:val="0"/>
              <w:marTop w:val="0"/>
              <w:marBottom w:val="240"/>
              <w:divBdr>
                <w:top w:val="none" w:sz="0" w:space="0" w:color="auto"/>
                <w:left w:val="none" w:sz="0" w:space="0" w:color="auto"/>
                <w:bottom w:val="none" w:sz="0" w:space="0" w:color="auto"/>
                <w:right w:val="none" w:sz="0" w:space="0" w:color="auto"/>
              </w:divBdr>
            </w:div>
            <w:div w:id="1366634361">
              <w:marLeft w:val="0"/>
              <w:marRight w:val="0"/>
              <w:marTop w:val="0"/>
              <w:marBottom w:val="240"/>
              <w:divBdr>
                <w:top w:val="none" w:sz="0" w:space="0" w:color="auto"/>
                <w:left w:val="none" w:sz="0" w:space="0" w:color="auto"/>
                <w:bottom w:val="none" w:sz="0" w:space="0" w:color="auto"/>
                <w:right w:val="none" w:sz="0" w:space="0" w:color="auto"/>
              </w:divBdr>
            </w:div>
            <w:div w:id="1509102927">
              <w:marLeft w:val="0"/>
              <w:marRight w:val="0"/>
              <w:marTop w:val="0"/>
              <w:marBottom w:val="240"/>
              <w:divBdr>
                <w:top w:val="none" w:sz="0" w:space="0" w:color="auto"/>
                <w:left w:val="none" w:sz="0" w:space="0" w:color="auto"/>
                <w:bottom w:val="none" w:sz="0" w:space="0" w:color="auto"/>
                <w:right w:val="none" w:sz="0" w:space="0" w:color="auto"/>
              </w:divBdr>
            </w:div>
            <w:div w:id="347492153">
              <w:marLeft w:val="0"/>
              <w:marRight w:val="0"/>
              <w:marTop w:val="0"/>
              <w:marBottom w:val="240"/>
              <w:divBdr>
                <w:top w:val="none" w:sz="0" w:space="0" w:color="auto"/>
                <w:left w:val="none" w:sz="0" w:space="0" w:color="auto"/>
                <w:bottom w:val="none" w:sz="0" w:space="0" w:color="auto"/>
                <w:right w:val="none" w:sz="0" w:space="0" w:color="auto"/>
              </w:divBdr>
            </w:div>
            <w:div w:id="1341812176">
              <w:marLeft w:val="0"/>
              <w:marRight w:val="0"/>
              <w:marTop w:val="0"/>
              <w:marBottom w:val="240"/>
              <w:divBdr>
                <w:top w:val="none" w:sz="0" w:space="0" w:color="auto"/>
                <w:left w:val="none" w:sz="0" w:space="0" w:color="auto"/>
                <w:bottom w:val="none" w:sz="0" w:space="0" w:color="auto"/>
                <w:right w:val="none" w:sz="0" w:space="0" w:color="auto"/>
              </w:divBdr>
            </w:div>
            <w:div w:id="1641614357">
              <w:marLeft w:val="0"/>
              <w:marRight w:val="0"/>
              <w:marTop w:val="0"/>
              <w:marBottom w:val="240"/>
              <w:divBdr>
                <w:top w:val="none" w:sz="0" w:space="0" w:color="auto"/>
                <w:left w:val="none" w:sz="0" w:space="0" w:color="auto"/>
                <w:bottom w:val="none" w:sz="0" w:space="0" w:color="auto"/>
                <w:right w:val="none" w:sz="0" w:space="0" w:color="auto"/>
              </w:divBdr>
            </w:div>
            <w:div w:id="2126845655">
              <w:marLeft w:val="0"/>
              <w:marRight w:val="0"/>
              <w:marTop w:val="0"/>
              <w:marBottom w:val="240"/>
              <w:divBdr>
                <w:top w:val="none" w:sz="0" w:space="0" w:color="auto"/>
                <w:left w:val="none" w:sz="0" w:space="0" w:color="auto"/>
                <w:bottom w:val="none" w:sz="0" w:space="0" w:color="auto"/>
                <w:right w:val="none" w:sz="0" w:space="0" w:color="auto"/>
              </w:divBdr>
            </w:div>
            <w:div w:id="1049038219">
              <w:marLeft w:val="0"/>
              <w:marRight w:val="0"/>
              <w:marTop w:val="0"/>
              <w:marBottom w:val="240"/>
              <w:divBdr>
                <w:top w:val="none" w:sz="0" w:space="0" w:color="auto"/>
                <w:left w:val="none" w:sz="0" w:space="0" w:color="auto"/>
                <w:bottom w:val="none" w:sz="0" w:space="0" w:color="auto"/>
                <w:right w:val="none" w:sz="0" w:space="0" w:color="auto"/>
              </w:divBdr>
            </w:div>
            <w:div w:id="300426385">
              <w:marLeft w:val="0"/>
              <w:marRight w:val="0"/>
              <w:marTop w:val="0"/>
              <w:marBottom w:val="240"/>
              <w:divBdr>
                <w:top w:val="none" w:sz="0" w:space="0" w:color="auto"/>
                <w:left w:val="none" w:sz="0" w:space="0" w:color="auto"/>
                <w:bottom w:val="none" w:sz="0" w:space="0" w:color="auto"/>
                <w:right w:val="none" w:sz="0" w:space="0" w:color="auto"/>
              </w:divBdr>
            </w:div>
            <w:div w:id="1703893663">
              <w:marLeft w:val="0"/>
              <w:marRight w:val="0"/>
              <w:marTop w:val="0"/>
              <w:marBottom w:val="240"/>
              <w:divBdr>
                <w:top w:val="none" w:sz="0" w:space="0" w:color="auto"/>
                <w:left w:val="none" w:sz="0" w:space="0" w:color="auto"/>
                <w:bottom w:val="none" w:sz="0" w:space="0" w:color="auto"/>
                <w:right w:val="none" w:sz="0" w:space="0" w:color="auto"/>
              </w:divBdr>
            </w:div>
            <w:div w:id="571234859">
              <w:marLeft w:val="0"/>
              <w:marRight w:val="0"/>
              <w:marTop w:val="0"/>
              <w:marBottom w:val="240"/>
              <w:divBdr>
                <w:top w:val="none" w:sz="0" w:space="0" w:color="auto"/>
                <w:left w:val="none" w:sz="0" w:space="0" w:color="auto"/>
                <w:bottom w:val="none" w:sz="0" w:space="0" w:color="auto"/>
                <w:right w:val="none" w:sz="0" w:space="0" w:color="auto"/>
              </w:divBdr>
            </w:div>
            <w:div w:id="1105805016">
              <w:marLeft w:val="0"/>
              <w:marRight w:val="0"/>
              <w:marTop w:val="0"/>
              <w:marBottom w:val="240"/>
              <w:divBdr>
                <w:top w:val="none" w:sz="0" w:space="0" w:color="auto"/>
                <w:left w:val="none" w:sz="0" w:space="0" w:color="auto"/>
                <w:bottom w:val="none" w:sz="0" w:space="0" w:color="auto"/>
                <w:right w:val="none" w:sz="0" w:space="0" w:color="auto"/>
              </w:divBdr>
            </w:div>
            <w:div w:id="150417075">
              <w:marLeft w:val="0"/>
              <w:marRight w:val="0"/>
              <w:marTop w:val="0"/>
              <w:marBottom w:val="240"/>
              <w:divBdr>
                <w:top w:val="none" w:sz="0" w:space="0" w:color="auto"/>
                <w:left w:val="none" w:sz="0" w:space="0" w:color="auto"/>
                <w:bottom w:val="none" w:sz="0" w:space="0" w:color="auto"/>
                <w:right w:val="none" w:sz="0" w:space="0" w:color="auto"/>
              </w:divBdr>
            </w:div>
            <w:div w:id="515314984">
              <w:marLeft w:val="0"/>
              <w:marRight w:val="0"/>
              <w:marTop w:val="0"/>
              <w:marBottom w:val="240"/>
              <w:divBdr>
                <w:top w:val="none" w:sz="0" w:space="0" w:color="auto"/>
                <w:left w:val="none" w:sz="0" w:space="0" w:color="auto"/>
                <w:bottom w:val="none" w:sz="0" w:space="0" w:color="auto"/>
                <w:right w:val="none" w:sz="0" w:space="0" w:color="auto"/>
              </w:divBdr>
            </w:div>
            <w:div w:id="900216732">
              <w:marLeft w:val="0"/>
              <w:marRight w:val="0"/>
              <w:marTop w:val="0"/>
              <w:marBottom w:val="240"/>
              <w:divBdr>
                <w:top w:val="none" w:sz="0" w:space="0" w:color="auto"/>
                <w:left w:val="none" w:sz="0" w:space="0" w:color="auto"/>
                <w:bottom w:val="none" w:sz="0" w:space="0" w:color="auto"/>
                <w:right w:val="none" w:sz="0" w:space="0" w:color="auto"/>
              </w:divBdr>
            </w:div>
            <w:div w:id="1991523238">
              <w:marLeft w:val="0"/>
              <w:marRight w:val="0"/>
              <w:marTop w:val="0"/>
              <w:marBottom w:val="240"/>
              <w:divBdr>
                <w:top w:val="none" w:sz="0" w:space="0" w:color="auto"/>
                <w:left w:val="none" w:sz="0" w:space="0" w:color="auto"/>
                <w:bottom w:val="none" w:sz="0" w:space="0" w:color="auto"/>
                <w:right w:val="none" w:sz="0" w:space="0" w:color="auto"/>
              </w:divBdr>
            </w:div>
            <w:div w:id="1590700825">
              <w:marLeft w:val="0"/>
              <w:marRight w:val="0"/>
              <w:marTop w:val="0"/>
              <w:marBottom w:val="240"/>
              <w:divBdr>
                <w:top w:val="none" w:sz="0" w:space="0" w:color="auto"/>
                <w:left w:val="none" w:sz="0" w:space="0" w:color="auto"/>
                <w:bottom w:val="none" w:sz="0" w:space="0" w:color="auto"/>
                <w:right w:val="none" w:sz="0" w:space="0" w:color="auto"/>
              </w:divBdr>
            </w:div>
            <w:div w:id="1786269042">
              <w:marLeft w:val="0"/>
              <w:marRight w:val="0"/>
              <w:marTop w:val="0"/>
              <w:marBottom w:val="240"/>
              <w:divBdr>
                <w:top w:val="none" w:sz="0" w:space="0" w:color="auto"/>
                <w:left w:val="none" w:sz="0" w:space="0" w:color="auto"/>
                <w:bottom w:val="none" w:sz="0" w:space="0" w:color="auto"/>
                <w:right w:val="none" w:sz="0" w:space="0" w:color="auto"/>
              </w:divBdr>
            </w:div>
            <w:div w:id="614404914">
              <w:marLeft w:val="0"/>
              <w:marRight w:val="0"/>
              <w:marTop w:val="0"/>
              <w:marBottom w:val="240"/>
              <w:divBdr>
                <w:top w:val="none" w:sz="0" w:space="0" w:color="auto"/>
                <w:left w:val="none" w:sz="0" w:space="0" w:color="auto"/>
                <w:bottom w:val="none" w:sz="0" w:space="0" w:color="auto"/>
                <w:right w:val="none" w:sz="0" w:space="0" w:color="auto"/>
              </w:divBdr>
            </w:div>
            <w:div w:id="74398197">
              <w:marLeft w:val="0"/>
              <w:marRight w:val="0"/>
              <w:marTop w:val="0"/>
              <w:marBottom w:val="240"/>
              <w:divBdr>
                <w:top w:val="none" w:sz="0" w:space="0" w:color="auto"/>
                <w:left w:val="none" w:sz="0" w:space="0" w:color="auto"/>
                <w:bottom w:val="none" w:sz="0" w:space="0" w:color="auto"/>
                <w:right w:val="none" w:sz="0" w:space="0" w:color="auto"/>
              </w:divBdr>
            </w:div>
            <w:div w:id="55201413">
              <w:marLeft w:val="0"/>
              <w:marRight w:val="0"/>
              <w:marTop w:val="0"/>
              <w:marBottom w:val="240"/>
              <w:divBdr>
                <w:top w:val="none" w:sz="0" w:space="0" w:color="auto"/>
                <w:left w:val="none" w:sz="0" w:space="0" w:color="auto"/>
                <w:bottom w:val="none" w:sz="0" w:space="0" w:color="auto"/>
                <w:right w:val="none" w:sz="0" w:space="0" w:color="auto"/>
              </w:divBdr>
            </w:div>
            <w:div w:id="1420443887">
              <w:marLeft w:val="0"/>
              <w:marRight w:val="0"/>
              <w:marTop w:val="0"/>
              <w:marBottom w:val="240"/>
              <w:divBdr>
                <w:top w:val="none" w:sz="0" w:space="0" w:color="auto"/>
                <w:left w:val="none" w:sz="0" w:space="0" w:color="auto"/>
                <w:bottom w:val="none" w:sz="0" w:space="0" w:color="auto"/>
                <w:right w:val="none" w:sz="0" w:space="0" w:color="auto"/>
              </w:divBdr>
            </w:div>
            <w:div w:id="977149841">
              <w:marLeft w:val="0"/>
              <w:marRight w:val="0"/>
              <w:marTop w:val="0"/>
              <w:marBottom w:val="240"/>
              <w:divBdr>
                <w:top w:val="none" w:sz="0" w:space="0" w:color="auto"/>
                <w:left w:val="none" w:sz="0" w:space="0" w:color="auto"/>
                <w:bottom w:val="none" w:sz="0" w:space="0" w:color="auto"/>
                <w:right w:val="none" w:sz="0" w:space="0" w:color="auto"/>
              </w:divBdr>
            </w:div>
            <w:div w:id="239679565">
              <w:marLeft w:val="0"/>
              <w:marRight w:val="0"/>
              <w:marTop w:val="0"/>
              <w:marBottom w:val="240"/>
              <w:divBdr>
                <w:top w:val="none" w:sz="0" w:space="0" w:color="auto"/>
                <w:left w:val="none" w:sz="0" w:space="0" w:color="auto"/>
                <w:bottom w:val="none" w:sz="0" w:space="0" w:color="auto"/>
                <w:right w:val="none" w:sz="0" w:space="0" w:color="auto"/>
              </w:divBdr>
            </w:div>
            <w:div w:id="2130053519">
              <w:marLeft w:val="0"/>
              <w:marRight w:val="0"/>
              <w:marTop w:val="0"/>
              <w:marBottom w:val="240"/>
              <w:divBdr>
                <w:top w:val="none" w:sz="0" w:space="0" w:color="auto"/>
                <w:left w:val="none" w:sz="0" w:space="0" w:color="auto"/>
                <w:bottom w:val="none" w:sz="0" w:space="0" w:color="auto"/>
                <w:right w:val="none" w:sz="0" w:space="0" w:color="auto"/>
              </w:divBdr>
            </w:div>
            <w:div w:id="1156386218">
              <w:marLeft w:val="0"/>
              <w:marRight w:val="0"/>
              <w:marTop w:val="0"/>
              <w:marBottom w:val="240"/>
              <w:divBdr>
                <w:top w:val="none" w:sz="0" w:space="0" w:color="auto"/>
                <w:left w:val="none" w:sz="0" w:space="0" w:color="auto"/>
                <w:bottom w:val="none" w:sz="0" w:space="0" w:color="auto"/>
                <w:right w:val="none" w:sz="0" w:space="0" w:color="auto"/>
              </w:divBdr>
            </w:div>
            <w:div w:id="1123495549">
              <w:marLeft w:val="0"/>
              <w:marRight w:val="0"/>
              <w:marTop w:val="0"/>
              <w:marBottom w:val="240"/>
              <w:divBdr>
                <w:top w:val="none" w:sz="0" w:space="0" w:color="auto"/>
                <w:left w:val="none" w:sz="0" w:space="0" w:color="auto"/>
                <w:bottom w:val="none" w:sz="0" w:space="0" w:color="auto"/>
                <w:right w:val="none" w:sz="0" w:space="0" w:color="auto"/>
              </w:divBdr>
            </w:div>
            <w:div w:id="208540901">
              <w:marLeft w:val="0"/>
              <w:marRight w:val="0"/>
              <w:marTop w:val="0"/>
              <w:marBottom w:val="240"/>
              <w:divBdr>
                <w:top w:val="none" w:sz="0" w:space="0" w:color="auto"/>
                <w:left w:val="none" w:sz="0" w:space="0" w:color="auto"/>
                <w:bottom w:val="none" w:sz="0" w:space="0" w:color="auto"/>
                <w:right w:val="none" w:sz="0" w:space="0" w:color="auto"/>
              </w:divBdr>
            </w:div>
            <w:div w:id="581833814">
              <w:marLeft w:val="0"/>
              <w:marRight w:val="0"/>
              <w:marTop w:val="0"/>
              <w:marBottom w:val="240"/>
              <w:divBdr>
                <w:top w:val="none" w:sz="0" w:space="0" w:color="auto"/>
                <w:left w:val="none" w:sz="0" w:space="0" w:color="auto"/>
                <w:bottom w:val="none" w:sz="0" w:space="0" w:color="auto"/>
                <w:right w:val="none" w:sz="0" w:space="0" w:color="auto"/>
              </w:divBdr>
            </w:div>
            <w:div w:id="613680145">
              <w:marLeft w:val="0"/>
              <w:marRight w:val="0"/>
              <w:marTop w:val="0"/>
              <w:marBottom w:val="240"/>
              <w:divBdr>
                <w:top w:val="none" w:sz="0" w:space="0" w:color="auto"/>
                <w:left w:val="none" w:sz="0" w:space="0" w:color="auto"/>
                <w:bottom w:val="none" w:sz="0" w:space="0" w:color="auto"/>
                <w:right w:val="none" w:sz="0" w:space="0" w:color="auto"/>
              </w:divBdr>
            </w:div>
            <w:div w:id="291601569">
              <w:marLeft w:val="0"/>
              <w:marRight w:val="0"/>
              <w:marTop w:val="0"/>
              <w:marBottom w:val="240"/>
              <w:divBdr>
                <w:top w:val="none" w:sz="0" w:space="0" w:color="auto"/>
                <w:left w:val="none" w:sz="0" w:space="0" w:color="auto"/>
                <w:bottom w:val="none" w:sz="0" w:space="0" w:color="auto"/>
                <w:right w:val="none" w:sz="0" w:space="0" w:color="auto"/>
              </w:divBdr>
            </w:div>
            <w:div w:id="1777485806">
              <w:marLeft w:val="0"/>
              <w:marRight w:val="0"/>
              <w:marTop w:val="0"/>
              <w:marBottom w:val="240"/>
              <w:divBdr>
                <w:top w:val="none" w:sz="0" w:space="0" w:color="auto"/>
                <w:left w:val="none" w:sz="0" w:space="0" w:color="auto"/>
                <w:bottom w:val="none" w:sz="0" w:space="0" w:color="auto"/>
                <w:right w:val="none" w:sz="0" w:space="0" w:color="auto"/>
              </w:divBdr>
            </w:div>
            <w:div w:id="108820933">
              <w:marLeft w:val="0"/>
              <w:marRight w:val="0"/>
              <w:marTop w:val="0"/>
              <w:marBottom w:val="240"/>
              <w:divBdr>
                <w:top w:val="none" w:sz="0" w:space="0" w:color="auto"/>
                <w:left w:val="none" w:sz="0" w:space="0" w:color="auto"/>
                <w:bottom w:val="none" w:sz="0" w:space="0" w:color="auto"/>
                <w:right w:val="none" w:sz="0" w:space="0" w:color="auto"/>
              </w:divBdr>
            </w:div>
            <w:div w:id="924343067">
              <w:marLeft w:val="0"/>
              <w:marRight w:val="0"/>
              <w:marTop w:val="0"/>
              <w:marBottom w:val="240"/>
              <w:divBdr>
                <w:top w:val="none" w:sz="0" w:space="0" w:color="auto"/>
                <w:left w:val="none" w:sz="0" w:space="0" w:color="auto"/>
                <w:bottom w:val="none" w:sz="0" w:space="0" w:color="auto"/>
                <w:right w:val="none" w:sz="0" w:space="0" w:color="auto"/>
              </w:divBdr>
            </w:div>
            <w:div w:id="1202091751">
              <w:marLeft w:val="0"/>
              <w:marRight w:val="0"/>
              <w:marTop w:val="0"/>
              <w:marBottom w:val="240"/>
              <w:divBdr>
                <w:top w:val="none" w:sz="0" w:space="0" w:color="auto"/>
                <w:left w:val="none" w:sz="0" w:space="0" w:color="auto"/>
                <w:bottom w:val="none" w:sz="0" w:space="0" w:color="auto"/>
                <w:right w:val="none" w:sz="0" w:space="0" w:color="auto"/>
              </w:divBdr>
            </w:div>
            <w:div w:id="624117193">
              <w:marLeft w:val="0"/>
              <w:marRight w:val="0"/>
              <w:marTop w:val="0"/>
              <w:marBottom w:val="240"/>
              <w:divBdr>
                <w:top w:val="none" w:sz="0" w:space="0" w:color="auto"/>
                <w:left w:val="none" w:sz="0" w:space="0" w:color="auto"/>
                <w:bottom w:val="none" w:sz="0" w:space="0" w:color="auto"/>
                <w:right w:val="none" w:sz="0" w:space="0" w:color="auto"/>
              </w:divBdr>
            </w:div>
            <w:div w:id="1087532057">
              <w:marLeft w:val="0"/>
              <w:marRight w:val="0"/>
              <w:marTop w:val="0"/>
              <w:marBottom w:val="240"/>
              <w:divBdr>
                <w:top w:val="none" w:sz="0" w:space="0" w:color="auto"/>
                <w:left w:val="none" w:sz="0" w:space="0" w:color="auto"/>
                <w:bottom w:val="none" w:sz="0" w:space="0" w:color="auto"/>
                <w:right w:val="none" w:sz="0" w:space="0" w:color="auto"/>
              </w:divBdr>
            </w:div>
            <w:div w:id="458648280">
              <w:marLeft w:val="0"/>
              <w:marRight w:val="0"/>
              <w:marTop w:val="0"/>
              <w:marBottom w:val="240"/>
              <w:divBdr>
                <w:top w:val="none" w:sz="0" w:space="0" w:color="auto"/>
                <w:left w:val="none" w:sz="0" w:space="0" w:color="auto"/>
                <w:bottom w:val="none" w:sz="0" w:space="0" w:color="auto"/>
                <w:right w:val="none" w:sz="0" w:space="0" w:color="auto"/>
              </w:divBdr>
            </w:div>
            <w:div w:id="331881460">
              <w:marLeft w:val="0"/>
              <w:marRight w:val="0"/>
              <w:marTop w:val="0"/>
              <w:marBottom w:val="240"/>
              <w:divBdr>
                <w:top w:val="none" w:sz="0" w:space="0" w:color="auto"/>
                <w:left w:val="none" w:sz="0" w:space="0" w:color="auto"/>
                <w:bottom w:val="none" w:sz="0" w:space="0" w:color="auto"/>
                <w:right w:val="none" w:sz="0" w:space="0" w:color="auto"/>
              </w:divBdr>
            </w:div>
            <w:div w:id="2113549602">
              <w:marLeft w:val="0"/>
              <w:marRight w:val="0"/>
              <w:marTop w:val="0"/>
              <w:marBottom w:val="240"/>
              <w:divBdr>
                <w:top w:val="none" w:sz="0" w:space="0" w:color="auto"/>
                <w:left w:val="none" w:sz="0" w:space="0" w:color="auto"/>
                <w:bottom w:val="none" w:sz="0" w:space="0" w:color="auto"/>
                <w:right w:val="none" w:sz="0" w:space="0" w:color="auto"/>
              </w:divBdr>
            </w:div>
            <w:div w:id="1987969808">
              <w:marLeft w:val="0"/>
              <w:marRight w:val="0"/>
              <w:marTop w:val="0"/>
              <w:marBottom w:val="240"/>
              <w:divBdr>
                <w:top w:val="none" w:sz="0" w:space="0" w:color="auto"/>
                <w:left w:val="none" w:sz="0" w:space="0" w:color="auto"/>
                <w:bottom w:val="none" w:sz="0" w:space="0" w:color="auto"/>
                <w:right w:val="none" w:sz="0" w:space="0" w:color="auto"/>
              </w:divBdr>
            </w:div>
            <w:div w:id="171918803">
              <w:marLeft w:val="0"/>
              <w:marRight w:val="0"/>
              <w:marTop w:val="0"/>
              <w:marBottom w:val="240"/>
              <w:divBdr>
                <w:top w:val="none" w:sz="0" w:space="0" w:color="auto"/>
                <w:left w:val="none" w:sz="0" w:space="0" w:color="auto"/>
                <w:bottom w:val="none" w:sz="0" w:space="0" w:color="auto"/>
                <w:right w:val="none" w:sz="0" w:space="0" w:color="auto"/>
              </w:divBdr>
            </w:div>
            <w:div w:id="1483544718">
              <w:marLeft w:val="0"/>
              <w:marRight w:val="0"/>
              <w:marTop w:val="0"/>
              <w:marBottom w:val="240"/>
              <w:divBdr>
                <w:top w:val="none" w:sz="0" w:space="0" w:color="auto"/>
                <w:left w:val="none" w:sz="0" w:space="0" w:color="auto"/>
                <w:bottom w:val="none" w:sz="0" w:space="0" w:color="auto"/>
                <w:right w:val="none" w:sz="0" w:space="0" w:color="auto"/>
              </w:divBdr>
            </w:div>
            <w:div w:id="480004843">
              <w:marLeft w:val="0"/>
              <w:marRight w:val="0"/>
              <w:marTop w:val="0"/>
              <w:marBottom w:val="240"/>
              <w:divBdr>
                <w:top w:val="none" w:sz="0" w:space="0" w:color="auto"/>
                <w:left w:val="none" w:sz="0" w:space="0" w:color="auto"/>
                <w:bottom w:val="none" w:sz="0" w:space="0" w:color="auto"/>
                <w:right w:val="none" w:sz="0" w:space="0" w:color="auto"/>
              </w:divBdr>
            </w:div>
            <w:div w:id="896670623">
              <w:marLeft w:val="0"/>
              <w:marRight w:val="0"/>
              <w:marTop w:val="0"/>
              <w:marBottom w:val="240"/>
              <w:divBdr>
                <w:top w:val="none" w:sz="0" w:space="0" w:color="auto"/>
                <w:left w:val="none" w:sz="0" w:space="0" w:color="auto"/>
                <w:bottom w:val="none" w:sz="0" w:space="0" w:color="auto"/>
                <w:right w:val="none" w:sz="0" w:space="0" w:color="auto"/>
              </w:divBdr>
            </w:div>
            <w:div w:id="960040861">
              <w:marLeft w:val="0"/>
              <w:marRight w:val="0"/>
              <w:marTop w:val="0"/>
              <w:marBottom w:val="240"/>
              <w:divBdr>
                <w:top w:val="none" w:sz="0" w:space="0" w:color="auto"/>
                <w:left w:val="none" w:sz="0" w:space="0" w:color="auto"/>
                <w:bottom w:val="none" w:sz="0" w:space="0" w:color="auto"/>
                <w:right w:val="none" w:sz="0" w:space="0" w:color="auto"/>
              </w:divBdr>
            </w:div>
            <w:div w:id="2117867111">
              <w:marLeft w:val="0"/>
              <w:marRight w:val="0"/>
              <w:marTop w:val="0"/>
              <w:marBottom w:val="240"/>
              <w:divBdr>
                <w:top w:val="none" w:sz="0" w:space="0" w:color="auto"/>
                <w:left w:val="none" w:sz="0" w:space="0" w:color="auto"/>
                <w:bottom w:val="none" w:sz="0" w:space="0" w:color="auto"/>
                <w:right w:val="none" w:sz="0" w:space="0" w:color="auto"/>
              </w:divBdr>
            </w:div>
            <w:div w:id="181359024">
              <w:marLeft w:val="0"/>
              <w:marRight w:val="0"/>
              <w:marTop w:val="0"/>
              <w:marBottom w:val="240"/>
              <w:divBdr>
                <w:top w:val="none" w:sz="0" w:space="0" w:color="auto"/>
                <w:left w:val="none" w:sz="0" w:space="0" w:color="auto"/>
                <w:bottom w:val="none" w:sz="0" w:space="0" w:color="auto"/>
                <w:right w:val="none" w:sz="0" w:space="0" w:color="auto"/>
              </w:divBdr>
            </w:div>
            <w:div w:id="2096632022">
              <w:marLeft w:val="0"/>
              <w:marRight w:val="0"/>
              <w:marTop w:val="0"/>
              <w:marBottom w:val="240"/>
              <w:divBdr>
                <w:top w:val="none" w:sz="0" w:space="0" w:color="auto"/>
                <w:left w:val="none" w:sz="0" w:space="0" w:color="auto"/>
                <w:bottom w:val="none" w:sz="0" w:space="0" w:color="auto"/>
                <w:right w:val="none" w:sz="0" w:space="0" w:color="auto"/>
              </w:divBdr>
            </w:div>
            <w:div w:id="1885410616">
              <w:marLeft w:val="0"/>
              <w:marRight w:val="0"/>
              <w:marTop w:val="0"/>
              <w:marBottom w:val="240"/>
              <w:divBdr>
                <w:top w:val="none" w:sz="0" w:space="0" w:color="auto"/>
                <w:left w:val="none" w:sz="0" w:space="0" w:color="auto"/>
                <w:bottom w:val="none" w:sz="0" w:space="0" w:color="auto"/>
                <w:right w:val="none" w:sz="0" w:space="0" w:color="auto"/>
              </w:divBdr>
            </w:div>
            <w:div w:id="482163858">
              <w:marLeft w:val="0"/>
              <w:marRight w:val="0"/>
              <w:marTop w:val="0"/>
              <w:marBottom w:val="240"/>
              <w:divBdr>
                <w:top w:val="none" w:sz="0" w:space="0" w:color="auto"/>
                <w:left w:val="none" w:sz="0" w:space="0" w:color="auto"/>
                <w:bottom w:val="none" w:sz="0" w:space="0" w:color="auto"/>
                <w:right w:val="none" w:sz="0" w:space="0" w:color="auto"/>
              </w:divBdr>
            </w:div>
            <w:div w:id="1258440294">
              <w:marLeft w:val="0"/>
              <w:marRight w:val="0"/>
              <w:marTop w:val="0"/>
              <w:marBottom w:val="240"/>
              <w:divBdr>
                <w:top w:val="none" w:sz="0" w:space="0" w:color="auto"/>
                <w:left w:val="none" w:sz="0" w:space="0" w:color="auto"/>
                <w:bottom w:val="none" w:sz="0" w:space="0" w:color="auto"/>
                <w:right w:val="none" w:sz="0" w:space="0" w:color="auto"/>
              </w:divBdr>
            </w:div>
            <w:div w:id="1455755839">
              <w:marLeft w:val="0"/>
              <w:marRight w:val="0"/>
              <w:marTop w:val="0"/>
              <w:marBottom w:val="240"/>
              <w:divBdr>
                <w:top w:val="none" w:sz="0" w:space="0" w:color="auto"/>
                <w:left w:val="none" w:sz="0" w:space="0" w:color="auto"/>
                <w:bottom w:val="none" w:sz="0" w:space="0" w:color="auto"/>
                <w:right w:val="none" w:sz="0" w:space="0" w:color="auto"/>
              </w:divBdr>
            </w:div>
            <w:div w:id="15160314">
              <w:marLeft w:val="0"/>
              <w:marRight w:val="0"/>
              <w:marTop w:val="0"/>
              <w:marBottom w:val="240"/>
              <w:divBdr>
                <w:top w:val="none" w:sz="0" w:space="0" w:color="auto"/>
                <w:left w:val="none" w:sz="0" w:space="0" w:color="auto"/>
                <w:bottom w:val="none" w:sz="0" w:space="0" w:color="auto"/>
                <w:right w:val="none" w:sz="0" w:space="0" w:color="auto"/>
              </w:divBdr>
            </w:div>
            <w:div w:id="1361129061">
              <w:marLeft w:val="0"/>
              <w:marRight w:val="0"/>
              <w:marTop w:val="0"/>
              <w:marBottom w:val="240"/>
              <w:divBdr>
                <w:top w:val="none" w:sz="0" w:space="0" w:color="auto"/>
                <w:left w:val="none" w:sz="0" w:space="0" w:color="auto"/>
                <w:bottom w:val="none" w:sz="0" w:space="0" w:color="auto"/>
                <w:right w:val="none" w:sz="0" w:space="0" w:color="auto"/>
              </w:divBdr>
            </w:div>
            <w:div w:id="1537157935">
              <w:marLeft w:val="0"/>
              <w:marRight w:val="0"/>
              <w:marTop w:val="0"/>
              <w:marBottom w:val="240"/>
              <w:divBdr>
                <w:top w:val="none" w:sz="0" w:space="0" w:color="auto"/>
                <w:left w:val="none" w:sz="0" w:space="0" w:color="auto"/>
                <w:bottom w:val="none" w:sz="0" w:space="0" w:color="auto"/>
                <w:right w:val="none" w:sz="0" w:space="0" w:color="auto"/>
              </w:divBdr>
            </w:div>
            <w:div w:id="1299729195">
              <w:marLeft w:val="0"/>
              <w:marRight w:val="0"/>
              <w:marTop w:val="0"/>
              <w:marBottom w:val="240"/>
              <w:divBdr>
                <w:top w:val="none" w:sz="0" w:space="0" w:color="auto"/>
                <w:left w:val="none" w:sz="0" w:space="0" w:color="auto"/>
                <w:bottom w:val="none" w:sz="0" w:space="0" w:color="auto"/>
                <w:right w:val="none" w:sz="0" w:space="0" w:color="auto"/>
              </w:divBdr>
            </w:div>
            <w:div w:id="1645236259">
              <w:marLeft w:val="0"/>
              <w:marRight w:val="0"/>
              <w:marTop w:val="0"/>
              <w:marBottom w:val="240"/>
              <w:divBdr>
                <w:top w:val="none" w:sz="0" w:space="0" w:color="auto"/>
                <w:left w:val="none" w:sz="0" w:space="0" w:color="auto"/>
                <w:bottom w:val="none" w:sz="0" w:space="0" w:color="auto"/>
                <w:right w:val="none" w:sz="0" w:space="0" w:color="auto"/>
              </w:divBdr>
            </w:div>
            <w:div w:id="1733187320">
              <w:marLeft w:val="0"/>
              <w:marRight w:val="0"/>
              <w:marTop w:val="0"/>
              <w:marBottom w:val="240"/>
              <w:divBdr>
                <w:top w:val="none" w:sz="0" w:space="0" w:color="auto"/>
                <w:left w:val="none" w:sz="0" w:space="0" w:color="auto"/>
                <w:bottom w:val="none" w:sz="0" w:space="0" w:color="auto"/>
                <w:right w:val="none" w:sz="0" w:space="0" w:color="auto"/>
              </w:divBdr>
            </w:div>
            <w:div w:id="30955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273468">
      <w:bodyDiv w:val="1"/>
      <w:marLeft w:val="0"/>
      <w:marRight w:val="0"/>
      <w:marTop w:val="0"/>
      <w:marBottom w:val="0"/>
      <w:divBdr>
        <w:top w:val="none" w:sz="0" w:space="0" w:color="auto"/>
        <w:left w:val="none" w:sz="0" w:space="0" w:color="auto"/>
        <w:bottom w:val="none" w:sz="0" w:space="0" w:color="auto"/>
        <w:right w:val="none" w:sz="0" w:space="0" w:color="auto"/>
      </w:divBdr>
    </w:div>
    <w:div w:id="1115253458">
      <w:bodyDiv w:val="1"/>
      <w:marLeft w:val="0"/>
      <w:marRight w:val="0"/>
      <w:marTop w:val="0"/>
      <w:marBottom w:val="0"/>
      <w:divBdr>
        <w:top w:val="none" w:sz="0" w:space="0" w:color="auto"/>
        <w:left w:val="none" w:sz="0" w:space="0" w:color="auto"/>
        <w:bottom w:val="none" w:sz="0" w:space="0" w:color="auto"/>
        <w:right w:val="none" w:sz="0" w:space="0" w:color="auto"/>
      </w:divBdr>
    </w:div>
    <w:div w:id="1127699137">
      <w:bodyDiv w:val="1"/>
      <w:marLeft w:val="0"/>
      <w:marRight w:val="0"/>
      <w:marTop w:val="0"/>
      <w:marBottom w:val="0"/>
      <w:divBdr>
        <w:top w:val="none" w:sz="0" w:space="0" w:color="auto"/>
        <w:left w:val="none" w:sz="0" w:space="0" w:color="auto"/>
        <w:bottom w:val="none" w:sz="0" w:space="0" w:color="auto"/>
        <w:right w:val="none" w:sz="0" w:space="0" w:color="auto"/>
      </w:divBdr>
    </w:div>
    <w:div w:id="1134760474">
      <w:bodyDiv w:val="1"/>
      <w:marLeft w:val="0"/>
      <w:marRight w:val="0"/>
      <w:marTop w:val="0"/>
      <w:marBottom w:val="0"/>
      <w:divBdr>
        <w:top w:val="none" w:sz="0" w:space="0" w:color="auto"/>
        <w:left w:val="none" w:sz="0" w:space="0" w:color="auto"/>
        <w:bottom w:val="none" w:sz="0" w:space="0" w:color="auto"/>
        <w:right w:val="none" w:sz="0" w:space="0" w:color="auto"/>
      </w:divBdr>
    </w:div>
    <w:div w:id="1139953869">
      <w:bodyDiv w:val="1"/>
      <w:marLeft w:val="0"/>
      <w:marRight w:val="0"/>
      <w:marTop w:val="0"/>
      <w:marBottom w:val="0"/>
      <w:divBdr>
        <w:top w:val="none" w:sz="0" w:space="0" w:color="auto"/>
        <w:left w:val="none" w:sz="0" w:space="0" w:color="auto"/>
        <w:bottom w:val="none" w:sz="0" w:space="0" w:color="auto"/>
        <w:right w:val="none" w:sz="0" w:space="0" w:color="auto"/>
      </w:divBdr>
    </w:div>
    <w:div w:id="1140609114">
      <w:bodyDiv w:val="1"/>
      <w:marLeft w:val="0"/>
      <w:marRight w:val="0"/>
      <w:marTop w:val="0"/>
      <w:marBottom w:val="0"/>
      <w:divBdr>
        <w:top w:val="none" w:sz="0" w:space="0" w:color="auto"/>
        <w:left w:val="none" w:sz="0" w:space="0" w:color="auto"/>
        <w:bottom w:val="none" w:sz="0" w:space="0" w:color="auto"/>
        <w:right w:val="none" w:sz="0" w:space="0" w:color="auto"/>
      </w:divBdr>
    </w:div>
    <w:div w:id="1153062674">
      <w:bodyDiv w:val="1"/>
      <w:marLeft w:val="0"/>
      <w:marRight w:val="0"/>
      <w:marTop w:val="0"/>
      <w:marBottom w:val="0"/>
      <w:divBdr>
        <w:top w:val="none" w:sz="0" w:space="0" w:color="auto"/>
        <w:left w:val="none" w:sz="0" w:space="0" w:color="auto"/>
        <w:bottom w:val="none" w:sz="0" w:space="0" w:color="auto"/>
        <w:right w:val="none" w:sz="0" w:space="0" w:color="auto"/>
      </w:divBdr>
    </w:div>
    <w:div w:id="1153135152">
      <w:bodyDiv w:val="1"/>
      <w:marLeft w:val="0"/>
      <w:marRight w:val="0"/>
      <w:marTop w:val="0"/>
      <w:marBottom w:val="0"/>
      <w:divBdr>
        <w:top w:val="none" w:sz="0" w:space="0" w:color="auto"/>
        <w:left w:val="none" w:sz="0" w:space="0" w:color="auto"/>
        <w:bottom w:val="none" w:sz="0" w:space="0" w:color="auto"/>
        <w:right w:val="none" w:sz="0" w:space="0" w:color="auto"/>
      </w:divBdr>
    </w:div>
    <w:div w:id="1153985797">
      <w:bodyDiv w:val="1"/>
      <w:marLeft w:val="0"/>
      <w:marRight w:val="0"/>
      <w:marTop w:val="0"/>
      <w:marBottom w:val="0"/>
      <w:divBdr>
        <w:top w:val="none" w:sz="0" w:space="0" w:color="auto"/>
        <w:left w:val="none" w:sz="0" w:space="0" w:color="auto"/>
        <w:bottom w:val="none" w:sz="0" w:space="0" w:color="auto"/>
        <w:right w:val="none" w:sz="0" w:space="0" w:color="auto"/>
      </w:divBdr>
    </w:div>
    <w:div w:id="1161657180">
      <w:bodyDiv w:val="1"/>
      <w:marLeft w:val="0"/>
      <w:marRight w:val="0"/>
      <w:marTop w:val="0"/>
      <w:marBottom w:val="0"/>
      <w:divBdr>
        <w:top w:val="none" w:sz="0" w:space="0" w:color="auto"/>
        <w:left w:val="none" w:sz="0" w:space="0" w:color="auto"/>
        <w:bottom w:val="none" w:sz="0" w:space="0" w:color="auto"/>
        <w:right w:val="none" w:sz="0" w:space="0" w:color="auto"/>
      </w:divBdr>
    </w:div>
    <w:div w:id="1164591113">
      <w:bodyDiv w:val="1"/>
      <w:marLeft w:val="0"/>
      <w:marRight w:val="0"/>
      <w:marTop w:val="0"/>
      <w:marBottom w:val="0"/>
      <w:divBdr>
        <w:top w:val="none" w:sz="0" w:space="0" w:color="auto"/>
        <w:left w:val="none" w:sz="0" w:space="0" w:color="auto"/>
        <w:bottom w:val="none" w:sz="0" w:space="0" w:color="auto"/>
        <w:right w:val="none" w:sz="0" w:space="0" w:color="auto"/>
      </w:divBdr>
    </w:div>
    <w:div w:id="1177382692">
      <w:bodyDiv w:val="1"/>
      <w:marLeft w:val="0"/>
      <w:marRight w:val="0"/>
      <w:marTop w:val="0"/>
      <w:marBottom w:val="0"/>
      <w:divBdr>
        <w:top w:val="none" w:sz="0" w:space="0" w:color="auto"/>
        <w:left w:val="none" w:sz="0" w:space="0" w:color="auto"/>
        <w:bottom w:val="none" w:sz="0" w:space="0" w:color="auto"/>
        <w:right w:val="none" w:sz="0" w:space="0" w:color="auto"/>
      </w:divBdr>
    </w:div>
    <w:div w:id="1186823796">
      <w:bodyDiv w:val="1"/>
      <w:marLeft w:val="0"/>
      <w:marRight w:val="0"/>
      <w:marTop w:val="0"/>
      <w:marBottom w:val="0"/>
      <w:divBdr>
        <w:top w:val="none" w:sz="0" w:space="0" w:color="auto"/>
        <w:left w:val="none" w:sz="0" w:space="0" w:color="auto"/>
        <w:bottom w:val="none" w:sz="0" w:space="0" w:color="auto"/>
        <w:right w:val="none" w:sz="0" w:space="0" w:color="auto"/>
      </w:divBdr>
    </w:div>
    <w:div w:id="1186943718">
      <w:bodyDiv w:val="1"/>
      <w:marLeft w:val="0"/>
      <w:marRight w:val="0"/>
      <w:marTop w:val="0"/>
      <w:marBottom w:val="0"/>
      <w:divBdr>
        <w:top w:val="none" w:sz="0" w:space="0" w:color="auto"/>
        <w:left w:val="none" w:sz="0" w:space="0" w:color="auto"/>
        <w:bottom w:val="none" w:sz="0" w:space="0" w:color="auto"/>
        <w:right w:val="none" w:sz="0" w:space="0" w:color="auto"/>
      </w:divBdr>
    </w:div>
    <w:div w:id="1191652409">
      <w:bodyDiv w:val="1"/>
      <w:marLeft w:val="0"/>
      <w:marRight w:val="0"/>
      <w:marTop w:val="0"/>
      <w:marBottom w:val="0"/>
      <w:divBdr>
        <w:top w:val="none" w:sz="0" w:space="0" w:color="auto"/>
        <w:left w:val="none" w:sz="0" w:space="0" w:color="auto"/>
        <w:bottom w:val="none" w:sz="0" w:space="0" w:color="auto"/>
        <w:right w:val="none" w:sz="0" w:space="0" w:color="auto"/>
      </w:divBdr>
    </w:div>
    <w:div w:id="1201936255">
      <w:bodyDiv w:val="1"/>
      <w:marLeft w:val="0"/>
      <w:marRight w:val="0"/>
      <w:marTop w:val="0"/>
      <w:marBottom w:val="0"/>
      <w:divBdr>
        <w:top w:val="none" w:sz="0" w:space="0" w:color="auto"/>
        <w:left w:val="none" w:sz="0" w:space="0" w:color="auto"/>
        <w:bottom w:val="none" w:sz="0" w:space="0" w:color="auto"/>
        <w:right w:val="none" w:sz="0" w:space="0" w:color="auto"/>
      </w:divBdr>
    </w:div>
    <w:div w:id="1210922435">
      <w:bodyDiv w:val="1"/>
      <w:marLeft w:val="0"/>
      <w:marRight w:val="0"/>
      <w:marTop w:val="0"/>
      <w:marBottom w:val="0"/>
      <w:divBdr>
        <w:top w:val="none" w:sz="0" w:space="0" w:color="auto"/>
        <w:left w:val="none" w:sz="0" w:space="0" w:color="auto"/>
        <w:bottom w:val="none" w:sz="0" w:space="0" w:color="auto"/>
        <w:right w:val="none" w:sz="0" w:space="0" w:color="auto"/>
      </w:divBdr>
    </w:div>
    <w:div w:id="1215048604">
      <w:bodyDiv w:val="1"/>
      <w:marLeft w:val="0"/>
      <w:marRight w:val="0"/>
      <w:marTop w:val="0"/>
      <w:marBottom w:val="0"/>
      <w:divBdr>
        <w:top w:val="none" w:sz="0" w:space="0" w:color="auto"/>
        <w:left w:val="none" w:sz="0" w:space="0" w:color="auto"/>
        <w:bottom w:val="none" w:sz="0" w:space="0" w:color="auto"/>
        <w:right w:val="none" w:sz="0" w:space="0" w:color="auto"/>
      </w:divBdr>
    </w:div>
    <w:div w:id="1217549988">
      <w:bodyDiv w:val="1"/>
      <w:marLeft w:val="0"/>
      <w:marRight w:val="0"/>
      <w:marTop w:val="0"/>
      <w:marBottom w:val="0"/>
      <w:divBdr>
        <w:top w:val="none" w:sz="0" w:space="0" w:color="auto"/>
        <w:left w:val="none" w:sz="0" w:space="0" w:color="auto"/>
        <w:bottom w:val="none" w:sz="0" w:space="0" w:color="auto"/>
        <w:right w:val="none" w:sz="0" w:space="0" w:color="auto"/>
      </w:divBdr>
      <w:divsChild>
        <w:div w:id="1129662127">
          <w:marLeft w:val="480"/>
          <w:marRight w:val="0"/>
          <w:marTop w:val="0"/>
          <w:marBottom w:val="0"/>
          <w:divBdr>
            <w:top w:val="none" w:sz="0" w:space="0" w:color="auto"/>
            <w:left w:val="none" w:sz="0" w:space="0" w:color="auto"/>
            <w:bottom w:val="none" w:sz="0" w:space="0" w:color="auto"/>
            <w:right w:val="none" w:sz="0" w:space="0" w:color="auto"/>
          </w:divBdr>
          <w:divsChild>
            <w:div w:id="1223368903">
              <w:marLeft w:val="0"/>
              <w:marRight w:val="0"/>
              <w:marTop w:val="0"/>
              <w:marBottom w:val="240"/>
              <w:divBdr>
                <w:top w:val="none" w:sz="0" w:space="0" w:color="auto"/>
                <w:left w:val="none" w:sz="0" w:space="0" w:color="auto"/>
                <w:bottom w:val="none" w:sz="0" w:space="0" w:color="auto"/>
                <w:right w:val="none" w:sz="0" w:space="0" w:color="auto"/>
              </w:divBdr>
            </w:div>
            <w:div w:id="2123530146">
              <w:marLeft w:val="0"/>
              <w:marRight w:val="0"/>
              <w:marTop w:val="0"/>
              <w:marBottom w:val="240"/>
              <w:divBdr>
                <w:top w:val="none" w:sz="0" w:space="0" w:color="auto"/>
                <w:left w:val="none" w:sz="0" w:space="0" w:color="auto"/>
                <w:bottom w:val="none" w:sz="0" w:space="0" w:color="auto"/>
                <w:right w:val="none" w:sz="0" w:space="0" w:color="auto"/>
              </w:divBdr>
            </w:div>
            <w:div w:id="441530591">
              <w:marLeft w:val="0"/>
              <w:marRight w:val="0"/>
              <w:marTop w:val="0"/>
              <w:marBottom w:val="240"/>
              <w:divBdr>
                <w:top w:val="none" w:sz="0" w:space="0" w:color="auto"/>
                <w:left w:val="none" w:sz="0" w:space="0" w:color="auto"/>
                <w:bottom w:val="none" w:sz="0" w:space="0" w:color="auto"/>
                <w:right w:val="none" w:sz="0" w:space="0" w:color="auto"/>
              </w:divBdr>
            </w:div>
            <w:div w:id="1468157391">
              <w:marLeft w:val="0"/>
              <w:marRight w:val="0"/>
              <w:marTop w:val="0"/>
              <w:marBottom w:val="240"/>
              <w:divBdr>
                <w:top w:val="none" w:sz="0" w:space="0" w:color="auto"/>
                <w:left w:val="none" w:sz="0" w:space="0" w:color="auto"/>
                <w:bottom w:val="none" w:sz="0" w:space="0" w:color="auto"/>
                <w:right w:val="none" w:sz="0" w:space="0" w:color="auto"/>
              </w:divBdr>
            </w:div>
            <w:div w:id="535848008">
              <w:marLeft w:val="0"/>
              <w:marRight w:val="0"/>
              <w:marTop w:val="0"/>
              <w:marBottom w:val="240"/>
              <w:divBdr>
                <w:top w:val="none" w:sz="0" w:space="0" w:color="auto"/>
                <w:left w:val="none" w:sz="0" w:space="0" w:color="auto"/>
                <w:bottom w:val="none" w:sz="0" w:space="0" w:color="auto"/>
                <w:right w:val="none" w:sz="0" w:space="0" w:color="auto"/>
              </w:divBdr>
            </w:div>
            <w:div w:id="1221743219">
              <w:marLeft w:val="0"/>
              <w:marRight w:val="0"/>
              <w:marTop w:val="0"/>
              <w:marBottom w:val="240"/>
              <w:divBdr>
                <w:top w:val="none" w:sz="0" w:space="0" w:color="auto"/>
                <w:left w:val="none" w:sz="0" w:space="0" w:color="auto"/>
                <w:bottom w:val="none" w:sz="0" w:space="0" w:color="auto"/>
                <w:right w:val="none" w:sz="0" w:space="0" w:color="auto"/>
              </w:divBdr>
            </w:div>
            <w:div w:id="483089230">
              <w:marLeft w:val="0"/>
              <w:marRight w:val="0"/>
              <w:marTop w:val="0"/>
              <w:marBottom w:val="240"/>
              <w:divBdr>
                <w:top w:val="none" w:sz="0" w:space="0" w:color="auto"/>
                <w:left w:val="none" w:sz="0" w:space="0" w:color="auto"/>
                <w:bottom w:val="none" w:sz="0" w:space="0" w:color="auto"/>
                <w:right w:val="none" w:sz="0" w:space="0" w:color="auto"/>
              </w:divBdr>
            </w:div>
            <w:div w:id="1914461334">
              <w:marLeft w:val="0"/>
              <w:marRight w:val="0"/>
              <w:marTop w:val="0"/>
              <w:marBottom w:val="240"/>
              <w:divBdr>
                <w:top w:val="none" w:sz="0" w:space="0" w:color="auto"/>
                <w:left w:val="none" w:sz="0" w:space="0" w:color="auto"/>
                <w:bottom w:val="none" w:sz="0" w:space="0" w:color="auto"/>
                <w:right w:val="none" w:sz="0" w:space="0" w:color="auto"/>
              </w:divBdr>
            </w:div>
            <w:div w:id="403836271">
              <w:marLeft w:val="0"/>
              <w:marRight w:val="0"/>
              <w:marTop w:val="0"/>
              <w:marBottom w:val="240"/>
              <w:divBdr>
                <w:top w:val="none" w:sz="0" w:space="0" w:color="auto"/>
                <w:left w:val="none" w:sz="0" w:space="0" w:color="auto"/>
                <w:bottom w:val="none" w:sz="0" w:space="0" w:color="auto"/>
                <w:right w:val="none" w:sz="0" w:space="0" w:color="auto"/>
              </w:divBdr>
            </w:div>
            <w:div w:id="1789661740">
              <w:marLeft w:val="0"/>
              <w:marRight w:val="0"/>
              <w:marTop w:val="0"/>
              <w:marBottom w:val="240"/>
              <w:divBdr>
                <w:top w:val="none" w:sz="0" w:space="0" w:color="auto"/>
                <w:left w:val="none" w:sz="0" w:space="0" w:color="auto"/>
                <w:bottom w:val="none" w:sz="0" w:space="0" w:color="auto"/>
                <w:right w:val="none" w:sz="0" w:space="0" w:color="auto"/>
              </w:divBdr>
            </w:div>
            <w:div w:id="764351219">
              <w:marLeft w:val="0"/>
              <w:marRight w:val="0"/>
              <w:marTop w:val="0"/>
              <w:marBottom w:val="240"/>
              <w:divBdr>
                <w:top w:val="none" w:sz="0" w:space="0" w:color="auto"/>
                <w:left w:val="none" w:sz="0" w:space="0" w:color="auto"/>
                <w:bottom w:val="none" w:sz="0" w:space="0" w:color="auto"/>
                <w:right w:val="none" w:sz="0" w:space="0" w:color="auto"/>
              </w:divBdr>
            </w:div>
            <w:div w:id="2117629863">
              <w:marLeft w:val="0"/>
              <w:marRight w:val="0"/>
              <w:marTop w:val="0"/>
              <w:marBottom w:val="240"/>
              <w:divBdr>
                <w:top w:val="none" w:sz="0" w:space="0" w:color="auto"/>
                <w:left w:val="none" w:sz="0" w:space="0" w:color="auto"/>
                <w:bottom w:val="none" w:sz="0" w:space="0" w:color="auto"/>
                <w:right w:val="none" w:sz="0" w:space="0" w:color="auto"/>
              </w:divBdr>
            </w:div>
            <w:div w:id="2013146497">
              <w:marLeft w:val="0"/>
              <w:marRight w:val="0"/>
              <w:marTop w:val="0"/>
              <w:marBottom w:val="240"/>
              <w:divBdr>
                <w:top w:val="none" w:sz="0" w:space="0" w:color="auto"/>
                <w:left w:val="none" w:sz="0" w:space="0" w:color="auto"/>
                <w:bottom w:val="none" w:sz="0" w:space="0" w:color="auto"/>
                <w:right w:val="none" w:sz="0" w:space="0" w:color="auto"/>
              </w:divBdr>
            </w:div>
            <w:div w:id="908882533">
              <w:marLeft w:val="0"/>
              <w:marRight w:val="0"/>
              <w:marTop w:val="0"/>
              <w:marBottom w:val="240"/>
              <w:divBdr>
                <w:top w:val="none" w:sz="0" w:space="0" w:color="auto"/>
                <w:left w:val="none" w:sz="0" w:space="0" w:color="auto"/>
                <w:bottom w:val="none" w:sz="0" w:space="0" w:color="auto"/>
                <w:right w:val="none" w:sz="0" w:space="0" w:color="auto"/>
              </w:divBdr>
            </w:div>
            <w:div w:id="948312641">
              <w:marLeft w:val="0"/>
              <w:marRight w:val="0"/>
              <w:marTop w:val="0"/>
              <w:marBottom w:val="240"/>
              <w:divBdr>
                <w:top w:val="none" w:sz="0" w:space="0" w:color="auto"/>
                <w:left w:val="none" w:sz="0" w:space="0" w:color="auto"/>
                <w:bottom w:val="none" w:sz="0" w:space="0" w:color="auto"/>
                <w:right w:val="none" w:sz="0" w:space="0" w:color="auto"/>
              </w:divBdr>
            </w:div>
            <w:div w:id="1029912662">
              <w:marLeft w:val="0"/>
              <w:marRight w:val="0"/>
              <w:marTop w:val="0"/>
              <w:marBottom w:val="240"/>
              <w:divBdr>
                <w:top w:val="none" w:sz="0" w:space="0" w:color="auto"/>
                <w:left w:val="none" w:sz="0" w:space="0" w:color="auto"/>
                <w:bottom w:val="none" w:sz="0" w:space="0" w:color="auto"/>
                <w:right w:val="none" w:sz="0" w:space="0" w:color="auto"/>
              </w:divBdr>
            </w:div>
            <w:div w:id="1307316481">
              <w:marLeft w:val="0"/>
              <w:marRight w:val="0"/>
              <w:marTop w:val="0"/>
              <w:marBottom w:val="240"/>
              <w:divBdr>
                <w:top w:val="none" w:sz="0" w:space="0" w:color="auto"/>
                <w:left w:val="none" w:sz="0" w:space="0" w:color="auto"/>
                <w:bottom w:val="none" w:sz="0" w:space="0" w:color="auto"/>
                <w:right w:val="none" w:sz="0" w:space="0" w:color="auto"/>
              </w:divBdr>
            </w:div>
            <w:div w:id="1621565813">
              <w:marLeft w:val="0"/>
              <w:marRight w:val="0"/>
              <w:marTop w:val="0"/>
              <w:marBottom w:val="240"/>
              <w:divBdr>
                <w:top w:val="none" w:sz="0" w:space="0" w:color="auto"/>
                <w:left w:val="none" w:sz="0" w:space="0" w:color="auto"/>
                <w:bottom w:val="none" w:sz="0" w:space="0" w:color="auto"/>
                <w:right w:val="none" w:sz="0" w:space="0" w:color="auto"/>
              </w:divBdr>
            </w:div>
            <w:div w:id="701518175">
              <w:marLeft w:val="0"/>
              <w:marRight w:val="0"/>
              <w:marTop w:val="0"/>
              <w:marBottom w:val="240"/>
              <w:divBdr>
                <w:top w:val="none" w:sz="0" w:space="0" w:color="auto"/>
                <w:left w:val="none" w:sz="0" w:space="0" w:color="auto"/>
                <w:bottom w:val="none" w:sz="0" w:space="0" w:color="auto"/>
                <w:right w:val="none" w:sz="0" w:space="0" w:color="auto"/>
              </w:divBdr>
            </w:div>
            <w:div w:id="1427077833">
              <w:marLeft w:val="0"/>
              <w:marRight w:val="0"/>
              <w:marTop w:val="0"/>
              <w:marBottom w:val="240"/>
              <w:divBdr>
                <w:top w:val="none" w:sz="0" w:space="0" w:color="auto"/>
                <w:left w:val="none" w:sz="0" w:space="0" w:color="auto"/>
                <w:bottom w:val="none" w:sz="0" w:space="0" w:color="auto"/>
                <w:right w:val="none" w:sz="0" w:space="0" w:color="auto"/>
              </w:divBdr>
            </w:div>
            <w:div w:id="693112388">
              <w:marLeft w:val="0"/>
              <w:marRight w:val="0"/>
              <w:marTop w:val="0"/>
              <w:marBottom w:val="240"/>
              <w:divBdr>
                <w:top w:val="none" w:sz="0" w:space="0" w:color="auto"/>
                <w:left w:val="none" w:sz="0" w:space="0" w:color="auto"/>
                <w:bottom w:val="none" w:sz="0" w:space="0" w:color="auto"/>
                <w:right w:val="none" w:sz="0" w:space="0" w:color="auto"/>
              </w:divBdr>
            </w:div>
            <w:div w:id="1424953410">
              <w:marLeft w:val="0"/>
              <w:marRight w:val="0"/>
              <w:marTop w:val="0"/>
              <w:marBottom w:val="240"/>
              <w:divBdr>
                <w:top w:val="none" w:sz="0" w:space="0" w:color="auto"/>
                <w:left w:val="none" w:sz="0" w:space="0" w:color="auto"/>
                <w:bottom w:val="none" w:sz="0" w:space="0" w:color="auto"/>
                <w:right w:val="none" w:sz="0" w:space="0" w:color="auto"/>
              </w:divBdr>
            </w:div>
            <w:div w:id="1324240873">
              <w:marLeft w:val="0"/>
              <w:marRight w:val="0"/>
              <w:marTop w:val="0"/>
              <w:marBottom w:val="240"/>
              <w:divBdr>
                <w:top w:val="none" w:sz="0" w:space="0" w:color="auto"/>
                <w:left w:val="none" w:sz="0" w:space="0" w:color="auto"/>
                <w:bottom w:val="none" w:sz="0" w:space="0" w:color="auto"/>
                <w:right w:val="none" w:sz="0" w:space="0" w:color="auto"/>
              </w:divBdr>
            </w:div>
            <w:div w:id="1131552654">
              <w:marLeft w:val="0"/>
              <w:marRight w:val="0"/>
              <w:marTop w:val="0"/>
              <w:marBottom w:val="240"/>
              <w:divBdr>
                <w:top w:val="none" w:sz="0" w:space="0" w:color="auto"/>
                <w:left w:val="none" w:sz="0" w:space="0" w:color="auto"/>
                <w:bottom w:val="none" w:sz="0" w:space="0" w:color="auto"/>
                <w:right w:val="none" w:sz="0" w:space="0" w:color="auto"/>
              </w:divBdr>
            </w:div>
            <w:div w:id="769739179">
              <w:marLeft w:val="0"/>
              <w:marRight w:val="0"/>
              <w:marTop w:val="0"/>
              <w:marBottom w:val="240"/>
              <w:divBdr>
                <w:top w:val="none" w:sz="0" w:space="0" w:color="auto"/>
                <w:left w:val="none" w:sz="0" w:space="0" w:color="auto"/>
                <w:bottom w:val="none" w:sz="0" w:space="0" w:color="auto"/>
                <w:right w:val="none" w:sz="0" w:space="0" w:color="auto"/>
              </w:divBdr>
            </w:div>
            <w:div w:id="943658753">
              <w:marLeft w:val="0"/>
              <w:marRight w:val="0"/>
              <w:marTop w:val="0"/>
              <w:marBottom w:val="240"/>
              <w:divBdr>
                <w:top w:val="none" w:sz="0" w:space="0" w:color="auto"/>
                <w:left w:val="none" w:sz="0" w:space="0" w:color="auto"/>
                <w:bottom w:val="none" w:sz="0" w:space="0" w:color="auto"/>
                <w:right w:val="none" w:sz="0" w:space="0" w:color="auto"/>
              </w:divBdr>
            </w:div>
            <w:div w:id="145172733">
              <w:marLeft w:val="0"/>
              <w:marRight w:val="0"/>
              <w:marTop w:val="0"/>
              <w:marBottom w:val="240"/>
              <w:divBdr>
                <w:top w:val="none" w:sz="0" w:space="0" w:color="auto"/>
                <w:left w:val="none" w:sz="0" w:space="0" w:color="auto"/>
                <w:bottom w:val="none" w:sz="0" w:space="0" w:color="auto"/>
                <w:right w:val="none" w:sz="0" w:space="0" w:color="auto"/>
              </w:divBdr>
            </w:div>
            <w:div w:id="147551941">
              <w:marLeft w:val="0"/>
              <w:marRight w:val="0"/>
              <w:marTop w:val="0"/>
              <w:marBottom w:val="240"/>
              <w:divBdr>
                <w:top w:val="none" w:sz="0" w:space="0" w:color="auto"/>
                <w:left w:val="none" w:sz="0" w:space="0" w:color="auto"/>
                <w:bottom w:val="none" w:sz="0" w:space="0" w:color="auto"/>
                <w:right w:val="none" w:sz="0" w:space="0" w:color="auto"/>
              </w:divBdr>
            </w:div>
            <w:div w:id="308945668">
              <w:marLeft w:val="0"/>
              <w:marRight w:val="0"/>
              <w:marTop w:val="0"/>
              <w:marBottom w:val="240"/>
              <w:divBdr>
                <w:top w:val="none" w:sz="0" w:space="0" w:color="auto"/>
                <w:left w:val="none" w:sz="0" w:space="0" w:color="auto"/>
                <w:bottom w:val="none" w:sz="0" w:space="0" w:color="auto"/>
                <w:right w:val="none" w:sz="0" w:space="0" w:color="auto"/>
              </w:divBdr>
            </w:div>
            <w:div w:id="1422796949">
              <w:marLeft w:val="0"/>
              <w:marRight w:val="0"/>
              <w:marTop w:val="0"/>
              <w:marBottom w:val="240"/>
              <w:divBdr>
                <w:top w:val="none" w:sz="0" w:space="0" w:color="auto"/>
                <w:left w:val="none" w:sz="0" w:space="0" w:color="auto"/>
                <w:bottom w:val="none" w:sz="0" w:space="0" w:color="auto"/>
                <w:right w:val="none" w:sz="0" w:space="0" w:color="auto"/>
              </w:divBdr>
            </w:div>
            <w:div w:id="1726447415">
              <w:marLeft w:val="0"/>
              <w:marRight w:val="0"/>
              <w:marTop w:val="0"/>
              <w:marBottom w:val="240"/>
              <w:divBdr>
                <w:top w:val="none" w:sz="0" w:space="0" w:color="auto"/>
                <w:left w:val="none" w:sz="0" w:space="0" w:color="auto"/>
                <w:bottom w:val="none" w:sz="0" w:space="0" w:color="auto"/>
                <w:right w:val="none" w:sz="0" w:space="0" w:color="auto"/>
              </w:divBdr>
            </w:div>
            <w:div w:id="49116121">
              <w:marLeft w:val="0"/>
              <w:marRight w:val="0"/>
              <w:marTop w:val="0"/>
              <w:marBottom w:val="240"/>
              <w:divBdr>
                <w:top w:val="none" w:sz="0" w:space="0" w:color="auto"/>
                <w:left w:val="none" w:sz="0" w:space="0" w:color="auto"/>
                <w:bottom w:val="none" w:sz="0" w:space="0" w:color="auto"/>
                <w:right w:val="none" w:sz="0" w:space="0" w:color="auto"/>
              </w:divBdr>
            </w:div>
            <w:div w:id="401424">
              <w:marLeft w:val="0"/>
              <w:marRight w:val="0"/>
              <w:marTop w:val="0"/>
              <w:marBottom w:val="240"/>
              <w:divBdr>
                <w:top w:val="none" w:sz="0" w:space="0" w:color="auto"/>
                <w:left w:val="none" w:sz="0" w:space="0" w:color="auto"/>
                <w:bottom w:val="none" w:sz="0" w:space="0" w:color="auto"/>
                <w:right w:val="none" w:sz="0" w:space="0" w:color="auto"/>
              </w:divBdr>
            </w:div>
            <w:div w:id="509494529">
              <w:marLeft w:val="0"/>
              <w:marRight w:val="0"/>
              <w:marTop w:val="0"/>
              <w:marBottom w:val="240"/>
              <w:divBdr>
                <w:top w:val="none" w:sz="0" w:space="0" w:color="auto"/>
                <w:left w:val="none" w:sz="0" w:space="0" w:color="auto"/>
                <w:bottom w:val="none" w:sz="0" w:space="0" w:color="auto"/>
                <w:right w:val="none" w:sz="0" w:space="0" w:color="auto"/>
              </w:divBdr>
            </w:div>
            <w:div w:id="1312716349">
              <w:marLeft w:val="0"/>
              <w:marRight w:val="0"/>
              <w:marTop w:val="0"/>
              <w:marBottom w:val="240"/>
              <w:divBdr>
                <w:top w:val="none" w:sz="0" w:space="0" w:color="auto"/>
                <w:left w:val="none" w:sz="0" w:space="0" w:color="auto"/>
                <w:bottom w:val="none" w:sz="0" w:space="0" w:color="auto"/>
                <w:right w:val="none" w:sz="0" w:space="0" w:color="auto"/>
              </w:divBdr>
            </w:div>
            <w:div w:id="947930007">
              <w:marLeft w:val="0"/>
              <w:marRight w:val="0"/>
              <w:marTop w:val="0"/>
              <w:marBottom w:val="240"/>
              <w:divBdr>
                <w:top w:val="none" w:sz="0" w:space="0" w:color="auto"/>
                <w:left w:val="none" w:sz="0" w:space="0" w:color="auto"/>
                <w:bottom w:val="none" w:sz="0" w:space="0" w:color="auto"/>
                <w:right w:val="none" w:sz="0" w:space="0" w:color="auto"/>
              </w:divBdr>
            </w:div>
            <w:div w:id="576981025">
              <w:marLeft w:val="0"/>
              <w:marRight w:val="0"/>
              <w:marTop w:val="0"/>
              <w:marBottom w:val="240"/>
              <w:divBdr>
                <w:top w:val="none" w:sz="0" w:space="0" w:color="auto"/>
                <w:left w:val="none" w:sz="0" w:space="0" w:color="auto"/>
                <w:bottom w:val="none" w:sz="0" w:space="0" w:color="auto"/>
                <w:right w:val="none" w:sz="0" w:space="0" w:color="auto"/>
              </w:divBdr>
            </w:div>
            <w:div w:id="1557429304">
              <w:marLeft w:val="0"/>
              <w:marRight w:val="0"/>
              <w:marTop w:val="0"/>
              <w:marBottom w:val="240"/>
              <w:divBdr>
                <w:top w:val="none" w:sz="0" w:space="0" w:color="auto"/>
                <w:left w:val="none" w:sz="0" w:space="0" w:color="auto"/>
                <w:bottom w:val="none" w:sz="0" w:space="0" w:color="auto"/>
                <w:right w:val="none" w:sz="0" w:space="0" w:color="auto"/>
              </w:divBdr>
            </w:div>
            <w:div w:id="538902627">
              <w:marLeft w:val="0"/>
              <w:marRight w:val="0"/>
              <w:marTop w:val="0"/>
              <w:marBottom w:val="240"/>
              <w:divBdr>
                <w:top w:val="none" w:sz="0" w:space="0" w:color="auto"/>
                <w:left w:val="none" w:sz="0" w:space="0" w:color="auto"/>
                <w:bottom w:val="none" w:sz="0" w:space="0" w:color="auto"/>
                <w:right w:val="none" w:sz="0" w:space="0" w:color="auto"/>
              </w:divBdr>
            </w:div>
            <w:div w:id="1358234847">
              <w:marLeft w:val="0"/>
              <w:marRight w:val="0"/>
              <w:marTop w:val="0"/>
              <w:marBottom w:val="240"/>
              <w:divBdr>
                <w:top w:val="none" w:sz="0" w:space="0" w:color="auto"/>
                <w:left w:val="none" w:sz="0" w:space="0" w:color="auto"/>
                <w:bottom w:val="none" w:sz="0" w:space="0" w:color="auto"/>
                <w:right w:val="none" w:sz="0" w:space="0" w:color="auto"/>
              </w:divBdr>
            </w:div>
            <w:div w:id="1993101067">
              <w:marLeft w:val="0"/>
              <w:marRight w:val="0"/>
              <w:marTop w:val="0"/>
              <w:marBottom w:val="240"/>
              <w:divBdr>
                <w:top w:val="none" w:sz="0" w:space="0" w:color="auto"/>
                <w:left w:val="none" w:sz="0" w:space="0" w:color="auto"/>
                <w:bottom w:val="none" w:sz="0" w:space="0" w:color="auto"/>
                <w:right w:val="none" w:sz="0" w:space="0" w:color="auto"/>
              </w:divBdr>
            </w:div>
            <w:div w:id="1860579045">
              <w:marLeft w:val="0"/>
              <w:marRight w:val="0"/>
              <w:marTop w:val="0"/>
              <w:marBottom w:val="240"/>
              <w:divBdr>
                <w:top w:val="none" w:sz="0" w:space="0" w:color="auto"/>
                <w:left w:val="none" w:sz="0" w:space="0" w:color="auto"/>
                <w:bottom w:val="none" w:sz="0" w:space="0" w:color="auto"/>
                <w:right w:val="none" w:sz="0" w:space="0" w:color="auto"/>
              </w:divBdr>
            </w:div>
            <w:div w:id="414935716">
              <w:marLeft w:val="0"/>
              <w:marRight w:val="0"/>
              <w:marTop w:val="0"/>
              <w:marBottom w:val="240"/>
              <w:divBdr>
                <w:top w:val="none" w:sz="0" w:space="0" w:color="auto"/>
                <w:left w:val="none" w:sz="0" w:space="0" w:color="auto"/>
                <w:bottom w:val="none" w:sz="0" w:space="0" w:color="auto"/>
                <w:right w:val="none" w:sz="0" w:space="0" w:color="auto"/>
              </w:divBdr>
            </w:div>
            <w:div w:id="891159227">
              <w:marLeft w:val="0"/>
              <w:marRight w:val="0"/>
              <w:marTop w:val="0"/>
              <w:marBottom w:val="240"/>
              <w:divBdr>
                <w:top w:val="none" w:sz="0" w:space="0" w:color="auto"/>
                <w:left w:val="none" w:sz="0" w:space="0" w:color="auto"/>
                <w:bottom w:val="none" w:sz="0" w:space="0" w:color="auto"/>
                <w:right w:val="none" w:sz="0" w:space="0" w:color="auto"/>
              </w:divBdr>
            </w:div>
            <w:div w:id="1464927311">
              <w:marLeft w:val="0"/>
              <w:marRight w:val="0"/>
              <w:marTop w:val="0"/>
              <w:marBottom w:val="240"/>
              <w:divBdr>
                <w:top w:val="none" w:sz="0" w:space="0" w:color="auto"/>
                <w:left w:val="none" w:sz="0" w:space="0" w:color="auto"/>
                <w:bottom w:val="none" w:sz="0" w:space="0" w:color="auto"/>
                <w:right w:val="none" w:sz="0" w:space="0" w:color="auto"/>
              </w:divBdr>
            </w:div>
            <w:div w:id="1318026990">
              <w:marLeft w:val="0"/>
              <w:marRight w:val="0"/>
              <w:marTop w:val="0"/>
              <w:marBottom w:val="240"/>
              <w:divBdr>
                <w:top w:val="none" w:sz="0" w:space="0" w:color="auto"/>
                <w:left w:val="none" w:sz="0" w:space="0" w:color="auto"/>
                <w:bottom w:val="none" w:sz="0" w:space="0" w:color="auto"/>
                <w:right w:val="none" w:sz="0" w:space="0" w:color="auto"/>
              </w:divBdr>
            </w:div>
            <w:div w:id="698623417">
              <w:marLeft w:val="0"/>
              <w:marRight w:val="0"/>
              <w:marTop w:val="0"/>
              <w:marBottom w:val="240"/>
              <w:divBdr>
                <w:top w:val="none" w:sz="0" w:space="0" w:color="auto"/>
                <w:left w:val="none" w:sz="0" w:space="0" w:color="auto"/>
                <w:bottom w:val="none" w:sz="0" w:space="0" w:color="auto"/>
                <w:right w:val="none" w:sz="0" w:space="0" w:color="auto"/>
              </w:divBdr>
            </w:div>
            <w:div w:id="725956197">
              <w:marLeft w:val="0"/>
              <w:marRight w:val="0"/>
              <w:marTop w:val="0"/>
              <w:marBottom w:val="240"/>
              <w:divBdr>
                <w:top w:val="none" w:sz="0" w:space="0" w:color="auto"/>
                <w:left w:val="none" w:sz="0" w:space="0" w:color="auto"/>
                <w:bottom w:val="none" w:sz="0" w:space="0" w:color="auto"/>
                <w:right w:val="none" w:sz="0" w:space="0" w:color="auto"/>
              </w:divBdr>
            </w:div>
            <w:div w:id="1286617150">
              <w:marLeft w:val="0"/>
              <w:marRight w:val="0"/>
              <w:marTop w:val="0"/>
              <w:marBottom w:val="240"/>
              <w:divBdr>
                <w:top w:val="none" w:sz="0" w:space="0" w:color="auto"/>
                <w:left w:val="none" w:sz="0" w:space="0" w:color="auto"/>
                <w:bottom w:val="none" w:sz="0" w:space="0" w:color="auto"/>
                <w:right w:val="none" w:sz="0" w:space="0" w:color="auto"/>
              </w:divBdr>
            </w:div>
            <w:div w:id="696927697">
              <w:marLeft w:val="0"/>
              <w:marRight w:val="0"/>
              <w:marTop w:val="0"/>
              <w:marBottom w:val="240"/>
              <w:divBdr>
                <w:top w:val="none" w:sz="0" w:space="0" w:color="auto"/>
                <w:left w:val="none" w:sz="0" w:space="0" w:color="auto"/>
                <w:bottom w:val="none" w:sz="0" w:space="0" w:color="auto"/>
                <w:right w:val="none" w:sz="0" w:space="0" w:color="auto"/>
              </w:divBdr>
            </w:div>
            <w:div w:id="162018806">
              <w:marLeft w:val="0"/>
              <w:marRight w:val="0"/>
              <w:marTop w:val="0"/>
              <w:marBottom w:val="240"/>
              <w:divBdr>
                <w:top w:val="none" w:sz="0" w:space="0" w:color="auto"/>
                <w:left w:val="none" w:sz="0" w:space="0" w:color="auto"/>
                <w:bottom w:val="none" w:sz="0" w:space="0" w:color="auto"/>
                <w:right w:val="none" w:sz="0" w:space="0" w:color="auto"/>
              </w:divBdr>
            </w:div>
            <w:div w:id="913515281">
              <w:marLeft w:val="0"/>
              <w:marRight w:val="0"/>
              <w:marTop w:val="0"/>
              <w:marBottom w:val="240"/>
              <w:divBdr>
                <w:top w:val="none" w:sz="0" w:space="0" w:color="auto"/>
                <w:left w:val="none" w:sz="0" w:space="0" w:color="auto"/>
                <w:bottom w:val="none" w:sz="0" w:space="0" w:color="auto"/>
                <w:right w:val="none" w:sz="0" w:space="0" w:color="auto"/>
              </w:divBdr>
            </w:div>
            <w:div w:id="1525511130">
              <w:marLeft w:val="0"/>
              <w:marRight w:val="0"/>
              <w:marTop w:val="0"/>
              <w:marBottom w:val="240"/>
              <w:divBdr>
                <w:top w:val="none" w:sz="0" w:space="0" w:color="auto"/>
                <w:left w:val="none" w:sz="0" w:space="0" w:color="auto"/>
                <w:bottom w:val="none" w:sz="0" w:space="0" w:color="auto"/>
                <w:right w:val="none" w:sz="0" w:space="0" w:color="auto"/>
              </w:divBdr>
            </w:div>
            <w:div w:id="796605589">
              <w:marLeft w:val="0"/>
              <w:marRight w:val="0"/>
              <w:marTop w:val="0"/>
              <w:marBottom w:val="240"/>
              <w:divBdr>
                <w:top w:val="none" w:sz="0" w:space="0" w:color="auto"/>
                <w:left w:val="none" w:sz="0" w:space="0" w:color="auto"/>
                <w:bottom w:val="none" w:sz="0" w:space="0" w:color="auto"/>
                <w:right w:val="none" w:sz="0" w:space="0" w:color="auto"/>
              </w:divBdr>
            </w:div>
            <w:div w:id="788627304">
              <w:marLeft w:val="0"/>
              <w:marRight w:val="0"/>
              <w:marTop w:val="0"/>
              <w:marBottom w:val="240"/>
              <w:divBdr>
                <w:top w:val="none" w:sz="0" w:space="0" w:color="auto"/>
                <w:left w:val="none" w:sz="0" w:space="0" w:color="auto"/>
                <w:bottom w:val="none" w:sz="0" w:space="0" w:color="auto"/>
                <w:right w:val="none" w:sz="0" w:space="0" w:color="auto"/>
              </w:divBdr>
            </w:div>
            <w:div w:id="1555048105">
              <w:marLeft w:val="0"/>
              <w:marRight w:val="0"/>
              <w:marTop w:val="0"/>
              <w:marBottom w:val="240"/>
              <w:divBdr>
                <w:top w:val="none" w:sz="0" w:space="0" w:color="auto"/>
                <w:left w:val="none" w:sz="0" w:space="0" w:color="auto"/>
                <w:bottom w:val="none" w:sz="0" w:space="0" w:color="auto"/>
                <w:right w:val="none" w:sz="0" w:space="0" w:color="auto"/>
              </w:divBdr>
            </w:div>
            <w:div w:id="1201894717">
              <w:marLeft w:val="0"/>
              <w:marRight w:val="0"/>
              <w:marTop w:val="0"/>
              <w:marBottom w:val="240"/>
              <w:divBdr>
                <w:top w:val="none" w:sz="0" w:space="0" w:color="auto"/>
                <w:left w:val="none" w:sz="0" w:space="0" w:color="auto"/>
                <w:bottom w:val="none" w:sz="0" w:space="0" w:color="auto"/>
                <w:right w:val="none" w:sz="0" w:space="0" w:color="auto"/>
              </w:divBdr>
            </w:div>
            <w:div w:id="1227036553">
              <w:marLeft w:val="0"/>
              <w:marRight w:val="0"/>
              <w:marTop w:val="0"/>
              <w:marBottom w:val="240"/>
              <w:divBdr>
                <w:top w:val="none" w:sz="0" w:space="0" w:color="auto"/>
                <w:left w:val="none" w:sz="0" w:space="0" w:color="auto"/>
                <w:bottom w:val="none" w:sz="0" w:space="0" w:color="auto"/>
                <w:right w:val="none" w:sz="0" w:space="0" w:color="auto"/>
              </w:divBdr>
            </w:div>
            <w:div w:id="2133015701">
              <w:marLeft w:val="0"/>
              <w:marRight w:val="0"/>
              <w:marTop w:val="0"/>
              <w:marBottom w:val="240"/>
              <w:divBdr>
                <w:top w:val="none" w:sz="0" w:space="0" w:color="auto"/>
                <w:left w:val="none" w:sz="0" w:space="0" w:color="auto"/>
                <w:bottom w:val="none" w:sz="0" w:space="0" w:color="auto"/>
                <w:right w:val="none" w:sz="0" w:space="0" w:color="auto"/>
              </w:divBdr>
            </w:div>
            <w:div w:id="803817977">
              <w:marLeft w:val="0"/>
              <w:marRight w:val="0"/>
              <w:marTop w:val="0"/>
              <w:marBottom w:val="240"/>
              <w:divBdr>
                <w:top w:val="none" w:sz="0" w:space="0" w:color="auto"/>
                <w:left w:val="none" w:sz="0" w:space="0" w:color="auto"/>
                <w:bottom w:val="none" w:sz="0" w:space="0" w:color="auto"/>
                <w:right w:val="none" w:sz="0" w:space="0" w:color="auto"/>
              </w:divBdr>
            </w:div>
            <w:div w:id="1979072232">
              <w:marLeft w:val="0"/>
              <w:marRight w:val="0"/>
              <w:marTop w:val="0"/>
              <w:marBottom w:val="240"/>
              <w:divBdr>
                <w:top w:val="none" w:sz="0" w:space="0" w:color="auto"/>
                <w:left w:val="none" w:sz="0" w:space="0" w:color="auto"/>
                <w:bottom w:val="none" w:sz="0" w:space="0" w:color="auto"/>
                <w:right w:val="none" w:sz="0" w:space="0" w:color="auto"/>
              </w:divBdr>
            </w:div>
            <w:div w:id="1698120721">
              <w:marLeft w:val="0"/>
              <w:marRight w:val="0"/>
              <w:marTop w:val="0"/>
              <w:marBottom w:val="240"/>
              <w:divBdr>
                <w:top w:val="none" w:sz="0" w:space="0" w:color="auto"/>
                <w:left w:val="none" w:sz="0" w:space="0" w:color="auto"/>
                <w:bottom w:val="none" w:sz="0" w:space="0" w:color="auto"/>
                <w:right w:val="none" w:sz="0" w:space="0" w:color="auto"/>
              </w:divBdr>
            </w:div>
            <w:div w:id="1711759693">
              <w:marLeft w:val="0"/>
              <w:marRight w:val="0"/>
              <w:marTop w:val="0"/>
              <w:marBottom w:val="240"/>
              <w:divBdr>
                <w:top w:val="none" w:sz="0" w:space="0" w:color="auto"/>
                <w:left w:val="none" w:sz="0" w:space="0" w:color="auto"/>
                <w:bottom w:val="none" w:sz="0" w:space="0" w:color="auto"/>
                <w:right w:val="none" w:sz="0" w:space="0" w:color="auto"/>
              </w:divBdr>
            </w:div>
            <w:div w:id="1978757237">
              <w:marLeft w:val="0"/>
              <w:marRight w:val="0"/>
              <w:marTop w:val="0"/>
              <w:marBottom w:val="240"/>
              <w:divBdr>
                <w:top w:val="none" w:sz="0" w:space="0" w:color="auto"/>
                <w:left w:val="none" w:sz="0" w:space="0" w:color="auto"/>
                <w:bottom w:val="none" w:sz="0" w:space="0" w:color="auto"/>
                <w:right w:val="none" w:sz="0" w:space="0" w:color="auto"/>
              </w:divBdr>
            </w:div>
            <w:div w:id="159143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734464">
      <w:bodyDiv w:val="1"/>
      <w:marLeft w:val="0"/>
      <w:marRight w:val="0"/>
      <w:marTop w:val="0"/>
      <w:marBottom w:val="0"/>
      <w:divBdr>
        <w:top w:val="none" w:sz="0" w:space="0" w:color="auto"/>
        <w:left w:val="none" w:sz="0" w:space="0" w:color="auto"/>
        <w:bottom w:val="none" w:sz="0" w:space="0" w:color="auto"/>
        <w:right w:val="none" w:sz="0" w:space="0" w:color="auto"/>
      </w:divBdr>
    </w:div>
    <w:div w:id="1250774563">
      <w:bodyDiv w:val="1"/>
      <w:marLeft w:val="0"/>
      <w:marRight w:val="0"/>
      <w:marTop w:val="0"/>
      <w:marBottom w:val="0"/>
      <w:divBdr>
        <w:top w:val="none" w:sz="0" w:space="0" w:color="auto"/>
        <w:left w:val="none" w:sz="0" w:space="0" w:color="auto"/>
        <w:bottom w:val="none" w:sz="0" w:space="0" w:color="auto"/>
        <w:right w:val="none" w:sz="0" w:space="0" w:color="auto"/>
      </w:divBdr>
      <w:divsChild>
        <w:div w:id="92095798">
          <w:marLeft w:val="480"/>
          <w:marRight w:val="0"/>
          <w:marTop w:val="0"/>
          <w:marBottom w:val="0"/>
          <w:divBdr>
            <w:top w:val="none" w:sz="0" w:space="0" w:color="auto"/>
            <w:left w:val="none" w:sz="0" w:space="0" w:color="auto"/>
            <w:bottom w:val="none" w:sz="0" w:space="0" w:color="auto"/>
            <w:right w:val="none" w:sz="0" w:space="0" w:color="auto"/>
          </w:divBdr>
          <w:divsChild>
            <w:div w:id="1403678107">
              <w:marLeft w:val="0"/>
              <w:marRight w:val="0"/>
              <w:marTop w:val="0"/>
              <w:marBottom w:val="240"/>
              <w:divBdr>
                <w:top w:val="none" w:sz="0" w:space="0" w:color="auto"/>
                <w:left w:val="none" w:sz="0" w:space="0" w:color="auto"/>
                <w:bottom w:val="none" w:sz="0" w:space="0" w:color="auto"/>
                <w:right w:val="none" w:sz="0" w:space="0" w:color="auto"/>
              </w:divBdr>
            </w:div>
            <w:div w:id="1798059082">
              <w:marLeft w:val="0"/>
              <w:marRight w:val="0"/>
              <w:marTop w:val="0"/>
              <w:marBottom w:val="240"/>
              <w:divBdr>
                <w:top w:val="none" w:sz="0" w:space="0" w:color="auto"/>
                <w:left w:val="none" w:sz="0" w:space="0" w:color="auto"/>
                <w:bottom w:val="none" w:sz="0" w:space="0" w:color="auto"/>
                <w:right w:val="none" w:sz="0" w:space="0" w:color="auto"/>
              </w:divBdr>
            </w:div>
            <w:div w:id="196936329">
              <w:marLeft w:val="0"/>
              <w:marRight w:val="0"/>
              <w:marTop w:val="0"/>
              <w:marBottom w:val="240"/>
              <w:divBdr>
                <w:top w:val="none" w:sz="0" w:space="0" w:color="auto"/>
                <w:left w:val="none" w:sz="0" w:space="0" w:color="auto"/>
                <w:bottom w:val="none" w:sz="0" w:space="0" w:color="auto"/>
                <w:right w:val="none" w:sz="0" w:space="0" w:color="auto"/>
              </w:divBdr>
            </w:div>
            <w:div w:id="1382704901">
              <w:marLeft w:val="0"/>
              <w:marRight w:val="0"/>
              <w:marTop w:val="0"/>
              <w:marBottom w:val="240"/>
              <w:divBdr>
                <w:top w:val="none" w:sz="0" w:space="0" w:color="auto"/>
                <w:left w:val="none" w:sz="0" w:space="0" w:color="auto"/>
                <w:bottom w:val="none" w:sz="0" w:space="0" w:color="auto"/>
                <w:right w:val="none" w:sz="0" w:space="0" w:color="auto"/>
              </w:divBdr>
            </w:div>
            <w:div w:id="1332366498">
              <w:marLeft w:val="0"/>
              <w:marRight w:val="0"/>
              <w:marTop w:val="0"/>
              <w:marBottom w:val="240"/>
              <w:divBdr>
                <w:top w:val="none" w:sz="0" w:space="0" w:color="auto"/>
                <w:left w:val="none" w:sz="0" w:space="0" w:color="auto"/>
                <w:bottom w:val="none" w:sz="0" w:space="0" w:color="auto"/>
                <w:right w:val="none" w:sz="0" w:space="0" w:color="auto"/>
              </w:divBdr>
            </w:div>
            <w:div w:id="217208349">
              <w:marLeft w:val="0"/>
              <w:marRight w:val="0"/>
              <w:marTop w:val="0"/>
              <w:marBottom w:val="240"/>
              <w:divBdr>
                <w:top w:val="none" w:sz="0" w:space="0" w:color="auto"/>
                <w:left w:val="none" w:sz="0" w:space="0" w:color="auto"/>
                <w:bottom w:val="none" w:sz="0" w:space="0" w:color="auto"/>
                <w:right w:val="none" w:sz="0" w:space="0" w:color="auto"/>
              </w:divBdr>
            </w:div>
            <w:div w:id="644313923">
              <w:marLeft w:val="0"/>
              <w:marRight w:val="0"/>
              <w:marTop w:val="0"/>
              <w:marBottom w:val="240"/>
              <w:divBdr>
                <w:top w:val="none" w:sz="0" w:space="0" w:color="auto"/>
                <w:left w:val="none" w:sz="0" w:space="0" w:color="auto"/>
                <w:bottom w:val="none" w:sz="0" w:space="0" w:color="auto"/>
                <w:right w:val="none" w:sz="0" w:space="0" w:color="auto"/>
              </w:divBdr>
            </w:div>
            <w:div w:id="190341565">
              <w:marLeft w:val="0"/>
              <w:marRight w:val="0"/>
              <w:marTop w:val="0"/>
              <w:marBottom w:val="240"/>
              <w:divBdr>
                <w:top w:val="none" w:sz="0" w:space="0" w:color="auto"/>
                <w:left w:val="none" w:sz="0" w:space="0" w:color="auto"/>
                <w:bottom w:val="none" w:sz="0" w:space="0" w:color="auto"/>
                <w:right w:val="none" w:sz="0" w:space="0" w:color="auto"/>
              </w:divBdr>
            </w:div>
            <w:div w:id="963928179">
              <w:marLeft w:val="0"/>
              <w:marRight w:val="0"/>
              <w:marTop w:val="0"/>
              <w:marBottom w:val="240"/>
              <w:divBdr>
                <w:top w:val="none" w:sz="0" w:space="0" w:color="auto"/>
                <w:left w:val="none" w:sz="0" w:space="0" w:color="auto"/>
                <w:bottom w:val="none" w:sz="0" w:space="0" w:color="auto"/>
                <w:right w:val="none" w:sz="0" w:space="0" w:color="auto"/>
              </w:divBdr>
            </w:div>
            <w:div w:id="1402679152">
              <w:marLeft w:val="0"/>
              <w:marRight w:val="0"/>
              <w:marTop w:val="0"/>
              <w:marBottom w:val="240"/>
              <w:divBdr>
                <w:top w:val="none" w:sz="0" w:space="0" w:color="auto"/>
                <w:left w:val="none" w:sz="0" w:space="0" w:color="auto"/>
                <w:bottom w:val="none" w:sz="0" w:space="0" w:color="auto"/>
                <w:right w:val="none" w:sz="0" w:space="0" w:color="auto"/>
              </w:divBdr>
            </w:div>
            <w:div w:id="1851984009">
              <w:marLeft w:val="0"/>
              <w:marRight w:val="0"/>
              <w:marTop w:val="0"/>
              <w:marBottom w:val="240"/>
              <w:divBdr>
                <w:top w:val="none" w:sz="0" w:space="0" w:color="auto"/>
                <w:left w:val="none" w:sz="0" w:space="0" w:color="auto"/>
                <w:bottom w:val="none" w:sz="0" w:space="0" w:color="auto"/>
                <w:right w:val="none" w:sz="0" w:space="0" w:color="auto"/>
              </w:divBdr>
            </w:div>
            <w:div w:id="122162491">
              <w:marLeft w:val="0"/>
              <w:marRight w:val="0"/>
              <w:marTop w:val="0"/>
              <w:marBottom w:val="240"/>
              <w:divBdr>
                <w:top w:val="none" w:sz="0" w:space="0" w:color="auto"/>
                <w:left w:val="none" w:sz="0" w:space="0" w:color="auto"/>
                <w:bottom w:val="none" w:sz="0" w:space="0" w:color="auto"/>
                <w:right w:val="none" w:sz="0" w:space="0" w:color="auto"/>
              </w:divBdr>
            </w:div>
            <w:div w:id="284774412">
              <w:marLeft w:val="0"/>
              <w:marRight w:val="0"/>
              <w:marTop w:val="0"/>
              <w:marBottom w:val="240"/>
              <w:divBdr>
                <w:top w:val="none" w:sz="0" w:space="0" w:color="auto"/>
                <w:left w:val="none" w:sz="0" w:space="0" w:color="auto"/>
                <w:bottom w:val="none" w:sz="0" w:space="0" w:color="auto"/>
                <w:right w:val="none" w:sz="0" w:space="0" w:color="auto"/>
              </w:divBdr>
            </w:div>
            <w:div w:id="2015499552">
              <w:marLeft w:val="0"/>
              <w:marRight w:val="0"/>
              <w:marTop w:val="0"/>
              <w:marBottom w:val="240"/>
              <w:divBdr>
                <w:top w:val="none" w:sz="0" w:space="0" w:color="auto"/>
                <w:left w:val="none" w:sz="0" w:space="0" w:color="auto"/>
                <w:bottom w:val="none" w:sz="0" w:space="0" w:color="auto"/>
                <w:right w:val="none" w:sz="0" w:space="0" w:color="auto"/>
              </w:divBdr>
            </w:div>
            <w:div w:id="2106881093">
              <w:marLeft w:val="0"/>
              <w:marRight w:val="0"/>
              <w:marTop w:val="0"/>
              <w:marBottom w:val="240"/>
              <w:divBdr>
                <w:top w:val="none" w:sz="0" w:space="0" w:color="auto"/>
                <w:left w:val="none" w:sz="0" w:space="0" w:color="auto"/>
                <w:bottom w:val="none" w:sz="0" w:space="0" w:color="auto"/>
                <w:right w:val="none" w:sz="0" w:space="0" w:color="auto"/>
              </w:divBdr>
            </w:div>
            <w:div w:id="899363022">
              <w:marLeft w:val="0"/>
              <w:marRight w:val="0"/>
              <w:marTop w:val="0"/>
              <w:marBottom w:val="240"/>
              <w:divBdr>
                <w:top w:val="none" w:sz="0" w:space="0" w:color="auto"/>
                <w:left w:val="none" w:sz="0" w:space="0" w:color="auto"/>
                <w:bottom w:val="none" w:sz="0" w:space="0" w:color="auto"/>
                <w:right w:val="none" w:sz="0" w:space="0" w:color="auto"/>
              </w:divBdr>
            </w:div>
            <w:div w:id="1889107595">
              <w:marLeft w:val="0"/>
              <w:marRight w:val="0"/>
              <w:marTop w:val="0"/>
              <w:marBottom w:val="240"/>
              <w:divBdr>
                <w:top w:val="none" w:sz="0" w:space="0" w:color="auto"/>
                <w:left w:val="none" w:sz="0" w:space="0" w:color="auto"/>
                <w:bottom w:val="none" w:sz="0" w:space="0" w:color="auto"/>
                <w:right w:val="none" w:sz="0" w:space="0" w:color="auto"/>
              </w:divBdr>
            </w:div>
            <w:div w:id="1112361774">
              <w:marLeft w:val="0"/>
              <w:marRight w:val="0"/>
              <w:marTop w:val="0"/>
              <w:marBottom w:val="240"/>
              <w:divBdr>
                <w:top w:val="none" w:sz="0" w:space="0" w:color="auto"/>
                <w:left w:val="none" w:sz="0" w:space="0" w:color="auto"/>
                <w:bottom w:val="none" w:sz="0" w:space="0" w:color="auto"/>
                <w:right w:val="none" w:sz="0" w:space="0" w:color="auto"/>
              </w:divBdr>
            </w:div>
            <w:div w:id="1054086255">
              <w:marLeft w:val="0"/>
              <w:marRight w:val="0"/>
              <w:marTop w:val="0"/>
              <w:marBottom w:val="240"/>
              <w:divBdr>
                <w:top w:val="none" w:sz="0" w:space="0" w:color="auto"/>
                <w:left w:val="none" w:sz="0" w:space="0" w:color="auto"/>
                <w:bottom w:val="none" w:sz="0" w:space="0" w:color="auto"/>
                <w:right w:val="none" w:sz="0" w:space="0" w:color="auto"/>
              </w:divBdr>
            </w:div>
            <w:div w:id="61568622">
              <w:marLeft w:val="0"/>
              <w:marRight w:val="0"/>
              <w:marTop w:val="0"/>
              <w:marBottom w:val="240"/>
              <w:divBdr>
                <w:top w:val="none" w:sz="0" w:space="0" w:color="auto"/>
                <w:left w:val="none" w:sz="0" w:space="0" w:color="auto"/>
                <w:bottom w:val="none" w:sz="0" w:space="0" w:color="auto"/>
                <w:right w:val="none" w:sz="0" w:space="0" w:color="auto"/>
              </w:divBdr>
            </w:div>
            <w:div w:id="103505226">
              <w:marLeft w:val="0"/>
              <w:marRight w:val="0"/>
              <w:marTop w:val="0"/>
              <w:marBottom w:val="240"/>
              <w:divBdr>
                <w:top w:val="none" w:sz="0" w:space="0" w:color="auto"/>
                <w:left w:val="none" w:sz="0" w:space="0" w:color="auto"/>
                <w:bottom w:val="none" w:sz="0" w:space="0" w:color="auto"/>
                <w:right w:val="none" w:sz="0" w:space="0" w:color="auto"/>
              </w:divBdr>
            </w:div>
            <w:div w:id="1971668787">
              <w:marLeft w:val="0"/>
              <w:marRight w:val="0"/>
              <w:marTop w:val="0"/>
              <w:marBottom w:val="240"/>
              <w:divBdr>
                <w:top w:val="none" w:sz="0" w:space="0" w:color="auto"/>
                <w:left w:val="none" w:sz="0" w:space="0" w:color="auto"/>
                <w:bottom w:val="none" w:sz="0" w:space="0" w:color="auto"/>
                <w:right w:val="none" w:sz="0" w:space="0" w:color="auto"/>
              </w:divBdr>
            </w:div>
            <w:div w:id="325787559">
              <w:marLeft w:val="0"/>
              <w:marRight w:val="0"/>
              <w:marTop w:val="0"/>
              <w:marBottom w:val="240"/>
              <w:divBdr>
                <w:top w:val="none" w:sz="0" w:space="0" w:color="auto"/>
                <w:left w:val="none" w:sz="0" w:space="0" w:color="auto"/>
                <w:bottom w:val="none" w:sz="0" w:space="0" w:color="auto"/>
                <w:right w:val="none" w:sz="0" w:space="0" w:color="auto"/>
              </w:divBdr>
            </w:div>
            <w:div w:id="1369794540">
              <w:marLeft w:val="0"/>
              <w:marRight w:val="0"/>
              <w:marTop w:val="0"/>
              <w:marBottom w:val="240"/>
              <w:divBdr>
                <w:top w:val="none" w:sz="0" w:space="0" w:color="auto"/>
                <w:left w:val="none" w:sz="0" w:space="0" w:color="auto"/>
                <w:bottom w:val="none" w:sz="0" w:space="0" w:color="auto"/>
                <w:right w:val="none" w:sz="0" w:space="0" w:color="auto"/>
              </w:divBdr>
            </w:div>
            <w:div w:id="1958176622">
              <w:marLeft w:val="0"/>
              <w:marRight w:val="0"/>
              <w:marTop w:val="0"/>
              <w:marBottom w:val="240"/>
              <w:divBdr>
                <w:top w:val="none" w:sz="0" w:space="0" w:color="auto"/>
                <w:left w:val="none" w:sz="0" w:space="0" w:color="auto"/>
                <w:bottom w:val="none" w:sz="0" w:space="0" w:color="auto"/>
                <w:right w:val="none" w:sz="0" w:space="0" w:color="auto"/>
              </w:divBdr>
            </w:div>
            <w:div w:id="486943548">
              <w:marLeft w:val="0"/>
              <w:marRight w:val="0"/>
              <w:marTop w:val="0"/>
              <w:marBottom w:val="240"/>
              <w:divBdr>
                <w:top w:val="none" w:sz="0" w:space="0" w:color="auto"/>
                <w:left w:val="none" w:sz="0" w:space="0" w:color="auto"/>
                <w:bottom w:val="none" w:sz="0" w:space="0" w:color="auto"/>
                <w:right w:val="none" w:sz="0" w:space="0" w:color="auto"/>
              </w:divBdr>
            </w:div>
            <w:div w:id="853568165">
              <w:marLeft w:val="0"/>
              <w:marRight w:val="0"/>
              <w:marTop w:val="0"/>
              <w:marBottom w:val="240"/>
              <w:divBdr>
                <w:top w:val="none" w:sz="0" w:space="0" w:color="auto"/>
                <w:left w:val="none" w:sz="0" w:space="0" w:color="auto"/>
                <w:bottom w:val="none" w:sz="0" w:space="0" w:color="auto"/>
                <w:right w:val="none" w:sz="0" w:space="0" w:color="auto"/>
              </w:divBdr>
            </w:div>
            <w:div w:id="1874684871">
              <w:marLeft w:val="0"/>
              <w:marRight w:val="0"/>
              <w:marTop w:val="0"/>
              <w:marBottom w:val="240"/>
              <w:divBdr>
                <w:top w:val="none" w:sz="0" w:space="0" w:color="auto"/>
                <w:left w:val="none" w:sz="0" w:space="0" w:color="auto"/>
                <w:bottom w:val="none" w:sz="0" w:space="0" w:color="auto"/>
                <w:right w:val="none" w:sz="0" w:space="0" w:color="auto"/>
              </w:divBdr>
            </w:div>
            <w:div w:id="1277559231">
              <w:marLeft w:val="0"/>
              <w:marRight w:val="0"/>
              <w:marTop w:val="0"/>
              <w:marBottom w:val="240"/>
              <w:divBdr>
                <w:top w:val="none" w:sz="0" w:space="0" w:color="auto"/>
                <w:left w:val="none" w:sz="0" w:space="0" w:color="auto"/>
                <w:bottom w:val="none" w:sz="0" w:space="0" w:color="auto"/>
                <w:right w:val="none" w:sz="0" w:space="0" w:color="auto"/>
              </w:divBdr>
            </w:div>
            <w:div w:id="260066550">
              <w:marLeft w:val="0"/>
              <w:marRight w:val="0"/>
              <w:marTop w:val="0"/>
              <w:marBottom w:val="240"/>
              <w:divBdr>
                <w:top w:val="none" w:sz="0" w:space="0" w:color="auto"/>
                <w:left w:val="none" w:sz="0" w:space="0" w:color="auto"/>
                <w:bottom w:val="none" w:sz="0" w:space="0" w:color="auto"/>
                <w:right w:val="none" w:sz="0" w:space="0" w:color="auto"/>
              </w:divBdr>
            </w:div>
            <w:div w:id="485437777">
              <w:marLeft w:val="0"/>
              <w:marRight w:val="0"/>
              <w:marTop w:val="0"/>
              <w:marBottom w:val="240"/>
              <w:divBdr>
                <w:top w:val="none" w:sz="0" w:space="0" w:color="auto"/>
                <w:left w:val="none" w:sz="0" w:space="0" w:color="auto"/>
                <w:bottom w:val="none" w:sz="0" w:space="0" w:color="auto"/>
                <w:right w:val="none" w:sz="0" w:space="0" w:color="auto"/>
              </w:divBdr>
            </w:div>
            <w:div w:id="384570897">
              <w:marLeft w:val="0"/>
              <w:marRight w:val="0"/>
              <w:marTop w:val="0"/>
              <w:marBottom w:val="240"/>
              <w:divBdr>
                <w:top w:val="none" w:sz="0" w:space="0" w:color="auto"/>
                <w:left w:val="none" w:sz="0" w:space="0" w:color="auto"/>
                <w:bottom w:val="none" w:sz="0" w:space="0" w:color="auto"/>
                <w:right w:val="none" w:sz="0" w:space="0" w:color="auto"/>
              </w:divBdr>
            </w:div>
            <w:div w:id="167141793">
              <w:marLeft w:val="0"/>
              <w:marRight w:val="0"/>
              <w:marTop w:val="0"/>
              <w:marBottom w:val="240"/>
              <w:divBdr>
                <w:top w:val="none" w:sz="0" w:space="0" w:color="auto"/>
                <w:left w:val="none" w:sz="0" w:space="0" w:color="auto"/>
                <w:bottom w:val="none" w:sz="0" w:space="0" w:color="auto"/>
                <w:right w:val="none" w:sz="0" w:space="0" w:color="auto"/>
              </w:divBdr>
            </w:div>
            <w:div w:id="152184433">
              <w:marLeft w:val="0"/>
              <w:marRight w:val="0"/>
              <w:marTop w:val="0"/>
              <w:marBottom w:val="240"/>
              <w:divBdr>
                <w:top w:val="none" w:sz="0" w:space="0" w:color="auto"/>
                <w:left w:val="none" w:sz="0" w:space="0" w:color="auto"/>
                <w:bottom w:val="none" w:sz="0" w:space="0" w:color="auto"/>
                <w:right w:val="none" w:sz="0" w:space="0" w:color="auto"/>
              </w:divBdr>
            </w:div>
            <w:div w:id="1515074135">
              <w:marLeft w:val="0"/>
              <w:marRight w:val="0"/>
              <w:marTop w:val="0"/>
              <w:marBottom w:val="240"/>
              <w:divBdr>
                <w:top w:val="none" w:sz="0" w:space="0" w:color="auto"/>
                <w:left w:val="none" w:sz="0" w:space="0" w:color="auto"/>
                <w:bottom w:val="none" w:sz="0" w:space="0" w:color="auto"/>
                <w:right w:val="none" w:sz="0" w:space="0" w:color="auto"/>
              </w:divBdr>
            </w:div>
            <w:div w:id="1492722687">
              <w:marLeft w:val="0"/>
              <w:marRight w:val="0"/>
              <w:marTop w:val="0"/>
              <w:marBottom w:val="240"/>
              <w:divBdr>
                <w:top w:val="none" w:sz="0" w:space="0" w:color="auto"/>
                <w:left w:val="none" w:sz="0" w:space="0" w:color="auto"/>
                <w:bottom w:val="none" w:sz="0" w:space="0" w:color="auto"/>
                <w:right w:val="none" w:sz="0" w:space="0" w:color="auto"/>
              </w:divBdr>
            </w:div>
            <w:div w:id="204081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09188">
      <w:bodyDiv w:val="1"/>
      <w:marLeft w:val="0"/>
      <w:marRight w:val="0"/>
      <w:marTop w:val="0"/>
      <w:marBottom w:val="0"/>
      <w:divBdr>
        <w:top w:val="none" w:sz="0" w:space="0" w:color="auto"/>
        <w:left w:val="none" w:sz="0" w:space="0" w:color="auto"/>
        <w:bottom w:val="none" w:sz="0" w:space="0" w:color="auto"/>
        <w:right w:val="none" w:sz="0" w:space="0" w:color="auto"/>
      </w:divBdr>
    </w:div>
    <w:div w:id="1263418577">
      <w:bodyDiv w:val="1"/>
      <w:marLeft w:val="0"/>
      <w:marRight w:val="0"/>
      <w:marTop w:val="0"/>
      <w:marBottom w:val="0"/>
      <w:divBdr>
        <w:top w:val="none" w:sz="0" w:space="0" w:color="auto"/>
        <w:left w:val="none" w:sz="0" w:space="0" w:color="auto"/>
        <w:bottom w:val="none" w:sz="0" w:space="0" w:color="auto"/>
        <w:right w:val="none" w:sz="0" w:space="0" w:color="auto"/>
      </w:divBdr>
    </w:div>
    <w:div w:id="1265845524">
      <w:bodyDiv w:val="1"/>
      <w:marLeft w:val="0"/>
      <w:marRight w:val="0"/>
      <w:marTop w:val="0"/>
      <w:marBottom w:val="0"/>
      <w:divBdr>
        <w:top w:val="none" w:sz="0" w:space="0" w:color="auto"/>
        <w:left w:val="none" w:sz="0" w:space="0" w:color="auto"/>
        <w:bottom w:val="none" w:sz="0" w:space="0" w:color="auto"/>
        <w:right w:val="none" w:sz="0" w:space="0" w:color="auto"/>
      </w:divBdr>
    </w:div>
    <w:div w:id="1270160224">
      <w:bodyDiv w:val="1"/>
      <w:marLeft w:val="0"/>
      <w:marRight w:val="0"/>
      <w:marTop w:val="0"/>
      <w:marBottom w:val="0"/>
      <w:divBdr>
        <w:top w:val="none" w:sz="0" w:space="0" w:color="auto"/>
        <w:left w:val="none" w:sz="0" w:space="0" w:color="auto"/>
        <w:bottom w:val="none" w:sz="0" w:space="0" w:color="auto"/>
        <w:right w:val="none" w:sz="0" w:space="0" w:color="auto"/>
      </w:divBdr>
    </w:div>
    <w:div w:id="1270888552">
      <w:bodyDiv w:val="1"/>
      <w:marLeft w:val="0"/>
      <w:marRight w:val="0"/>
      <w:marTop w:val="0"/>
      <w:marBottom w:val="0"/>
      <w:divBdr>
        <w:top w:val="none" w:sz="0" w:space="0" w:color="auto"/>
        <w:left w:val="none" w:sz="0" w:space="0" w:color="auto"/>
        <w:bottom w:val="none" w:sz="0" w:space="0" w:color="auto"/>
        <w:right w:val="none" w:sz="0" w:space="0" w:color="auto"/>
      </w:divBdr>
    </w:div>
    <w:div w:id="1276861870">
      <w:bodyDiv w:val="1"/>
      <w:marLeft w:val="0"/>
      <w:marRight w:val="0"/>
      <w:marTop w:val="0"/>
      <w:marBottom w:val="0"/>
      <w:divBdr>
        <w:top w:val="none" w:sz="0" w:space="0" w:color="auto"/>
        <w:left w:val="none" w:sz="0" w:space="0" w:color="auto"/>
        <w:bottom w:val="none" w:sz="0" w:space="0" w:color="auto"/>
        <w:right w:val="none" w:sz="0" w:space="0" w:color="auto"/>
      </w:divBdr>
      <w:divsChild>
        <w:div w:id="924262374">
          <w:marLeft w:val="480"/>
          <w:marRight w:val="0"/>
          <w:marTop w:val="0"/>
          <w:marBottom w:val="0"/>
          <w:divBdr>
            <w:top w:val="none" w:sz="0" w:space="0" w:color="auto"/>
            <w:left w:val="none" w:sz="0" w:space="0" w:color="auto"/>
            <w:bottom w:val="none" w:sz="0" w:space="0" w:color="auto"/>
            <w:right w:val="none" w:sz="0" w:space="0" w:color="auto"/>
          </w:divBdr>
          <w:divsChild>
            <w:div w:id="1821731365">
              <w:marLeft w:val="0"/>
              <w:marRight w:val="0"/>
              <w:marTop w:val="0"/>
              <w:marBottom w:val="240"/>
              <w:divBdr>
                <w:top w:val="none" w:sz="0" w:space="0" w:color="auto"/>
                <w:left w:val="none" w:sz="0" w:space="0" w:color="auto"/>
                <w:bottom w:val="none" w:sz="0" w:space="0" w:color="auto"/>
                <w:right w:val="none" w:sz="0" w:space="0" w:color="auto"/>
              </w:divBdr>
            </w:div>
            <w:div w:id="937105086">
              <w:marLeft w:val="0"/>
              <w:marRight w:val="0"/>
              <w:marTop w:val="0"/>
              <w:marBottom w:val="240"/>
              <w:divBdr>
                <w:top w:val="none" w:sz="0" w:space="0" w:color="auto"/>
                <w:left w:val="none" w:sz="0" w:space="0" w:color="auto"/>
                <w:bottom w:val="none" w:sz="0" w:space="0" w:color="auto"/>
                <w:right w:val="none" w:sz="0" w:space="0" w:color="auto"/>
              </w:divBdr>
            </w:div>
            <w:div w:id="79760765">
              <w:marLeft w:val="0"/>
              <w:marRight w:val="0"/>
              <w:marTop w:val="0"/>
              <w:marBottom w:val="240"/>
              <w:divBdr>
                <w:top w:val="none" w:sz="0" w:space="0" w:color="auto"/>
                <w:left w:val="none" w:sz="0" w:space="0" w:color="auto"/>
                <w:bottom w:val="none" w:sz="0" w:space="0" w:color="auto"/>
                <w:right w:val="none" w:sz="0" w:space="0" w:color="auto"/>
              </w:divBdr>
            </w:div>
            <w:div w:id="55053117">
              <w:marLeft w:val="0"/>
              <w:marRight w:val="0"/>
              <w:marTop w:val="0"/>
              <w:marBottom w:val="240"/>
              <w:divBdr>
                <w:top w:val="none" w:sz="0" w:space="0" w:color="auto"/>
                <w:left w:val="none" w:sz="0" w:space="0" w:color="auto"/>
                <w:bottom w:val="none" w:sz="0" w:space="0" w:color="auto"/>
                <w:right w:val="none" w:sz="0" w:space="0" w:color="auto"/>
              </w:divBdr>
            </w:div>
            <w:div w:id="779842098">
              <w:marLeft w:val="0"/>
              <w:marRight w:val="0"/>
              <w:marTop w:val="0"/>
              <w:marBottom w:val="240"/>
              <w:divBdr>
                <w:top w:val="none" w:sz="0" w:space="0" w:color="auto"/>
                <w:left w:val="none" w:sz="0" w:space="0" w:color="auto"/>
                <w:bottom w:val="none" w:sz="0" w:space="0" w:color="auto"/>
                <w:right w:val="none" w:sz="0" w:space="0" w:color="auto"/>
              </w:divBdr>
            </w:div>
            <w:div w:id="546602227">
              <w:marLeft w:val="0"/>
              <w:marRight w:val="0"/>
              <w:marTop w:val="0"/>
              <w:marBottom w:val="240"/>
              <w:divBdr>
                <w:top w:val="none" w:sz="0" w:space="0" w:color="auto"/>
                <w:left w:val="none" w:sz="0" w:space="0" w:color="auto"/>
                <w:bottom w:val="none" w:sz="0" w:space="0" w:color="auto"/>
                <w:right w:val="none" w:sz="0" w:space="0" w:color="auto"/>
              </w:divBdr>
            </w:div>
            <w:div w:id="910509727">
              <w:marLeft w:val="0"/>
              <w:marRight w:val="0"/>
              <w:marTop w:val="0"/>
              <w:marBottom w:val="240"/>
              <w:divBdr>
                <w:top w:val="none" w:sz="0" w:space="0" w:color="auto"/>
                <w:left w:val="none" w:sz="0" w:space="0" w:color="auto"/>
                <w:bottom w:val="none" w:sz="0" w:space="0" w:color="auto"/>
                <w:right w:val="none" w:sz="0" w:space="0" w:color="auto"/>
              </w:divBdr>
            </w:div>
            <w:div w:id="1748842636">
              <w:marLeft w:val="0"/>
              <w:marRight w:val="0"/>
              <w:marTop w:val="0"/>
              <w:marBottom w:val="240"/>
              <w:divBdr>
                <w:top w:val="none" w:sz="0" w:space="0" w:color="auto"/>
                <w:left w:val="none" w:sz="0" w:space="0" w:color="auto"/>
                <w:bottom w:val="none" w:sz="0" w:space="0" w:color="auto"/>
                <w:right w:val="none" w:sz="0" w:space="0" w:color="auto"/>
              </w:divBdr>
            </w:div>
            <w:div w:id="1510558267">
              <w:marLeft w:val="0"/>
              <w:marRight w:val="0"/>
              <w:marTop w:val="0"/>
              <w:marBottom w:val="240"/>
              <w:divBdr>
                <w:top w:val="none" w:sz="0" w:space="0" w:color="auto"/>
                <w:left w:val="none" w:sz="0" w:space="0" w:color="auto"/>
                <w:bottom w:val="none" w:sz="0" w:space="0" w:color="auto"/>
                <w:right w:val="none" w:sz="0" w:space="0" w:color="auto"/>
              </w:divBdr>
            </w:div>
            <w:div w:id="1569463665">
              <w:marLeft w:val="0"/>
              <w:marRight w:val="0"/>
              <w:marTop w:val="0"/>
              <w:marBottom w:val="240"/>
              <w:divBdr>
                <w:top w:val="none" w:sz="0" w:space="0" w:color="auto"/>
                <w:left w:val="none" w:sz="0" w:space="0" w:color="auto"/>
                <w:bottom w:val="none" w:sz="0" w:space="0" w:color="auto"/>
                <w:right w:val="none" w:sz="0" w:space="0" w:color="auto"/>
              </w:divBdr>
            </w:div>
            <w:div w:id="72942548">
              <w:marLeft w:val="0"/>
              <w:marRight w:val="0"/>
              <w:marTop w:val="0"/>
              <w:marBottom w:val="240"/>
              <w:divBdr>
                <w:top w:val="none" w:sz="0" w:space="0" w:color="auto"/>
                <w:left w:val="none" w:sz="0" w:space="0" w:color="auto"/>
                <w:bottom w:val="none" w:sz="0" w:space="0" w:color="auto"/>
                <w:right w:val="none" w:sz="0" w:space="0" w:color="auto"/>
              </w:divBdr>
            </w:div>
            <w:div w:id="1484278611">
              <w:marLeft w:val="0"/>
              <w:marRight w:val="0"/>
              <w:marTop w:val="0"/>
              <w:marBottom w:val="240"/>
              <w:divBdr>
                <w:top w:val="none" w:sz="0" w:space="0" w:color="auto"/>
                <w:left w:val="none" w:sz="0" w:space="0" w:color="auto"/>
                <w:bottom w:val="none" w:sz="0" w:space="0" w:color="auto"/>
                <w:right w:val="none" w:sz="0" w:space="0" w:color="auto"/>
              </w:divBdr>
            </w:div>
            <w:div w:id="1392313085">
              <w:marLeft w:val="0"/>
              <w:marRight w:val="0"/>
              <w:marTop w:val="0"/>
              <w:marBottom w:val="240"/>
              <w:divBdr>
                <w:top w:val="none" w:sz="0" w:space="0" w:color="auto"/>
                <w:left w:val="none" w:sz="0" w:space="0" w:color="auto"/>
                <w:bottom w:val="none" w:sz="0" w:space="0" w:color="auto"/>
                <w:right w:val="none" w:sz="0" w:space="0" w:color="auto"/>
              </w:divBdr>
            </w:div>
            <w:div w:id="981422896">
              <w:marLeft w:val="0"/>
              <w:marRight w:val="0"/>
              <w:marTop w:val="0"/>
              <w:marBottom w:val="240"/>
              <w:divBdr>
                <w:top w:val="none" w:sz="0" w:space="0" w:color="auto"/>
                <w:left w:val="none" w:sz="0" w:space="0" w:color="auto"/>
                <w:bottom w:val="none" w:sz="0" w:space="0" w:color="auto"/>
                <w:right w:val="none" w:sz="0" w:space="0" w:color="auto"/>
              </w:divBdr>
            </w:div>
            <w:div w:id="2066686055">
              <w:marLeft w:val="0"/>
              <w:marRight w:val="0"/>
              <w:marTop w:val="0"/>
              <w:marBottom w:val="240"/>
              <w:divBdr>
                <w:top w:val="none" w:sz="0" w:space="0" w:color="auto"/>
                <w:left w:val="none" w:sz="0" w:space="0" w:color="auto"/>
                <w:bottom w:val="none" w:sz="0" w:space="0" w:color="auto"/>
                <w:right w:val="none" w:sz="0" w:space="0" w:color="auto"/>
              </w:divBdr>
            </w:div>
            <w:div w:id="400566960">
              <w:marLeft w:val="0"/>
              <w:marRight w:val="0"/>
              <w:marTop w:val="0"/>
              <w:marBottom w:val="240"/>
              <w:divBdr>
                <w:top w:val="none" w:sz="0" w:space="0" w:color="auto"/>
                <w:left w:val="none" w:sz="0" w:space="0" w:color="auto"/>
                <w:bottom w:val="none" w:sz="0" w:space="0" w:color="auto"/>
                <w:right w:val="none" w:sz="0" w:space="0" w:color="auto"/>
              </w:divBdr>
            </w:div>
            <w:div w:id="871383775">
              <w:marLeft w:val="0"/>
              <w:marRight w:val="0"/>
              <w:marTop w:val="0"/>
              <w:marBottom w:val="240"/>
              <w:divBdr>
                <w:top w:val="none" w:sz="0" w:space="0" w:color="auto"/>
                <w:left w:val="none" w:sz="0" w:space="0" w:color="auto"/>
                <w:bottom w:val="none" w:sz="0" w:space="0" w:color="auto"/>
                <w:right w:val="none" w:sz="0" w:space="0" w:color="auto"/>
              </w:divBdr>
            </w:div>
            <w:div w:id="1904557085">
              <w:marLeft w:val="0"/>
              <w:marRight w:val="0"/>
              <w:marTop w:val="0"/>
              <w:marBottom w:val="240"/>
              <w:divBdr>
                <w:top w:val="none" w:sz="0" w:space="0" w:color="auto"/>
                <w:left w:val="none" w:sz="0" w:space="0" w:color="auto"/>
                <w:bottom w:val="none" w:sz="0" w:space="0" w:color="auto"/>
                <w:right w:val="none" w:sz="0" w:space="0" w:color="auto"/>
              </w:divBdr>
            </w:div>
            <w:div w:id="1256744256">
              <w:marLeft w:val="0"/>
              <w:marRight w:val="0"/>
              <w:marTop w:val="0"/>
              <w:marBottom w:val="240"/>
              <w:divBdr>
                <w:top w:val="none" w:sz="0" w:space="0" w:color="auto"/>
                <w:left w:val="none" w:sz="0" w:space="0" w:color="auto"/>
                <w:bottom w:val="none" w:sz="0" w:space="0" w:color="auto"/>
                <w:right w:val="none" w:sz="0" w:space="0" w:color="auto"/>
              </w:divBdr>
            </w:div>
            <w:div w:id="1706102747">
              <w:marLeft w:val="0"/>
              <w:marRight w:val="0"/>
              <w:marTop w:val="0"/>
              <w:marBottom w:val="240"/>
              <w:divBdr>
                <w:top w:val="none" w:sz="0" w:space="0" w:color="auto"/>
                <w:left w:val="none" w:sz="0" w:space="0" w:color="auto"/>
                <w:bottom w:val="none" w:sz="0" w:space="0" w:color="auto"/>
                <w:right w:val="none" w:sz="0" w:space="0" w:color="auto"/>
              </w:divBdr>
            </w:div>
            <w:div w:id="1144934439">
              <w:marLeft w:val="0"/>
              <w:marRight w:val="0"/>
              <w:marTop w:val="0"/>
              <w:marBottom w:val="240"/>
              <w:divBdr>
                <w:top w:val="none" w:sz="0" w:space="0" w:color="auto"/>
                <w:left w:val="none" w:sz="0" w:space="0" w:color="auto"/>
                <w:bottom w:val="none" w:sz="0" w:space="0" w:color="auto"/>
                <w:right w:val="none" w:sz="0" w:space="0" w:color="auto"/>
              </w:divBdr>
            </w:div>
            <w:div w:id="41516373">
              <w:marLeft w:val="0"/>
              <w:marRight w:val="0"/>
              <w:marTop w:val="0"/>
              <w:marBottom w:val="240"/>
              <w:divBdr>
                <w:top w:val="none" w:sz="0" w:space="0" w:color="auto"/>
                <w:left w:val="none" w:sz="0" w:space="0" w:color="auto"/>
                <w:bottom w:val="none" w:sz="0" w:space="0" w:color="auto"/>
                <w:right w:val="none" w:sz="0" w:space="0" w:color="auto"/>
              </w:divBdr>
            </w:div>
            <w:div w:id="1245988836">
              <w:marLeft w:val="0"/>
              <w:marRight w:val="0"/>
              <w:marTop w:val="0"/>
              <w:marBottom w:val="240"/>
              <w:divBdr>
                <w:top w:val="none" w:sz="0" w:space="0" w:color="auto"/>
                <w:left w:val="none" w:sz="0" w:space="0" w:color="auto"/>
                <w:bottom w:val="none" w:sz="0" w:space="0" w:color="auto"/>
                <w:right w:val="none" w:sz="0" w:space="0" w:color="auto"/>
              </w:divBdr>
            </w:div>
            <w:div w:id="539319106">
              <w:marLeft w:val="0"/>
              <w:marRight w:val="0"/>
              <w:marTop w:val="0"/>
              <w:marBottom w:val="240"/>
              <w:divBdr>
                <w:top w:val="none" w:sz="0" w:space="0" w:color="auto"/>
                <w:left w:val="none" w:sz="0" w:space="0" w:color="auto"/>
                <w:bottom w:val="none" w:sz="0" w:space="0" w:color="auto"/>
                <w:right w:val="none" w:sz="0" w:space="0" w:color="auto"/>
              </w:divBdr>
            </w:div>
            <w:div w:id="469517408">
              <w:marLeft w:val="0"/>
              <w:marRight w:val="0"/>
              <w:marTop w:val="0"/>
              <w:marBottom w:val="240"/>
              <w:divBdr>
                <w:top w:val="none" w:sz="0" w:space="0" w:color="auto"/>
                <w:left w:val="none" w:sz="0" w:space="0" w:color="auto"/>
                <w:bottom w:val="none" w:sz="0" w:space="0" w:color="auto"/>
                <w:right w:val="none" w:sz="0" w:space="0" w:color="auto"/>
              </w:divBdr>
            </w:div>
            <w:div w:id="986782009">
              <w:marLeft w:val="0"/>
              <w:marRight w:val="0"/>
              <w:marTop w:val="0"/>
              <w:marBottom w:val="240"/>
              <w:divBdr>
                <w:top w:val="none" w:sz="0" w:space="0" w:color="auto"/>
                <w:left w:val="none" w:sz="0" w:space="0" w:color="auto"/>
                <w:bottom w:val="none" w:sz="0" w:space="0" w:color="auto"/>
                <w:right w:val="none" w:sz="0" w:space="0" w:color="auto"/>
              </w:divBdr>
            </w:div>
            <w:div w:id="626475106">
              <w:marLeft w:val="0"/>
              <w:marRight w:val="0"/>
              <w:marTop w:val="0"/>
              <w:marBottom w:val="240"/>
              <w:divBdr>
                <w:top w:val="none" w:sz="0" w:space="0" w:color="auto"/>
                <w:left w:val="none" w:sz="0" w:space="0" w:color="auto"/>
                <w:bottom w:val="none" w:sz="0" w:space="0" w:color="auto"/>
                <w:right w:val="none" w:sz="0" w:space="0" w:color="auto"/>
              </w:divBdr>
            </w:div>
            <w:div w:id="466901838">
              <w:marLeft w:val="0"/>
              <w:marRight w:val="0"/>
              <w:marTop w:val="0"/>
              <w:marBottom w:val="240"/>
              <w:divBdr>
                <w:top w:val="none" w:sz="0" w:space="0" w:color="auto"/>
                <w:left w:val="none" w:sz="0" w:space="0" w:color="auto"/>
                <w:bottom w:val="none" w:sz="0" w:space="0" w:color="auto"/>
                <w:right w:val="none" w:sz="0" w:space="0" w:color="auto"/>
              </w:divBdr>
            </w:div>
            <w:div w:id="1706980171">
              <w:marLeft w:val="0"/>
              <w:marRight w:val="0"/>
              <w:marTop w:val="0"/>
              <w:marBottom w:val="240"/>
              <w:divBdr>
                <w:top w:val="none" w:sz="0" w:space="0" w:color="auto"/>
                <w:left w:val="none" w:sz="0" w:space="0" w:color="auto"/>
                <w:bottom w:val="none" w:sz="0" w:space="0" w:color="auto"/>
                <w:right w:val="none" w:sz="0" w:space="0" w:color="auto"/>
              </w:divBdr>
            </w:div>
            <w:div w:id="969094848">
              <w:marLeft w:val="0"/>
              <w:marRight w:val="0"/>
              <w:marTop w:val="0"/>
              <w:marBottom w:val="240"/>
              <w:divBdr>
                <w:top w:val="none" w:sz="0" w:space="0" w:color="auto"/>
                <w:left w:val="none" w:sz="0" w:space="0" w:color="auto"/>
                <w:bottom w:val="none" w:sz="0" w:space="0" w:color="auto"/>
                <w:right w:val="none" w:sz="0" w:space="0" w:color="auto"/>
              </w:divBdr>
            </w:div>
            <w:div w:id="177040790">
              <w:marLeft w:val="0"/>
              <w:marRight w:val="0"/>
              <w:marTop w:val="0"/>
              <w:marBottom w:val="240"/>
              <w:divBdr>
                <w:top w:val="none" w:sz="0" w:space="0" w:color="auto"/>
                <w:left w:val="none" w:sz="0" w:space="0" w:color="auto"/>
                <w:bottom w:val="none" w:sz="0" w:space="0" w:color="auto"/>
                <w:right w:val="none" w:sz="0" w:space="0" w:color="auto"/>
              </w:divBdr>
            </w:div>
            <w:div w:id="944994097">
              <w:marLeft w:val="0"/>
              <w:marRight w:val="0"/>
              <w:marTop w:val="0"/>
              <w:marBottom w:val="240"/>
              <w:divBdr>
                <w:top w:val="none" w:sz="0" w:space="0" w:color="auto"/>
                <w:left w:val="none" w:sz="0" w:space="0" w:color="auto"/>
                <w:bottom w:val="none" w:sz="0" w:space="0" w:color="auto"/>
                <w:right w:val="none" w:sz="0" w:space="0" w:color="auto"/>
              </w:divBdr>
            </w:div>
            <w:div w:id="1217283052">
              <w:marLeft w:val="0"/>
              <w:marRight w:val="0"/>
              <w:marTop w:val="0"/>
              <w:marBottom w:val="240"/>
              <w:divBdr>
                <w:top w:val="none" w:sz="0" w:space="0" w:color="auto"/>
                <w:left w:val="none" w:sz="0" w:space="0" w:color="auto"/>
                <w:bottom w:val="none" w:sz="0" w:space="0" w:color="auto"/>
                <w:right w:val="none" w:sz="0" w:space="0" w:color="auto"/>
              </w:divBdr>
            </w:div>
            <w:div w:id="1182278590">
              <w:marLeft w:val="0"/>
              <w:marRight w:val="0"/>
              <w:marTop w:val="0"/>
              <w:marBottom w:val="240"/>
              <w:divBdr>
                <w:top w:val="none" w:sz="0" w:space="0" w:color="auto"/>
                <w:left w:val="none" w:sz="0" w:space="0" w:color="auto"/>
                <w:bottom w:val="none" w:sz="0" w:space="0" w:color="auto"/>
                <w:right w:val="none" w:sz="0" w:space="0" w:color="auto"/>
              </w:divBdr>
            </w:div>
            <w:div w:id="1154957437">
              <w:marLeft w:val="0"/>
              <w:marRight w:val="0"/>
              <w:marTop w:val="0"/>
              <w:marBottom w:val="240"/>
              <w:divBdr>
                <w:top w:val="none" w:sz="0" w:space="0" w:color="auto"/>
                <w:left w:val="none" w:sz="0" w:space="0" w:color="auto"/>
                <w:bottom w:val="none" w:sz="0" w:space="0" w:color="auto"/>
                <w:right w:val="none" w:sz="0" w:space="0" w:color="auto"/>
              </w:divBdr>
            </w:div>
            <w:div w:id="117458847">
              <w:marLeft w:val="0"/>
              <w:marRight w:val="0"/>
              <w:marTop w:val="0"/>
              <w:marBottom w:val="240"/>
              <w:divBdr>
                <w:top w:val="none" w:sz="0" w:space="0" w:color="auto"/>
                <w:left w:val="none" w:sz="0" w:space="0" w:color="auto"/>
                <w:bottom w:val="none" w:sz="0" w:space="0" w:color="auto"/>
                <w:right w:val="none" w:sz="0" w:space="0" w:color="auto"/>
              </w:divBdr>
            </w:div>
            <w:div w:id="1109543809">
              <w:marLeft w:val="0"/>
              <w:marRight w:val="0"/>
              <w:marTop w:val="0"/>
              <w:marBottom w:val="240"/>
              <w:divBdr>
                <w:top w:val="none" w:sz="0" w:space="0" w:color="auto"/>
                <w:left w:val="none" w:sz="0" w:space="0" w:color="auto"/>
                <w:bottom w:val="none" w:sz="0" w:space="0" w:color="auto"/>
                <w:right w:val="none" w:sz="0" w:space="0" w:color="auto"/>
              </w:divBdr>
            </w:div>
            <w:div w:id="956644232">
              <w:marLeft w:val="0"/>
              <w:marRight w:val="0"/>
              <w:marTop w:val="0"/>
              <w:marBottom w:val="240"/>
              <w:divBdr>
                <w:top w:val="none" w:sz="0" w:space="0" w:color="auto"/>
                <w:left w:val="none" w:sz="0" w:space="0" w:color="auto"/>
                <w:bottom w:val="none" w:sz="0" w:space="0" w:color="auto"/>
                <w:right w:val="none" w:sz="0" w:space="0" w:color="auto"/>
              </w:divBdr>
            </w:div>
            <w:div w:id="1560480366">
              <w:marLeft w:val="0"/>
              <w:marRight w:val="0"/>
              <w:marTop w:val="0"/>
              <w:marBottom w:val="240"/>
              <w:divBdr>
                <w:top w:val="none" w:sz="0" w:space="0" w:color="auto"/>
                <w:left w:val="none" w:sz="0" w:space="0" w:color="auto"/>
                <w:bottom w:val="none" w:sz="0" w:space="0" w:color="auto"/>
                <w:right w:val="none" w:sz="0" w:space="0" w:color="auto"/>
              </w:divBdr>
            </w:div>
            <w:div w:id="899242705">
              <w:marLeft w:val="0"/>
              <w:marRight w:val="0"/>
              <w:marTop w:val="0"/>
              <w:marBottom w:val="240"/>
              <w:divBdr>
                <w:top w:val="none" w:sz="0" w:space="0" w:color="auto"/>
                <w:left w:val="none" w:sz="0" w:space="0" w:color="auto"/>
                <w:bottom w:val="none" w:sz="0" w:space="0" w:color="auto"/>
                <w:right w:val="none" w:sz="0" w:space="0" w:color="auto"/>
              </w:divBdr>
            </w:div>
            <w:div w:id="509834047">
              <w:marLeft w:val="0"/>
              <w:marRight w:val="0"/>
              <w:marTop w:val="0"/>
              <w:marBottom w:val="240"/>
              <w:divBdr>
                <w:top w:val="none" w:sz="0" w:space="0" w:color="auto"/>
                <w:left w:val="none" w:sz="0" w:space="0" w:color="auto"/>
                <w:bottom w:val="none" w:sz="0" w:space="0" w:color="auto"/>
                <w:right w:val="none" w:sz="0" w:space="0" w:color="auto"/>
              </w:divBdr>
            </w:div>
            <w:div w:id="1612198053">
              <w:marLeft w:val="0"/>
              <w:marRight w:val="0"/>
              <w:marTop w:val="0"/>
              <w:marBottom w:val="240"/>
              <w:divBdr>
                <w:top w:val="none" w:sz="0" w:space="0" w:color="auto"/>
                <w:left w:val="none" w:sz="0" w:space="0" w:color="auto"/>
                <w:bottom w:val="none" w:sz="0" w:space="0" w:color="auto"/>
                <w:right w:val="none" w:sz="0" w:space="0" w:color="auto"/>
              </w:divBdr>
            </w:div>
            <w:div w:id="1342203621">
              <w:marLeft w:val="0"/>
              <w:marRight w:val="0"/>
              <w:marTop w:val="0"/>
              <w:marBottom w:val="240"/>
              <w:divBdr>
                <w:top w:val="none" w:sz="0" w:space="0" w:color="auto"/>
                <w:left w:val="none" w:sz="0" w:space="0" w:color="auto"/>
                <w:bottom w:val="none" w:sz="0" w:space="0" w:color="auto"/>
                <w:right w:val="none" w:sz="0" w:space="0" w:color="auto"/>
              </w:divBdr>
            </w:div>
            <w:div w:id="347801699">
              <w:marLeft w:val="0"/>
              <w:marRight w:val="0"/>
              <w:marTop w:val="0"/>
              <w:marBottom w:val="240"/>
              <w:divBdr>
                <w:top w:val="none" w:sz="0" w:space="0" w:color="auto"/>
                <w:left w:val="none" w:sz="0" w:space="0" w:color="auto"/>
                <w:bottom w:val="none" w:sz="0" w:space="0" w:color="auto"/>
                <w:right w:val="none" w:sz="0" w:space="0" w:color="auto"/>
              </w:divBdr>
            </w:div>
            <w:div w:id="1120689539">
              <w:marLeft w:val="0"/>
              <w:marRight w:val="0"/>
              <w:marTop w:val="0"/>
              <w:marBottom w:val="240"/>
              <w:divBdr>
                <w:top w:val="none" w:sz="0" w:space="0" w:color="auto"/>
                <w:left w:val="none" w:sz="0" w:space="0" w:color="auto"/>
                <w:bottom w:val="none" w:sz="0" w:space="0" w:color="auto"/>
                <w:right w:val="none" w:sz="0" w:space="0" w:color="auto"/>
              </w:divBdr>
            </w:div>
            <w:div w:id="2083678678">
              <w:marLeft w:val="0"/>
              <w:marRight w:val="0"/>
              <w:marTop w:val="0"/>
              <w:marBottom w:val="240"/>
              <w:divBdr>
                <w:top w:val="none" w:sz="0" w:space="0" w:color="auto"/>
                <w:left w:val="none" w:sz="0" w:space="0" w:color="auto"/>
                <w:bottom w:val="none" w:sz="0" w:space="0" w:color="auto"/>
                <w:right w:val="none" w:sz="0" w:space="0" w:color="auto"/>
              </w:divBdr>
            </w:div>
            <w:div w:id="1280337402">
              <w:marLeft w:val="0"/>
              <w:marRight w:val="0"/>
              <w:marTop w:val="0"/>
              <w:marBottom w:val="240"/>
              <w:divBdr>
                <w:top w:val="none" w:sz="0" w:space="0" w:color="auto"/>
                <w:left w:val="none" w:sz="0" w:space="0" w:color="auto"/>
                <w:bottom w:val="none" w:sz="0" w:space="0" w:color="auto"/>
                <w:right w:val="none" w:sz="0" w:space="0" w:color="auto"/>
              </w:divBdr>
            </w:div>
            <w:div w:id="1405571973">
              <w:marLeft w:val="0"/>
              <w:marRight w:val="0"/>
              <w:marTop w:val="0"/>
              <w:marBottom w:val="240"/>
              <w:divBdr>
                <w:top w:val="none" w:sz="0" w:space="0" w:color="auto"/>
                <w:left w:val="none" w:sz="0" w:space="0" w:color="auto"/>
                <w:bottom w:val="none" w:sz="0" w:space="0" w:color="auto"/>
                <w:right w:val="none" w:sz="0" w:space="0" w:color="auto"/>
              </w:divBdr>
            </w:div>
            <w:div w:id="755326639">
              <w:marLeft w:val="0"/>
              <w:marRight w:val="0"/>
              <w:marTop w:val="0"/>
              <w:marBottom w:val="240"/>
              <w:divBdr>
                <w:top w:val="none" w:sz="0" w:space="0" w:color="auto"/>
                <w:left w:val="none" w:sz="0" w:space="0" w:color="auto"/>
                <w:bottom w:val="none" w:sz="0" w:space="0" w:color="auto"/>
                <w:right w:val="none" w:sz="0" w:space="0" w:color="auto"/>
              </w:divBdr>
            </w:div>
            <w:div w:id="1970016707">
              <w:marLeft w:val="0"/>
              <w:marRight w:val="0"/>
              <w:marTop w:val="0"/>
              <w:marBottom w:val="240"/>
              <w:divBdr>
                <w:top w:val="none" w:sz="0" w:space="0" w:color="auto"/>
                <w:left w:val="none" w:sz="0" w:space="0" w:color="auto"/>
                <w:bottom w:val="none" w:sz="0" w:space="0" w:color="auto"/>
                <w:right w:val="none" w:sz="0" w:space="0" w:color="auto"/>
              </w:divBdr>
            </w:div>
            <w:div w:id="1659067699">
              <w:marLeft w:val="0"/>
              <w:marRight w:val="0"/>
              <w:marTop w:val="0"/>
              <w:marBottom w:val="240"/>
              <w:divBdr>
                <w:top w:val="none" w:sz="0" w:space="0" w:color="auto"/>
                <w:left w:val="none" w:sz="0" w:space="0" w:color="auto"/>
                <w:bottom w:val="none" w:sz="0" w:space="0" w:color="auto"/>
                <w:right w:val="none" w:sz="0" w:space="0" w:color="auto"/>
              </w:divBdr>
            </w:div>
            <w:div w:id="65038618">
              <w:marLeft w:val="0"/>
              <w:marRight w:val="0"/>
              <w:marTop w:val="0"/>
              <w:marBottom w:val="240"/>
              <w:divBdr>
                <w:top w:val="none" w:sz="0" w:space="0" w:color="auto"/>
                <w:left w:val="none" w:sz="0" w:space="0" w:color="auto"/>
                <w:bottom w:val="none" w:sz="0" w:space="0" w:color="auto"/>
                <w:right w:val="none" w:sz="0" w:space="0" w:color="auto"/>
              </w:divBdr>
            </w:div>
            <w:div w:id="800343622">
              <w:marLeft w:val="0"/>
              <w:marRight w:val="0"/>
              <w:marTop w:val="0"/>
              <w:marBottom w:val="240"/>
              <w:divBdr>
                <w:top w:val="none" w:sz="0" w:space="0" w:color="auto"/>
                <w:left w:val="none" w:sz="0" w:space="0" w:color="auto"/>
                <w:bottom w:val="none" w:sz="0" w:space="0" w:color="auto"/>
                <w:right w:val="none" w:sz="0" w:space="0" w:color="auto"/>
              </w:divBdr>
            </w:div>
            <w:div w:id="237402707">
              <w:marLeft w:val="0"/>
              <w:marRight w:val="0"/>
              <w:marTop w:val="0"/>
              <w:marBottom w:val="240"/>
              <w:divBdr>
                <w:top w:val="none" w:sz="0" w:space="0" w:color="auto"/>
                <w:left w:val="none" w:sz="0" w:space="0" w:color="auto"/>
                <w:bottom w:val="none" w:sz="0" w:space="0" w:color="auto"/>
                <w:right w:val="none" w:sz="0" w:space="0" w:color="auto"/>
              </w:divBdr>
            </w:div>
            <w:div w:id="1678338781">
              <w:marLeft w:val="0"/>
              <w:marRight w:val="0"/>
              <w:marTop w:val="0"/>
              <w:marBottom w:val="240"/>
              <w:divBdr>
                <w:top w:val="none" w:sz="0" w:space="0" w:color="auto"/>
                <w:left w:val="none" w:sz="0" w:space="0" w:color="auto"/>
                <w:bottom w:val="none" w:sz="0" w:space="0" w:color="auto"/>
                <w:right w:val="none" w:sz="0" w:space="0" w:color="auto"/>
              </w:divBdr>
            </w:div>
            <w:div w:id="1505899302">
              <w:marLeft w:val="0"/>
              <w:marRight w:val="0"/>
              <w:marTop w:val="0"/>
              <w:marBottom w:val="240"/>
              <w:divBdr>
                <w:top w:val="none" w:sz="0" w:space="0" w:color="auto"/>
                <w:left w:val="none" w:sz="0" w:space="0" w:color="auto"/>
                <w:bottom w:val="none" w:sz="0" w:space="0" w:color="auto"/>
                <w:right w:val="none" w:sz="0" w:space="0" w:color="auto"/>
              </w:divBdr>
            </w:div>
            <w:div w:id="1406420575">
              <w:marLeft w:val="0"/>
              <w:marRight w:val="0"/>
              <w:marTop w:val="0"/>
              <w:marBottom w:val="240"/>
              <w:divBdr>
                <w:top w:val="none" w:sz="0" w:space="0" w:color="auto"/>
                <w:left w:val="none" w:sz="0" w:space="0" w:color="auto"/>
                <w:bottom w:val="none" w:sz="0" w:space="0" w:color="auto"/>
                <w:right w:val="none" w:sz="0" w:space="0" w:color="auto"/>
              </w:divBdr>
            </w:div>
            <w:div w:id="1148790766">
              <w:marLeft w:val="0"/>
              <w:marRight w:val="0"/>
              <w:marTop w:val="0"/>
              <w:marBottom w:val="240"/>
              <w:divBdr>
                <w:top w:val="none" w:sz="0" w:space="0" w:color="auto"/>
                <w:left w:val="none" w:sz="0" w:space="0" w:color="auto"/>
                <w:bottom w:val="none" w:sz="0" w:space="0" w:color="auto"/>
                <w:right w:val="none" w:sz="0" w:space="0" w:color="auto"/>
              </w:divBdr>
            </w:div>
            <w:div w:id="1610619930">
              <w:marLeft w:val="0"/>
              <w:marRight w:val="0"/>
              <w:marTop w:val="0"/>
              <w:marBottom w:val="240"/>
              <w:divBdr>
                <w:top w:val="none" w:sz="0" w:space="0" w:color="auto"/>
                <w:left w:val="none" w:sz="0" w:space="0" w:color="auto"/>
                <w:bottom w:val="none" w:sz="0" w:space="0" w:color="auto"/>
                <w:right w:val="none" w:sz="0" w:space="0" w:color="auto"/>
              </w:divBdr>
            </w:div>
            <w:div w:id="446045076">
              <w:marLeft w:val="0"/>
              <w:marRight w:val="0"/>
              <w:marTop w:val="0"/>
              <w:marBottom w:val="240"/>
              <w:divBdr>
                <w:top w:val="none" w:sz="0" w:space="0" w:color="auto"/>
                <w:left w:val="none" w:sz="0" w:space="0" w:color="auto"/>
                <w:bottom w:val="none" w:sz="0" w:space="0" w:color="auto"/>
                <w:right w:val="none" w:sz="0" w:space="0" w:color="auto"/>
              </w:divBdr>
            </w:div>
            <w:div w:id="254753420">
              <w:marLeft w:val="0"/>
              <w:marRight w:val="0"/>
              <w:marTop w:val="0"/>
              <w:marBottom w:val="240"/>
              <w:divBdr>
                <w:top w:val="none" w:sz="0" w:space="0" w:color="auto"/>
                <w:left w:val="none" w:sz="0" w:space="0" w:color="auto"/>
                <w:bottom w:val="none" w:sz="0" w:space="0" w:color="auto"/>
                <w:right w:val="none" w:sz="0" w:space="0" w:color="auto"/>
              </w:divBdr>
            </w:div>
            <w:div w:id="46609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373344">
      <w:bodyDiv w:val="1"/>
      <w:marLeft w:val="0"/>
      <w:marRight w:val="0"/>
      <w:marTop w:val="0"/>
      <w:marBottom w:val="0"/>
      <w:divBdr>
        <w:top w:val="none" w:sz="0" w:space="0" w:color="auto"/>
        <w:left w:val="none" w:sz="0" w:space="0" w:color="auto"/>
        <w:bottom w:val="none" w:sz="0" w:space="0" w:color="auto"/>
        <w:right w:val="none" w:sz="0" w:space="0" w:color="auto"/>
      </w:divBdr>
    </w:div>
    <w:div w:id="1290546802">
      <w:bodyDiv w:val="1"/>
      <w:marLeft w:val="0"/>
      <w:marRight w:val="0"/>
      <w:marTop w:val="0"/>
      <w:marBottom w:val="0"/>
      <w:divBdr>
        <w:top w:val="none" w:sz="0" w:space="0" w:color="auto"/>
        <w:left w:val="none" w:sz="0" w:space="0" w:color="auto"/>
        <w:bottom w:val="none" w:sz="0" w:space="0" w:color="auto"/>
        <w:right w:val="none" w:sz="0" w:space="0" w:color="auto"/>
      </w:divBdr>
    </w:div>
    <w:div w:id="1298730333">
      <w:bodyDiv w:val="1"/>
      <w:marLeft w:val="0"/>
      <w:marRight w:val="0"/>
      <w:marTop w:val="0"/>
      <w:marBottom w:val="0"/>
      <w:divBdr>
        <w:top w:val="none" w:sz="0" w:space="0" w:color="auto"/>
        <w:left w:val="none" w:sz="0" w:space="0" w:color="auto"/>
        <w:bottom w:val="none" w:sz="0" w:space="0" w:color="auto"/>
        <w:right w:val="none" w:sz="0" w:space="0" w:color="auto"/>
      </w:divBdr>
    </w:div>
    <w:div w:id="1320965517">
      <w:bodyDiv w:val="1"/>
      <w:marLeft w:val="0"/>
      <w:marRight w:val="0"/>
      <w:marTop w:val="0"/>
      <w:marBottom w:val="0"/>
      <w:divBdr>
        <w:top w:val="none" w:sz="0" w:space="0" w:color="auto"/>
        <w:left w:val="none" w:sz="0" w:space="0" w:color="auto"/>
        <w:bottom w:val="none" w:sz="0" w:space="0" w:color="auto"/>
        <w:right w:val="none" w:sz="0" w:space="0" w:color="auto"/>
      </w:divBdr>
    </w:div>
    <w:div w:id="1323512480">
      <w:bodyDiv w:val="1"/>
      <w:marLeft w:val="0"/>
      <w:marRight w:val="0"/>
      <w:marTop w:val="0"/>
      <w:marBottom w:val="0"/>
      <w:divBdr>
        <w:top w:val="none" w:sz="0" w:space="0" w:color="auto"/>
        <w:left w:val="none" w:sz="0" w:space="0" w:color="auto"/>
        <w:bottom w:val="none" w:sz="0" w:space="0" w:color="auto"/>
        <w:right w:val="none" w:sz="0" w:space="0" w:color="auto"/>
      </w:divBdr>
    </w:div>
    <w:div w:id="1326664604">
      <w:bodyDiv w:val="1"/>
      <w:marLeft w:val="0"/>
      <w:marRight w:val="0"/>
      <w:marTop w:val="0"/>
      <w:marBottom w:val="0"/>
      <w:divBdr>
        <w:top w:val="none" w:sz="0" w:space="0" w:color="auto"/>
        <w:left w:val="none" w:sz="0" w:space="0" w:color="auto"/>
        <w:bottom w:val="none" w:sz="0" w:space="0" w:color="auto"/>
        <w:right w:val="none" w:sz="0" w:space="0" w:color="auto"/>
      </w:divBdr>
    </w:div>
    <w:div w:id="1343044748">
      <w:bodyDiv w:val="1"/>
      <w:marLeft w:val="0"/>
      <w:marRight w:val="0"/>
      <w:marTop w:val="0"/>
      <w:marBottom w:val="0"/>
      <w:divBdr>
        <w:top w:val="none" w:sz="0" w:space="0" w:color="auto"/>
        <w:left w:val="none" w:sz="0" w:space="0" w:color="auto"/>
        <w:bottom w:val="none" w:sz="0" w:space="0" w:color="auto"/>
        <w:right w:val="none" w:sz="0" w:space="0" w:color="auto"/>
      </w:divBdr>
    </w:div>
    <w:div w:id="1344161536">
      <w:bodyDiv w:val="1"/>
      <w:marLeft w:val="0"/>
      <w:marRight w:val="0"/>
      <w:marTop w:val="0"/>
      <w:marBottom w:val="0"/>
      <w:divBdr>
        <w:top w:val="none" w:sz="0" w:space="0" w:color="auto"/>
        <w:left w:val="none" w:sz="0" w:space="0" w:color="auto"/>
        <w:bottom w:val="none" w:sz="0" w:space="0" w:color="auto"/>
        <w:right w:val="none" w:sz="0" w:space="0" w:color="auto"/>
      </w:divBdr>
    </w:div>
    <w:div w:id="1363550959">
      <w:bodyDiv w:val="1"/>
      <w:marLeft w:val="0"/>
      <w:marRight w:val="0"/>
      <w:marTop w:val="0"/>
      <w:marBottom w:val="0"/>
      <w:divBdr>
        <w:top w:val="none" w:sz="0" w:space="0" w:color="auto"/>
        <w:left w:val="none" w:sz="0" w:space="0" w:color="auto"/>
        <w:bottom w:val="none" w:sz="0" w:space="0" w:color="auto"/>
        <w:right w:val="none" w:sz="0" w:space="0" w:color="auto"/>
      </w:divBdr>
      <w:divsChild>
        <w:div w:id="1746758275">
          <w:marLeft w:val="480"/>
          <w:marRight w:val="0"/>
          <w:marTop w:val="0"/>
          <w:marBottom w:val="0"/>
          <w:divBdr>
            <w:top w:val="none" w:sz="0" w:space="0" w:color="auto"/>
            <w:left w:val="none" w:sz="0" w:space="0" w:color="auto"/>
            <w:bottom w:val="none" w:sz="0" w:space="0" w:color="auto"/>
            <w:right w:val="none" w:sz="0" w:space="0" w:color="auto"/>
          </w:divBdr>
          <w:divsChild>
            <w:div w:id="220094869">
              <w:marLeft w:val="0"/>
              <w:marRight w:val="0"/>
              <w:marTop w:val="0"/>
              <w:marBottom w:val="240"/>
              <w:divBdr>
                <w:top w:val="none" w:sz="0" w:space="0" w:color="auto"/>
                <w:left w:val="none" w:sz="0" w:space="0" w:color="auto"/>
                <w:bottom w:val="none" w:sz="0" w:space="0" w:color="auto"/>
                <w:right w:val="none" w:sz="0" w:space="0" w:color="auto"/>
              </w:divBdr>
            </w:div>
            <w:div w:id="1034424979">
              <w:marLeft w:val="0"/>
              <w:marRight w:val="0"/>
              <w:marTop w:val="0"/>
              <w:marBottom w:val="240"/>
              <w:divBdr>
                <w:top w:val="none" w:sz="0" w:space="0" w:color="auto"/>
                <w:left w:val="none" w:sz="0" w:space="0" w:color="auto"/>
                <w:bottom w:val="none" w:sz="0" w:space="0" w:color="auto"/>
                <w:right w:val="none" w:sz="0" w:space="0" w:color="auto"/>
              </w:divBdr>
            </w:div>
            <w:div w:id="586811364">
              <w:marLeft w:val="0"/>
              <w:marRight w:val="0"/>
              <w:marTop w:val="0"/>
              <w:marBottom w:val="240"/>
              <w:divBdr>
                <w:top w:val="none" w:sz="0" w:space="0" w:color="auto"/>
                <w:left w:val="none" w:sz="0" w:space="0" w:color="auto"/>
                <w:bottom w:val="none" w:sz="0" w:space="0" w:color="auto"/>
                <w:right w:val="none" w:sz="0" w:space="0" w:color="auto"/>
              </w:divBdr>
            </w:div>
            <w:div w:id="788623147">
              <w:marLeft w:val="0"/>
              <w:marRight w:val="0"/>
              <w:marTop w:val="0"/>
              <w:marBottom w:val="240"/>
              <w:divBdr>
                <w:top w:val="none" w:sz="0" w:space="0" w:color="auto"/>
                <w:left w:val="none" w:sz="0" w:space="0" w:color="auto"/>
                <w:bottom w:val="none" w:sz="0" w:space="0" w:color="auto"/>
                <w:right w:val="none" w:sz="0" w:space="0" w:color="auto"/>
              </w:divBdr>
            </w:div>
            <w:div w:id="1920748530">
              <w:marLeft w:val="0"/>
              <w:marRight w:val="0"/>
              <w:marTop w:val="0"/>
              <w:marBottom w:val="240"/>
              <w:divBdr>
                <w:top w:val="none" w:sz="0" w:space="0" w:color="auto"/>
                <w:left w:val="none" w:sz="0" w:space="0" w:color="auto"/>
                <w:bottom w:val="none" w:sz="0" w:space="0" w:color="auto"/>
                <w:right w:val="none" w:sz="0" w:space="0" w:color="auto"/>
              </w:divBdr>
            </w:div>
            <w:div w:id="487941517">
              <w:marLeft w:val="0"/>
              <w:marRight w:val="0"/>
              <w:marTop w:val="0"/>
              <w:marBottom w:val="240"/>
              <w:divBdr>
                <w:top w:val="none" w:sz="0" w:space="0" w:color="auto"/>
                <w:left w:val="none" w:sz="0" w:space="0" w:color="auto"/>
                <w:bottom w:val="none" w:sz="0" w:space="0" w:color="auto"/>
                <w:right w:val="none" w:sz="0" w:space="0" w:color="auto"/>
              </w:divBdr>
            </w:div>
            <w:div w:id="2112432313">
              <w:marLeft w:val="0"/>
              <w:marRight w:val="0"/>
              <w:marTop w:val="0"/>
              <w:marBottom w:val="240"/>
              <w:divBdr>
                <w:top w:val="none" w:sz="0" w:space="0" w:color="auto"/>
                <w:left w:val="none" w:sz="0" w:space="0" w:color="auto"/>
                <w:bottom w:val="none" w:sz="0" w:space="0" w:color="auto"/>
                <w:right w:val="none" w:sz="0" w:space="0" w:color="auto"/>
              </w:divBdr>
            </w:div>
            <w:div w:id="1379277457">
              <w:marLeft w:val="0"/>
              <w:marRight w:val="0"/>
              <w:marTop w:val="0"/>
              <w:marBottom w:val="240"/>
              <w:divBdr>
                <w:top w:val="none" w:sz="0" w:space="0" w:color="auto"/>
                <w:left w:val="none" w:sz="0" w:space="0" w:color="auto"/>
                <w:bottom w:val="none" w:sz="0" w:space="0" w:color="auto"/>
                <w:right w:val="none" w:sz="0" w:space="0" w:color="auto"/>
              </w:divBdr>
            </w:div>
            <w:div w:id="1221133681">
              <w:marLeft w:val="0"/>
              <w:marRight w:val="0"/>
              <w:marTop w:val="0"/>
              <w:marBottom w:val="240"/>
              <w:divBdr>
                <w:top w:val="none" w:sz="0" w:space="0" w:color="auto"/>
                <w:left w:val="none" w:sz="0" w:space="0" w:color="auto"/>
                <w:bottom w:val="none" w:sz="0" w:space="0" w:color="auto"/>
                <w:right w:val="none" w:sz="0" w:space="0" w:color="auto"/>
              </w:divBdr>
            </w:div>
            <w:div w:id="1223834963">
              <w:marLeft w:val="0"/>
              <w:marRight w:val="0"/>
              <w:marTop w:val="0"/>
              <w:marBottom w:val="240"/>
              <w:divBdr>
                <w:top w:val="none" w:sz="0" w:space="0" w:color="auto"/>
                <w:left w:val="none" w:sz="0" w:space="0" w:color="auto"/>
                <w:bottom w:val="none" w:sz="0" w:space="0" w:color="auto"/>
                <w:right w:val="none" w:sz="0" w:space="0" w:color="auto"/>
              </w:divBdr>
            </w:div>
            <w:div w:id="614141770">
              <w:marLeft w:val="0"/>
              <w:marRight w:val="0"/>
              <w:marTop w:val="0"/>
              <w:marBottom w:val="240"/>
              <w:divBdr>
                <w:top w:val="none" w:sz="0" w:space="0" w:color="auto"/>
                <w:left w:val="none" w:sz="0" w:space="0" w:color="auto"/>
                <w:bottom w:val="none" w:sz="0" w:space="0" w:color="auto"/>
                <w:right w:val="none" w:sz="0" w:space="0" w:color="auto"/>
              </w:divBdr>
            </w:div>
            <w:div w:id="333724141">
              <w:marLeft w:val="0"/>
              <w:marRight w:val="0"/>
              <w:marTop w:val="0"/>
              <w:marBottom w:val="240"/>
              <w:divBdr>
                <w:top w:val="none" w:sz="0" w:space="0" w:color="auto"/>
                <w:left w:val="none" w:sz="0" w:space="0" w:color="auto"/>
                <w:bottom w:val="none" w:sz="0" w:space="0" w:color="auto"/>
                <w:right w:val="none" w:sz="0" w:space="0" w:color="auto"/>
              </w:divBdr>
            </w:div>
            <w:div w:id="1439713224">
              <w:marLeft w:val="0"/>
              <w:marRight w:val="0"/>
              <w:marTop w:val="0"/>
              <w:marBottom w:val="240"/>
              <w:divBdr>
                <w:top w:val="none" w:sz="0" w:space="0" w:color="auto"/>
                <w:left w:val="none" w:sz="0" w:space="0" w:color="auto"/>
                <w:bottom w:val="none" w:sz="0" w:space="0" w:color="auto"/>
                <w:right w:val="none" w:sz="0" w:space="0" w:color="auto"/>
              </w:divBdr>
            </w:div>
            <w:div w:id="1679968140">
              <w:marLeft w:val="0"/>
              <w:marRight w:val="0"/>
              <w:marTop w:val="0"/>
              <w:marBottom w:val="240"/>
              <w:divBdr>
                <w:top w:val="none" w:sz="0" w:space="0" w:color="auto"/>
                <w:left w:val="none" w:sz="0" w:space="0" w:color="auto"/>
                <w:bottom w:val="none" w:sz="0" w:space="0" w:color="auto"/>
                <w:right w:val="none" w:sz="0" w:space="0" w:color="auto"/>
              </w:divBdr>
            </w:div>
            <w:div w:id="1831404497">
              <w:marLeft w:val="0"/>
              <w:marRight w:val="0"/>
              <w:marTop w:val="0"/>
              <w:marBottom w:val="240"/>
              <w:divBdr>
                <w:top w:val="none" w:sz="0" w:space="0" w:color="auto"/>
                <w:left w:val="none" w:sz="0" w:space="0" w:color="auto"/>
                <w:bottom w:val="none" w:sz="0" w:space="0" w:color="auto"/>
                <w:right w:val="none" w:sz="0" w:space="0" w:color="auto"/>
              </w:divBdr>
            </w:div>
            <w:div w:id="2029257813">
              <w:marLeft w:val="0"/>
              <w:marRight w:val="0"/>
              <w:marTop w:val="0"/>
              <w:marBottom w:val="240"/>
              <w:divBdr>
                <w:top w:val="none" w:sz="0" w:space="0" w:color="auto"/>
                <w:left w:val="none" w:sz="0" w:space="0" w:color="auto"/>
                <w:bottom w:val="none" w:sz="0" w:space="0" w:color="auto"/>
                <w:right w:val="none" w:sz="0" w:space="0" w:color="auto"/>
              </w:divBdr>
            </w:div>
            <w:div w:id="1250310473">
              <w:marLeft w:val="0"/>
              <w:marRight w:val="0"/>
              <w:marTop w:val="0"/>
              <w:marBottom w:val="240"/>
              <w:divBdr>
                <w:top w:val="none" w:sz="0" w:space="0" w:color="auto"/>
                <w:left w:val="none" w:sz="0" w:space="0" w:color="auto"/>
                <w:bottom w:val="none" w:sz="0" w:space="0" w:color="auto"/>
                <w:right w:val="none" w:sz="0" w:space="0" w:color="auto"/>
              </w:divBdr>
            </w:div>
            <w:div w:id="1206529993">
              <w:marLeft w:val="0"/>
              <w:marRight w:val="0"/>
              <w:marTop w:val="0"/>
              <w:marBottom w:val="240"/>
              <w:divBdr>
                <w:top w:val="none" w:sz="0" w:space="0" w:color="auto"/>
                <w:left w:val="none" w:sz="0" w:space="0" w:color="auto"/>
                <w:bottom w:val="none" w:sz="0" w:space="0" w:color="auto"/>
                <w:right w:val="none" w:sz="0" w:space="0" w:color="auto"/>
              </w:divBdr>
            </w:div>
            <w:div w:id="1254050310">
              <w:marLeft w:val="0"/>
              <w:marRight w:val="0"/>
              <w:marTop w:val="0"/>
              <w:marBottom w:val="240"/>
              <w:divBdr>
                <w:top w:val="none" w:sz="0" w:space="0" w:color="auto"/>
                <w:left w:val="none" w:sz="0" w:space="0" w:color="auto"/>
                <w:bottom w:val="none" w:sz="0" w:space="0" w:color="auto"/>
                <w:right w:val="none" w:sz="0" w:space="0" w:color="auto"/>
              </w:divBdr>
            </w:div>
            <w:div w:id="1683509695">
              <w:marLeft w:val="0"/>
              <w:marRight w:val="0"/>
              <w:marTop w:val="0"/>
              <w:marBottom w:val="240"/>
              <w:divBdr>
                <w:top w:val="none" w:sz="0" w:space="0" w:color="auto"/>
                <w:left w:val="none" w:sz="0" w:space="0" w:color="auto"/>
                <w:bottom w:val="none" w:sz="0" w:space="0" w:color="auto"/>
                <w:right w:val="none" w:sz="0" w:space="0" w:color="auto"/>
              </w:divBdr>
            </w:div>
            <w:div w:id="450586957">
              <w:marLeft w:val="0"/>
              <w:marRight w:val="0"/>
              <w:marTop w:val="0"/>
              <w:marBottom w:val="240"/>
              <w:divBdr>
                <w:top w:val="none" w:sz="0" w:space="0" w:color="auto"/>
                <w:left w:val="none" w:sz="0" w:space="0" w:color="auto"/>
                <w:bottom w:val="none" w:sz="0" w:space="0" w:color="auto"/>
                <w:right w:val="none" w:sz="0" w:space="0" w:color="auto"/>
              </w:divBdr>
            </w:div>
            <w:div w:id="1603995410">
              <w:marLeft w:val="0"/>
              <w:marRight w:val="0"/>
              <w:marTop w:val="0"/>
              <w:marBottom w:val="240"/>
              <w:divBdr>
                <w:top w:val="none" w:sz="0" w:space="0" w:color="auto"/>
                <w:left w:val="none" w:sz="0" w:space="0" w:color="auto"/>
                <w:bottom w:val="none" w:sz="0" w:space="0" w:color="auto"/>
                <w:right w:val="none" w:sz="0" w:space="0" w:color="auto"/>
              </w:divBdr>
            </w:div>
            <w:div w:id="931012388">
              <w:marLeft w:val="0"/>
              <w:marRight w:val="0"/>
              <w:marTop w:val="0"/>
              <w:marBottom w:val="240"/>
              <w:divBdr>
                <w:top w:val="none" w:sz="0" w:space="0" w:color="auto"/>
                <w:left w:val="none" w:sz="0" w:space="0" w:color="auto"/>
                <w:bottom w:val="none" w:sz="0" w:space="0" w:color="auto"/>
                <w:right w:val="none" w:sz="0" w:space="0" w:color="auto"/>
              </w:divBdr>
            </w:div>
            <w:div w:id="934633559">
              <w:marLeft w:val="0"/>
              <w:marRight w:val="0"/>
              <w:marTop w:val="0"/>
              <w:marBottom w:val="240"/>
              <w:divBdr>
                <w:top w:val="none" w:sz="0" w:space="0" w:color="auto"/>
                <w:left w:val="none" w:sz="0" w:space="0" w:color="auto"/>
                <w:bottom w:val="none" w:sz="0" w:space="0" w:color="auto"/>
                <w:right w:val="none" w:sz="0" w:space="0" w:color="auto"/>
              </w:divBdr>
            </w:div>
            <w:div w:id="2070764217">
              <w:marLeft w:val="0"/>
              <w:marRight w:val="0"/>
              <w:marTop w:val="0"/>
              <w:marBottom w:val="240"/>
              <w:divBdr>
                <w:top w:val="none" w:sz="0" w:space="0" w:color="auto"/>
                <w:left w:val="none" w:sz="0" w:space="0" w:color="auto"/>
                <w:bottom w:val="none" w:sz="0" w:space="0" w:color="auto"/>
                <w:right w:val="none" w:sz="0" w:space="0" w:color="auto"/>
              </w:divBdr>
            </w:div>
            <w:div w:id="415136082">
              <w:marLeft w:val="0"/>
              <w:marRight w:val="0"/>
              <w:marTop w:val="0"/>
              <w:marBottom w:val="240"/>
              <w:divBdr>
                <w:top w:val="none" w:sz="0" w:space="0" w:color="auto"/>
                <w:left w:val="none" w:sz="0" w:space="0" w:color="auto"/>
                <w:bottom w:val="none" w:sz="0" w:space="0" w:color="auto"/>
                <w:right w:val="none" w:sz="0" w:space="0" w:color="auto"/>
              </w:divBdr>
            </w:div>
            <w:div w:id="1936669033">
              <w:marLeft w:val="0"/>
              <w:marRight w:val="0"/>
              <w:marTop w:val="0"/>
              <w:marBottom w:val="240"/>
              <w:divBdr>
                <w:top w:val="none" w:sz="0" w:space="0" w:color="auto"/>
                <w:left w:val="none" w:sz="0" w:space="0" w:color="auto"/>
                <w:bottom w:val="none" w:sz="0" w:space="0" w:color="auto"/>
                <w:right w:val="none" w:sz="0" w:space="0" w:color="auto"/>
              </w:divBdr>
            </w:div>
            <w:div w:id="47388673">
              <w:marLeft w:val="0"/>
              <w:marRight w:val="0"/>
              <w:marTop w:val="0"/>
              <w:marBottom w:val="240"/>
              <w:divBdr>
                <w:top w:val="none" w:sz="0" w:space="0" w:color="auto"/>
                <w:left w:val="none" w:sz="0" w:space="0" w:color="auto"/>
                <w:bottom w:val="none" w:sz="0" w:space="0" w:color="auto"/>
                <w:right w:val="none" w:sz="0" w:space="0" w:color="auto"/>
              </w:divBdr>
            </w:div>
            <w:div w:id="1967731429">
              <w:marLeft w:val="0"/>
              <w:marRight w:val="0"/>
              <w:marTop w:val="0"/>
              <w:marBottom w:val="240"/>
              <w:divBdr>
                <w:top w:val="none" w:sz="0" w:space="0" w:color="auto"/>
                <w:left w:val="none" w:sz="0" w:space="0" w:color="auto"/>
                <w:bottom w:val="none" w:sz="0" w:space="0" w:color="auto"/>
                <w:right w:val="none" w:sz="0" w:space="0" w:color="auto"/>
              </w:divBdr>
            </w:div>
            <w:div w:id="601955670">
              <w:marLeft w:val="0"/>
              <w:marRight w:val="0"/>
              <w:marTop w:val="0"/>
              <w:marBottom w:val="240"/>
              <w:divBdr>
                <w:top w:val="none" w:sz="0" w:space="0" w:color="auto"/>
                <w:left w:val="none" w:sz="0" w:space="0" w:color="auto"/>
                <w:bottom w:val="none" w:sz="0" w:space="0" w:color="auto"/>
                <w:right w:val="none" w:sz="0" w:space="0" w:color="auto"/>
              </w:divBdr>
            </w:div>
            <w:div w:id="144057801">
              <w:marLeft w:val="0"/>
              <w:marRight w:val="0"/>
              <w:marTop w:val="0"/>
              <w:marBottom w:val="240"/>
              <w:divBdr>
                <w:top w:val="none" w:sz="0" w:space="0" w:color="auto"/>
                <w:left w:val="none" w:sz="0" w:space="0" w:color="auto"/>
                <w:bottom w:val="none" w:sz="0" w:space="0" w:color="auto"/>
                <w:right w:val="none" w:sz="0" w:space="0" w:color="auto"/>
              </w:divBdr>
            </w:div>
            <w:div w:id="721247127">
              <w:marLeft w:val="0"/>
              <w:marRight w:val="0"/>
              <w:marTop w:val="0"/>
              <w:marBottom w:val="240"/>
              <w:divBdr>
                <w:top w:val="none" w:sz="0" w:space="0" w:color="auto"/>
                <w:left w:val="none" w:sz="0" w:space="0" w:color="auto"/>
                <w:bottom w:val="none" w:sz="0" w:space="0" w:color="auto"/>
                <w:right w:val="none" w:sz="0" w:space="0" w:color="auto"/>
              </w:divBdr>
            </w:div>
            <w:div w:id="1372922181">
              <w:marLeft w:val="0"/>
              <w:marRight w:val="0"/>
              <w:marTop w:val="0"/>
              <w:marBottom w:val="240"/>
              <w:divBdr>
                <w:top w:val="none" w:sz="0" w:space="0" w:color="auto"/>
                <w:left w:val="none" w:sz="0" w:space="0" w:color="auto"/>
                <w:bottom w:val="none" w:sz="0" w:space="0" w:color="auto"/>
                <w:right w:val="none" w:sz="0" w:space="0" w:color="auto"/>
              </w:divBdr>
            </w:div>
            <w:div w:id="1452893384">
              <w:marLeft w:val="0"/>
              <w:marRight w:val="0"/>
              <w:marTop w:val="0"/>
              <w:marBottom w:val="240"/>
              <w:divBdr>
                <w:top w:val="none" w:sz="0" w:space="0" w:color="auto"/>
                <w:left w:val="none" w:sz="0" w:space="0" w:color="auto"/>
                <w:bottom w:val="none" w:sz="0" w:space="0" w:color="auto"/>
                <w:right w:val="none" w:sz="0" w:space="0" w:color="auto"/>
              </w:divBdr>
            </w:div>
            <w:div w:id="1790707579">
              <w:marLeft w:val="0"/>
              <w:marRight w:val="0"/>
              <w:marTop w:val="0"/>
              <w:marBottom w:val="240"/>
              <w:divBdr>
                <w:top w:val="none" w:sz="0" w:space="0" w:color="auto"/>
                <w:left w:val="none" w:sz="0" w:space="0" w:color="auto"/>
                <w:bottom w:val="none" w:sz="0" w:space="0" w:color="auto"/>
                <w:right w:val="none" w:sz="0" w:space="0" w:color="auto"/>
              </w:divBdr>
            </w:div>
            <w:div w:id="136190435">
              <w:marLeft w:val="0"/>
              <w:marRight w:val="0"/>
              <w:marTop w:val="0"/>
              <w:marBottom w:val="240"/>
              <w:divBdr>
                <w:top w:val="none" w:sz="0" w:space="0" w:color="auto"/>
                <w:left w:val="none" w:sz="0" w:space="0" w:color="auto"/>
                <w:bottom w:val="none" w:sz="0" w:space="0" w:color="auto"/>
                <w:right w:val="none" w:sz="0" w:space="0" w:color="auto"/>
              </w:divBdr>
            </w:div>
            <w:div w:id="72063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069326">
      <w:bodyDiv w:val="1"/>
      <w:marLeft w:val="0"/>
      <w:marRight w:val="0"/>
      <w:marTop w:val="0"/>
      <w:marBottom w:val="0"/>
      <w:divBdr>
        <w:top w:val="none" w:sz="0" w:space="0" w:color="auto"/>
        <w:left w:val="none" w:sz="0" w:space="0" w:color="auto"/>
        <w:bottom w:val="none" w:sz="0" w:space="0" w:color="auto"/>
        <w:right w:val="none" w:sz="0" w:space="0" w:color="auto"/>
      </w:divBdr>
    </w:div>
    <w:div w:id="1379862548">
      <w:bodyDiv w:val="1"/>
      <w:marLeft w:val="0"/>
      <w:marRight w:val="0"/>
      <w:marTop w:val="0"/>
      <w:marBottom w:val="0"/>
      <w:divBdr>
        <w:top w:val="none" w:sz="0" w:space="0" w:color="auto"/>
        <w:left w:val="none" w:sz="0" w:space="0" w:color="auto"/>
        <w:bottom w:val="none" w:sz="0" w:space="0" w:color="auto"/>
        <w:right w:val="none" w:sz="0" w:space="0" w:color="auto"/>
      </w:divBdr>
    </w:div>
    <w:div w:id="1382094670">
      <w:bodyDiv w:val="1"/>
      <w:marLeft w:val="0"/>
      <w:marRight w:val="0"/>
      <w:marTop w:val="0"/>
      <w:marBottom w:val="0"/>
      <w:divBdr>
        <w:top w:val="none" w:sz="0" w:space="0" w:color="auto"/>
        <w:left w:val="none" w:sz="0" w:space="0" w:color="auto"/>
        <w:bottom w:val="none" w:sz="0" w:space="0" w:color="auto"/>
        <w:right w:val="none" w:sz="0" w:space="0" w:color="auto"/>
      </w:divBdr>
    </w:div>
    <w:div w:id="1389763465">
      <w:bodyDiv w:val="1"/>
      <w:marLeft w:val="0"/>
      <w:marRight w:val="0"/>
      <w:marTop w:val="0"/>
      <w:marBottom w:val="0"/>
      <w:divBdr>
        <w:top w:val="none" w:sz="0" w:space="0" w:color="auto"/>
        <w:left w:val="none" w:sz="0" w:space="0" w:color="auto"/>
        <w:bottom w:val="none" w:sz="0" w:space="0" w:color="auto"/>
        <w:right w:val="none" w:sz="0" w:space="0" w:color="auto"/>
      </w:divBdr>
    </w:div>
    <w:div w:id="1390960207">
      <w:bodyDiv w:val="1"/>
      <w:marLeft w:val="0"/>
      <w:marRight w:val="0"/>
      <w:marTop w:val="0"/>
      <w:marBottom w:val="0"/>
      <w:divBdr>
        <w:top w:val="none" w:sz="0" w:space="0" w:color="auto"/>
        <w:left w:val="none" w:sz="0" w:space="0" w:color="auto"/>
        <w:bottom w:val="none" w:sz="0" w:space="0" w:color="auto"/>
        <w:right w:val="none" w:sz="0" w:space="0" w:color="auto"/>
      </w:divBdr>
    </w:div>
    <w:div w:id="1398163835">
      <w:bodyDiv w:val="1"/>
      <w:marLeft w:val="0"/>
      <w:marRight w:val="0"/>
      <w:marTop w:val="0"/>
      <w:marBottom w:val="0"/>
      <w:divBdr>
        <w:top w:val="none" w:sz="0" w:space="0" w:color="auto"/>
        <w:left w:val="none" w:sz="0" w:space="0" w:color="auto"/>
        <w:bottom w:val="none" w:sz="0" w:space="0" w:color="auto"/>
        <w:right w:val="none" w:sz="0" w:space="0" w:color="auto"/>
      </w:divBdr>
    </w:div>
    <w:div w:id="1409037658">
      <w:bodyDiv w:val="1"/>
      <w:marLeft w:val="0"/>
      <w:marRight w:val="0"/>
      <w:marTop w:val="0"/>
      <w:marBottom w:val="0"/>
      <w:divBdr>
        <w:top w:val="none" w:sz="0" w:space="0" w:color="auto"/>
        <w:left w:val="none" w:sz="0" w:space="0" w:color="auto"/>
        <w:bottom w:val="none" w:sz="0" w:space="0" w:color="auto"/>
        <w:right w:val="none" w:sz="0" w:space="0" w:color="auto"/>
      </w:divBdr>
    </w:div>
    <w:div w:id="1409960885">
      <w:bodyDiv w:val="1"/>
      <w:marLeft w:val="0"/>
      <w:marRight w:val="0"/>
      <w:marTop w:val="0"/>
      <w:marBottom w:val="0"/>
      <w:divBdr>
        <w:top w:val="none" w:sz="0" w:space="0" w:color="auto"/>
        <w:left w:val="none" w:sz="0" w:space="0" w:color="auto"/>
        <w:bottom w:val="none" w:sz="0" w:space="0" w:color="auto"/>
        <w:right w:val="none" w:sz="0" w:space="0" w:color="auto"/>
      </w:divBdr>
      <w:divsChild>
        <w:div w:id="456947342">
          <w:marLeft w:val="480"/>
          <w:marRight w:val="0"/>
          <w:marTop w:val="0"/>
          <w:marBottom w:val="0"/>
          <w:divBdr>
            <w:top w:val="none" w:sz="0" w:space="0" w:color="auto"/>
            <w:left w:val="none" w:sz="0" w:space="0" w:color="auto"/>
            <w:bottom w:val="none" w:sz="0" w:space="0" w:color="auto"/>
            <w:right w:val="none" w:sz="0" w:space="0" w:color="auto"/>
          </w:divBdr>
          <w:divsChild>
            <w:div w:id="1978105759">
              <w:marLeft w:val="0"/>
              <w:marRight w:val="0"/>
              <w:marTop w:val="0"/>
              <w:marBottom w:val="240"/>
              <w:divBdr>
                <w:top w:val="none" w:sz="0" w:space="0" w:color="auto"/>
                <w:left w:val="none" w:sz="0" w:space="0" w:color="auto"/>
                <w:bottom w:val="none" w:sz="0" w:space="0" w:color="auto"/>
                <w:right w:val="none" w:sz="0" w:space="0" w:color="auto"/>
              </w:divBdr>
            </w:div>
            <w:div w:id="934557728">
              <w:marLeft w:val="0"/>
              <w:marRight w:val="0"/>
              <w:marTop w:val="0"/>
              <w:marBottom w:val="240"/>
              <w:divBdr>
                <w:top w:val="none" w:sz="0" w:space="0" w:color="auto"/>
                <w:left w:val="none" w:sz="0" w:space="0" w:color="auto"/>
                <w:bottom w:val="none" w:sz="0" w:space="0" w:color="auto"/>
                <w:right w:val="none" w:sz="0" w:space="0" w:color="auto"/>
              </w:divBdr>
            </w:div>
            <w:div w:id="1133985546">
              <w:marLeft w:val="0"/>
              <w:marRight w:val="0"/>
              <w:marTop w:val="0"/>
              <w:marBottom w:val="240"/>
              <w:divBdr>
                <w:top w:val="none" w:sz="0" w:space="0" w:color="auto"/>
                <w:left w:val="none" w:sz="0" w:space="0" w:color="auto"/>
                <w:bottom w:val="none" w:sz="0" w:space="0" w:color="auto"/>
                <w:right w:val="none" w:sz="0" w:space="0" w:color="auto"/>
              </w:divBdr>
            </w:div>
            <w:div w:id="2076539872">
              <w:marLeft w:val="0"/>
              <w:marRight w:val="0"/>
              <w:marTop w:val="0"/>
              <w:marBottom w:val="240"/>
              <w:divBdr>
                <w:top w:val="none" w:sz="0" w:space="0" w:color="auto"/>
                <w:left w:val="none" w:sz="0" w:space="0" w:color="auto"/>
                <w:bottom w:val="none" w:sz="0" w:space="0" w:color="auto"/>
                <w:right w:val="none" w:sz="0" w:space="0" w:color="auto"/>
              </w:divBdr>
            </w:div>
            <w:div w:id="2006395265">
              <w:marLeft w:val="0"/>
              <w:marRight w:val="0"/>
              <w:marTop w:val="0"/>
              <w:marBottom w:val="240"/>
              <w:divBdr>
                <w:top w:val="none" w:sz="0" w:space="0" w:color="auto"/>
                <w:left w:val="none" w:sz="0" w:space="0" w:color="auto"/>
                <w:bottom w:val="none" w:sz="0" w:space="0" w:color="auto"/>
                <w:right w:val="none" w:sz="0" w:space="0" w:color="auto"/>
              </w:divBdr>
            </w:div>
            <w:div w:id="1366951938">
              <w:marLeft w:val="0"/>
              <w:marRight w:val="0"/>
              <w:marTop w:val="0"/>
              <w:marBottom w:val="240"/>
              <w:divBdr>
                <w:top w:val="none" w:sz="0" w:space="0" w:color="auto"/>
                <w:left w:val="none" w:sz="0" w:space="0" w:color="auto"/>
                <w:bottom w:val="none" w:sz="0" w:space="0" w:color="auto"/>
                <w:right w:val="none" w:sz="0" w:space="0" w:color="auto"/>
              </w:divBdr>
            </w:div>
            <w:div w:id="1329167288">
              <w:marLeft w:val="0"/>
              <w:marRight w:val="0"/>
              <w:marTop w:val="0"/>
              <w:marBottom w:val="240"/>
              <w:divBdr>
                <w:top w:val="none" w:sz="0" w:space="0" w:color="auto"/>
                <w:left w:val="none" w:sz="0" w:space="0" w:color="auto"/>
                <w:bottom w:val="none" w:sz="0" w:space="0" w:color="auto"/>
                <w:right w:val="none" w:sz="0" w:space="0" w:color="auto"/>
              </w:divBdr>
            </w:div>
            <w:div w:id="2125540544">
              <w:marLeft w:val="0"/>
              <w:marRight w:val="0"/>
              <w:marTop w:val="0"/>
              <w:marBottom w:val="240"/>
              <w:divBdr>
                <w:top w:val="none" w:sz="0" w:space="0" w:color="auto"/>
                <w:left w:val="none" w:sz="0" w:space="0" w:color="auto"/>
                <w:bottom w:val="none" w:sz="0" w:space="0" w:color="auto"/>
                <w:right w:val="none" w:sz="0" w:space="0" w:color="auto"/>
              </w:divBdr>
            </w:div>
            <w:div w:id="1350567179">
              <w:marLeft w:val="0"/>
              <w:marRight w:val="0"/>
              <w:marTop w:val="0"/>
              <w:marBottom w:val="240"/>
              <w:divBdr>
                <w:top w:val="none" w:sz="0" w:space="0" w:color="auto"/>
                <w:left w:val="none" w:sz="0" w:space="0" w:color="auto"/>
                <w:bottom w:val="none" w:sz="0" w:space="0" w:color="auto"/>
                <w:right w:val="none" w:sz="0" w:space="0" w:color="auto"/>
              </w:divBdr>
            </w:div>
            <w:div w:id="2009599858">
              <w:marLeft w:val="0"/>
              <w:marRight w:val="0"/>
              <w:marTop w:val="0"/>
              <w:marBottom w:val="240"/>
              <w:divBdr>
                <w:top w:val="none" w:sz="0" w:space="0" w:color="auto"/>
                <w:left w:val="none" w:sz="0" w:space="0" w:color="auto"/>
                <w:bottom w:val="none" w:sz="0" w:space="0" w:color="auto"/>
                <w:right w:val="none" w:sz="0" w:space="0" w:color="auto"/>
              </w:divBdr>
            </w:div>
            <w:div w:id="300767700">
              <w:marLeft w:val="0"/>
              <w:marRight w:val="0"/>
              <w:marTop w:val="0"/>
              <w:marBottom w:val="240"/>
              <w:divBdr>
                <w:top w:val="none" w:sz="0" w:space="0" w:color="auto"/>
                <w:left w:val="none" w:sz="0" w:space="0" w:color="auto"/>
                <w:bottom w:val="none" w:sz="0" w:space="0" w:color="auto"/>
                <w:right w:val="none" w:sz="0" w:space="0" w:color="auto"/>
              </w:divBdr>
            </w:div>
            <w:div w:id="707729838">
              <w:marLeft w:val="0"/>
              <w:marRight w:val="0"/>
              <w:marTop w:val="0"/>
              <w:marBottom w:val="240"/>
              <w:divBdr>
                <w:top w:val="none" w:sz="0" w:space="0" w:color="auto"/>
                <w:left w:val="none" w:sz="0" w:space="0" w:color="auto"/>
                <w:bottom w:val="none" w:sz="0" w:space="0" w:color="auto"/>
                <w:right w:val="none" w:sz="0" w:space="0" w:color="auto"/>
              </w:divBdr>
            </w:div>
            <w:div w:id="971600287">
              <w:marLeft w:val="0"/>
              <w:marRight w:val="0"/>
              <w:marTop w:val="0"/>
              <w:marBottom w:val="240"/>
              <w:divBdr>
                <w:top w:val="none" w:sz="0" w:space="0" w:color="auto"/>
                <w:left w:val="none" w:sz="0" w:space="0" w:color="auto"/>
                <w:bottom w:val="none" w:sz="0" w:space="0" w:color="auto"/>
                <w:right w:val="none" w:sz="0" w:space="0" w:color="auto"/>
              </w:divBdr>
            </w:div>
            <w:div w:id="363791154">
              <w:marLeft w:val="0"/>
              <w:marRight w:val="0"/>
              <w:marTop w:val="0"/>
              <w:marBottom w:val="240"/>
              <w:divBdr>
                <w:top w:val="none" w:sz="0" w:space="0" w:color="auto"/>
                <w:left w:val="none" w:sz="0" w:space="0" w:color="auto"/>
                <w:bottom w:val="none" w:sz="0" w:space="0" w:color="auto"/>
                <w:right w:val="none" w:sz="0" w:space="0" w:color="auto"/>
              </w:divBdr>
            </w:div>
            <w:div w:id="799617676">
              <w:marLeft w:val="0"/>
              <w:marRight w:val="0"/>
              <w:marTop w:val="0"/>
              <w:marBottom w:val="240"/>
              <w:divBdr>
                <w:top w:val="none" w:sz="0" w:space="0" w:color="auto"/>
                <w:left w:val="none" w:sz="0" w:space="0" w:color="auto"/>
                <w:bottom w:val="none" w:sz="0" w:space="0" w:color="auto"/>
                <w:right w:val="none" w:sz="0" w:space="0" w:color="auto"/>
              </w:divBdr>
            </w:div>
            <w:div w:id="988629681">
              <w:marLeft w:val="0"/>
              <w:marRight w:val="0"/>
              <w:marTop w:val="0"/>
              <w:marBottom w:val="240"/>
              <w:divBdr>
                <w:top w:val="none" w:sz="0" w:space="0" w:color="auto"/>
                <w:left w:val="none" w:sz="0" w:space="0" w:color="auto"/>
                <w:bottom w:val="none" w:sz="0" w:space="0" w:color="auto"/>
                <w:right w:val="none" w:sz="0" w:space="0" w:color="auto"/>
              </w:divBdr>
            </w:div>
            <w:div w:id="1935745504">
              <w:marLeft w:val="0"/>
              <w:marRight w:val="0"/>
              <w:marTop w:val="0"/>
              <w:marBottom w:val="240"/>
              <w:divBdr>
                <w:top w:val="none" w:sz="0" w:space="0" w:color="auto"/>
                <w:left w:val="none" w:sz="0" w:space="0" w:color="auto"/>
                <w:bottom w:val="none" w:sz="0" w:space="0" w:color="auto"/>
                <w:right w:val="none" w:sz="0" w:space="0" w:color="auto"/>
              </w:divBdr>
            </w:div>
            <w:div w:id="857044851">
              <w:marLeft w:val="0"/>
              <w:marRight w:val="0"/>
              <w:marTop w:val="0"/>
              <w:marBottom w:val="240"/>
              <w:divBdr>
                <w:top w:val="none" w:sz="0" w:space="0" w:color="auto"/>
                <w:left w:val="none" w:sz="0" w:space="0" w:color="auto"/>
                <w:bottom w:val="none" w:sz="0" w:space="0" w:color="auto"/>
                <w:right w:val="none" w:sz="0" w:space="0" w:color="auto"/>
              </w:divBdr>
            </w:div>
            <w:div w:id="815993189">
              <w:marLeft w:val="0"/>
              <w:marRight w:val="0"/>
              <w:marTop w:val="0"/>
              <w:marBottom w:val="240"/>
              <w:divBdr>
                <w:top w:val="none" w:sz="0" w:space="0" w:color="auto"/>
                <w:left w:val="none" w:sz="0" w:space="0" w:color="auto"/>
                <w:bottom w:val="none" w:sz="0" w:space="0" w:color="auto"/>
                <w:right w:val="none" w:sz="0" w:space="0" w:color="auto"/>
              </w:divBdr>
            </w:div>
            <w:div w:id="1345203140">
              <w:marLeft w:val="0"/>
              <w:marRight w:val="0"/>
              <w:marTop w:val="0"/>
              <w:marBottom w:val="240"/>
              <w:divBdr>
                <w:top w:val="none" w:sz="0" w:space="0" w:color="auto"/>
                <w:left w:val="none" w:sz="0" w:space="0" w:color="auto"/>
                <w:bottom w:val="none" w:sz="0" w:space="0" w:color="auto"/>
                <w:right w:val="none" w:sz="0" w:space="0" w:color="auto"/>
              </w:divBdr>
            </w:div>
            <w:div w:id="421149259">
              <w:marLeft w:val="0"/>
              <w:marRight w:val="0"/>
              <w:marTop w:val="0"/>
              <w:marBottom w:val="240"/>
              <w:divBdr>
                <w:top w:val="none" w:sz="0" w:space="0" w:color="auto"/>
                <w:left w:val="none" w:sz="0" w:space="0" w:color="auto"/>
                <w:bottom w:val="none" w:sz="0" w:space="0" w:color="auto"/>
                <w:right w:val="none" w:sz="0" w:space="0" w:color="auto"/>
              </w:divBdr>
            </w:div>
            <w:div w:id="1716469675">
              <w:marLeft w:val="0"/>
              <w:marRight w:val="0"/>
              <w:marTop w:val="0"/>
              <w:marBottom w:val="240"/>
              <w:divBdr>
                <w:top w:val="none" w:sz="0" w:space="0" w:color="auto"/>
                <w:left w:val="none" w:sz="0" w:space="0" w:color="auto"/>
                <w:bottom w:val="none" w:sz="0" w:space="0" w:color="auto"/>
                <w:right w:val="none" w:sz="0" w:space="0" w:color="auto"/>
              </w:divBdr>
            </w:div>
            <w:div w:id="733551417">
              <w:marLeft w:val="0"/>
              <w:marRight w:val="0"/>
              <w:marTop w:val="0"/>
              <w:marBottom w:val="240"/>
              <w:divBdr>
                <w:top w:val="none" w:sz="0" w:space="0" w:color="auto"/>
                <w:left w:val="none" w:sz="0" w:space="0" w:color="auto"/>
                <w:bottom w:val="none" w:sz="0" w:space="0" w:color="auto"/>
                <w:right w:val="none" w:sz="0" w:space="0" w:color="auto"/>
              </w:divBdr>
            </w:div>
            <w:div w:id="1612663752">
              <w:marLeft w:val="0"/>
              <w:marRight w:val="0"/>
              <w:marTop w:val="0"/>
              <w:marBottom w:val="240"/>
              <w:divBdr>
                <w:top w:val="none" w:sz="0" w:space="0" w:color="auto"/>
                <w:left w:val="none" w:sz="0" w:space="0" w:color="auto"/>
                <w:bottom w:val="none" w:sz="0" w:space="0" w:color="auto"/>
                <w:right w:val="none" w:sz="0" w:space="0" w:color="auto"/>
              </w:divBdr>
            </w:div>
            <w:div w:id="1365323738">
              <w:marLeft w:val="0"/>
              <w:marRight w:val="0"/>
              <w:marTop w:val="0"/>
              <w:marBottom w:val="240"/>
              <w:divBdr>
                <w:top w:val="none" w:sz="0" w:space="0" w:color="auto"/>
                <w:left w:val="none" w:sz="0" w:space="0" w:color="auto"/>
                <w:bottom w:val="none" w:sz="0" w:space="0" w:color="auto"/>
                <w:right w:val="none" w:sz="0" w:space="0" w:color="auto"/>
              </w:divBdr>
            </w:div>
            <w:div w:id="1305038229">
              <w:marLeft w:val="0"/>
              <w:marRight w:val="0"/>
              <w:marTop w:val="0"/>
              <w:marBottom w:val="240"/>
              <w:divBdr>
                <w:top w:val="none" w:sz="0" w:space="0" w:color="auto"/>
                <w:left w:val="none" w:sz="0" w:space="0" w:color="auto"/>
                <w:bottom w:val="none" w:sz="0" w:space="0" w:color="auto"/>
                <w:right w:val="none" w:sz="0" w:space="0" w:color="auto"/>
              </w:divBdr>
            </w:div>
            <w:div w:id="1661152277">
              <w:marLeft w:val="0"/>
              <w:marRight w:val="0"/>
              <w:marTop w:val="0"/>
              <w:marBottom w:val="240"/>
              <w:divBdr>
                <w:top w:val="none" w:sz="0" w:space="0" w:color="auto"/>
                <w:left w:val="none" w:sz="0" w:space="0" w:color="auto"/>
                <w:bottom w:val="none" w:sz="0" w:space="0" w:color="auto"/>
                <w:right w:val="none" w:sz="0" w:space="0" w:color="auto"/>
              </w:divBdr>
            </w:div>
            <w:div w:id="681863462">
              <w:marLeft w:val="0"/>
              <w:marRight w:val="0"/>
              <w:marTop w:val="0"/>
              <w:marBottom w:val="240"/>
              <w:divBdr>
                <w:top w:val="none" w:sz="0" w:space="0" w:color="auto"/>
                <w:left w:val="none" w:sz="0" w:space="0" w:color="auto"/>
                <w:bottom w:val="none" w:sz="0" w:space="0" w:color="auto"/>
                <w:right w:val="none" w:sz="0" w:space="0" w:color="auto"/>
              </w:divBdr>
            </w:div>
            <w:div w:id="130096853">
              <w:marLeft w:val="0"/>
              <w:marRight w:val="0"/>
              <w:marTop w:val="0"/>
              <w:marBottom w:val="240"/>
              <w:divBdr>
                <w:top w:val="none" w:sz="0" w:space="0" w:color="auto"/>
                <w:left w:val="none" w:sz="0" w:space="0" w:color="auto"/>
                <w:bottom w:val="none" w:sz="0" w:space="0" w:color="auto"/>
                <w:right w:val="none" w:sz="0" w:space="0" w:color="auto"/>
              </w:divBdr>
            </w:div>
            <w:div w:id="1650596561">
              <w:marLeft w:val="0"/>
              <w:marRight w:val="0"/>
              <w:marTop w:val="0"/>
              <w:marBottom w:val="240"/>
              <w:divBdr>
                <w:top w:val="none" w:sz="0" w:space="0" w:color="auto"/>
                <w:left w:val="none" w:sz="0" w:space="0" w:color="auto"/>
                <w:bottom w:val="none" w:sz="0" w:space="0" w:color="auto"/>
                <w:right w:val="none" w:sz="0" w:space="0" w:color="auto"/>
              </w:divBdr>
            </w:div>
            <w:div w:id="1471745406">
              <w:marLeft w:val="0"/>
              <w:marRight w:val="0"/>
              <w:marTop w:val="0"/>
              <w:marBottom w:val="240"/>
              <w:divBdr>
                <w:top w:val="none" w:sz="0" w:space="0" w:color="auto"/>
                <w:left w:val="none" w:sz="0" w:space="0" w:color="auto"/>
                <w:bottom w:val="none" w:sz="0" w:space="0" w:color="auto"/>
                <w:right w:val="none" w:sz="0" w:space="0" w:color="auto"/>
              </w:divBdr>
            </w:div>
            <w:div w:id="614018378">
              <w:marLeft w:val="0"/>
              <w:marRight w:val="0"/>
              <w:marTop w:val="0"/>
              <w:marBottom w:val="240"/>
              <w:divBdr>
                <w:top w:val="none" w:sz="0" w:space="0" w:color="auto"/>
                <w:left w:val="none" w:sz="0" w:space="0" w:color="auto"/>
                <w:bottom w:val="none" w:sz="0" w:space="0" w:color="auto"/>
                <w:right w:val="none" w:sz="0" w:space="0" w:color="auto"/>
              </w:divBdr>
            </w:div>
            <w:div w:id="1930499641">
              <w:marLeft w:val="0"/>
              <w:marRight w:val="0"/>
              <w:marTop w:val="0"/>
              <w:marBottom w:val="240"/>
              <w:divBdr>
                <w:top w:val="none" w:sz="0" w:space="0" w:color="auto"/>
                <w:left w:val="none" w:sz="0" w:space="0" w:color="auto"/>
                <w:bottom w:val="none" w:sz="0" w:space="0" w:color="auto"/>
                <w:right w:val="none" w:sz="0" w:space="0" w:color="auto"/>
              </w:divBdr>
            </w:div>
            <w:div w:id="130052565">
              <w:marLeft w:val="0"/>
              <w:marRight w:val="0"/>
              <w:marTop w:val="0"/>
              <w:marBottom w:val="240"/>
              <w:divBdr>
                <w:top w:val="none" w:sz="0" w:space="0" w:color="auto"/>
                <w:left w:val="none" w:sz="0" w:space="0" w:color="auto"/>
                <w:bottom w:val="none" w:sz="0" w:space="0" w:color="auto"/>
                <w:right w:val="none" w:sz="0" w:space="0" w:color="auto"/>
              </w:divBdr>
            </w:div>
            <w:div w:id="311758793">
              <w:marLeft w:val="0"/>
              <w:marRight w:val="0"/>
              <w:marTop w:val="0"/>
              <w:marBottom w:val="240"/>
              <w:divBdr>
                <w:top w:val="none" w:sz="0" w:space="0" w:color="auto"/>
                <w:left w:val="none" w:sz="0" w:space="0" w:color="auto"/>
                <w:bottom w:val="none" w:sz="0" w:space="0" w:color="auto"/>
                <w:right w:val="none" w:sz="0" w:space="0" w:color="auto"/>
              </w:divBdr>
            </w:div>
            <w:div w:id="200897728">
              <w:marLeft w:val="0"/>
              <w:marRight w:val="0"/>
              <w:marTop w:val="0"/>
              <w:marBottom w:val="240"/>
              <w:divBdr>
                <w:top w:val="none" w:sz="0" w:space="0" w:color="auto"/>
                <w:left w:val="none" w:sz="0" w:space="0" w:color="auto"/>
                <w:bottom w:val="none" w:sz="0" w:space="0" w:color="auto"/>
                <w:right w:val="none" w:sz="0" w:space="0" w:color="auto"/>
              </w:divBdr>
            </w:div>
            <w:div w:id="489374711">
              <w:marLeft w:val="0"/>
              <w:marRight w:val="0"/>
              <w:marTop w:val="0"/>
              <w:marBottom w:val="240"/>
              <w:divBdr>
                <w:top w:val="none" w:sz="0" w:space="0" w:color="auto"/>
                <w:left w:val="none" w:sz="0" w:space="0" w:color="auto"/>
                <w:bottom w:val="none" w:sz="0" w:space="0" w:color="auto"/>
                <w:right w:val="none" w:sz="0" w:space="0" w:color="auto"/>
              </w:divBdr>
            </w:div>
            <w:div w:id="1748382310">
              <w:marLeft w:val="0"/>
              <w:marRight w:val="0"/>
              <w:marTop w:val="0"/>
              <w:marBottom w:val="240"/>
              <w:divBdr>
                <w:top w:val="none" w:sz="0" w:space="0" w:color="auto"/>
                <w:left w:val="none" w:sz="0" w:space="0" w:color="auto"/>
                <w:bottom w:val="none" w:sz="0" w:space="0" w:color="auto"/>
                <w:right w:val="none" w:sz="0" w:space="0" w:color="auto"/>
              </w:divBdr>
            </w:div>
            <w:div w:id="132529884">
              <w:marLeft w:val="0"/>
              <w:marRight w:val="0"/>
              <w:marTop w:val="0"/>
              <w:marBottom w:val="240"/>
              <w:divBdr>
                <w:top w:val="none" w:sz="0" w:space="0" w:color="auto"/>
                <w:left w:val="none" w:sz="0" w:space="0" w:color="auto"/>
                <w:bottom w:val="none" w:sz="0" w:space="0" w:color="auto"/>
                <w:right w:val="none" w:sz="0" w:space="0" w:color="auto"/>
              </w:divBdr>
            </w:div>
            <w:div w:id="482235644">
              <w:marLeft w:val="0"/>
              <w:marRight w:val="0"/>
              <w:marTop w:val="0"/>
              <w:marBottom w:val="240"/>
              <w:divBdr>
                <w:top w:val="none" w:sz="0" w:space="0" w:color="auto"/>
                <w:left w:val="none" w:sz="0" w:space="0" w:color="auto"/>
                <w:bottom w:val="none" w:sz="0" w:space="0" w:color="auto"/>
                <w:right w:val="none" w:sz="0" w:space="0" w:color="auto"/>
              </w:divBdr>
            </w:div>
            <w:div w:id="1790317292">
              <w:marLeft w:val="0"/>
              <w:marRight w:val="0"/>
              <w:marTop w:val="0"/>
              <w:marBottom w:val="240"/>
              <w:divBdr>
                <w:top w:val="none" w:sz="0" w:space="0" w:color="auto"/>
                <w:left w:val="none" w:sz="0" w:space="0" w:color="auto"/>
                <w:bottom w:val="none" w:sz="0" w:space="0" w:color="auto"/>
                <w:right w:val="none" w:sz="0" w:space="0" w:color="auto"/>
              </w:divBdr>
            </w:div>
            <w:div w:id="1838378070">
              <w:marLeft w:val="0"/>
              <w:marRight w:val="0"/>
              <w:marTop w:val="0"/>
              <w:marBottom w:val="240"/>
              <w:divBdr>
                <w:top w:val="none" w:sz="0" w:space="0" w:color="auto"/>
                <w:left w:val="none" w:sz="0" w:space="0" w:color="auto"/>
                <w:bottom w:val="none" w:sz="0" w:space="0" w:color="auto"/>
                <w:right w:val="none" w:sz="0" w:space="0" w:color="auto"/>
              </w:divBdr>
            </w:div>
            <w:div w:id="1102261899">
              <w:marLeft w:val="0"/>
              <w:marRight w:val="0"/>
              <w:marTop w:val="0"/>
              <w:marBottom w:val="240"/>
              <w:divBdr>
                <w:top w:val="none" w:sz="0" w:space="0" w:color="auto"/>
                <w:left w:val="none" w:sz="0" w:space="0" w:color="auto"/>
                <w:bottom w:val="none" w:sz="0" w:space="0" w:color="auto"/>
                <w:right w:val="none" w:sz="0" w:space="0" w:color="auto"/>
              </w:divBdr>
            </w:div>
            <w:div w:id="488636463">
              <w:marLeft w:val="0"/>
              <w:marRight w:val="0"/>
              <w:marTop w:val="0"/>
              <w:marBottom w:val="240"/>
              <w:divBdr>
                <w:top w:val="none" w:sz="0" w:space="0" w:color="auto"/>
                <w:left w:val="none" w:sz="0" w:space="0" w:color="auto"/>
                <w:bottom w:val="none" w:sz="0" w:space="0" w:color="auto"/>
                <w:right w:val="none" w:sz="0" w:space="0" w:color="auto"/>
              </w:divBdr>
            </w:div>
            <w:div w:id="312106204">
              <w:marLeft w:val="0"/>
              <w:marRight w:val="0"/>
              <w:marTop w:val="0"/>
              <w:marBottom w:val="240"/>
              <w:divBdr>
                <w:top w:val="none" w:sz="0" w:space="0" w:color="auto"/>
                <w:left w:val="none" w:sz="0" w:space="0" w:color="auto"/>
                <w:bottom w:val="none" w:sz="0" w:space="0" w:color="auto"/>
                <w:right w:val="none" w:sz="0" w:space="0" w:color="auto"/>
              </w:divBdr>
            </w:div>
            <w:div w:id="400368913">
              <w:marLeft w:val="0"/>
              <w:marRight w:val="0"/>
              <w:marTop w:val="0"/>
              <w:marBottom w:val="240"/>
              <w:divBdr>
                <w:top w:val="none" w:sz="0" w:space="0" w:color="auto"/>
                <w:left w:val="none" w:sz="0" w:space="0" w:color="auto"/>
                <w:bottom w:val="none" w:sz="0" w:space="0" w:color="auto"/>
                <w:right w:val="none" w:sz="0" w:space="0" w:color="auto"/>
              </w:divBdr>
            </w:div>
            <w:div w:id="389891120">
              <w:marLeft w:val="0"/>
              <w:marRight w:val="0"/>
              <w:marTop w:val="0"/>
              <w:marBottom w:val="240"/>
              <w:divBdr>
                <w:top w:val="none" w:sz="0" w:space="0" w:color="auto"/>
                <w:left w:val="none" w:sz="0" w:space="0" w:color="auto"/>
                <w:bottom w:val="none" w:sz="0" w:space="0" w:color="auto"/>
                <w:right w:val="none" w:sz="0" w:space="0" w:color="auto"/>
              </w:divBdr>
            </w:div>
            <w:div w:id="266280813">
              <w:marLeft w:val="0"/>
              <w:marRight w:val="0"/>
              <w:marTop w:val="0"/>
              <w:marBottom w:val="240"/>
              <w:divBdr>
                <w:top w:val="none" w:sz="0" w:space="0" w:color="auto"/>
                <w:left w:val="none" w:sz="0" w:space="0" w:color="auto"/>
                <w:bottom w:val="none" w:sz="0" w:space="0" w:color="auto"/>
                <w:right w:val="none" w:sz="0" w:space="0" w:color="auto"/>
              </w:divBdr>
            </w:div>
            <w:div w:id="652411667">
              <w:marLeft w:val="0"/>
              <w:marRight w:val="0"/>
              <w:marTop w:val="0"/>
              <w:marBottom w:val="240"/>
              <w:divBdr>
                <w:top w:val="none" w:sz="0" w:space="0" w:color="auto"/>
                <w:left w:val="none" w:sz="0" w:space="0" w:color="auto"/>
                <w:bottom w:val="none" w:sz="0" w:space="0" w:color="auto"/>
                <w:right w:val="none" w:sz="0" w:space="0" w:color="auto"/>
              </w:divBdr>
            </w:div>
            <w:div w:id="164177480">
              <w:marLeft w:val="0"/>
              <w:marRight w:val="0"/>
              <w:marTop w:val="0"/>
              <w:marBottom w:val="240"/>
              <w:divBdr>
                <w:top w:val="none" w:sz="0" w:space="0" w:color="auto"/>
                <w:left w:val="none" w:sz="0" w:space="0" w:color="auto"/>
                <w:bottom w:val="none" w:sz="0" w:space="0" w:color="auto"/>
                <w:right w:val="none" w:sz="0" w:space="0" w:color="auto"/>
              </w:divBdr>
            </w:div>
            <w:div w:id="969359045">
              <w:marLeft w:val="0"/>
              <w:marRight w:val="0"/>
              <w:marTop w:val="0"/>
              <w:marBottom w:val="240"/>
              <w:divBdr>
                <w:top w:val="none" w:sz="0" w:space="0" w:color="auto"/>
                <w:left w:val="none" w:sz="0" w:space="0" w:color="auto"/>
                <w:bottom w:val="none" w:sz="0" w:space="0" w:color="auto"/>
                <w:right w:val="none" w:sz="0" w:space="0" w:color="auto"/>
              </w:divBdr>
            </w:div>
            <w:div w:id="953832551">
              <w:marLeft w:val="0"/>
              <w:marRight w:val="0"/>
              <w:marTop w:val="0"/>
              <w:marBottom w:val="240"/>
              <w:divBdr>
                <w:top w:val="none" w:sz="0" w:space="0" w:color="auto"/>
                <w:left w:val="none" w:sz="0" w:space="0" w:color="auto"/>
                <w:bottom w:val="none" w:sz="0" w:space="0" w:color="auto"/>
                <w:right w:val="none" w:sz="0" w:space="0" w:color="auto"/>
              </w:divBdr>
            </w:div>
            <w:div w:id="471294392">
              <w:marLeft w:val="0"/>
              <w:marRight w:val="0"/>
              <w:marTop w:val="0"/>
              <w:marBottom w:val="240"/>
              <w:divBdr>
                <w:top w:val="none" w:sz="0" w:space="0" w:color="auto"/>
                <w:left w:val="none" w:sz="0" w:space="0" w:color="auto"/>
                <w:bottom w:val="none" w:sz="0" w:space="0" w:color="auto"/>
                <w:right w:val="none" w:sz="0" w:space="0" w:color="auto"/>
              </w:divBdr>
            </w:div>
            <w:div w:id="1876037961">
              <w:marLeft w:val="0"/>
              <w:marRight w:val="0"/>
              <w:marTop w:val="0"/>
              <w:marBottom w:val="240"/>
              <w:divBdr>
                <w:top w:val="none" w:sz="0" w:space="0" w:color="auto"/>
                <w:left w:val="none" w:sz="0" w:space="0" w:color="auto"/>
                <w:bottom w:val="none" w:sz="0" w:space="0" w:color="auto"/>
                <w:right w:val="none" w:sz="0" w:space="0" w:color="auto"/>
              </w:divBdr>
            </w:div>
            <w:div w:id="836847846">
              <w:marLeft w:val="0"/>
              <w:marRight w:val="0"/>
              <w:marTop w:val="0"/>
              <w:marBottom w:val="240"/>
              <w:divBdr>
                <w:top w:val="none" w:sz="0" w:space="0" w:color="auto"/>
                <w:left w:val="none" w:sz="0" w:space="0" w:color="auto"/>
                <w:bottom w:val="none" w:sz="0" w:space="0" w:color="auto"/>
                <w:right w:val="none" w:sz="0" w:space="0" w:color="auto"/>
              </w:divBdr>
            </w:div>
            <w:div w:id="753668286">
              <w:marLeft w:val="0"/>
              <w:marRight w:val="0"/>
              <w:marTop w:val="0"/>
              <w:marBottom w:val="240"/>
              <w:divBdr>
                <w:top w:val="none" w:sz="0" w:space="0" w:color="auto"/>
                <w:left w:val="none" w:sz="0" w:space="0" w:color="auto"/>
                <w:bottom w:val="none" w:sz="0" w:space="0" w:color="auto"/>
                <w:right w:val="none" w:sz="0" w:space="0" w:color="auto"/>
              </w:divBdr>
            </w:div>
            <w:div w:id="1367872655">
              <w:marLeft w:val="0"/>
              <w:marRight w:val="0"/>
              <w:marTop w:val="0"/>
              <w:marBottom w:val="240"/>
              <w:divBdr>
                <w:top w:val="none" w:sz="0" w:space="0" w:color="auto"/>
                <w:left w:val="none" w:sz="0" w:space="0" w:color="auto"/>
                <w:bottom w:val="none" w:sz="0" w:space="0" w:color="auto"/>
                <w:right w:val="none" w:sz="0" w:space="0" w:color="auto"/>
              </w:divBdr>
            </w:div>
            <w:div w:id="1113862484">
              <w:marLeft w:val="0"/>
              <w:marRight w:val="0"/>
              <w:marTop w:val="0"/>
              <w:marBottom w:val="240"/>
              <w:divBdr>
                <w:top w:val="none" w:sz="0" w:space="0" w:color="auto"/>
                <w:left w:val="none" w:sz="0" w:space="0" w:color="auto"/>
                <w:bottom w:val="none" w:sz="0" w:space="0" w:color="auto"/>
                <w:right w:val="none" w:sz="0" w:space="0" w:color="auto"/>
              </w:divBdr>
            </w:div>
            <w:div w:id="1787894215">
              <w:marLeft w:val="0"/>
              <w:marRight w:val="0"/>
              <w:marTop w:val="0"/>
              <w:marBottom w:val="240"/>
              <w:divBdr>
                <w:top w:val="none" w:sz="0" w:space="0" w:color="auto"/>
                <w:left w:val="none" w:sz="0" w:space="0" w:color="auto"/>
                <w:bottom w:val="none" w:sz="0" w:space="0" w:color="auto"/>
                <w:right w:val="none" w:sz="0" w:space="0" w:color="auto"/>
              </w:divBdr>
            </w:div>
            <w:div w:id="31079521">
              <w:marLeft w:val="0"/>
              <w:marRight w:val="0"/>
              <w:marTop w:val="0"/>
              <w:marBottom w:val="240"/>
              <w:divBdr>
                <w:top w:val="none" w:sz="0" w:space="0" w:color="auto"/>
                <w:left w:val="none" w:sz="0" w:space="0" w:color="auto"/>
                <w:bottom w:val="none" w:sz="0" w:space="0" w:color="auto"/>
                <w:right w:val="none" w:sz="0" w:space="0" w:color="auto"/>
              </w:divBdr>
            </w:div>
            <w:div w:id="1856532048">
              <w:marLeft w:val="0"/>
              <w:marRight w:val="0"/>
              <w:marTop w:val="0"/>
              <w:marBottom w:val="240"/>
              <w:divBdr>
                <w:top w:val="none" w:sz="0" w:space="0" w:color="auto"/>
                <w:left w:val="none" w:sz="0" w:space="0" w:color="auto"/>
                <w:bottom w:val="none" w:sz="0" w:space="0" w:color="auto"/>
                <w:right w:val="none" w:sz="0" w:space="0" w:color="auto"/>
              </w:divBdr>
            </w:div>
            <w:div w:id="7186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555784">
      <w:bodyDiv w:val="1"/>
      <w:marLeft w:val="0"/>
      <w:marRight w:val="0"/>
      <w:marTop w:val="0"/>
      <w:marBottom w:val="0"/>
      <w:divBdr>
        <w:top w:val="none" w:sz="0" w:space="0" w:color="auto"/>
        <w:left w:val="none" w:sz="0" w:space="0" w:color="auto"/>
        <w:bottom w:val="none" w:sz="0" w:space="0" w:color="auto"/>
        <w:right w:val="none" w:sz="0" w:space="0" w:color="auto"/>
      </w:divBdr>
      <w:divsChild>
        <w:div w:id="1023822432">
          <w:marLeft w:val="480"/>
          <w:marRight w:val="0"/>
          <w:marTop w:val="0"/>
          <w:marBottom w:val="0"/>
          <w:divBdr>
            <w:top w:val="none" w:sz="0" w:space="0" w:color="auto"/>
            <w:left w:val="none" w:sz="0" w:space="0" w:color="auto"/>
            <w:bottom w:val="none" w:sz="0" w:space="0" w:color="auto"/>
            <w:right w:val="none" w:sz="0" w:space="0" w:color="auto"/>
          </w:divBdr>
          <w:divsChild>
            <w:div w:id="852499904">
              <w:marLeft w:val="0"/>
              <w:marRight w:val="0"/>
              <w:marTop w:val="0"/>
              <w:marBottom w:val="240"/>
              <w:divBdr>
                <w:top w:val="none" w:sz="0" w:space="0" w:color="auto"/>
                <w:left w:val="none" w:sz="0" w:space="0" w:color="auto"/>
                <w:bottom w:val="none" w:sz="0" w:space="0" w:color="auto"/>
                <w:right w:val="none" w:sz="0" w:space="0" w:color="auto"/>
              </w:divBdr>
            </w:div>
            <w:div w:id="1551110888">
              <w:marLeft w:val="0"/>
              <w:marRight w:val="0"/>
              <w:marTop w:val="0"/>
              <w:marBottom w:val="240"/>
              <w:divBdr>
                <w:top w:val="none" w:sz="0" w:space="0" w:color="auto"/>
                <w:left w:val="none" w:sz="0" w:space="0" w:color="auto"/>
                <w:bottom w:val="none" w:sz="0" w:space="0" w:color="auto"/>
                <w:right w:val="none" w:sz="0" w:space="0" w:color="auto"/>
              </w:divBdr>
            </w:div>
            <w:div w:id="1662274170">
              <w:marLeft w:val="0"/>
              <w:marRight w:val="0"/>
              <w:marTop w:val="0"/>
              <w:marBottom w:val="240"/>
              <w:divBdr>
                <w:top w:val="none" w:sz="0" w:space="0" w:color="auto"/>
                <w:left w:val="none" w:sz="0" w:space="0" w:color="auto"/>
                <w:bottom w:val="none" w:sz="0" w:space="0" w:color="auto"/>
                <w:right w:val="none" w:sz="0" w:space="0" w:color="auto"/>
              </w:divBdr>
            </w:div>
            <w:div w:id="1475684357">
              <w:marLeft w:val="0"/>
              <w:marRight w:val="0"/>
              <w:marTop w:val="0"/>
              <w:marBottom w:val="240"/>
              <w:divBdr>
                <w:top w:val="none" w:sz="0" w:space="0" w:color="auto"/>
                <w:left w:val="none" w:sz="0" w:space="0" w:color="auto"/>
                <w:bottom w:val="none" w:sz="0" w:space="0" w:color="auto"/>
                <w:right w:val="none" w:sz="0" w:space="0" w:color="auto"/>
              </w:divBdr>
            </w:div>
            <w:div w:id="1368606891">
              <w:marLeft w:val="0"/>
              <w:marRight w:val="0"/>
              <w:marTop w:val="0"/>
              <w:marBottom w:val="240"/>
              <w:divBdr>
                <w:top w:val="none" w:sz="0" w:space="0" w:color="auto"/>
                <w:left w:val="none" w:sz="0" w:space="0" w:color="auto"/>
                <w:bottom w:val="none" w:sz="0" w:space="0" w:color="auto"/>
                <w:right w:val="none" w:sz="0" w:space="0" w:color="auto"/>
              </w:divBdr>
            </w:div>
            <w:div w:id="1435324414">
              <w:marLeft w:val="0"/>
              <w:marRight w:val="0"/>
              <w:marTop w:val="0"/>
              <w:marBottom w:val="240"/>
              <w:divBdr>
                <w:top w:val="none" w:sz="0" w:space="0" w:color="auto"/>
                <w:left w:val="none" w:sz="0" w:space="0" w:color="auto"/>
                <w:bottom w:val="none" w:sz="0" w:space="0" w:color="auto"/>
                <w:right w:val="none" w:sz="0" w:space="0" w:color="auto"/>
              </w:divBdr>
            </w:div>
            <w:div w:id="1744374402">
              <w:marLeft w:val="0"/>
              <w:marRight w:val="0"/>
              <w:marTop w:val="0"/>
              <w:marBottom w:val="240"/>
              <w:divBdr>
                <w:top w:val="none" w:sz="0" w:space="0" w:color="auto"/>
                <w:left w:val="none" w:sz="0" w:space="0" w:color="auto"/>
                <w:bottom w:val="none" w:sz="0" w:space="0" w:color="auto"/>
                <w:right w:val="none" w:sz="0" w:space="0" w:color="auto"/>
              </w:divBdr>
            </w:div>
            <w:div w:id="422844944">
              <w:marLeft w:val="0"/>
              <w:marRight w:val="0"/>
              <w:marTop w:val="0"/>
              <w:marBottom w:val="240"/>
              <w:divBdr>
                <w:top w:val="none" w:sz="0" w:space="0" w:color="auto"/>
                <w:left w:val="none" w:sz="0" w:space="0" w:color="auto"/>
                <w:bottom w:val="none" w:sz="0" w:space="0" w:color="auto"/>
                <w:right w:val="none" w:sz="0" w:space="0" w:color="auto"/>
              </w:divBdr>
            </w:div>
            <w:div w:id="1528300319">
              <w:marLeft w:val="0"/>
              <w:marRight w:val="0"/>
              <w:marTop w:val="0"/>
              <w:marBottom w:val="240"/>
              <w:divBdr>
                <w:top w:val="none" w:sz="0" w:space="0" w:color="auto"/>
                <w:left w:val="none" w:sz="0" w:space="0" w:color="auto"/>
                <w:bottom w:val="none" w:sz="0" w:space="0" w:color="auto"/>
                <w:right w:val="none" w:sz="0" w:space="0" w:color="auto"/>
              </w:divBdr>
            </w:div>
            <w:div w:id="836847143">
              <w:marLeft w:val="0"/>
              <w:marRight w:val="0"/>
              <w:marTop w:val="0"/>
              <w:marBottom w:val="240"/>
              <w:divBdr>
                <w:top w:val="none" w:sz="0" w:space="0" w:color="auto"/>
                <w:left w:val="none" w:sz="0" w:space="0" w:color="auto"/>
                <w:bottom w:val="none" w:sz="0" w:space="0" w:color="auto"/>
                <w:right w:val="none" w:sz="0" w:space="0" w:color="auto"/>
              </w:divBdr>
            </w:div>
            <w:div w:id="1936669039">
              <w:marLeft w:val="0"/>
              <w:marRight w:val="0"/>
              <w:marTop w:val="0"/>
              <w:marBottom w:val="240"/>
              <w:divBdr>
                <w:top w:val="none" w:sz="0" w:space="0" w:color="auto"/>
                <w:left w:val="none" w:sz="0" w:space="0" w:color="auto"/>
                <w:bottom w:val="none" w:sz="0" w:space="0" w:color="auto"/>
                <w:right w:val="none" w:sz="0" w:space="0" w:color="auto"/>
              </w:divBdr>
            </w:div>
            <w:div w:id="1699773975">
              <w:marLeft w:val="0"/>
              <w:marRight w:val="0"/>
              <w:marTop w:val="0"/>
              <w:marBottom w:val="240"/>
              <w:divBdr>
                <w:top w:val="none" w:sz="0" w:space="0" w:color="auto"/>
                <w:left w:val="none" w:sz="0" w:space="0" w:color="auto"/>
                <w:bottom w:val="none" w:sz="0" w:space="0" w:color="auto"/>
                <w:right w:val="none" w:sz="0" w:space="0" w:color="auto"/>
              </w:divBdr>
            </w:div>
            <w:div w:id="1693872834">
              <w:marLeft w:val="0"/>
              <w:marRight w:val="0"/>
              <w:marTop w:val="0"/>
              <w:marBottom w:val="240"/>
              <w:divBdr>
                <w:top w:val="none" w:sz="0" w:space="0" w:color="auto"/>
                <w:left w:val="none" w:sz="0" w:space="0" w:color="auto"/>
                <w:bottom w:val="none" w:sz="0" w:space="0" w:color="auto"/>
                <w:right w:val="none" w:sz="0" w:space="0" w:color="auto"/>
              </w:divBdr>
            </w:div>
            <w:div w:id="726298818">
              <w:marLeft w:val="0"/>
              <w:marRight w:val="0"/>
              <w:marTop w:val="0"/>
              <w:marBottom w:val="240"/>
              <w:divBdr>
                <w:top w:val="none" w:sz="0" w:space="0" w:color="auto"/>
                <w:left w:val="none" w:sz="0" w:space="0" w:color="auto"/>
                <w:bottom w:val="none" w:sz="0" w:space="0" w:color="auto"/>
                <w:right w:val="none" w:sz="0" w:space="0" w:color="auto"/>
              </w:divBdr>
            </w:div>
            <w:div w:id="2048985818">
              <w:marLeft w:val="0"/>
              <w:marRight w:val="0"/>
              <w:marTop w:val="0"/>
              <w:marBottom w:val="240"/>
              <w:divBdr>
                <w:top w:val="none" w:sz="0" w:space="0" w:color="auto"/>
                <w:left w:val="none" w:sz="0" w:space="0" w:color="auto"/>
                <w:bottom w:val="none" w:sz="0" w:space="0" w:color="auto"/>
                <w:right w:val="none" w:sz="0" w:space="0" w:color="auto"/>
              </w:divBdr>
            </w:div>
            <w:div w:id="1767925741">
              <w:marLeft w:val="0"/>
              <w:marRight w:val="0"/>
              <w:marTop w:val="0"/>
              <w:marBottom w:val="240"/>
              <w:divBdr>
                <w:top w:val="none" w:sz="0" w:space="0" w:color="auto"/>
                <w:left w:val="none" w:sz="0" w:space="0" w:color="auto"/>
                <w:bottom w:val="none" w:sz="0" w:space="0" w:color="auto"/>
                <w:right w:val="none" w:sz="0" w:space="0" w:color="auto"/>
              </w:divBdr>
            </w:div>
            <w:div w:id="296299393">
              <w:marLeft w:val="0"/>
              <w:marRight w:val="0"/>
              <w:marTop w:val="0"/>
              <w:marBottom w:val="240"/>
              <w:divBdr>
                <w:top w:val="none" w:sz="0" w:space="0" w:color="auto"/>
                <w:left w:val="none" w:sz="0" w:space="0" w:color="auto"/>
                <w:bottom w:val="none" w:sz="0" w:space="0" w:color="auto"/>
                <w:right w:val="none" w:sz="0" w:space="0" w:color="auto"/>
              </w:divBdr>
            </w:div>
            <w:div w:id="283273494">
              <w:marLeft w:val="0"/>
              <w:marRight w:val="0"/>
              <w:marTop w:val="0"/>
              <w:marBottom w:val="240"/>
              <w:divBdr>
                <w:top w:val="none" w:sz="0" w:space="0" w:color="auto"/>
                <w:left w:val="none" w:sz="0" w:space="0" w:color="auto"/>
                <w:bottom w:val="none" w:sz="0" w:space="0" w:color="auto"/>
                <w:right w:val="none" w:sz="0" w:space="0" w:color="auto"/>
              </w:divBdr>
            </w:div>
            <w:div w:id="378672885">
              <w:marLeft w:val="0"/>
              <w:marRight w:val="0"/>
              <w:marTop w:val="0"/>
              <w:marBottom w:val="240"/>
              <w:divBdr>
                <w:top w:val="none" w:sz="0" w:space="0" w:color="auto"/>
                <w:left w:val="none" w:sz="0" w:space="0" w:color="auto"/>
                <w:bottom w:val="none" w:sz="0" w:space="0" w:color="auto"/>
                <w:right w:val="none" w:sz="0" w:space="0" w:color="auto"/>
              </w:divBdr>
            </w:div>
            <w:div w:id="1025669260">
              <w:marLeft w:val="0"/>
              <w:marRight w:val="0"/>
              <w:marTop w:val="0"/>
              <w:marBottom w:val="240"/>
              <w:divBdr>
                <w:top w:val="none" w:sz="0" w:space="0" w:color="auto"/>
                <w:left w:val="none" w:sz="0" w:space="0" w:color="auto"/>
                <w:bottom w:val="none" w:sz="0" w:space="0" w:color="auto"/>
                <w:right w:val="none" w:sz="0" w:space="0" w:color="auto"/>
              </w:divBdr>
            </w:div>
            <w:div w:id="1135680829">
              <w:marLeft w:val="0"/>
              <w:marRight w:val="0"/>
              <w:marTop w:val="0"/>
              <w:marBottom w:val="240"/>
              <w:divBdr>
                <w:top w:val="none" w:sz="0" w:space="0" w:color="auto"/>
                <w:left w:val="none" w:sz="0" w:space="0" w:color="auto"/>
                <w:bottom w:val="none" w:sz="0" w:space="0" w:color="auto"/>
                <w:right w:val="none" w:sz="0" w:space="0" w:color="auto"/>
              </w:divBdr>
            </w:div>
            <w:div w:id="1246064341">
              <w:marLeft w:val="0"/>
              <w:marRight w:val="0"/>
              <w:marTop w:val="0"/>
              <w:marBottom w:val="240"/>
              <w:divBdr>
                <w:top w:val="none" w:sz="0" w:space="0" w:color="auto"/>
                <w:left w:val="none" w:sz="0" w:space="0" w:color="auto"/>
                <w:bottom w:val="none" w:sz="0" w:space="0" w:color="auto"/>
                <w:right w:val="none" w:sz="0" w:space="0" w:color="auto"/>
              </w:divBdr>
            </w:div>
            <w:div w:id="60062469">
              <w:marLeft w:val="0"/>
              <w:marRight w:val="0"/>
              <w:marTop w:val="0"/>
              <w:marBottom w:val="240"/>
              <w:divBdr>
                <w:top w:val="none" w:sz="0" w:space="0" w:color="auto"/>
                <w:left w:val="none" w:sz="0" w:space="0" w:color="auto"/>
                <w:bottom w:val="none" w:sz="0" w:space="0" w:color="auto"/>
                <w:right w:val="none" w:sz="0" w:space="0" w:color="auto"/>
              </w:divBdr>
            </w:div>
            <w:div w:id="772439283">
              <w:marLeft w:val="0"/>
              <w:marRight w:val="0"/>
              <w:marTop w:val="0"/>
              <w:marBottom w:val="240"/>
              <w:divBdr>
                <w:top w:val="none" w:sz="0" w:space="0" w:color="auto"/>
                <w:left w:val="none" w:sz="0" w:space="0" w:color="auto"/>
                <w:bottom w:val="none" w:sz="0" w:space="0" w:color="auto"/>
                <w:right w:val="none" w:sz="0" w:space="0" w:color="auto"/>
              </w:divBdr>
            </w:div>
            <w:div w:id="631911569">
              <w:marLeft w:val="0"/>
              <w:marRight w:val="0"/>
              <w:marTop w:val="0"/>
              <w:marBottom w:val="240"/>
              <w:divBdr>
                <w:top w:val="none" w:sz="0" w:space="0" w:color="auto"/>
                <w:left w:val="none" w:sz="0" w:space="0" w:color="auto"/>
                <w:bottom w:val="none" w:sz="0" w:space="0" w:color="auto"/>
                <w:right w:val="none" w:sz="0" w:space="0" w:color="auto"/>
              </w:divBdr>
            </w:div>
            <w:div w:id="1034815493">
              <w:marLeft w:val="0"/>
              <w:marRight w:val="0"/>
              <w:marTop w:val="0"/>
              <w:marBottom w:val="240"/>
              <w:divBdr>
                <w:top w:val="none" w:sz="0" w:space="0" w:color="auto"/>
                <w:left w:val="none" w:sz="0" w:space="0" w:color="auto"/>
                <w:bottom w:val="none" w:sz="0" w:space="0" w:color="auto"/>
                <w:right w:val="none" w:sz="0" w:space="0" w:color="auto"/>
              </w:divBdr>
            </w:div>
            <w:div w:id="695155374">
              <w:marLeft w:val="0"/>
              <w:marRight w:val="0"/>
              <w:marTop w:val="0"/>
              <w:marBottom w:val="240"/>
              <w:divBdr>
                <w:top w:val="none" w:sz="0" w:space="0" w:color="auto"/>
                <w:left w:val="none" w:sz="0" w:space="0" w:color="auto"/>
                <w:bottom w:val="none" w:sz="0" w:space="0" w:color="auto"/>
                <w:right w:val="none" w:sz="0" w:space="0" w:color="auto"/>
              </w:divBdr>
            </w:div>
            <w:div w:id="981469876">
              <w:marLeft w:val="0"/>
              <w:marRight w:val="0"/>
              <w:marTop w:val="0"/>
              <w:marBottom w:val="240"/>
              <w:divBdr>
                <w:top w:val="none" w:sz="0" w:space="0" w:color="auto"/>
                <w:left w:val="none" w:sz="0" w:space="0" w:color="auto"/>
                <w:bottom w:val="none" w:sz="0" w:space="0" w:color="auto"/>
                <w:right w:val="none" w:sz="0" w:space="0" w:color="auto"/>
              </w:divBdr>
            </w:div>
            <w:div w:id="565602792">
              <w:marLeft w:val="0"/>
              <w:marRight w:val="0"/>
              <w:marTop w:val="0"/>
              <w:marBottom w:val="240"/>
              <w:divBdr>
                <w:top w:val="none" w:sz="0" w:space="0" w:color="auto"/>
                <w:left w:val="none" w:sz="0" w:space="0" w:color="auto"/>
                <w:bottom w:val="none" w:sz="0" w:space="0" w:color="auto"/>
                <w:right w:val="none" w:sz="0" w:space="0" w:color="auto"/>
              </w:divBdr>
            </w:div>
            <w:div w:id="598368854">
              <w:marLeft w:val="0"/>
              <w:marRight w:val="0"/>
              <w:marTop w:val="0"/>
              <w:marBottom w:val="240"/>
              <w:divBdr>
                <w:top w:val="none" w:sz="0" w:space="0" w:color="auto"/>
                <w:left w:val="none" w:sz="0" w:space="0" w:color="auto"/>
                <w:bottom w:val="none" w:sz="0" w:space="0" w:color="auto"/>
                <w:right w:val="none" w:sz="0" w:space="0" w:color="auto"/>
              </w:divBdr>
            </w:div>
            <w:div w:id="417793263">
              <w:marLeft w:val="0"/>
              <w:marRight w:val="0"/>
              <w:marTop w:val="0"/>
              <w:marBottom w:val="240"/>
              <w:divBdr>
                <w:top w:val="none" w:sz="0" w:space="0" w:color="auto"/>
                <w:left w:val="none" w:sz="0" w:space="0" w:color="auto"/>
                <w:bottom w:val="none" w:sz="0" w:space="0" w:color="auto"/>
                <w:right w:val="none" w:sz="0" w:space="0" w:color="auto"/>
              </w:divBdr>
            </w:div>
            <w:div w:id="1501920886">
              <w:marLeft w:val="0"/>
              <w:marRight w:val="0"/>
              <w:marTop w:val="0"/>
              <w:marBottom w:val="240"/>
              <w:divBdr>
                <w:top w:val="none" w:sz="0" w:space="0" w:color="auto"/>
                <w:left w:val="none" w:sz="0" w:space="0" w:color="auto"/>
                <w:bottom w:val="none" w:sz="0" w:space="0" w:color="auto"/>
                <w:right w:val="none" w:sz="0" w:space="0" w:color="auto"/>
              </w:divBdr>
            </w:div>
            <w:div w:id="581263018">
              <w:marLeft w:val="0"/>
              <w:marRight w:val="0"/>
              <w:marTop w:val="0"/>
              <w:marBottom w:val="240"/>
              <w:divBdr>
                <w:top w:val="none" w:sz="0" w:space="0" w:color="auto"/>
                <w:left w:val="none" w:sz="0" w:space="0" w:color="auto"/>
                <w:bottom w:val="none" w:sz="0" w:space="0" w:color="auto"/>
                <w:right w:val="none" w:sz="0" w:space="0" w:color="auto"/>
              </w:divBdr>
            </w:div>
            <w:div w:id="936133394">
              <w:marLeft w:val="0"/>
              <w:marRight w:val="0"/>
              <w:marTop w:val="0"/>
              <w:marBottom w:val="240"/>
              <w:divBdr>
                <w:top w:val="none" w:sz="0" w:space="0" w:color="auto"/>
                <w:left w:val="none" w:sz="0" w:space="0" w:color="auto"/>
                <w:bottom w:val="none" w:sz="0" w:space="0" w:color="auto"/>
                <w:right w:val="none" w:sz="0" w:space="0" w:color="auto"/>
              </w:divBdr>
            </w:div>
            <w:div w:id="465583701">
              <w:marLeft w:val="0"/>
              <w:marRight w:val="0"/>
              <w:marTop w:val="0"/>
              <w:marBottom w:val="240"/>
              <w:divBdr>
                <w:top w:val="none" w:sz="0" w:space="0" w:color="auto"/>
                <w:left w:val="none" w:sz="0" w:space="0" w:color="auto"/>
                <w:bottom w:val="none" w:sz="0" w:space="0" w:color="auto"/>
                <w:right w:val="none" w:sz="0" w:space="0" w:color="auto"/>
              </w:divBdr>
            </w:div>
            <w:div w:id="1744134616">
              <w:marLeft w:val="0"/>
              <w:marRight w:val="0"/>
              <w:marTop w:val="0"/>
              <w:marBottom w:val="240"/>
              <w:divBdr>
                <w:top w:val="none" w:sz="0" w:space="0" w:color="auto"/>
                <w:left w:val="none" w:sz="0" w:space="0" w:color="auto"/>
                <w:bottom w:val="none" w:sz="0" w:space="0" w:color="auto"/>
                <w:right w:val="none" w:sz="0" w:space="0" w:color="auto"/>
              </w:divBdr>
            </w:div>
            <w:div w:id="1206017378">
              <w:marLeft w:val="0"/>
              <w:marRight w:val="0"/>
              <w:marTop w:val="0"/>
              <w:marBottom w:val="240"/>
              <w:divBdr>
                <w:top w:val="none" w:sz="0" w:space="0" w:color="auto"/>
                <w:left w:val="none" w:sz="0" w:space="0" w:color="auto"/>
                <w:bottom w:val="none" w:sz="0" w:space="0" w:color="auto"/>
                <w:right w:val="none" w:sz="0" w:space="0" w:color="auto"/>
              </w:divBdr>
            </w:div>
            <w:div w:id="525024578">
              <w:marLeft w:val="0"/>
              <w:marRight w:val="0"/>
              <w:marTop w:val="0"/>
              <w:marBottom w:val="240"/>
              <w:divBdr>
                <w:top w:val="none" w:sz="0" w:space="0" w:color="auto"/>
                <w:left w:val="none" w:sz="0" w:space="0" w:color="auto"/>
                <w:bottom w:val="none" w:sz="0" w:space="0" w:color="auto"/>
                <w:right w:val="none" w:sz="0" w:space="0" w:color="auto"/>
              </w:divBdr>
            </w:div>
            <w:div w:id="828447993">
              <w:marLeft w:val="0"/>
              <w:marRight w:val="0"/>
              <w:marTop w:val="0"/>
              <w:marBottom w:val="240"/>
              <w:divBdr>
                <w:top w:val="none" w:sz="0" w:space="0" w:color="auto"/>
                <w:left w:val="none" w:sz="0" w:space="0" w:color="auto"/>
                <w:bottom w:val="none" w:sz="0" w:space="0" w:color="auto"/>
                <w:right w:val="none" w:sz="0" w:space="0" w:color="auto"/>
              </w:divBdr>
            </w:div>
            <w:div w:id="387799821">
              <w:marLeft w:val="0"/>
              <w:marRight w:val="0"/>
              <w:marTop w:val="0"/>
              <w:marBottom w:val="240"/>
              <w:divBdr>
                <w:top w:val="none" w:sz="0" w:space="0" w:color="auto"/>
                <w:left w:val="none" w:sz="0" w:space="0" w:color="auto"/>
                <w:bottom w:val="none" w:sz="0" w:space="0" w:color="auto"/>
                <w:right w:val="none" w:sz="0" w:space="0" w:color="auto"/>
              </w:divBdr>
            </w:div>
            <w:div w:id="806095614">
              <w:marLeft w:val="0"/>
              <w:marRight w:val="0"/>
              <w:marTop w:val="0"/>
              <w:marBottom w:val="240"/>
              <w:divBdr>
                <w:top w:val="none" w:sz="0" w:space="0" w:color="auto"/>
                <w:left w:val="none" w:sz="0" w:space="0" w:color="auto"/>
                <w:bottom w:val="none" w:sz="0" w:space="0" w:color="auto"/>
                <w:right w:val="none" w:sz="0" w:space="0" w:color="auto"/>
              </w:divBdr>
            </w:div>
            <w:div w:id="722169573">
              <w:marLeft w:val="0"/>
              <w:marRight w:val="0"/>
              <w:marTop w:val="0"/>
              <w:marBottom w:val="240"/>
              <w:divBdr>
                <w:top w:val="none" w:sz="0" w:space="0" w:color="auto"/>
                <w:left w:val="none" w:sz="0" w:space="0" w:color="auto"/>
                <w:bottom w:val="none" w:sz="0" w:space="0" w:color="auto"/>
                <w:right w:val="none" w:sz="0" w:space="0" w:color="auto"/>
              </w:divBdr>
            </w:div>
            <w:div w:id="1586913954">
              <w:marLeft w:val="0"/>
              <w:marRight w:val="0"/>
              <w:marTop w:val="0"/>
              <w:marBottom w:val="240"/>
              <w:divBdr>
                <w:top w:val="none" w:sz="0" w:space="0" w:color="auto"/>
                <w:left w:val="none" w:sz="0" w:space="0" w:color="auto"/>
                <w:bottom w:val="none" w:sz="0" w:space="0" w:color="auto"/>
                <w:right w:val="none" w:sz="0" w:space="0" w:color="auto"/>
              </w:divBdr>
            </w:div>
            <w:div w:id="420836101">
              <w:marLeft w:val="0"/>
              <w:marRight w:val="0"/>
              <w:marTop w:val="0"/>
              <w:marBottom w:val="240"/>
              <w:divBdr>
                <w:top w:val="none" w:sz="0" w:space="0" w:color="auto"/>
                <w:left w:val="none" w:sz="0" w:space="0" w:color="auto"/>
                <w:bottom w:val="none" w:sz="0" w:space="0" w:color="auto"/>
                <w:right w:val="none" w:sz="0" w:space="0" w:color="auto"/>
              </w:divBdr>
            </w:div>
            <w:div w:id="718013116">
              <w:marLeft w:val="0"/>
              <w:marRight w:val="0"/>
              <w:marTop w:val="0"/>
              <w:marBottom w:val="240"/>
              <w:divBdr>
                <w:top w:val="none" w:sz="0" w:space="0" w:color="auto"/>
                <w:left w:val="none" w:sz="0" w:space="0" w:color="auto"/>
                <w:bottom w:val="none" w:sz="0" w:space="0" w:color="auto"/>
                <w:right w:val="none" w:sz="0" w:space="0" w:color="auto"/>
              </w:divBdr>
            </w:div>
            <w:div w:id="10959837">
              <w:marLeft w:val="0"/>
              <w:marRight w:val="0"/>
              <w:marTop w:val="0"/>
              <w:marBottom w:val="240"/>
              <w:divBdr>
                <w:top w:val="none" w:sz="0" w:space="0" w:color="auto"/>
                <w:left w:val="none" w:sz="0" w:space="0" w:color="auto"/>
                <w:bottom w:val="none" w:sz="0" w:space="0" w:color="auto"/>
                <w:right w:val="none" w:sz="0" w:space="0" w:color="auto"/>
              </w:divBdr>
            </w:div>
            <w:div w:id="862551931">
              <w:marLeft w:val="0"/>
              <w:marRight w:val="0"/>
              <w:marTop w:val="0"/>
              <w:marBottom w:val="240"/>
              <w:divBdr>
                <w:top w:val="none" w:sz="0" w:space="0" w:color="auto"/>
                <w:left w:val="none" w:sz="0" w:space="0" w:color="auto"/>
                <w:bottom w:val="none" w:sz="0" w:space="0" w:color="auto"/>
                <w:right w:val="none" w:sz="0" w:space="0" w:color="auto"/>
              </w:divBdr>
            </w:div>
            <w:div w:id="1197155407">
              <w:marLeft w:val="0"/>
              <w:marRight w:val="0"/>
              <w:marTop w:val="0"/>
              <w:marBottom w:val="240"/>
              <w:divBdr>
                <w:top w:val="none" w:sz="0" w:space="0" w:color="auto"/>
                <w:left w:val="none" w:sz="0" w:space="0" w:color="auto"/>
                <w:bottom w:val="none" w:sz="0" w:space="0" w:color="auto"/>
                <w:right w:val="none" w:sz="0" w:space="0" w:color="auto"/>
              </w:divBdr>
            </w:div>
            <w:div w:id="4214594">
              <w:marLeft w:val="0"/>
              <w:marRight w:val="0"/>
              <w:marTop w:val="0"/>
              <w:marBottom w:val="240"/>
              <w:divBdr>
                <w:top w:val="none" w:sz="0" w:space="0" w:color="auto"/>
                <w:left w:val="none" w:sz="0" w:space="0" w:color="auto"/>
                <w:bottom w:val="none" w:sz="0" w:space="0" w:color="auto"/>
                <w:right w:val="none" w:sz="0" w:space="0" w:color="auto"/>
              </w:divBdr>
            </w:div>
            <w:div w:id="927083731">
              <w:marLeft w:val="0"/>
              <w:marRight w:val="0"/>
              <w:marTop w:val="0"/>
              <w:marBottom w:val="240"/>
              <w:divBdr>
                <w:top w:val="none" w:sz="0" w:space="0" w:color="auto"/>
                <w:left w:val="none" w:sz="0" w:space="0" w:color="auto"/>
                <w:bottom w:val="none" w:sz="0" w:space="0" w:color="auto"/>
                <w:right w:val="none" w:sz="0" w:space="0" w:color="auto"/>
              </w:divBdr>
            </w:div>
            <w:div w:id="676348306">
              <w:marLeft w:val="0"/>
              <w:marRight w:val="0"/>
              <w:marTop w:val="0"/>
              <w:marBottom w:val="240"/>
              <w:divBdr>
                <w:top w:val="none" w:sz="0" w:space="0" w:color="auto"/>
                <w:left w:val="none" w:sz="0" w:space="0" w:color="auto"/>
                <w:bottom w:val="none" w:sz="0" w:space="0" w:color="auto"/>
                <w:right w:val="none" w:sz="0" w:space="0" w:color="auto"/>
              </w:divBdr>
            </w:div>
            <w:div w:id="385226097">
              <w:marLeft w:val="0"/>
              <w:marRight w:val="0"/>
              <w:marTop w:val="0"/>
              <w:marBottom w:val="240"/>
              <w:divBdr>
                <w:top w:val="none" w:sz="0" w:space="0" w:color="auto"/>
                <w:left w:val="none" w:sz="0" w:space="0" w:color="auto"/>
                <w:bottom w:val="none" w:sz="0" w:space="0" w:color="auto"/>
                <w:right w:val="none" w:sz="0" w:space="0" w:color="auto"/>
              </w:divBdr>
            </w:div>
            <w:div w:id="568350317">
              <w:marLeft w:val="0"/>
              <w:marRight w:val="0"/>
              <w:marTop w:val="0"/>
              <w:marBottom w:val="240"/>
              <w:divBdr>
                <w:top w:val="none" w:sz="0" w:space="0" w:color="auto"/>
                <w:left w:val="none" w:sz="0" w:space="0" w:color="auto"/>
                <w:bottom w:val="none" w:sz="0" w:space="0" w:color="auto"/>
                <w:right w:val="none" w:sz="0" w:space="0" w:color="auto"/>
              </w:divBdr>
            </w:div>
            <w:div w:id="791750481">
              <w:marLeft w:val="0"/>
              <w:marRight w:val="0"/>
              <w:marTop w:val="0"/>
              <w:marBottom w:val="240"/>
              <w:divBdr>
                <w:top w:val="none" w:sz="0" w:space="0" w:color="auto"/>
                <w:left w:val="none" w:sz="0" w:space="0" w:color="auto"/>
                <w:bottom w:val="none" w:sz="0" w:space="0" w:color="auto"/>
                <w:right w:val="none" w:sz="0" w:space="0" w:color="auto"/>
              </w:divBdr>
            </w:div>
            <w:div w:id="1492138593">
              <w:marLeft w:val="0"/>
              <w:marRight w:val="0"/>
              <w:marTop w:val="0"/>
              <w:marBottom w:val="240"/>
              <w:divBdr>
                <w:top w:val="none" w:sz="0" w:space="0" w:color="auto"/>
                <w:left w:val="none" w:sz="0" w:space="0" w:color="auto"/>
                <w:bottom w:val="none" w:sz="0" w:space="0" w:color="auto"/>
                <w:right w:val="none" w:sz="0" w:space="0" w:color="auto"/>
              </w:divBdr>
            </w:div>
            <w:div w:id="1191453623">
              <w:marLeft w:val="0"/>
              <w:marRight w:val="0"/>
              <w:marTop w:val="0"/>
              <w:marBottom w:val="240"/>
              <w:divBdr>
                <w:top w:val="none" w:sz="0" w:space="0" w:color="auto"/>
                <w:left w:val="none" w:sz="0" w:space="0" w:color="auto"/>
                <w:bottom w:val="none" w:sz="0" w:space="0" w:color="auto"/>
                <w:right w:val="none" w:sz="0" w:space="0" w:color="auto"/>
              </w:divBdr>
            </w:div>
            <w:div w:id="1143472804">
              <w:marLeft w:val="0"/>
              <w:marRight w:val="0"/>
              <w:marTop w:val="0"/>
              <w:marBottom w:val="240"/>
              <w:divBdr>
                <w:top w:val="none" w:sz="0" w:space="0" w:color="auto"/>
                <w:left w:val="none" w:sz="0" w:space="0" w:color="auto"/>
                <w:bottom w:val="none" w:sz="0" w:space="0" w:color="auto"/>
                <w:right w:val="none" w:sz="0" w:space="0" w:color="auto"/>
              </w:divBdr>
            </w:div>
            <w:div w:id="1380473916">
              <w:marLeft w:val="0"/>
              <w:marRight w:val="0"/>
              <w:marTop w:val="0"/>
              <w:marBottom w:val="240"/>
              <w:divBdr>
                <w:top w:val="none" w:sz="0" w:space="0" w:color="auto"/>
                <w:left w:val="none" w:sz="0" w:space="0" w:color="auto"/>
                <w:bottom w:val="none" w:sz="0" w:space="0" w:color="auto"/>
                <w:right w:val="none" w:sz="0" w:space="0" w:color="auto"/>
              </w:divBdr>
            </w:div>
            <w:div w:id="326640610">
              <w:marLeft w:val="0"/>
              <w:marRight w:val="0"/>
              <w:marTop w:val="0"/>
              <w:marBottom w:val="240"/>
              <w:divBdr>
                <w:top w:val="none" w:sz="0" w:space="0" w:color="auto"/>
                <w:left w:val="none" w:sz="0" w:space="0" w:color="auto"/>
                <w:bottom w:val="none" w:sz="0" w:space="0" w:color="auto"/>
                <w:right w:val="none" w:sz="0" w:space="0" w:color="auto"/>
              </w:divBdr>
            </w:div>
            <w:div w:id="963580197">
              <w:marLeft w:val="0"/>
              <w:marRight w:val="0"/>
              <w:marTop w:val="0"/>
              <w:marBottom w:val="240"/>
              <w:divBdr>
                <w:top w:val="none" w:sz="0" w:space="0" w:color="auto"/>
                <w:left w:val="none" w:sz="0" w:space="0" w:color="auto"/>
                <w:bottom w:val="none" w:sz="0" w:space="0" w:color="auto"/>
                <w:right w:val="none" w:sz="0" w:space="0" w:color="auto"/>
              </w:divBdr>
            </w:div>
            <w:div w:id="1248617750">
              <w:marLeft w:val="0"/>
              <w:marRight w:val="0"/>
              <w:marTop w:val="0"/>
              <w:marBottom w:val="240"/>
              <w:divBdr>
                <w:top w:val="none" w:sz="0" w:space="0" w:color="auto"/>
                <w:left w:val="none" w:sz="0" w:space="0" w:color="auto"/>
                <w:bottom w:val="none" w:sz="0" w:space="0" w:color="auto"/>
                <w:right w:val="none" w:sz="0" w:space="0" w:color="auto"/>
              </w:divBdr>
            </w:div>
            <w:div w:id="44743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655961">
      <w:bodyDiv w:val="1"/>
      <w:marLeft w:val="0"/>
      <w:marRight w:val="0"/>
      <w:marTop w:val="0"/>
      <w:marBottom w:val="0"/>
      <w:divBdr>
        <w:top w:val="none" w:sz="0" w:space="0" w:color="auto"/>
        <w:left w:val="none" w:sz="0" w:space="0" w:color="auto"/>
        <w:bottom w:val="none" w:sz="0" w:space="0" w:color="auto"/>
        <w:right w:val="none" w:sz="0" w:space="0" w:color="auto"/>
      </w:divBdr>
      <w:divsChild>
        <w:div w:id="459152925">
          <w:marLeft w:val="480"/>
          <w:marRight w:val="0"/>
          <w:marTop w:val="0"/>
          <w:marBottom w:val="0"/>
          <w:divBdr>
            <w:top w:val="none" w:sz="0" w:space="0" w:color="auto"/>
            <w:left w:val="none" w:sz="0" w:space="0" w:color="auto"/>
            <w:bottom w:val="none" w:sz="0" w:space="0" w:color="auto"/>
            <w:right w:val="none" w:sz="0" w:space="0" w:color="auto"/>
          </w:divBdr>
          <w:divsChild>
            <w:div w:id="781991918">
              <w:marLeft w:val="0"/>
              <w:marRight w:val="0"/>
              <w:marTop w:val="0"/>
              <w:marBottom w:val="240"/>
              <w:divBdr>
                <w:top w:val="none" w:sz="0" w:space="0" w:color="auto"/>
                <w:left w:val="none" w:sz="0" w:space="0" w:color="auto"/>
                <w:bottom w:val="none" w:sz="0" w:space="0" w:color="auto"/>
                <w:right w:val="none" w:sz="0" w:space="0" w:color="auto"/>
              </w:divBdr>
            </w:div>
            <w:div w:id="866018032">
              <w:marLeft w:val="0"/>
              <w:marRight w:val="0"/>
              <w:marTop w:val="0"/>
              <w:marBottom w:val="240"/>
              <w:divBdr>
                <w:top w:val="none" w:sz="0" w:space="0" w:color="auto"/>
                <w:left w:val="none" w:sz="0" w:space="0" w:color="auto"/>
                <w:bottom w:val="none" w:sz="0" w:space="0" w:color="auto"/>
                <w:right w:val="none" w:sz="0" w:space="0" w:color="auto"/>
              </w:divBdr>
            </w:div>
            <w:div w:id="1212841913">
              <w:marLeft w:val="0"/>
              <w:marRight w:val="0"/>
              <w:marTop w:val="0"/>
              <w:marBottom w:val="240"/>
              <w:divBdr>
                <w:top w:val="none" w:sz="0" w:space="0" w:color="auto"/>
                <w:left w:val="none" w:sz="0" w:space="0" w:color="auto"/>
                <w:bottom w:val="none" w:sz="0" w:space="0" w:color="auto"/>
                <w:right w:val="none" w:sz="0" w:space="0" w:color="auto"/>
              </w:divBdr>
            </w:div>
            <w:div w:id="4020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001094">
      <w:bodyDiv w:val="1"/>
      <w:marLeft w:val="0"/>
      <w:marRight w:val="0"/>
      <w:marTop w:val="0"/>
      <w:marBottom w:val="0"/>
      <w:divBdr>
        <w:top w:val="none" w:sz="0" w:space="0" w:color="auto"/>
        <w:left w:val="none" w:sz="0" w:space="0" w:color="auto"/>
        <w:bottom w:val="none" w:sz="0" w:space="0" w:color="auto"/>
        <w:right w:val="none" w:sz="0" w:space="0" w:color="auto"/>
      </w:divBdr>
    </w:div>
    <w:div w:id="1433748250">
      <w:bodyDiv w:val="1"/>
      <w:marLeft w:val="0"/>
      <w:marRight w:val="0"/>
      <w:marTop w:val="0"/>
      <w:marBottom w:val="0"/>
      <w:divBdr>
        <w:top w:val="none" w:sz="0" w:space="0" w:color="auto"/>
        <w:left w:val="none" w:sz="0" w:space="0" w:color="auto"/>
        <w:bottom w:val="none" w:sz="0" w:space="0" w:color="auto"/>
        <w:right w:val="none" w:sz="0" w:space="0" w:color="auto"/>
      </w:divBdr>
    </w:div>
    <w:div w:id="1442456144">
      <w:bodyDiv w:val="1"/>
      <w:marLeft w:val="0"/>
      <w:marRight w:val="0"/>
      <w:marTop w:val="0"/>
      <w:marBottom w:val="0"/>
      <w:divBdr>
        <w:top w:val="none" w:sz="0" w:space="0" w:color="auto"/>
        <w:left w:val="none" w:sz="0" w:space="0" w:color="auto"/>
        <w:bottom w:val="none" w:sz="0" w:space="0" w:color="auto"/>
        <w:right w:val="none" w:sz="0" w:space="0" w:color="auto"/>
      </w:divBdr>
    </w:div>
    <w:div w:id="1451389891">
      <w:bodyDiv w:val="1"/>
      <w:marLeft w:val="0"/>
      <w:marRight w:val="0"/>
      <w:marTop w:val="0"/>
      <w:marBottom w:val="0"/>
      <w:divBdr>
        <w:top w:val="none" w:sz="0" w:space="0" w:color="auto"/>
        <w:left w:val="none" w:sz="0" w:space="0" w:color="auto"/>
        <w:bottom w:val="none" w:sz="0" w:space="0" w:color="auto"/>
        <w:right w:val="none" w:sz="0" w:space="0" w:color="auto"/>
      </w:divBdr>
      <w:divsChild>
        <w:div w:id="1895121099">
          <w:marLeft w:val="480"/>
          <w:marRight w:val="0"/>
          <w:marTop w:val="0"/>
          <w:marBottom w:val="0"/>
          <w:divBdr>
            <w:top w:val="none" w:sz="0" w:space="0" w:color="auto"/>
            <w:left w:val="none" w:sz="0" w:space="0" w:color="auto"/>
            <w:bottom w:val="none" w:sz="0" w:space="0" w:color="auto"/>
            <w:right w:val="none" w:sz="0" w:space="0" w:color="auto"/>
          </w:divBdr>
          <w:divsChild>
            <w:div w:id="1225680137">
              <w:marLeft w:val="0"/>
              <w:marRight w:val="0"/>
              <w:marTop w:val="0"/>
              <w:marBottom w:val="240"/>
              <w:divBdr>
                <w:top w:val="none" w:sz="0" w:space="0" w:color="auto"/>
                <w:left w:val="none" w:sz="0" w:space="0" w:color="auto"/>
                <w:bottom w:val="none" w:sz="0" w:space="0" w:color="auto"/>
                <w:right w:val="none" w:sz="0" w:space="0" w:color="auto"/>
              </w:divBdr>
            </w:div>
            <w:div w:id="792791697">
              <w:marLeft w:val="0"/>
              <w:marRight w:val="0"/>
              <w:marTop w:val="0"/>
              <w:marBottom w:val="240"/>
              <w:divBdr>
                <w:top w:val="none" w:sz="0" w:space="0" w:color="auto"/>
                <w:left w:val="none" w:sz="0" w:space="0" w:color="auto"/>
                <w:bottom w:val="none" w:sz="0" w:space="0" w:color="auto"/>
                <w:right w:val="none" w:sz="0" w:space="0" w:color="auto"/>
              </w:divBdr>
            </w:div>
            <w:div w:id="1697462613">
              <w:marLeft w:val="0"/>
              <w:marRight w:val="0"/>
              <w:marTop w:val="0"/>
              <w:marBottom w:val="240"/>
              <w:divBdr>
                <w:top w:val="none" w:sz="0" w:space="0" w:color="auto"/>
                <w:left w:val="none" w:sz="0" w:space="0" w:color="auto"/>
                <w:bottom w:val="none" w:sz="0" w:space="0" w:color="auto"/>
                <w:right w:val="none" w:sz="0" w:space="0" w:color="auto"/>
              </w:divBdr>
            </w:div>
            <w:div w:id="2044553300">
              <w:marLeft w:val="0"/>
              <w:marRight w:val="0"/>
              <w:marTop w:val="0"/>
              <w:marBottom w:val="240"/>
              <w:divBdr>
                <w:top w:val="none" w:sz="0" w:space="0" w:color="auto"/>
                <w:left w:val="none" w:sz="0" w:space="0" w:color="auto"/>
                <w:bottom w:val="none" w:sz="0" w:space="0" w:color="auto"/>
                <w:right w:val="none" w:sz="0" w:space="0" w:color="auto"/>
              </w:divBdr>
            </w:div>
            <w:div w:id="269708831">
              <w:marLeft w:val="0"/>
              <w:marRight w:val="0"/>
              <w:marTop w:val="0"/>
              <w:marBottom w:val="240"/>
              <w:divBdr>
                <w:top w:val="none" w:sz="0" w:space="0" w:color="auto"/>
                <w:left w:val="none" w:sz="0" w:space="0" w:color="auto"/>
                <w:bottom w:val="none" w:sz="0" w:space="0" w:color="auto"/>
                <w:right w:val="none" w:sz="0" w:space="0" w:color="auto"/>
              </w:divBdr>
            </w:div>
            <w:div w:id="930965287">
              <w:marLeft w:val="0"/>
              <w:marRight w:val="0"/>
              <w:marTop w:val="0"/>
              <w:marBottom w:val="240"/>
              <w:divBdr>
                <w:top w:val="none" w:sz="0" w:space="0" w:color="auto"/>
                <w:left w:val="none" w:sz="0" w:space="0" w:color="auto"/>
                <w:bottom w:val="none" w:sz="0" w:space="0" w:color="auto"/>
                <w:right w:val="none" w:sz="0" w:space="0" w:color="auto"/>
              </w:divBdr>
            </w:div>
            <w:div w:id="1814057977">
              <w:marLeft w:val="0"/>
              <w:marRight w:val="0"/>
              <w:marTop w:val="0"/>
              <w:marBottom w:val="240"/>
              <w:divBdr>
                <w:top w:val="none" w:sz="0" w:space="0" w:color="auto"/>
                <w:left w:val="none" w:sz="0" w:space="0" w:color="auto"/>
                <w:bottom w:val="none" w:sz="0" w:space="0" w:color="auto"/>
                <w:right w:val="none" w:sz="0" w:space="0" w:color="auto"/>
              </w:divBdr>
            </w:div>
            <w:div w:id="456337393">
              <w:marLeft w:val="0"/>
              <w:marRight w:val="0"/>
              <w:marTop w:val="0"/>
              <w:marBottom w:val="240"/>
              <w:divBdr>
                <w:top w:val="none" w:sz="0" w:space="0" w:color="auto"/>
                <w:left w:val="none" w:sz="0" w:space="0" w:color="auto"/>
                <w:bottom w:val="none" w:sz="0" w:space="0" w:color="auto"/>
                <w:right w:val="none" w:sz="0" w:space="0" w:color="auto"/>
              </w:divBdr>
            </w:div>
            <w:div w:id="1756048953">
              <w:marLeft w:val="0"/>
              <w:marRight w:val="0"/>
              <w:marTop w:val="0"/>
              <w:marBottom w:val="240"/>
              <w:divBdr>
                <w:top w:val="none" w:sz="0" w:space="0" w:color="auto"/>
                <w:left w:val="none" w:sz="0" w:space="0" w:color="auto"/>
                <w:bottom w:val="none" w:sz="0" w:space="0" w:color="auto"/>
                <w:right w:val="none" w:sz="0" w:space="0" w:color="auto"/>
              </w:divBdr>
            </w:div>
            <w:div w:id="1417168297">
              <w:marLeft w:val="0"/>
              <w:marRight w:val="0"/>
              <w:marTop w:val="0"/>
              <w:marBottom w:val="240"/>
              <w:divBdr>
                <w:top w:val="none" w:sz="0" w:space="0" w:color="auto"/>
                <w:left w:val="none" w:sz="0" w:space="0" w:color="auto"/>
                <w:bottom w:val="none" w:sz="0" w:space="0" w:color="auto"/>
                <w:right w:val="none" w:sz="0" w:space="0" w:color="auto"/>
              </w:divBdr>
            </w:div>
            <w:div w:id="2064015664">
              <w:marLeft w:val="0"/>
              <w:marRight w:val="0"/>
              <w:marTop w:val="0"/>
              <w:marBottom w:val="240"/>
              <w:divBdr>
                <w:top w:val="none" w:sz="0" w:space="0" w:color="auto"/>
                <w:left w:val="none" w:sz="0" w:space="0" w:color="auto"/>
                <w:bottom w:val="none" w:sz="0" w:space="0" w:color="auto"/>
                <w:right w:val="none" w:sz="0" w:space="0" w:color="auto"/>
              </w:divBdr>
            </w:div>
            <w:div w:id="472526595">
              <w:marLeft w:val="0"/>
              <w:marRight w:val="0"/>
              <w:marTop w:val="0"/>
              <w:marBottom w:val="240"/>
              <w:divBdr>
                <w:top w:val="none" w:sz="0" w:space="0" w:color="auto"/>
                <w:left w:val="none" w:sz="0" w:space="0" w:color="auto"/>
                <w:bottom w:val="none" w:sz="0" w:space="0" w:color="auto"/>
                <w:right w:val="none" w:sz="0" w:space="0" w:color="auto"/>
              </w:divBdr>
            </w:div>
            <w:div w:id="773404692">
              <w:marLeft w:val="0"/>
              <w:marRight w:val="0"/>
              <w:marTop w:val="0"/>
              <w:marBottom w:val="240"/>
              <w:divBdr>
                <w:top w:val="none" w:sz="0" w:space="0" w:color="auto"/>
                <w:left w:val="none" w:sz="0" w:space="0" w:color="auto"/>
                <w:bottom w:val="none" w:sz="0" w:space="0" w:color="auto"/>
                <w:right w:val="none" w:sz="0" w:space="0" w:color="auto"/>
              </w:divBdr>
            </w:div>
            <w:div w:id="1557006712">
              <w:marLeft w:val="0"/>
              <w:marRight w:val="0"/>
              <w:marTop w:val="0"/>
              <w:marBottom w:val="240"/>
              <w:divBdr>
                <w:top w:val="none" w:sz="0" w:space="0" w:color="auto"/>
                <w:left w:val="none" w:sz="0" w:space="0" w:color="auto"/>
                <w:bottom w:val="none" w:sz="0" w:space="0" w:color="auto"/>
                <w:right w:val="none" w:sz="0" w:space="0" w:color="auto"/>
              </w:divBdr>
            </w:div>
            <w:div w:id="1259605685">
              <w:marLeft w:val="0"/>
              <w:marRight w:val="0"/>
              <w:marTop w:val="0"/>
              <w:marBottom w:val="240"/>
              <w:divBdr>
                <w:top w:val="none" w:sz="0" w:space="0" w:color="auto"/>
                <w:left w:val="none" w:sz="0" w:space="0" w:color="auto"/>
                <w:bottom w:val="none" w:sz="0" w:space="0" w:color="auto"/>
                <w:right w:val="none" w:sz="0" w:space="0" w:color="auto"/>
              </w:divBdr>
            </w:div>
            <w:div w:id="974019952">
              <w:marLeft w:val="0"/>
              <w:marRight w:val="0"/>
              <w:marTop w:val="0"/>
              <w:marBottom w:val="240"/>
              <w:divBdr>
                <w:top w:val="none" w:sz="0" w:space="0" w:color="auto"/>
                <w:left w:val="none" w:sz="0" w:space="0" w:color="auto"/>
                <w:bottom w:val="none" w:sz="0" w:space="0" w:color="auto"/>
                <w:right w:val="none" w:sz="0" w:space="0" w:color="auto"/>
              </w:divBdr>
            </w:div>
            <w:div w:id="596912524">
              <w:marLeft w:val="0"/>
              <w:marRight w:val="0"/>
              <w:marTop w:val="0"/>
              <w:marBottom w:val="240"/>
              <w:divBdr>
                <w:top w:val="none" w:sz="0" w:space="0" w:color="auto"/>
                <w:left w:val="none" w:sz="0" w:space="0" w:color="auto"/>
                <w:bottom w:val="none" w:sz="0" w:space="0" w:color="auto"/>
                <w:right w:val="none" w:sz="0" w:space="0" w:color="auto"/>
              </w:divBdr>
            </w:div>
            <w:div w:id="2026246125">
              <w:marLeft w:val="0"/>
              <w:marRight w:val="0"/>
              <w:marTop w:val="0"/>
              <w:marBottom w:val="240"/>
              <w:divBdr>
                <w:top w:val="none" w:sz="0" w:space="0" w:color="auto"/>
                <w:left w:val="none" w:sz="0" w:space="0" w:color="auto"/>
                <w:bottom w:val="none" w:sz="0" w:space="0" w:color="auto"/>
                <w:right w:val="none" w:sz="0" w:space="0" w:color="auto"/>
              </w:divBdr>
            </w:div>
            <w:div w:id="323901288">
              <w:marLeft w:val="0"/>
              <w:marRight w:val="0"/>
              <w:marTop w:val="0"/>
              <w:marBottom w:val="240"/>
              <w:divBdr>
                <w:top w:val="none" w:sz="0" w:space="0" w:color="auto"/>
                <w:left w:val="none" w:sz="0" w:space="0" w:color="auto"/>
                <w:bottom w:val="none" w:sz="0" w:space="0" w:color="auto"/>
                <w:right w:val="none" w:sz="0" w:space="0" w:color="auto"/>
              </w:divBdr>
            </w:div>
            <w:div w:id="1306157404">
              <w:marLeft w:val="0"/>
              <w:marRight w:val="0"/>
              <w:marTop w:val="0"/>
              <w:marBottom w:val="240"/>
              <w:divBdr>
                <w:top w:val="none" w:sz="0" w:space="0" w:color="auto"/>
                <w:left w:val="none" w:sz="0" w:space="0" w:color="auto"/>
                <w:bottom w:val="none" w:sz="0" w:space="0" w:color="auto"/>
                <w:right w:val="none" w:sz="0" w:space="0" w:color="auto"/>
              </w:divBdr>
            </w:div>
            <w:div w:id="875894716">
              <w:marLeft w:val="0"/>
              <w:marRight w:val="0"/>
              <w:marTop w:val="0"/>
              <w:marBottom w:val="240"/>
              <w:divBdr>
                <w:top w:val="none" w:sz="0" w:space="0" w:color="auto"/>
                <w:left w:val="none" w:sz="0" w:space="0" w:color="auto"/>
                <w:bottom w:val="none" w:sz="0" w:space="0" w:color="auto"/>
                <w:right w:val="none" w:sz="0" w:space="0" w:color="auto"/>
              </w:divBdr>
            </w:div>
            <w:div w:id="232201715">
              <w:marLeft w:val="0"/>
              <w:marRight w:val="0"/>
              <w:marTop w:val="0"/>
              <w:marBottom w:val="240"/>
              <w:divBdr>
                <w:top w:val="none" w:sz="0" w:space="0" w:color="auto"/>
                <w:left w:val="none" w:sz="0" w:space="0" w:color="auto"/>
                <w:bottom w:val="none" w:sz="0" w:space="0" w:color="auto"/>
                <w:right w:val="none" w:sz="0" w:space="0" w:color="auto"/>
              </w:divBdr>
            </w:div>
            <w:div w:id="2090345239">
              <w:marLeft w:val="0"/>
              <w:marRight w:val="0"/>
              <w:marTop w:val="0"/>
              <w:marBottom w:val="240"/>
              <w:divBdr>
                <w:top w:val="none" w:sz="0" w:space="0" w:color="auto"/>
                <w:left w:val="none" w:sz="0" w:space="0" w:color="auto"/>
                <w:bottom w:val="none" w:sz="0" w:space="0" w:color="auto"/>
                <w:right w:val="none" w:sz="0" w:space="0" w:color="auto"/>
              </w:divBdr>
            </w:div>
            <w:div w:id="1311861497">
              <w:marLeft w:val="0"/>
              <w:marRight w:val="0"/>
              <w:marTop w:val="0"/>
              <w:marBottom w:val="240"/>
              <w:divBdr>
                <w:top w:val="none" w:sz="0" w:space="0" w:color="auto"/>
                <w:left w:val="none" w:sz="0" w:space="0" w:color="auto"/>
                <w:bottom w:val="none" w:sz="0" w:space="0" w:color="auto"/>
                <w:right w:val="none" w:sz="0" w:space="0" w:color="auto"/>
              </w:divBdr>
            </w:div>
            <w:div w:id="1811092442">
              <w:marLeft w:val="0"/>
              <w:marRight w:val="0"/>
              <w:marTop w:val="0"/>
              <w:marBottom w:val="240"/>
              <w:divBdr>
                <w:top w:val="none" w:sz="0" w:space="0" w:color="auto"/>
                <w:left w:val="none" w:sz="0" w:space="0" w:color="auto"/>
                <w:bottom w:val="none" w:sz="0" w:space="0" w:color="auto"/>
                <w:right w:val="none" w:sz="0" w:space="0" w:color="auto"/>
              </w:divBdr>
            </w:div>
            <w:div w:id="371155595">
              <w:marLeft w:val="0"/>
              <w:marRight w:val="0"/>
              <w:marTop w:val="0"/>
              <w:marBottom w:val="240"/>
              <w:divBdr>
                <w:top w:val="none" w:sz="0" w:space="0" w:color="auto"/>
                <w:left w:val="none" w:sz="0" w:space="0" w:color="auto"/>
                <w:bottom w:val="none" w:sz="0" w:space="0" w:color="auto"/>
                <w:right w:val="none" w:sz="0" w:space="0" w:color="auto"/>
              </w:divBdr>
            </w:div>
            <w:div w:id="240679563">
              <w:marLeft w:val="0"/>
              <w:marRight w:val="0"/>
              <w:marTop w:val="0"/>
              <w:marBottom w:val="240"/>
              <w:divBdr>
                <w:top w:val="none" w:sz="0" w:space="0" w:color="auto"/>
                <w:left w:val="none" w:sz="0" w:space="0" w:color="auto"/>
                <w:bottom w:val="none" w:sz="0" w:space="0" w:color="auto"/>
                <w:right w:val="none" w:sz="0" w:space="0" w:color="auto"/>
              </w:divBdr>
            </w:div>
            <w:div w:id="1706053825">
              <w:marLeft w:val="0"/>
              <w:marRight w:val="0"/>
              <w:marTop w:val="0"/>
              <w:marBottom w:val="240"/>
              <w:divBdr>
                <w:top w:val="none" w:sz="0" w:space="0" w:color="auto"/>
                <w:left w:val="none" w:sz="0" w:space="0" w:color="auto"/>
                <w:bottom w:val="none" w:sz="0" w:space="0" w:color="auto"/>
                <w:right w:val="none" w:sz="0" w:space="0" w:color="auto"/>
              </w:divBdr>
            </w:div>
            <w:div w:id="260181665">
              <w:marLeft w:val="0"/>
              <w:marRight w:val="0"/>
              <w:marTop w:val="0"/>
              <w:marBottom w:val="240"/>
              <w:divBdr>
                <w:top w:val="none" w:sz="0" w:space="0" w:color="auto"/>
                <w:left w:val="none" w:sz="0" w:space="0" w:color="auto"/>
                <w:bottom w:val="none" w:sz="0" w:space="0" w:color="auto"/>
                <w:right w:val="none" w:sz="0" w:space="0" w:color="auto"/>
              </w:divBdr>
            </w:div>
            <w:div w:id="851804080">
              <w:marLeft w:val="0"/>
              <w:marRight w:val="0"/>
              <w:marTop w:val="0"/>
              <w:marBottom w:val="240"/>
              <w:divBdr>
                <w:top w:val="none" w:sz="0" w:space="0" w:color="auto"/>
                <w:left w:val="none" w:sz="0" w:space="0" w:color="auto"/>
                <w:bottom w:val="none" w:sz="0" w:space="0" w:color="auto"/>
                <w:right w:val="none" w:sz="0" w:space="0" w:color="auto"/>
              </w:divBdr>
            </w:div>
            <w:div w:id="834689036">
              <w:marLeft w:val="0"/>
              <w:marRight w:val="0"/>
              <w:marTop w:val="0"/>
              <w:marBottom w:val="240"/>
              <w:divBdr>
                <w:top w:val="none" w:sz="0" w:space="0" w:color="auto"/>
                <w:left w:val="none" w:sz="0" w:space="0" w:color="auto"/>
                <w:bottom w:val="none" w:sz="0" w:space="0" w:color="auto"/>
                <w:right w:val="none" w:sz="0" w:space="0" w:color="auto"/>
              </w:divBdr>
            </w:div>
            <w:div w:id="1778864075">
              <w:marLeft w:val="0"/>
              <w:marRight w:val="0"/>
              <w:marTop w:val="0"/>
              <w:marBottom w:val="240"/>
              <w:divBdr>
                <w:top w:val="none" w:sz="0" w:space="0" w:color="auto"/>
                <w:left w:val="none" w:sz="0" w:space="0" w:color="auto"/>
                <w:bottom w:val="none" w:sz="0" w:space="0" w:color="auto"/>
                <w:right w:val="none" w:sz="0" w:space="0" w:color="auto"/>
              </w:divBdr>
            </w:div>
            <w:div w:id="817766734">
              <w:marLeft w:val="0"/>
              <w:marRight w:val="0"/>
              <w:marTop w:val="0"/>
              <w:marBottom w:val="240"/>
              <w:divBdr>
                <w:top w:val="none" w:sz="0" w:space="0" w:color="auto"/>
                <w:left w:val="none" w:sz="0" w:space="0" w:color="auto"/>
                <w:bottom w:val="none" w:sz="0" w:space="0" w:color="auto"/>
                <w:right w:val="none" w:sz="0" w:space="0" w:color="auto"/>
              </w:divBdr>
            </w:div>
            <w:div w:id="1233659252">
              <w:marLeft w:val="0"/>
              <w:marRight w:val="0"/>
              <w:marTop w:val="0"/>
              <w:marBottom w:val="240"/>
              <w:divBdr>
                <w:top w:val="none" w:sz="0" w:space="0" w:color="auto"/>
                <w:left w:val="none" w:sz="0" w:space="0" w:color="auto"/>
                <w:bottom w:val="none" w:sz="0" w:space="0" w:color="auto"/>
                <w:right w:val="none" w:sz="0" w:space="0" w:color="auto"/>
              </w:divBdr>
            </w:div>
            <w:div w:id="1785421545">
              <w:marLeft w:val="0"/>
              <w:marRight w:val="0"/>
              <w:marTop w:val="0"/>
              <w:marBottom w:val="240"/>
              <w:divBdr>
                <w:top w:val="none" w:sz="0" w:space="0" w:color="auto"/>
                <w:left w:val="none" w:sz="0" w:space="0" w:color="auto"/>
                <w:bottom w:val="none" w:sz="0" w:space="0" w:color="auto"/>
                <w:right w:val="none" w:sz="0" w:space="0" w:color="auto"/>
              </w:divBdr>
            </w:div>
            <w:div w:id="1206259560">
              <w:marLeft w:val="0"/>
              <w:marRight w:val="0"/>
              <w:marTop w:val="0"/>
              <w:marBottom w:val="240"/>
              <w:divBdr>
                <w:top w:val="none" w:sz="0" w:space="0" w:color="auto"/>
                <w:left w:val="none" w:sz="0" w:space="0" w:color="auto"/>
                <w:bottom w:val="none" w:sz="0" w:space="0" w:color="auto"/>
                <w:right w:val="none" w:sz="0" w:space="0" w:color="auto"/>
              </w:divBdr>
            </w:div>
            <w:div w:id="479613887">
              <w:marLeft w:val="0"/>
              <w:marRight w:val="0"/>
              <w:marTop w:val="0"/>
              <w:marBottom w:val="240"/>
              <w:divBdr>
                <w:top w:val="none" w:sz="0" w:space="0" w:color="auto"/>
                <w:left w:val="none" w:sz="0" w:space="0" w:color="auto"/>
                <w:bottom w:val="none" w:sz="0" w:space="0" w:color="auto"/>
                <w:right w:val="none" w:sz="0" w:space="0" w:color="auto"/>
              </w:divBdr>
            </w:div>
            <w:div w:id="1885755701">
              <w:marLeft w:val="0"/>
              <w:marRight w:val="0"/>
              <w:marTop w:val="0"/>
              <w:marBottom w:val="240"/>
              <w:divBdr>
                <w:top w:val="none" w:sz="0" w:space="0" w:color="auto"/>
                <w:left w:val="none" w:sz="0" w:space="0" w:color="auto"/>
                <w:bottom w:val="none" w:sz="0" w:space="0" w:color="auto"/>
                <w:right w:val="none" w:sz="0" w:space="0" w:color="auto"/>
              </w:divBdr>
            </w:div>
            <w:div w:id="1997223592">
              <w:marLeft w:val="0"/>
              <w:marRight w:val="0"/>
              <w:marTop w:val="0"/>
              <w:marBottom w:val="240"/>
              <w:divBdr>
                <w:top w:val="none" w:sz="0" w:space="0" w:color="auto"/>
                <w:left w:val="none" w:sz="0" w:space="0" w:color="auto"/>
                <w:bottom w:val="none" w:sz="0" w:space="0" w:color="auto"/>
                <w:right w:val="none" w:sz="0" w:space="0" w:color="auto"/>
              </w:divBdr>
            </w:div>
            <w:div w:id="1752508136">
              <w:marLeft w:val="0"/>
              <w:marRight w:val="0"/>
              <w:marTop w:val="0"/>
              <w:marBottom w:val="240"/>
              <w:divBdr>
                <w:top w:val="none" w:sz="0" w:space="0" w:color="auto"/>
                <w:left w:val="none" w:sz="0" w:space="0" w:color="auto"/>
                <w:bottom w:val="none" w:sz="0" w:space="0" w:color="auto"/>
                <w:right w:val="none" w:sz="0" w:space="0" w:color="auto"/>
              </w:divBdr>
            </w:div>
            <w:div w:id="46288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354670">
      <w:bodyDiv w:val="1"/>
      <w:marLeft w:val="0"/>
      <w:marRight w:val="0"/>
      <w:marTop w:val="0"/>
      <w:marBottom w:val="0"/>
      <w:divBdr>
        <w:top w:val="none" w:sz="0" w:space="0" w:color="auto"/>
        <w:left w:val="none" w:sz="0" w:space="0" w:color="auto"/>
        <w:bottom w:val="none" w:sz="0" w:space="0" w:color="auto"/>
        <w:right w:val="none" w:sz="0" w:space="0" w:color="auto"/>
      </w:divBdr>
      <w:divsChild>
        <w:div w:id="495222301">
          <w:marLeft w:val="480"/>
          <w:marRight w:val="0"/>
          <w:marTop w:val="0"/>
          <w:marBottom w:val="0"/>
          <w:divBdr>
            <w:top w:val="none" w:sz="0" w:space="0" w:color="auto"/>
            <w:left w:val="none" w:sz="0" w:space="0" w:color="auto"/>
            <w:bottom w:val="none" w:sz="0" w:space="0" w:color="auto"/>
            <w:right w:val="none" w:sz="0" w:space="0" w:color="auto"/>
          </w:divBdr>
          <w:divsChild>
            <w:div w:id="221452134">
              <w:marLeft w:val="0"/>
              <w:marRight w:val="0"/>
              <w:marTop w:val="0"/>
              <w:marBottom w:val="240"/>
              <w:divBdr>
                <w:top w:val="none" w:sz="0" w:space="0" w:color="auto"/>
                <w:left w:val="none" w:sz="0" w:space="0" w:color="auto"/>
                <w:bottom w:val="none" w:sz="0" w:space="0" w:color="auto"/>
                <w:right w:val="none" w:sz="0" w:space="0" w:color="auto"/>
              </w:divBdr>
            </w:div>
            <w:div w:id="1084650139">
              <w:marLeft w:val="0"/>
              <w:marRight w:val="0"/>
              <w:marTop w:val="0"/>
              <w:marBottom w:val="240"/>
              <w:divBdr>
                <w:top w:val="none" w:sz="0" w:space="0" w:color="auto"/>
                <w:left w:val="none" w:sz="0" w:space="0" w:color="auto"/>
                <w:bottom w:val="none" w:sz="0" w:space="0" w:color="auto"/>
                <w:right w:val="none" w:sz="0" w:space="0" w:color="auto"/>
              </w:divBdr>
            </w:div>
            <w:div w:id="1052654871">
              <w:marLeft w:val="0"/>
              <w:marRight w:val="0"/>
              <w:marTop w:val="0"/>
              <w:marBottom w:val="240"/>
              <w:divBdr>
                <w:top w:val="none" w:sz="0" w:space="0" w:color="auto"/>
                <w:left w:val="none" w:sz="0" w:space="0" w:color="auto"/>
                <w:bottom w:val="none" w:sz="0" w:space="0" w:color="auto"/>
                <w:right w:val="none" w:sz="0" w:space="0" w:color="auto"/>
              </w:divBdr>
            </w:div>
            <w:div w:id="989793608">
              <w:marLeft w:val="0"/>
              <w:marRight w:val="0"/>
              <w:marTop w:val="0"/>
              <w:marBottom w:val="240"/>
              <w:divBdr>
                <w:top w:val="none" w:sz="0" w:space="0" w:color="auto"/>
                <w:left w:val="none" w:sz="0" w:space="0" w:color="auto"/>
                <w:bottom w:val="none" w:sz="0" w:space="0" w:color="auto"/>
                <w:right w:val="none" w:sz="0" w:space="0" w:color="auto"/>
              </w:divBdr>
            </w:div>
            <w:div w:id="392240358">
              <w:marLeft w:val="0"/>
              <w:marRight w:val="0"/>
              <w:marTop w:val="0"/>
              <w:marBottom w:val="240"/>
              <w:divBdr>
                <w:top w:val="none" w:sz="0" w:space="0" w:color="auto"/>
                <w:left w:val="none" w:sz="0" w:space="0" w:color="auto"/>
                <w:bottom w:val="none" w:sz="0" w:space="0" w:color="auto"/>
                <w:right w:val="none" w:sz="0" w:space="0" w:color="auto"/>
              </w:divBdr>
            </w:div>
            <w:div w:id="1176116664">
              <w:marLeft w:val="0"/>
              <w:marRight w:val="0"/>
              <w:marTop w:val="0"/>
              <w:marBottom w:val="240"/>
              <w:divBdr>
                <w:top w:val="none" w:sz="0" w:space="0" w:color="auto"/>
                <w:left w:val="none" w:sz="0" w:space="0" w:color="auto"/>
                <w:bottom w:val="none" w:sz="0" w:space="0" w:color="auto"/>
                <w:right w:val="none" w:sz="0" w:space="0" w:color="auto"/>
              </w:divBdr>
            </w:div>
            <w:div w:id="874776520">
              <w:marLeft w:val="0"/>
              <w:marRight w:val="0"/>
              <w:marTop w:val="0"/>
              <w:marBottom w:val="240"/>
              <w:divBdr>
                <w:top w:val="none" w:sz="0" w:space="0" w:color="auto"/>
                <w:left w:val="none" w:sz="0" w:space="0" w:color="auto"/>
                <w:bottom w:val="none" w:sz="0" w:space="0" w:color="auto"/>
                <w:right w:val="none" w:sz="0" w:space="0" w:color="auto"/>
              </w:divBdr>
            </w:div>
            <w:div w:id="7175365">
              <w:marLeft w:val="0"/>
              <w:marRight w:val="0"/>
              <w:marTop w:val="0"/>
              <w:marBottom w:val="240"/>
              <w:divBdr>
                <w:top w:val="none" w:sz="0" w:space="0" w:color="auto"/>
                <w:left w:val="none" w:sz="0" w:space="0" w:color="auto"/>
                <w:bottom w:val="none" w:sz="0" w:space="0" w:color="auto"/>
                <w:right w:val="none" w:sz="0" w:space="0" w:color="auto"/>
              </w:divBdr>
            </w:div>
            <w:div w:id="818154820">
              <w:marLeft w:val="0"/>
              <w:marRight w:val="0"/>
              <w:marTop w:val="0"/>
              <w:marBottom w:val="240"/>
              <w:divBdr>
                <w:top w:val="none" w:sz="0" w:space="0" w:color="auto"/>
                <w:left w:val="none" w:sz="0" w:space="0" w:color="auto"/>
                <w:bottom w:val="none" w:sz="0" w:space="0" w:color="auto"/>
                <w:right w:val="none" w:sz="0" w:space="0" w:color="auto"/>
              </w:divBdr>
            </w:div>
            <w:div w:id="48038102">
              <w:marLeft w:val="0"/>
              <w:marRight w:val="0"/>
              <w:marTop w:val="0"/>
              <w:marBottom w:val="240"/>
              <w:divBdr>
                <w:top w:val="none" w:sz="0" w:space="0" w:color="auto"/>
                <w:left w:val="none" w:sz="0" w:space="0" w:color="auto"/>
                <w:bottom w:val="none" w:sz="0" w:space="0" w:color="auto"/>
                <w:right w:val="none" w:sz="0" w:space="0" w:color="auto"/>
              </w:divBdr>
            </w:div>
            <w:div w:id="598485780">
              <w:marLeft w:val="0"/>
              <w:marRight w:val="0"/>
              <w:marTop w:val="0"/>
              <w:marBottom w:val="240"/>
              <w:divBdr>
                <w:top w:val="none" w:sz="0" w:space="0" w:color="auto"/>
                <w:left w:val="none" w:sz="0" w:space="0" w:color="auto"/>
                <w:bottom w:val="none" w:sz="0" w:space="0" w:color="auto"/>
                <w:right w:val="none" w:sz="0" w:space="0" w:color="auto"/>
              </w:divBdr>
            </w:div>
            <w:div w:id="1085490763">
              <w:marLeft w:val="0"/>
              <w:marRight w:val="0"/>
              <w:marTop w:val="0"/>
              <w:marBottom w:val="240"/>
              <w:divBdr>
                <w:top w:val="none" w:sz="0" w:space="0" w:color="auto"/>
                <w:left w:val="none" w:sz="0" w:space="0" w:color="auto"/>
                <w:bottom w:val="none" w:sz="0" w:space="0" w:color="auto"/>
                <w:right w:val="none" w:sz="0" w:space="0" w:color="auto"/>
              </w:divBdr>
            </w:div>
            <w:div w:id="1069841141">
              <w:marLeft w:val="0"/>
              <w:marRight w:val="0"/>
              <w:marTop w:val="0"/>
              <w:marBottom w:val="240"/>
              <w:divBdr>
                <w:top w:val="none" w:sz="0" w:space="0" w:color="auto"/>
                <w:left w:val="none" w:sz="0" w:space="0" w:color="auto"/>
                <w:bottom w:val="none" w:sz="0" w:space="0" w:color="auto"/>
                <w:right w:val="none" w:sz="0" w:space="0" w:color="auto"/>
              </w:divBdr>
            </w:div>
            <w:div w:id="775831419">
              <w:marLeft w:val="0"/>
              <w:marRight w:val="0"/>
              <w:marTop w:val="0"/>
              <w:marBottom w:val="240"/>
              <w:divBdr>
                <w:top w:val="none" w:sz="0" w:space="0" w:color="auto"/>
                <w:left w:val="none" w:sz="0" w:space="0" w:color="auto"/>
                <w:bottom w:val="none" w:sz="0" w:space="0" w:color="auto"/>
                <w:right w:val="none" w:sz="0" w:space="0" w:color="auto"/>
              </w:divBdr>
            </w:div>
            <w:div w:id="2130929776">
              <w:marLeft w:val="0"/>
              <w:marRight w:val="0"/>
              <w:marTop w:val="0"/>
              <w:marBottom w:val="240"/>
              <w:divBdr>
                <w:top w:val="none" w:sz="0" w:space="0" w:color="auto"/>
                <w:left w:val="none" w:sz="0" w:space="0" w:color="auto"/>
                <w:bottom w:val="none" w:sz="0" w:space="0" w:color="auto"/>
                <w:right w:val="none" w:sz="0" w:space="0" w:color="auto"/>
              </w:divBdr>
            </w:div>
            <w:div w:id="616639967">
              <w:marLeft w:val="0"/>
              <w:marRight w:val="0"/>
              <w:marTop w:val="0"/>
              <w:marBottom w:val="240"/>
              <w:divBdr>
                <w:top w:val="none" w:sz="0" w:space="0" w:color="auto"/>
                <w:left w:val="none" w:sz="0" w:space="0" w:color="auto"/>
                <w:bottom w:val="none" w:sz="0" w:space="0" w:color="auto"/>
                <w:right w:val="none" w:sz="0" w:space="0" w:color="auto"/>
              </w:divBdr>
            </w:div>
            <w:div w:id="1659728780">
              <w:marLeft w:val="0"/>
              <w:marRight w:val="0"/>
              <w:marTop w:val="0"/>
              <w:marBottom w:val="240"/>
              <w:divBdr>
                <w:top w:val="none" w:sz="0" w:space="0" w:color="auto"/>
                <w:left w:val="none" w:sz="0" w:space="0" w:color="auto"/>
                <w:bottom w:val="none" w:sz="0" w:space="0" w:color="auto"/>
                <w:right w:val="none" w:sz="0" w:space="0" w:color="auto"/>
              </w:divBdr>
            </w:div>
            <w:div w:id="1543328570">
              <w:marLeft w:val="0"/>
              <w:marRight w:val="0"/>
              <w:marTop w:val="0"/>
              <w:marBottom w:val="240"/>
              <w:divBdr>
                <w:top w:val="none" w:sz="0" w:space="0" w:color="auto"/>
                <w:left w:val="none" w:sz="0" w:space="0" w:color="auto"/>
                <w:bottom w:val="none" w:sz="0" w:space="0" w:color="auto"/>
                <w:right w:val="none" w:sz="0" w:space="0" w:color="auto"/>
              </w:divBdr>
            </w:div>
            <w:div w:id="1835946621">
              <w:marLeft w:val="0"/>
              <w:marRight w:val="0"/>
              <w:marTop w:val="0"/>
              <w:marBottom w:val="240"/>
              <w:divBdr>
                <w:top w:val="none" w:sz="0" w:space="0" w:color="auto"/>
                <w:left w:val="none" w:sz="0" w:space="0" w:color="auto"/>
                <w:bottom w:val="none" w:sz="0" w:space="0" w:color="auto"/>
                <w:right w:val="none" w:sz="0" w:space="0" w:color="auto"/>
              </w:divBdr>
            </w:div>
            <w:div w:id="359205490">
              <w:marLeft w:val="0"/>
              <w:marRight w:val="0"/>
              <w:marTop w:val="0"/>
              <w:marBottom w:val="240"/>
              <w:divBdr>
                <w:top w:val="none" w:sz="0" w:space="0" w:color="auto"/>
                <w:left w:val="none" w:sz="0" w:space="0" w:color="auto"/>
                <w:bottom w:val="none" w:sz="0" w:space="0" w:color="auto"/>
                <w:right w:val="none" w:sz="0" w:space="0" w:color="auto"/>
              </w:divBdr>
            </w:div>
            <w:div w:id="825314972">
              <w:marLeft w:val="0"/>
              <w:marRight w:val="0"/>
              <w:marTop w:val="0"/>
              <w:marBottom w:val="240"/>
              <w:divBdr>
                <w:top w:val="none" w:sz="0" w:space="0" w:color="auto"/>
                <w:left w:val="none" w:sz="0" w:space="0" w:color="auto"/>
                <w:bottom w:val="none" w:sz="0" w:space="0" w:color="auto"/>
                <w:right w:val="none" w:sz="0" w:space="0" w:color="auto"/>
              </w:divBdr>
            </w:div>
            <w:div w:id="1517114362">
              <w:marLeft w:val="0"/>
              <w:marRight w:val="0"/>
              <w:marTop w:val="0"/>
              <w:marBottom w:val="240"/>
              <w:divBdr>
                <w:top w:val="none" w:sz="0" w:space="0" w:color="auto"/>
                <w:left w:val="none" w:sz="0" w:space="0" w:color="auto"/>
                <w:bottom w:val="none" w:sz="0" w:space="0" w:color="auto"/>
                <w:right w:val="none" w:sz="0" w:space="0" w:color="auto"/>
              </w:divBdr>
            </w:div>
            <w:div w:id="874343923">
              <w:marLeft w:val="0"/>
              <w:marRight w:val="0"/>
              <w:marTop w:val="0"/>
              <w:marBottom w:val="240"/>
              <w:divBdr>
                <w:top w:val="none" w:sz="0" w:space="0" w:color="auto"/>
                <w:left w:val="none" w:sz="0" w:space="0" w:color="auto"/>
                <w:bottom w:val="none" w:sz="0" w:space="0" w:color="auto"/>
                <w:right w:val="none" w:sz="0" w:space="0" w:color="auto"/>
              </w:divBdr>
            </w:div>
            <w:div w:id="907149945">
              <w:marLeft w:val="0"/>
              <w:marRight w:val="0"/>
              <w:marTop w:val="0"/>
              <w:marBottom w:val="240"/>
              <w:divBdr>
                <w:top w:val="none" w:sz="0" w:space="0" w:color="auto"/>
                <w:left w:val="none" w:sz="0" w:space="0" w:color="auto"/>
                <w:bottom w:val="none" w:sz="0" w:space="0" w:color="auto"/>
                <w:right w:val="none" w:sz="0" w:space="0" w:color="auto"/>
              </w:divBdr>
            </w:div>
            <w:div w:id="1664552519">
              <w:marLeft w:val="0"/>
              <w:marRight w:val="0"/>
              <w:marTop w:val="0"/>
              <w:marBottom w:val="240"/>
              <w:divBdr>
                <w:top w:val="none" w:sz="0" w:space="0" w:color="auto"/>
                <w:left w:val="none" w:sz="0" w:space="0" w:color="auto"/>
                <w:bottom w:val="none" w:sz="0" w:space="0" w:color="auto"/>
                <w:right w:val="none" w:sz="0" w:space="0" w:color="auto"/>
              </w:divBdr>
            </w:div>
            <w:div w:id="1459185589">
              <w:marLeft w:val="0"/>
              <w:marRight w:val="0"/>
              <w:marTop w:val="0"/>
              <w:marBottom w:val="240"/>
              <w:divBdr>
                <w:top w:val="none" w:sz="0" w:space="0" w:color="auto"/>
                <w:left w:val="none" w:sz="0" w:space="0" w:color="auto"/>
                <w:bottom w:val="none" w:sz="0" w:space="0" w:color="auto"/>
                <w:right w:val="none" w:sz="0" w:space="0" w:color="auto"/>
              </w:divBdr>
            </w:div>
            <w:div w:id="728845813">
              <w:marLeft w:val="0"/>
              <w:marRight w:val="0"/>
              <w:marTop w:val="0"/>
              <w:marBottom w:val="240"/>
              <w:divBdr>
                <w:top w:val="none" w:sz="0" w:space="0" w:color="auto"/>
                <w:left w:val="none" w:sz="0" w:space="0" w:color="auto"/>
                <w:bottom w:val="none" w:sz="0" w:space="0" w:color="auto"/>
                <w:right w:val="none" w:sz="0" w:space="0" w:color="auto"/>
              </w:divBdr>
            </w:div>
            <w:div w:id="1319306998">
              <w:marLeft w:val="0"/>
              <w:marRight w:val="0"/>
              <w:marTop w:val="0"/>
              <w:marBottom w:val="240"/>
              <w:divBdr>
                <w:top w:val="none" w:sz="0" w:space="0" w:color="auto"/>
                <w:left w:val="none" w:sz="0" w:space="0" w:color="auto"/>
                <w:bottom w:val="none" w:sz="0" w:space="0" w:color="auto"/>
                <w:right w:val="none" w:sz="0" w:space="0" w:color="auto"/>
              </w:divBdr>
            </w:div>
            <w:div w:id="351230533">
              <w:marLeft w:val="0"/>
              <w:marRight w:val="0"/>
              <w:marTop w:val="0"/>
              <w:marBottom w:val="240"/>
              <w:divBdr>
                <w:top w:val="none" w:sz="0" w:space="0" w:color="auto"/>
                <w:left w:val="none" w:sz="0" w:space="0" w:color="auto"/>
                <w:bottom w:val="none" w:sz="0" w:space="0" w:color="auto"/>
                <w:right w:val="none" w:sz="0" w:space="0" w:color="auto"/>
              </w:divBdr>
            </w:div>
            <w:div w:id="934442916">
              <w:marLeft w:val="0"/>
              <w:marRight w:val="0"/>
              <w:marTop w:val="0"/>
              <w:marBottom w:val="240"/>
              <w:divBdr>
                <w:top w:val="none" w:sz="0" w:space="0" w:color="auto"/>
                <w:left w:val="none" w:sz="0" w:space="0" w:color="auto"/>
                <w:bottom w:val="none" w:sz="0" w:space="0" w:color="auto"/>
                <w:right w:val="none" w:sz="0" w:space="0" w:color="auto"/>
              </w:divBdr>
            </w:div>
            <w:div w:id="2121608761">
              <w:marLeft w:val="0"/>
              <w:marRight w:val="0"/>
              <w:marTop w:val="0"/>
              <w:marBottom w:val="240"/>
              <w:divBdr>
                <w:top w:val="none" w:sz="0" w:space="0" w:color="auto"/>
                <w:left w:val="none" w:sz="0" w:space="0" w:color="auto"/>
                <w:bottom w:val="none" w:sz="0" w:space="0" w:color="auto"/>
                <w:right w:val="none" w:sz="0" w:space="0" w:color="auto"/>
              </w:divBdr>
            </w:div>
            <w:div w:id="1711028991">
              <w:marLeft w:val="0"/>
              <w:marRight w:val="0"/>
              <w:marTop w:val="0"/>
              <w:marBottom w:val="240"/>
              <w:divBdr>
                <w:top w:val="none" w:sz="0" w:space="0" w:color="auto"/>
                <w:left w:val="none" w:sz="0" w:space="0" w:color="auto"/>
                <w:bottom w:val="none" w:sz="0" w:space="0" w:color="auto"/>
                <w:right w:val="none" w:sz="0" w:space="0" w:color="auto"/>
              </w:divBdr>
            </w:div>
            <w:div w:id="1514496416">
              <w:marLeft w:val="0"/>
              <w:marRight w:val="0"/>
              <w:marTop w:val="0"/>
              <w:marBottom w:val="240"/>
              <w:divBdr>
                <w:top w:val="none" w:sz="0" w:space="0" w:color="auto"/>
                <w:left w:val="none" w:sz="0" w:space="0" w:color="auto"/>
                <w:bottom w:val="none" w:sz="0" w:space="0" w:color="auto"/>
                <w:right w:val="none" w:sz="0" w:space="0" w:color="auto"/>
              </w:divBdr>
            </w:div>
            <w:div w:id="1842155990">
              <w:marLeft w:val="0"/>
              <w:marRight w:val="0"/>
              <w:marTop w:val="0"/>
              <w:marBottom w:val="240"/>
              <w:divBdr>
                <w:top w:val="none" w:sz="0" w:space="0" w:color="auto"/>
                <w:left w:val="none" w:sz="0" w:space="0" w:color="auto"/>
                <w:bottom w:val="none" w:sz="0" w:space="0" w:color="auto"/>
                <w:right w:val="none" w:sz="0" w:space="0" w:color="auto"/>
              </w:divBdr>
            </w:div>
            <w:div w:id="1471241707">
              <w:marLeft w:val="0"/>
              <w:marRight w:val="0"/>
              <w:marTop w:val="0"/>
              <w:marBottom w:val="240"/>
              <w:divBdr>
                <w:top w:val="none" w:sz="0" w:space="0" w:color="auto"/>
                <w:left w:val="none" w:sz="0" w:space="0" w:color="auto"/>
                <w:bottom w:val="none" w:sz="0" w:space="0" w:color="auto"/>
                <w:right w:val="none" w:sz="0" w:space="0" w:color="auto"/>
              </w:divBdr>
            </w:div>
            <w:div w:id="902906865">
              <w:marLeft w:val="0"/>
              <w:marRight w:val="0"/>
              <w:marTop w:val="0"/>
              <w:marBottom w:val="240"/>
              <w:divBdr>
                <w:top w:val="none" w:sz="0" w:space="0" w:color="auto"/>
                <w:left w:val="none" w:sz="0" w:space="0" w:color="auto"/>
                <w:bottom w:val="none" w:sz="0" w:space="0" w:color="auto"/>
                <w:right w:val="none" w:sz="0" w:space="0" w:color="auto"/>
              </w:divBdr>
            </w:div>
            <w:div w:id="148644373">
              <w:marLeft w:val="0"/>
              <w:marRight w:val="0"/>
              <w:marTop w:val="0"/>
              <w:marBottom w:val="240"/>
              <w:divBdr>
                <w:top w:val="none" w:sz="0" w:space="0" w:color="auto"/>
                <w:left w:val="none" w:sz="0" w:space="0" w:color="auto"/>
                <w:bottom w:val="none" w:sz="0" w:space="0" w:color="auto"/>
                <w:right w:val="none" w:sz="0" w:space="0" w:color="auto"/>
              </w:divBdr>
            </w:div>
            <w:div w:id="75169915">
              <w:marLeft w:val="0"/>
              <w:marRight w:val="0"/>
              <w:marTop w:val="0"/>
              <w:marBottom w:val="240"/>
              <w:divBdr>
                <w:top w:val="none" w:sz="0" w:space="0" w:color="auto"/>
                <w:left w:val="none" w:sz="0" w:space="0" w:color="auto"/>
                <w:bottom w:val="none" w:sz="0" w:space="0" w:color="auto"/>
                <w:right w:val="none" w:sz="0" w:space="0" w:color="auto"/>
              </w:divBdr>
            </w:div>
            <w:div w:id="203445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871650">
      <w:bodyDiv w:val="1"/>
      <w:marLeft w:val="0"/>
      <w:marRight w:val="0"/>
      <w:marTop w:val="0"/>
      <w:marBottom w:val="0"/>
      <w:divBdr>
        <w:top w:val="none" w:sz="0" w:space="0" w:color="auto"/>
        <w:left w:val="none" w:sz="0" w:space="0" w:color="auto"/>
        <w:bottom w:val="none" w:sz="0" w:space="0" w:color="auto"/>
        <w:right w:val="none" w:sz="0" w:space="0" w:color="auto"/>
      </w:divBdr>
    </w:div>
    <w:div w:id="1457680751">
      <w:bodyDiv w:val="1"/>
      <w:marLeft w:val="0"/>
      <w:marRight w:val="0"/>
      <w:marTop w:val="0"/>
      <w:marBottom w:val="0"/>
      <w:divBdr>
        <w:top w:val="none" w:sz="0" w:space="0" w:color="auto"/>
        <w:left w:val="none" w:sz="0" w:space="0" w:color="auto"/>
        <w:bottom w:val="none" w:sz="0" w:space="0" w:color="auto"/>
        <w:right w:val="none" w:sz="0" w:space="0" w:color="auto"/>
      </w:divBdr>
    </w:div>
    <w:div w:id="1464617807">
      <w:bodyDiv w:val="1"/>
      <w:marLeft w:val="0"/>
      <w:marRight w:val="0"/>
      <w:marTop w:val="0"/>
      <w:marBottom w:val="0"/>
      <w:divBdr>
        <w:top w:val="none" w:sz="0" w:space="0" w:color="auto"/>
        <w:left w:val="none" w:sz="0" w:space="0" w:color="auto"/>
        <w:bottom w:val="none" w:sz="0" w:space="0" w:color="auto"/>
        <w:right w:val="none" w:sz="0" w:space="0" w:color="auto"/>
      </w:divBdr>
      <w:divsChild>
        <w:div w:id="2093424915">
          <w:marLeft w:val="480"/>
          <w:marRight w:val="0"/>
          <w:marTop w:val="0"/>
          <w:marBottom w:val="0"/>
          <w:divBdr>
            <w:top w:val="none" w:sz="0" w:space="0" w:color="auto"/>
            <w:left w:val="none" w:sz="0" w:space="0" w:color="auto"/>
            <w:bottom w:val="none" w:sz="0" w:space="0" w:color="auto"/>
            <w:right w:val="none" w:sz="0" w:space="0" w:color="auto"/>
          </w:divBdr>
          <w:divsChild>
            <w:div w:id="357707941">
              <w:marLeft w:val="0"/>
              <w:marRight w:val="0"/>
              <w:marTop w:val="0"/>
              <w:marBottom w:val="240"/>
              <w:divBdr>
                <w:top w:val="none" w:sz="0" w:space="0" w:color="auto"/>
                <w:left w:val="none" w:sz="0" w:space="0" w:color="auto"/>
                <w:bottom w:val="none" w:sz="0" w:space="0" w:color="auto"/>
                <w:right w:val="none" w:sz="0" w:space="0" w:color="auto"/>
              </w:divBdr>
            </w:div>
            <w:div w:id="1396508764">
              <w:marLeft w:val="0"/>
              <w:marRight w:val="0"/>
              <w:marTop w:val="0"/>
              <w:marBottom w:val="240"/>
              <w:divBdr>
                <w:top w:val="none" w:sz="0" w:space="0" w:color="auto"/>
                <w:left w:val="none" w:sz="0" w:space="0" w:color="auto"/>
                <w:bottom w:val="none" w:sz="0" w:space="0" w:color="auto"/>
                <w:right w:val="none" w:sz="0" w:space="0" w:color="auto"/>
              </w:divBdr>
            </w:div>
            <w:div w:id="1200319677">
              <w:marLeft w:val="0"/>
              <w:marRight w:val="0"/>
              <w:marTop w:val="0"/>
              <w:marBottom w:val="240"/>
              <w:divBdr>
                <w:top w:val="none" w:sz="0" w:space="0" w:color="auto"/>
                <w:left w:val="none" w:sz="0" w:space="0" w:color="auto"/>
                <w:bottom w:val="none" w:sz="0" w:space="0" w:color="auto"/>
                <w:right w:val="none" w:sz="0" w:space="0" w:color="auto"/>
              </w:divBdr>
            </w:div>
            <w:div w:id="1221551609">
              <w:marLeft w:val="0"/>
              <w:marRight w:val="0"/>
              <w:marTop w:val="0"/>
              <w:marBottom w:val="240"/>
              <w:divBdr>
                <w:top w:val="none" w:sz="0" w:space="0" w:color="auto"/>
                <w:left w:val="none" w:sz="0" w:space="0" w:color="auto"/>
                <w:bottom w:val="none" w:sz="0" w:space="0" w:color="auto"/>
                <w:right w:val="none" w:sz="0" w:space="0" w:color="auto"/>
              </w:divBdr>
            </w:div>
            <w:div w:id="881866528">
              <w:marLeft w:val="0"/>
              <w:marRight w:val="0"/>
              <w:marTop w:val="0"/>
              <w:marBottom w:val="240"/>
              <w:divBdr>
                <w:top w:val="none" w:sz="0" w:space="0" w:color="auto"/>
                <w:left w:val="none" w:sz="0" w:space="0" w:color="auto"/>
                <w:bottom w:val="none" w:sz="0" w:space="0" w:color="auto"/>
                <w:right w:val="none" w:sz="0" w:space="0" w:color="auto"/>
              </w:divBdr>
            </w:div>
            <w:div w:id="1284580498">
              <w:marLeft w:val="0"/>
              <w:marRight w:val="0"/>
              <w:marTop w:val="0"/>
              <w:marBottom w:val="240"/>
              <w:divBdr>
                <w:top w:val="none" w:sz="0" w:space="0" w:color="auto"/>
                <w:left w:val="none" w:sz="0" w:space="0" w:color="auto"/>
                <w:bottom w:val="none" w:sz="0" w:space="0" w:color="auto"/>
                <w:right w:val="none" w:sz="0" w:space="0" w:color="auto"/>
              </w:divBdr>
            </w:div>
            <w:div w:id="2082101137">
              <w:marLeft w:val="0"/>
              <w:marRight w:val="0"/>
              <w:marTop w:val="0"/>
              <w:marBottom w:val="240"/>
              <w:divBdr>
                <w:top w:val="none" w:sz="0" w:space="0" w:color="auto"/>
                <w:left w:val="none" w:sz="0" w:space="0" w:color="auto"/>
                <w:bottom w:val="none" w:sz="0" w:space="0" w:color="auto"/>
                <w:right w:val="none" w:sz="0" w:space="0" w:color="auto"/>
              </w:divBdr>
            </w:div>
            <w:div w:id="1748576741">
              <w:marLeft w:val="0"/>
              <w:marRight w:val="0"/>
              <w:marTop w:val="0"/>
              <w:marBottom w:val="240"/>
              <w:divBdr>
                <w:top w:val="none" w:sz="0" w:space="0" w:color="auto"/>
                <w:left w:val="none" w:sz="0" w:space="0" w:color="auto"/>
                <w:bottom w:val="none" w:sz="0" w:space="0" w:color="auto"/>
                <w:right w:val="none" w:sz="0" w:space="0" w:color="auto"/>
              </w:divBdr>
            </w:div>
            <w:div w:id="1137146337">
              <w:marLeft w:val="0"/>
              <w:marRight w:val="0"/>
              <w:marTop w:val="0"/>
              <w:marBottom w:val="240"/>
              <w:divBdr>
                <w:top w:val="none" w:sz="0" w:space="0" w:color="auto"/>
                <w:left w:val="none" w:sz="0" w:space="0" w:color="auto"/>
                <w:bottom w:val="none" w:sz="0" w:space="0" w:color="auto"/>
                <w:right w:val="none" w:sz="0" w:space="0" w:color="auto"/>
              </w:divBdr>
            </w:div>
            <w:div w:id="1661347854">
              <w:marLeft w:val="0"/>
              <w:marRight w:val="0"/>
              <w:marTop w:val="0"/>
              <w:marBottom w:val="240"/>
              <w:divBdr>
                <w:top w:val="none" w:sz="0" w:space="0" w:color="auto"/>
                <w:left w:val="none" w:sz="0" w:space="0" w:color="auto"/>
                <w:bottom w:val="none" w:sz="0" w:space="0" w:color="auto"/>
                <w:right w:val="none" w:sz="0" w:space="0" w:color="auto"/>
              </w:divBdr>
            </w:div>
            <w:div w:id="733553369">
              <w:marLeft w:val="0"/>
              <w:marRight w:val="0"/>
              <w:marTop w:val="0"/>
              <w:marBottom w:val="240"/>
              <w:divBdr>
                <w:top w:val="none" w:sz="0" w:space="0" w:color="auto"/>
                <w:left w:val="none" w:sz="0" w:space="0" w:color="auto"/>
                <w:bottom w:val="none" w:sz="0" w:space="0" w:color="auto"/>
                <w:right w:val="none" w:sz="0" w:space="0" w:color="auto"/>
              </w:divBdr>
            </w:div>
            <w:div w:id="2031300569">
              <w:marLeft w:val="0"/>
              <w:marRight w:val="0"/>
              <w:marTop w:val="0"/>
              <w:marBottom w:val="240"/>
              <w:divBdr>
                <w:top w:val="none" w:sz="0" w:space="0" w:color="auto"/>
                <w:left w:val="none" w:sz="0" w:space="0" w:color="auto"/>
                <w:bottom w:val="none" w:sz="0" w:space="0" w:color="auto"/>
                <w:right w:val="none" w:sz="0" w:space="0" w:color="auto"/>
              </w:divBdr>
            </w:div>
            <w:div w:id="1065564857">
              <w:marLeft w:val="0"/>
              <w:marRight w:val="0"/>
              <w:marTop w:val="0"/>
              <w:marBottom w:val="240"/>
              <w:divBdr>
                <w:top w:val="none" w:sz="0" w:space="0" w:color="auto"/>
                <w:left w:val="none" w:sz="0" w:space="0" w:color="auto"/>
                <w:bottom w:val="none" w:sz="0" w:space="0" w:color="auto"/>
                <w:right w:val="none" w:sz="0" w:space="0" w:color="auto"/>
              </w:divBdr>
            </w:div>
            <w:div w:id="1394812926">
              <w:marLeft w:val="0"/>
              <w:marRight w:val="0"/>
              <w:marTop w:val="0"/>
              <w:marBottom w:val="240"/>
              <w:divBdr>
                <w:top w:val="none" w:sz="0" w:space="0" w:color="auto"/>
                <w:left w:val="none" w:sz="0" w:space="0" w:color="auto"/>
                <w:bottom w:val="none" w:sz="0" w:space="0" w:color="auto"/>
                <w:right w:val="none" w:sz="0" w:space="0" w:color="auto"/>
              </w:divBdr>
            </w:div>
            <w:div w:id="1187645353">
              <w:marLeft w:val="0"/>
              <w:marRight w:val="0"/>
              <w:marTop w:val="0"/>
              <w:marBottom w:val="240"/>
              <w:divBdr>
                <w:top w:val="none" w:sz="0" w:space="0" w:color="auto"/>
                <w:left w:val="none" w:sz="0" w:space="0" w:color="auto"/>
                <w:bottom w:val="none" w:sz="0" w:space="0" w:color="auto"/>
                <w:right w:val="none" w:sz="0" w:space="0" w:color="auto"/>
              </w:divBdr>
            </w:div>
            <w:div w:id="1440023689">
              <w:marLeft w:val="0"/>
              <w:marRight w:val="0"/>
              <w:marTop w:val="0"/>
              <w:marBottom w:val="240"/>
              <w:divBdr>
                <w:top w:val="none" w:sz="0" w:space="0" w:color="auto"/>
                <w:left w:val="none" w:sz="0" w:space="0" w:color="auto"/>
                <w:bottom w:val="none" w:sz="0" w:space="0" w:color="auto"/>
                <w:right w:val="none" w:sz="0" w:space="0" w:color="auto"/>
              </w:divBdr>
            </w:div>
            <w:div w:id="191503756">
              <w:marLeft w:val="0"/>
              <w:marRight w:val="0"/>
              <w:marTop w:val="0"/>
              <w:marBottom w:val="240"/>
              <w:divBdr>
                <w:top w:val="none" w:sz="0" w:space="0" w:color="auto"/>
                <w:left w:val="none" w:sz="0" w:space="0" w:color="auto"/>
                <w:bottom w:val="none" w:sz="0" w:space="0" w:color="auto"/>
                <w:right w:val="none" w:sz="0" w:space="0" w:color="auto"/>
              </w:divBdr>
            </w:div>
            <w:div w:id="58483101">
              <w:marLeft w:val="0"/>
              <w:marRight w:val="0"/>
              <w:marTop w:val="0"/>
              <w:marBottom w:val="240"/>
              <w:divBdr>
                <w:top w:val="none" w:sz="0" w:space="0" w:color="auto"/>
                <w:left w:val="none" w:sz="0" w:space="0" w:color="auto"/>
                <w:bottom w:val="none" w:sz="0" w:space="0" w:color="auto"/>
                <w:right w:val="none" w:sz="0" w:space="0" w:color="auto"/>
              </w:divBdr>
            </w:div>
            <w:div w:id="2002612127">
              <w:marLeft w:val="0"/>
              <w:marRight w:val="0"/>
              <w:marTop w:val="0"/>
              <w:marBottom w:val="240"/>
              <w:divBdr>
                <w:top w:val="none" w:sz="0" w:space="0" w:color="auto"/>
                <w:left w:val="none" w:sz="0" w:space="0" w:color="auto"/>
                <w:bottom w:val="none" w:sz="0" w:space="0" w:color="auto"/>
                <w:right w:val="none" w:sz="0" w:space="0" w:color="auto"/>
              </w:divBdr>
            </w:div>
            <w:div w:id="1375694870">
              <w:marLeft w:val="0"/>
              <w:marRight w:val="0"/>
              <w:marTop w:val="0"/>
              <w:marBottom w:val="240"/>
              <w:divBdr>
                <w:top w:val="none" w:sz="0" w:space="0" w:color="auto"/>
                <w:left w:val="none" w:sz="0" w:space="0" w:color="auto"/>
                <w:bottom w:val="none" w:sz="0" w:space="0" w:color="auto"/>
                <w:right w:val="none" w:sz="0" w:space="0" w:color="auto"/>
              </w:divBdr>
            </w:div>
            <w:div w:id="445851723">
              <w:marLeft w:val="0"/>
              <w:marRight w:val="0"/>
              <w:marTop w:val="0"/>
              <w:marBottom w:val="240"/>
              <w:divBdr>
                <w:top w:val="none" w:sz="0" w:space="0" w:color="auto"/>
                <w:left w:val="none" w:sz="0" w:space="0" w:color="auto"/>
                <w:bottom w:val="none" w:sz="0" w:space="0" w:color="auto"/>
                <w:right w:val="none" w:sz="0" w:space="0" w:color="auto"/>
              </w:divBdr>
            </w:div>
            <w:div w:id="1645163990">
              <w:marLeft w:val="0"/>
              <w:marRight w:val="0"/>
              <w:marTop w:val="0"/>
              <w:marBottom w:val="240"/>
              <w:divBdr>
                <w:top w:val="none" w:sz="0" w:space="0" w:color="auto"/>
                <w:left w:val="none" w:sz="0" w:space="0" w:color="auto"/>
                <w:bottom w:val="none" w:sz="0" w:space="0" w:color="auto"/>
                <w:right w:val="none" w:sz="0" w:space="0" w:color="auto"/>
              </w:divBdr>
            </w:div>
            <w:div w:id="2082942460">
              <w:marLeft w:val="0"/>
              <w:marRight w:val="0"/>
              <w:marTop w:val="0"/>
              <w:marBottom w:val="240"/>
              <w:divBdr>
                <w:top w:val="none" w:sz="0" w:space="0" w:color="auto"/>
                <w:left w:val="none" w:sz="0" w:space="0" w:color="auto"/>
                <w:bottom w:val="none" w:sz="0" w:space="0" w:color="auto"/>
                <w:right w:val="none" w:sz="0" w:space="0" w:color="auto"/>
              </w:divBdr>
            </w:div>
            <w:div w:id="691492543">
              <w:marLeft w:val="0"/>
              <w:marRight w:val="0"/>
              <w:marTop w:val="0"/>
              <w:marBottom w:val="240"/>
              <w:divBdr>
                <w:top w:val="none" w:sz="0" w:space="0" w:color="auto"/>
                <w:left w:val="none" w:sz="0" w:space="0" w:color="auto"/>
                <w:bottom w:val="none" w:sz="0" w:space="0" w:color="auto"/>
                <w:right w:val="none" w:sz="0" w:space="0" w:color="auto"/>
              </w:divBdr>
            </w:div>
            <w:div w:id="2095005386">
              <w:marLeft w:val="0"/>
              <w:marRight w:val="0"/>
              <w:marTop w:val="0"/>
              <w:marBottom w:val="240"/>
              <w:divBdr>
                <w:top w:val="none" w:sz="0" w:space="0" w:color="auto"/>
                <w:left w:val="none" w:sz="0" w:space="0" w:color="auto"/>
                <w:bottom w:val="none" w:sz="0" w:space="0" w:color="auto"/>
                <w:right w:val="none" w:sz="0" w:space="0" w:color="auto"/>
              </w:divBdr>
            </w:div>
            <w:div w:id="1619334106">
              <w:marLeft w:val="0"/>
              <w:marRight w:val="0"/>
              <w:marTop w:val="0"/>
              <w:marBottom w:val="240"/>
              <w:divBdr>
                <w:top w:val="none" w:sz="0" w:space="0" w:color="auto"/>
                <w:left w:val="none" w:sz="0" w:space="0" w:color="auto"/>
                <w:bottom w:val="none" w:sz="0" w:space="0" w:color="auto"/>
                <w:right w:val="none" w:sz="0" w:space="0" w:color="auto"/>
              </w:divBdr>
            </w:div>
            <w:div w:id="667944702">
              <w:marLeft w:val="0"/>
              <w:marRight w:val="0"/>
              <w:marTop w:val="0"/>
              <w:marBottom w:val="240"/>
              <w:divBdr>
                <w:top w:val="none" w:sz="0" w:space="0" w:color="auto"/>
                <w:left w:val="none" w:sz="0" w:space="0" w:color="auto"/>
                <w:bottom w:val="none" w:sz="0" w:space="0" w:color="auto"/>
                <w:right w:val="none" w:sz="0" w:space="0" w:color="auto"/>
              </w:divBdr>
            </w:div>
            <w:div w:id="1022705731">
              <w:marLeft w:val="0"/>
              <w:marRight w:val="0"/>
              <w:marTop w:val="0"/>
              <w:marBottom w:val="240"/>
              <w:divBdr>
                <w:top w:val="none" w:sz="0" w:space="0" w:color="auto"/>
                <w:left w:val="none" w:sz="0" w:space="0" w:color="auto"/>
                <w:bottom w:val="none" w:sz="0" w:space="0" w:color="auto"/>
                <w:right w:val="none" w:sz="0" w:space="0" w:color="auto"/>
              </w:divBdr>
            </w:div>
            <w:div w:id="1541287179">
              <w:marLeft w:val="0"/>
              <w:marRight w:val="0"/>
              <w:marTop w:val="0"/>
              <w:marBottom w:val="240"/>
              <w:divBdr>
                <w:top w:val="none" w:sz="0" w:space="0" w:color="auto"/>
                <w:left w:val="none" w:sz="0" w:space="0" w:color="auto"/>
                <w:bottom w:val="none" w:sz="0" w:space="0" w:color="auto"/>
                <w:right w:val="none" w:sz="0" w:space="0" w:color="auto"/>
              </w:divBdr>
            </w:div>
            <w:div w:id="459225957">
              <w:marLeft w:val="0"/>
              <w:marRight w:val="0"/>
              <w:marTop w:val="0"/>
              <w:marBottom w:val="240"/>
              <w:divBdr>
                <w:top w:val="none" w:sz="0" w:space="0" w:color="auto"/>
                <w:left w:val="none" w:sz="0" w:space="0" w:color="auto"/>
                <w:bottom w:val="none" w:sz="0" w:space="0" w:color="auto"/>
                <w:right w:val="none" w:sz="0" w:space="0" w:color="auto"/>
              </w:divBdr>
            </w:div>
            <w:div w:id="469589473">
              <w:marLeft w:val="0"/>
              <w:marRight w:val="0"/>
              <w:marTop w:val="0"/>
              <w:marBottom w:val="240"/>
              <w:divBdr>
                <w:top w:val="none" w:sz="0" w:space="0" w:color="auto"/>
                <w:left w:val="none" w:sz="0" w:space="0" w:color="auto"/>
                <w:bottom w:val="none" w:sz="0" w:space="0" w:color="auto"/>
                <w:right w:val="none" w:sz="0" w:space="0" w:color="auto"/>
              </w:divBdr>
            </w:div>
            <w:div w:id="923487661">
              <w:marLeft w:val="0"/>
              <w:marRight w:val="0"/>
              <w:marTop w:val="0"/>
              <w:marBottom w:val="240"/>
              <w:divBdr>
                <w:top w:val="none" w:sz="0" w:space="0" w:color="auto"/>
                <w:left w:val="none" w:sz="0" w:space="0" w:color="auto"/>
                <w:bottom w:val="none" w:sz="0" w:space="0" w:color="auto"/>
                <w:right w:val="none" w:sz="0" w:space="0" w:color="auto"/>
              </w:divBdr>
            </w:div>
            <w:div w:id="47532392">
              <w:marLeft w:val="0"/>
              <w:marRight w:val="0"/>
              <w:marTop w:val="0"/>
              <w:marBottom w:val="240"/>
              <w:divBdr>
                <w:top w:val="none" w:sz="0" w:space="0" w:color="auto"/>
                <w:left w:val="none" w:sz="0" w:space="0" w:color="auto"/>
                <w:bottom w:val="none" w:sz="0" w:space="0" w:color="auto"/>
                <w:right w:val="none" w:sz="0" w:space="0" w:color="auto"/>
              </w:divBdr>
            </w:div>
            <w:div w:id="961884935">
              <w:marLeft w:val="0"/>
              <w:marRight w:val="0"/>
              <w:marTop w:val="0"/>
              <w:marBottom w:val="240"/>
              <w:divBdr>
                <w:top w:val="none" w:sz="0" w:space="0" w:color="auto"/>
                <w:left w:val="none" w:sz="0" w:space="0" w:color="auto"/>
                <w:bottom w:val="none" w:sz="0" w:space="0" w:color="auto"/>
                <w:right w:val="none" w:sz="0" w:space="0" w:color="auto"/>
              </w:divBdr>
            </w:div>
            <w:div w:id="457920883">
              <w:marLeft w:val="0"/>
              <w:marRight w:val="0"/>
              <w:marTop w:val="0"/>
              <w:marBottom w:val="240"/>
              <w:divBdr>
                <w:top w:val="none" w:sz="0" w:space="0" w:color="auto"/>
                <w:left w:val="none" w:sz="0" w:space="0" w:color="auto"/>
                <w:bottom w:val="none" w:sz="0" w:space="0" w:color="auto"/>
                <w:right w:val="none" w:sz="0" w:space="0" w:color="auto"/>
              </w:divBdr>
            </w:div>
            <w:div w:id="966932414">
              <w:marLeft w:val="0"/>
              <w:marRight w:val="0"/>
              <w:marTop w:val="0"/>
              <w:marBottom w:val="240"/>
              <w:divBdr>
                <w:top w:val="none" w:sz="0" w:space="0" w:color="auto"/>
                <w:left w:val="none" w:sz="0" w:space="0" w:color="auto"/>
                <w:bottom w:val="none" w:sz="0" w:space="0" w:color="auto"/>
                <w:right w:val="none" w:sz="0" w:space="0" w:color="auto"/>
              </w:divBdr>
            </w:div>
            <w:div w:id="743405">
              <w:marLeft w:val="0"/>
              <w:marRight w:val="0"/>
              <w:marTop w:val="0"/>
              <w:marBottom w:val="240"/>
              <w:divBdr>
                <w:top w:val="none" w:sz="0" w:space="0" w:color="auto"/>
                <w:left w:val="none" w:sz="0" w:space="0" w:color="auto"/>
                <w:bottom w:val="none" w:sz="0" w:space="0" w:color="auto"/>
                <w:right w:val="none" w:sz="0" w:space="0" w:color="auto"/>
              </w:divBdr>
            </w:div>
            <w:div w:id="1354261007">
              <w:marLeft w:val="0"/>
              <w:marRight w:val="0"/>
              <w:marTop w:val="0"/>
              <w:marBottom w:val="240"/>
              <w:divBdr>
                <w:top w:val="none" w:sz="0" w:space="0" w:color="auto"/>
                <w:left w:val="none" w:sz="0" w:space="0" w:color="auto"/>
                <w:bottom w:val="none" w:sz="0" w:space="0" w:color="auto"/>
                <w:right w:val="none" w:sz="0" w:space="0" w:color="auto"/>
              </w:divBdr>
            </w:div>
            <w:div w:id="4078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054136">
      <w:bodyDiv w:val="1"/>
      <w:marLeft w:val="0"/>
      <w:marRight w:val="0"/>
      <w:marTop w:val="0"/>
      <w:marBottom w:val="0"/>
      <w:divBdr>
        <w:top w:val="none" w:sz="0" w:space="0" w:color="auto"/>
        <w:left w:val="none" w:sz="0" w:space="0" w:color="auto"/>
        <w:bottom w:val="none" w:sz="0" w:space="0" w:color="auto"/>
        <w:right w:val="none" w:sz="0" w:space="0" w:color="auto"/>
      </w:divBdr>
      <w:divsChild>
        <w:div w:id="753549976">
          <w:marLeft w:val="480"/>
          <w:marRight w:val="0"/>
          <w:marTop w:val="0"/>
          <w:marBottom w:val="0"/>
          <w:divBdr>
            <w:top w:val="none" w:sz="0" w:space="0" w:color="auto"/>
            <w:left w:val="none" w:sz="0" w:space="0" w:color="auto"/>
            <w:bottom w:val="none" w:sz="0" w:space="0" w:color="auto"/>
            <w:right w:val="none" w:sz="0" w:space="0" w:color="auto"/>
          </w:divBdr>
          <w:divsChild>
            <w:div w:id="717898028">
              <w:marLeft w:val="0"/>
              <w:marRight w:val="0"/>
              <w:marTop w:val="0"/>
              <w:marBottom w:val="240"/>
              <w:divBdr>
                <w:top w:val="none" w:sz="0" w:space="0" w:color="auto"/>
                <w:left w:val="none" w:sz="0" w:space="0" w:color="auto"/>
                <w:bottom w:val="none" w:sz="0" w:space="0" w:color="auto"/>
                <w:right w:val="none" w:sz="0" w:space="0" w:color="auto"/>
              </w:divBdr>
            </w:div>
            <w:div w:id="1614088743">
              <w:marLeft w:val="0"/>
              <w:marRight w:val="0"/>
              <w:marTop w:val="0"/>
              <w:marBottom w:val="240"/>
              <w:divBdr>
                <w:top w:val="none" w:sz="0" w:space="0" w:color="auto"/>
                <w:left w:val="none" w:sz="0" w:space="0" w:color="auto"/>
                <w:bottom w:val="none" w:sz="0" w:space="0" w:color="auto"/>
                <w:right w:val="none" w:sz="0" w:space="0" w:color="auto"/>
              </w:divBdr>
            </w:div>
            <w:div w:id="371658145">
              <w:marLeft w:val="0"/>
              <w:marRight w:val="0"/>
              <w:marTop w:val="0"/>
              <w:marBottom w:val="240"/>
              <w:divBdr>
                <w:top w:val="none" w:sz="0" w:space="0" w:color="auto"/>
                <w:left w:val="none" w:sz="0" w:space="0" w:color="auto"/>
                <w:bottom w:val="none" w:sz="0" w:space="0" w:color="auto"/>
                <w:right w:val="none" w:sz="0" w:space="0" w:color="auto"/>
              </w:divBdr>
            </w:div>
            <w:div w:id="1920871302">
              <w:marLeft w:val="0"/>
              <w:marRight w:val="0"/>
              <w:marTop w:val="0"/>
              <w:marBottom w:val="240"/>
              <w:divBdr>
                <w:top w:val="none" w:sz="0" w:space="0" w:color="auto"/>
                <w:left w:val="none" w:sz="0" w:space="0" w:color="auto"/>
                <w:bottom w:val="none" w:sz="0" w:space="0" w:color="auto"/>
                <w:right w:val="none" w:sz="0" w:space="0" w:color="auto"/>
              </w:divBdr>
            </w:div>
            <w:div w:id="1204096025">
              <w:marLeft w:val="0"/>
              <w:marRight w:val="0"/>
              <w:marTop w:val="0"/>
              <w:marBottom w:val="240"/>
              <w:divBdr>
                <w:top w:val="none" w:sz="0" w:space="0" w:color="auto"/>
                <w:left w:val="none" w:sz="0" w:space="0" w:color="auto"/>
                <w:bottom w:val="none" w:sz="0" w:space="0" w:color="auto"/>
                <w:right w:val="none" w:sz="0" w:space="0" w:color="auto"/>
              </w:divBdr>
            </w:div>
            <w:div w:id="506099968">
              <w:marLeft w:val="0"/>
              <w:marRight w:val="0"/>
              <w:marTop w:val="0"/>
              <w:marBottom w:val="240"/>
              <w:divBdr>
                <w:top w:val="none" w:sz="0" w:space="0" w:color="auto"/>
                <w:left w:val="none" w:sz="0" w:space="0" w:color="auto"/>
                <w:bottom w:val="none" w:sz="0" w:space="0" w:color="auto"/>
                <w:right w:val="none" w:sz="0" w:space="0" w:color="auto"/>
              </w:divBdr>
            </w:div>
            <w:div w:id="629282562">
              <w:marLeft w:val="0"/>
              <w:marRight w:val="0"/>
              <w:marTop w:val="0"/>
              <w:marBottom w:val="240"/>
              <w:divBdr>
                <w:top w:val="none" w:sz="0" w:space="0" w:color="auto"/>
                <w:left w:val="none" w:sz="0" w:space="0" w:color="auto"/>
                <w:bottom w:val="none" w:sz="0" w:space="0" w:color="auto"/>
                <w:right w:val="none" w:sz="0" w:space="0" w:color="auto"/>
              </w:divBdr>
            </w:div>
            <w:div w:id="1128746920">
              <w:marLeft w:val="0"/>
              <w:marRight w:val="0"/>
              <w:marTop w:val="0"/>
              <w:marBottom w:val="240"/>
              <w:divBdr>
                <w:top w:val="none" w:sz="0" w:space="0" w:color="auto"/>
                <w:left w:val="none" w:sz="0" w:space="0" w:color="auto"/>
                <w:bottom w:val="none" w:sz="0" w:space="0" w:color="auto"/>
                <w:right w:val="none" w:sz="0" w:space="0" w:color="auto"/>
              </w:divBdr>
            </w:div>
            <w:div w:id="52242472">
              <w:marLeft w:val="0"/>
              <w:marRight w:val="0"/>
              <w:marTop w:val="0"/>
              <w:marBottom w:val="240"/>
              <w:divBdr>
                <w:top w:val="none" w:sz="0" w:space="0" w:color="auto"/>
                <w:left w:val="none" w:sz="0" w:space="0" w:color="auto"/>
                <w:bottom w:val="none" w:sz="0" w:space="0" w:color="auto"/>
                <w:right w:val="none" w:sz="0" w:space="0" w:color="auto"/>
              </w:divBdr>
            </w:div>
            <w:div w:id="248778713">
              <w:marLeft w:val="0"/>
              <w:marRight w:val="0"/>
              <w:marTop w:val="0"/>
              <w:marBottom w:val="240"/>
              <w:divBdr>
                <w:top w:val="none" w:sz="0" w:space="0" w:color="auto"/>
                <w:left w:val="none" w:sz="0" w:space="0" w:color="auto"/>
                <w:bottom w:val="none" w:sz="0" w:space="0" w:color="auto"/>
                <w:right w:val="none" w:sz="0" w:space="0" w:color="auto"/>
              </w:divBdr>
            </w:div>
            <w:div w:id="105278542">
              <w:marLeft w:val="0"/>
              <w:marRight w:val="0"/>
              <w:marTop w:val="0"/>
              <w:marBottom w:val="240"/>
              <w:divBdr>
                <w:top w:val="none" w:sz="0" w:space="0" w:color="auto"/>
                <w:left w:val="none" w:sz="0" w:space="0" w:color="auto"/>
                <w:bottom w:val="none" w:sz="0" w:space="0" w:color="auto"/>
                <w:right w:val="none" w:sz="0" w:space="0" w:color="auto"/>
              </w:divBdr>
            </w:div>
            <w:div w:id="75051819">
              <w:marLeft w:val="0"/>
              <w:marRight w:val="0"/>
              <w:marTop w:val="0"/>
              <w:marBottom w:val="240"/>
              <w:divBdr>
                <w:top w:val="none" w:sz="0" w:space="0" w:color="auto"/>
                <w:left w:val="none" w:sz="0" w:space="0" w:color="auto"/>
                <w:bottom w:val="none" w:sz="0" w:space="0" w:color="auto"/>
                <w:right w:val="none" w:sz="0" w:space="0" w:color="auto"/>
              </w:divBdr>
            </w:div>
            <w:div w:id="560746905">
              <w:marLeft w:val="0"/>
              <w:marRight w:val="0"/>
              <w:marTop w:val="0"/>
              <w:marBottom w:val="240"/>
              <w:divBdr>
                <w:top w:val="none" w:sz="0" w:space="0" w:color="auto"/>
                <w:left w:val="none" w:sz="0" w:space="0" w:color="auto"/>
                <w:bottom w:val="none" w:sz="0" w:space="0" w:color="auto"/>
                <w:right w:val="none" w:sz="0" w:space="0" w:color="auto"/>
              </w:divBdr>
            </w:div>
            <w:div w:id="1986620626">
              <w:marLeft w:val="0"/>
              <w:marRight w:val="0"/>
              <w:marTop w:val="0"/>
              <w:marBottom w:val="240"/>
              <w:divBdr>
                <w:top w:val="none" w:sz="0" w:space="0" w:color="auto"/>
                <w:left w:val="none" w:sz="0" w:space="0" w:color="auto"/>
                <w:bottom w:val="none" w:sz="0" w:space="0" w:color="auto"/>
                <w:right w:val="none" w:sz="0" w:space="0" w:color="auto"/>
              </w:divBdr>
            </w:div>
            <w:div w:id="1821535442">
              <w:marLeft w:val="0"/>
              <w:marRight w:val="0"/>
              <w:marTop w:val="0"/>
              <w:marBottom w:val="240"/>
              <w:divBdr>
                <w:top w:val="none" w:sz="0" w:space="0" w:color="auto"/>
                <w:left w:val="none" w:sz="0" w:space="0" w:color="auto"/>
                <w:bottom w:val="none" w:sz="0" w:space="0" w:color="auto"/>
                <w:right w:val="none" w:sz="0" w:space="0" w:color="auto"/>
              </w:divBdr>
            </w:div>
            <w:div w:id="1567760513">
              <w:marLeft w:val="0"/>
              <w:marRight w:val="0"/>
              <w:marTop w:val="0"/>
              <w:marBottom w:val="240"/>
              <w:divBdr>
                <w:top w:val="none" w:sz="0" w:space="0" w:color="auto"/>
                <w:left w:val="none" w:sz="0" w:space="0" w:color="auto"/>
                <w:bottom w:val="none" w:sz="0" w:space="0" w:color="auto"/>
                <w:right w:val="none" w:sz="0" w:space="0" w:color="auto"/>
              </w:divBdr>
            </w:div>
            <w:div w:id="291248428">
              <w:marLeft w:val="0"/>
              <w:marRight w:val="0"/>
              <w:marTop w:val="0"/>
              <w:marBottom w:val="240"/>
              <w:divBdr>
                <w:top w:val="none" w:sz="0" w:space="0" w:color="auto"/>
                <w:left w:val="none" w:sz="0" w:space="0" w:color="auto"/>
                <w:bottom w:val="none" w:sz="0" w:space="0" w:color="auto"/>
                <w:right w:val="none" w:sz="0" w:space="0" w:color="auto"/>
              </w:divBdr>
            </w:div>
            <w:div w:id="901713556">
              <w:marLeft w:val="0"/>
              <w:marRight w:val="0"/>
              <w:marTop w:val="0"/>
              <w:marBottom w:val="240"/>
              <w:divBdr>
                <w:top w:val="none" w:sz="0" w:space="0" w:color="auto"/>
                <w:left w:val="none" w:sz="0" w:space="0" w:color="auto"/>
                <w:bottom w:val="none" w:sz="0" w:space="0" w:color="auto"/>
                <w:right w:val="none" w:sz="0" w:space="0" w:color="auto"/>
              </w:divBdr>
            </w:div>
            <w:div w:id="1260481912">
              <w:marLeft w:val="0"/>
              <w:marRight w:val="0"/>
              <w:marTop w:val="0"/>
              <w:marBottom w:val="240"/>
              <w:divBdr>
                <w:top w:val="none" w:sz="0" w:space="0" w:color="auto"/>
                <w:left w:val="none" w:sz="0" w:space="0" w:color="auto"/>
                <w:bottom w:val="none" w:sz="0" w:space="0" w:color="auto"/>
                <w:right w:val="none" w:sz="0" w:space="0" w:color="auto"/>
              </w:divBdr>
            </w:div>
            <w:div w:id="1121191783">
              <w:marLeft w:val="0"/>
              <w:marRight w:val="0"/>
              <w:marTop w:val="0"/>
              <w:marBottom w:val="240"/>
              <w:divBdr>
                <w:top w:val="none" w:sz="0" w:space="0" w:color="auto"/>
                <w:left w:val="none" w:sz="0" w:space="0" w:color="auto"/>
                <w:bottom w:val="none" w:sz="0" w:space="0" w:color="auto"/>
                <w:right w:val="none" w:sz="0" w:space="0" w:color="auto"/>
              </w:divBdr>
            </w:div>
            <w:div w:id="2080134363">
              <w:marLeft w:val="0"/>
              <w:marRight w:val="0"/>
              <w:marTop w:val="0"/>
              <w:marBottom w:val="240"/>
              <w:divBdr>
                <w:top w:val="none" w:sz="0" w:space="0" w:color="auto"/>
                <w:left w:val="none" w:sz="0" w:space="0" w:color="auto"/>
                <w:bottom w:val="none" w:sz="0" w:space="0" w:color="auto"/>
                <w:right w:val="none" w:sz="0" w:space="0" w:color="auto"/>
              </w:divBdr>
            </w:div>
            <w:div w:id="15540228">
              <w:marLeft w:val="0"/>
              <w:marRight w:val="0"/>
              <w:marTop w:val="0"/>
              <w:marBottom w:val="240"/>
              <w:divBdr>
                <w:top w:val="none" w:sz="0" w:space="0" w:color="auto"/>
                <w:left w:val="none" w:sz="0" w:space="0" w:color="auto"/>
                <w:bottom w:val="none" w:sz="0" w:space="0" w:color="auto"/>
                <w:right w:val="none" w:sz="0" w:space="0" w:color="auto"/>
              </w:divBdr>
            </w:div>
            <w:div w:id="993879544">
              <w:marLeft w:val="0"/>
              <w:marRight w:val="0"/>
              <w:marTop w:val="0"/>
              <w:marBottom w:val="240"/>
              <w:divBdr>
                <w:top w:val="none" w:sz="0" w:space="0" w:color="auto"/>
                <w:left w:val="none" w:sz="0" w:space="0" w:color="auto"/>
                <w:bottom w:val="none" w:sz="0" w:space="0" w:color="auto"/>
                <w:right w:val="none" w:sz="0" w:space="0" w:color="auto"/>
              </w:divBdr>
            </w:div>
            <w:div w:id="1909270774">
              <w:marLeft w:val="0"/>
              <w:marRight w:val="0"/>
              <w:marTop w:val="0"/>
              <w:marBottom w:val="240"/>
              <w:divBdr>
                <w:top w:val="none" w:sz="0" w:space="0" w:color="auto"/>
                <w:left w:val="none" w:sz="0" w:space="0" w:color="auto"/>
                <w:bottom w:val="none" w:sz="0" w:space="0" w:color="auto"/>
                <w:right w:val="none" w:sz="0" w:space="0" w:color="auto"/>
              </w:divBdr>
            </w:div>
            <w:div w:id="29957768">
              <w:marLeft w:val="0"/>
              <w:marRight w:val="0"/>
              <w:marTop w:val="0"/>
              <w:marBottom w:val="240"/>
              <w:divBdr>
                <w:top w:val="none" w:sz="0" w:space="0" w:color="auto"/>
                <w:left w:val="none" w:sz="0" w:space="0" w:color="auto"/>
                <w:bottom w:val="none" w:sz="0" w:space="0" w:color="auto"/>
                <w:right w:val="none" w:sz="0" w:space="0" w:color="auto"/>
              </w:divBdr>
            </w:div>
            <w:div w:id="1766878758">
              <w:marLeft w:val="0"/>
              <w:marRight w:val="0"/>
              <w:marTop w:val="0"/>
              <w:marBottom w:val="240"/>
              <w:divBdr>
                <w:top w:val="none" w:sz="0" w:space="0" w:color="auto"/>
                <w:left w:val="none" w:sz="0" w:space="0" w:color="auto"/>
                <w:bottom w:val="none" w:sz="0" w:space="0" w:color="auto"/>
                <w:right w:val="none" w:sz="0" w:space="0" w:color="auto"/>
              </w:divBdr>
            </w:div>
            <w:div w:id="1201938216">
              <w:marLeft w:val="0"/>
              <w:marRight w:val="0"/>
              <w:marTop w:val="0"/>
              <w:marBottom w:val="240"/>
              <w:divBdr>
                <w:top w:val="none" w:sz="0" w:space="0" w:color="auto"/>
                <w:left w:val="none" w:sz="0" w:space="0" w:color="auto"/>
                <w:bottom w:val="none" w:sz="0" w:space="0" w:color="auto"/>
                <w:right w:val="none" w:sz="0" w:space="0" w:color="auto"/>
              </w:divBdr>
            </w:div>
            <w:div w:id="1685666816">
              <w:marLeft w:val="0"/>
              <w:marRight w:val="0"/>
              <w:marTop w:val="0"/>
              <w:marBottom w:val="240"/>
              <w:divBdr>
                <w:top w:val="none" w:sz="0" w:space="0" w:color="auto"/>
                <w:left w:val="none" w:sz="0" w:space="0" w:color="auto"/>
                <w:bottom w:val="none" w:sz="0" w:space="0" w:color="auto"/>
                <w:right w:val="none" w:sz="0" w:space="0" w:color="auto"/>
              </w:divBdr>
            </w:div>
            <w:div w:id="1917469777">
              <w:marLeft w:val="0"/>
              <w:marRight w:val="0"/>
              <w:marTop w:val="0"/>
              <w:marBottom w:val="240"/>
              <w:divBdr>
                <w:top w:val="none" w:sz="0" w:space="0" w:color="auto"/>
                <w:left w:val="none" w:sz="0" w:space="0" w:color="auto"/>
                <w:bottom w:val="none" w:sz="0" w:space="0" w:color="auto"/>
                <w:right w:val="none" w:sz="0" w:space="0" w:color="auto"/>
              </w:divBdr>
            </w:div>
            <w:div w:id="1909265035">
              <w:marLeft w:val="0"/>
              <w:marRight w:val="0"/>
              <w:marTop w:val="0"/>
              <w:marBottom w:val="240"/>
              <w:divBdr>
                <w:top w:val="none" w:sz="0" w:space="0" w:color="auto"/>
                <w:left w:val="none" w:sz="0" w:space="0" w:color="auto"/>
                <w:bottom w:val="none" w:sz="0" w:space="0" w:color="auto"/>
                <w:right w:val="none" w:sz="0" w:space="0" w:color="auto"/>
              </w:divBdr>
            </w:div>
            <w:div w:id="1691448034">
              <w:marLeft w:val="0"/>
              <w:marRight w:val="0"/>
              <w:marTop w:val="0"/>
              <w:marBottom w:val="240"/>
              <w:divBdr>
                <w:top w:val="none" w:sz="0" w:space="0" w:color="auto"/>
                <w:left w:val="none" w:sz="0" w:space="0" w:color="auto"/>
                <w:bottom w:val="none" w:sz="0" w:space="0" w:color="auto"/>
                <w:right w:val="none" w:sz="0" w:space="0" w:color="auto"/>
              </w:divBdr>
            </w:div>
            <w:div w:id="1808012314">
              <w:marLeft w:val="0"/>
              <w:marRight w:val="0"/>
              <w:marTop w:val="0"/>
              <w:marBottom w:val="240"/>
              <w:divBdr>
                <w:top w:val="none" w:sz="0" w:space="0" w:color="auto"/>
                <w:left w:val="none" w:sz="0" w:space="0" w:color="auto"/>
                <w:bottom w:val="none" w:sz="0" w:space="0" w:color="auto"/>
                <w:right w:val="none" w:sz="0" w:space="0" w:color="auto"/>
              </w:divBdr>
            </w:div>
            <w:div w:id="1082141946">
              <w:marLeft w:val="0"/>
              <w:marRight w:val="0"/>
              <w:marTop w:val="0"/>
              <w:marBottom w:val="240"/>
              <w:divBdr>
                <w:top w:val="none" w:sz="0" w:space="0" w:color="auto"/>
                <w:left w:val="none" w:sz="0" w:space="0" w:color="auto"/>
                <w:bottom w:val="none" w:sz="0" w:space="0" w:color="auto"/>
                <w:right w:val="none" w:sz="0" w:space="0" w:color="auto"/>
              </w:divBdr>
            </w:div>
            <w:div w:id="2034072507">
              <w:marLeft w:val="0"/>
              <w:marRight w:val="0"/>
              <w:marTop w:val="0"/>
              <w:marBottom w:val="240"/>
              <w:divBdr>
                <w:top w:val="none" w:sz="0" w:space="0" w:color="auto"/>
                <w:left w:val="none" w:sz="0" w:space="0" w:color="auto"/>
                <w:bottom w:val="none" w:sz="0" w:space="0" w:color="auto"/>
                <w:right w:val="none" w:sz="0" w:space="0" w:color="auto"/>
              </w:divBdr>
            </w:div>
            <w:div w:id="1729497522">
              <w:marLeft w:val="0"/>
              <w:marRight w:val="0"/>
              <w:marTop w:val="0"/>
              <w:marBottom w:val="240"/>
              <w:divBdr>
                <w:top w:val="none" w:sz="0" w:space="0" w:color="auto"/>
                <w:left w:val="none" w:sz="0" w:space="0" w:color="auto"/>
                <w:bottom w:val="none" w:sz="0" w:space="0" w:color="auto"/>
                <w:right w:val="none" w:sz="0" w:space="0" w:color="auto"/>
              </w:divBdr>
            </w:div>
            <w:div w:id="2085953817">
              <w:marLeft w:val="0"/>
              <w:marRight w:val="0"/>
              <w:marTop w:val="0"/>
              <w:marBottom w:val="240"/>
              <w:divBdr>
                <w:top w:val="none" w:sz="0" w:space="0" w:color="auto"/>
                <w:left w:val="none" w:sz="0" w:space="0" w:color="auto"/>
                <w:bottom w:val="none" w:sz="0" w:space="0" w:color="auto"/>
                <w:right w:val="none" w:sz="0" w:space="0" w:color="auto"/>
              </w:divBdr>
            </w:div>
            <w:div w:id="1339693334">
              <w:marLeft w:val="0"/>
              <w:marRight w:val="0"/>
              <w:marTop w:val="0"/>
              <w:marBottom w:val="240"/>
              <w:divBdr>
                <w:top w:val="none" w:sz="0" w:space="0" w:color="auto"/>
                <w:left w:val="none" w:sz="0" w:space="0" w:color="auto"/>
                <w:bottom w:val="none" w:sz="0" w:space="0" w:color="auto"/>
                <w:right w:val="none" w:sz="0" w:space="0" w:color="auto"/>
              </w:divBdr>
            </w:div>
            <w:div w:id="53084254">
              <w:marLeft w:val="0"/>
              <w:marRight w:val="0"/>
              <w:marTop w:val="0"/>
              <w:marBottom w:val="240"/>
              <w:divBdr>
                <w:top w:val="none" w:sz="0" w:space="0" w:color="auto"/>
                <w:left w:val="none" w:sz="0" w:space="0" w:color="auto"/>
                <w:bottom w:val="none" w:sz="0" w:space="0" w:color="auto"/>
                <w:right w:val="none" w:sz="0" w:space="0" w:color="auto"/>
              </w:divBdr>
            </w:div>
            <w:div w:id="494498541">
              <w:marLeft w:val="0"/>
              <w:marRight w:val="0"/>
              <w:marTop w:val="0"/>
              <w:marBottom w:val="240"/>
              <w:divBdr>
                <w:top w:val="none" w:sz="0" w:space="0" w:color="auto"/>
                <w:left w:val="none" w:sz="0" w:space="0" w:color="auto"/>
                <w:bottom w:val="none" w:sz="0" w:space="0" w:color="auto"/>
                <w:right w:val="none" w:sz="0" w:space="0" w:color="auto"/>
              </w:divBdr>
            </w:div>
            <w:div w:id="287468718">
              <w:marLeft w:val="0"/>
              <w:marRight w:val="0"/>
              <w:marTop w:val="0"/>
              <w:marBottom w:val="240"/>
              <w:divBdr>
                <w:top w:val="none" w:sz="0" w:space="0" w:color="auto"/>
                <w:left w:val="none" w:sz="0" w:space="0" w:color="auto"/>
                <w:bottom w:val="none" w:sz="0" w:space="0" w:color="auto"/>
                <w:right w:val="none" w:sz="0" w:space="0" w:color="auto"/>
              </w:divBdr>
            </w:div>
            <w:div w:id="2024866465">
              <w:marLeft w:val="0"/>
              <w:marRight w:val="0"/>
              <w:marTop w:val="0"/>
              <w:marBottom w:val="240"/>
              <w:divBdr>
                <w:top w:val="none" w:sz="0" w:space="0" w:color="auto"/>
                <w:left w:val="none" w:sz="0" w:space="0" w:color="auto"/>
                <w:bottom w:val="none" w:sz="0" w:space="0" w:color="auto"/>
                <w:right w:val="none" w:sz="0" w:space="0" w:color="auto"/>
              </w:divBdr>
            </w:div>
            <w:div w:id="1884634542">
              <w:marLeft w:val="0"/>
              <w:marRight w:val="0"/>
              <w:marTop w:val="0"/>
              <w:marBottom w:val="240"/>
              <w:divBdr>
                <w:top w:val="none" w:sz="0" w:space="0" w:color="auto"/>
                <w:left w:val="none" w:sz="0" w:space="0" w:color="auto"/>
                <w:bottom w:val="none" w:sz="0" w:space="0" w:color="auto"/>
                <w:right w:val="none" w:sz="0" w:space="0" w:color="auto"/>
              </w:divBdr>
            </w:div>
            <w:div w:id="1429496513">
              <w:marLeft w:val="0"/>
              <w:marRight w:val="0"/>
              <w:marTop w:val="0"/>
              <w:marBottom w:val="240"/>
              <w:divBdr>
                <w:top w:val="none" w:sz="0" w:space="0" w:color="auto"/>
                <w:left w:val="none" w:sz="0" w:space="0" w:color="auto"/>
                <w:bottom w:val="none" w:sz="0" w:space="0" w:color="auto"/>
                <w:right w:val="none" w:sz="0" w:space="0" w:color="auto"/>
              </w:divBdr>
            </w:div>
            <w:div w:id="692194255">
              <w:marLeft w:val="0"/>
              <w:marRight w:val="0"/>
              <w:marTop w:val="0"/>
              <w:marBottom w:val="240"/>
              <w:divBdr>
                <w:top w:val="none" w:sz="0" w:space="0" w:color="auto"/>
                <w:left w:val="none" w:sz="0" w:space="0" w:color="auto"/>
                <w:bottom w:val="none" w:sz="0" w:space="0" w:color="auto"/>
                <w:right w:val="none" w:sz="0" w:space="0" w:color="auto"/>
              </w:divBdr>
            </w:div>
            <w:div w:id="241644057">
              <w:marLeft w:val="0"/>
              <w:marRight w:val="0"/>
              <w:marTop w:val="0"/>
              <w:marBottom w:val="240"/>
              <w:divBdr>
                <w:top w:val="none" w:sz="0" w:space="0" w:color="auto"/>
                <w:left w:val="none" w:sz="0" w:space="0" w:color="auto"/>
                <w:bottom w:val="none" w:sz="0" w:space="0" w:color="auto"/>
                <w:right w:val="none" w:sz="0" w:space="0" w:color="auto"/>
              </w:divBdr>
            </w:div>
            <w:div w:id="2079984437">
              <w:marLeft w:val="0"/>
              <w:marRight w:val="0"/>
              <w:marTop w:val="0"/>
              <w:marBottom w:val="240"/>
              <w:divBdr>
                <w:top w:val="none" w:sz="0" w:space="0" w:color="auto"/>
                <w:left w:val="none" w:sz="0" w:space="0" w:color="auto"/>
                <w:bottom w:val="none" w:sz="0" w:space="0" w:color="auto"/>
                <w:right w:val="none" w:sz="0" w:space="0" w:color="auto"/>
              </w:divBdr>
            </w:div>
            <w:div w:id="2109694724">
              <w:marLeft w:val="0"/>
              <w:marRight w:val="0"/>
              <w:marTop w:val="0"/>
              <w:marBottom w:val="240"/>
              <w:divBdr>
                <w:top w:val="none" w:sz="0" w:space="0" w:color="auto"/>
                <w:left w:val="none" w:sz="0" w:space="0" w:color="auto"/>
                <w:bottom w:val="none" w:sz="0" w:space="0" w:color="auto"/>
                <w:right w:val="none" w:sz="0" w:space="0" w:color="auto"/>
              </w:divBdr>
            </w:div>
            <w:div w:id="1168861538">
              <w:marLeft w:val="0"/>
              <w:marRight w:val="0"/>
              <w:marTop w:val="0"/>
              <w:marBottom w:val="240"/>
              <w:divBdr>
                <w:top w:val="none" w:sz="0" w:space="0" w:color="auto"/>
                <w:left w:val="none" w:sz="0" w:space="0" w:color="auto"/>
                <w:bottom w:val="none" w:sz="0" w:space="0" w:color="auto"/>
                <w:right w:val="none" w:sz="0" w:space="0" w:color="auto"/>
              </w:divBdr>
            </w:div>
            <w:div w:id="1925918287">
              <w:marLeft w:val="0"/>
              <w:marRight w:val="0"/>
              <w:marTop w:val="0"/>
              <w:marBottom w:val="240"/>
              <w:divBdr>
                <w:top w:val="none" w:sz="0" w:space="0" w:color="auto"/>
                <w:left w:val="none" w:sz="0" w:space="0" w:color="auto"/>
                <w:bottom w:val="none" w:sz="0" w:space="0" w:color="auto"/>
                <w:right w:val="none" w:sz="0" w:space="0" w:color="auto"/>
              </w:divBdr>
            </w:div>
            <w:div w:id="277681957">
              <w:marLeft w:val="0"/>
              <w:marRight w:val="0"/>
              <w:marTop w:val="0"/>
              <w:marBottom w:val="240"/>
              <w:divBdr>
                <w:top w:val="none" w:sz="0" w:space="0" w:color="auto"/>
                <w:left w:val="none" w:sz="0" w:space="0" w:color="auto"/>
                <w:bottom w:val="none" w:sz="0" w:space="0" w:color="auto"/>
                <w:right w:val="none" w:sz="0" w:space="0" w:color="auto"/>
              </w:divBdr>
            </w:div>
            <w:div w:id="2050178196">
              <w:marLeft w:val="0"/>
              <w:marRight w:val="0"/>
              <w:marTop w:val="0"/>
              <w:marBottom w:val="240"/>
              <w:divBdr>
                <w:top w:val="none" w:sz="0" w:space="0" w:color="auto"/>
                <w:left w:val="none" w:sz="0" w:space="0" w:color="auto"/>
                <w:bottom w:val="none" w:sz="0" w:space="0" w:color="auto"/>
                <w:right w:val="none" w:sz="0" w:space="0" w:color="auto"/>
              </w:divBdr>
            </w:div>
            <w:div w:id="260142325">
              <w:marLeft w:val="0"/>
              <w:marRight w:val="0"/>
              <w:marTop w:val="0"/>
              <w:marBottom w:val="240"/>
              <w:divBdr>
                <w:top w:val="none" w:sz="0" w:space="0" w:color="auto"/>
                <w:left w:val="none" w:sz="0" w:space="0" w:color="auto"/>
                <w:bottom w:val="none" w:sz="0" w:space="0" w:color="auto"/>
                <w:right w:val="none" w:sz="0" w:space="0" w:color="auto"/>
              </w:divBdr>
            </w:div>
            <w:div w:id="254478518">
              <w:marLeft w:val="0"/>
              <w:marRight w:val="0"/>
              <w:marTop w:val="0"/>
              <w:marBottom w:val="240"/>
              <w:divBdr>
                <w:top w:val="none" w:sz="0" w:space="0" w:color="auto"/>
                <w:left w:val="none" w:sz="0" w:space="0" w:color="auto"/>
                <w:bottom w:val="none" w:sz="0" w:space="0" w:color="auto"/>
                <w:right w:val="none" w:sz="0" w:space="0" w:color="auto"/>
              </w:divBdr>
            </w:div>
            <w:div w:id="1248465787">
              <w:marLeft w:val="0"/>
              <w:marRight w:val="0"/>
              <w:marTop w:val="0"/>
              <w:marBottom w:val="240"/>
              <w:divBdr>
                <w:top w:val="none" w:sz="0" w:space="0" w:color="auto"/>
                <w:left w:val="none" w:sz="0" w:space="0" w:color="auto"/>
                <w:bottom w:val="none" w:sz="0" w:space="0" w:color="auto"/>
                <w:right w:val="none" w:sz="0" w:space="0" w:color="auto"/>
              </w:divBdr>
            </w:div>
            <w:div w:id="1929533500">
              <w:marLeft w:val="0"/>
              <w:marRight w:val="0"/>
              <w:marTop w:val="0"/>
              <w:marBottom w:val="240"/>
              <w:divBdr>
                <w:top w:val="none" w:sz="0" w:space="0" w:color="auto"/>
                <w:left w:val="none" w:sz="0" w:space="0" w:color="auto"/>
                <w:bottom w:val="none" w:sz="0" w:space="0" w:color="auto"/>
                <w:right w:val="none" w:sz="0" w:space="0" w:color="auto"/>
              </w:divBdr>
            </w:div>
            <w:div w:id="503663538">
              <w:marLeft w:val="0"/>
              <w:marRight w:val="0"/>
              <w:marTop w:val="0"/>
              <w:marBottom w:val="240"/>
              <w:divBdr>
                <w:top w:val="none" w:sz="0" w:space="0" w:color="auto"/>
                <w:left w:val="none" w:sz="0" w:space="0" w:color="auto"/>
                <w:bottom w:val="none" w:sz="0" w:space="0" w:color="auto"/>
                <w:right w:val="none" w:sz="0" w:space="0" w:color="auto"/>
              </w:divBdr>
            </w:div>
            <w:div w:id="2143888300">
              <w:marLeft w:val="0"/>
              <w:marRight w:val="0"/>
              <w:marTop w:val="0"/>
              <w:marBottom w:val="240"/>
              <w:divBdr>
                <w:top w:val="none" w:sz="0" w:space="0" w:color="auto"/>
                <w:left w:val="none" w:sz="0" w:space="0" w:color="auto"/>
                <w:bottom w:val="none" w:sz="0" w:space="0" w:color="auto"/>
                <w:right w:val="none" w:sz="0" w:space="0" w:color="auto"/>
              </w:divBdr>
            </w:div>
            <w:div w:id="316494061">
              <w:marLeft w:val="0"/>
              <w:marRight w:val="0"/>
              <w:marTop w:val="0"/>
              <w:marBottom w:val="240"/>
              <w:divBdr>
                <w:top w:val="none" w:sz="0" w:space="0" w:color="auto"/>
                <w:left w:val="none" w:sz="0" w:space="0" w:color="auto"/>
                <w:bottom w:val="none" w:sz="0" w:space="0" w:color="auto"/>
                <w:right w:val="none" w:sz="0" w:space="0" w:color="auto"/>
              </w:divBdr>
            </w:div>
            <w:div w:id="885339254">
              <w:marLeft w:val="0"/>
              <w:marRight w:val="0"/>
              <w:marTop w:val="0"/>
              <w:marBottom w:val="240"/>
              <w:divBdr>
                <w:top w:val="none" w:sz="0" w:space="0" w:color="auto"/>
                <w:left w:val="none" w:sz="0" w:space="0" w:color="auto"/>
                <w:bottom w:val="none" w:sz="0" w:space="0" w:color="auto"/>
                <w:right w:val="none" w:sz="0" w:space="0" w:color="auto"/>
              </w:divBdr>
            </w:div>
            <w:div w:id="450592614">
              <w:marLeft w:val="0"/>
              <w:marRight w:val="0"/>
              <w:marTop w:val="0"/>
              <w:marBottom w:val="240"/>
              <w:divBdr>
                <w:top w:val="none" w:sz="0" w:space="0" w:color="auto"/>
                <w:left w:val="none" w:sz="0" w:space="0" w:color="auto"/>
                <w:bottom w:val="none" w:sz="0" w:space="0" w:color="auto"/>
                <w:right w:val="none" w:sz="0" w:space="0" w:color="auto"/>
              </w:divBdr>
            </w:div>
            <w:div w:id="437605481">
              <w:marLeft w:val="0"/>
              <w:marRight w:val="0"/>
              <w:marTop w:val="0"/>
              <w:marBottom w:val="240"/>
              <w:divBdr>
                <w:top w:val="none" w:sz="0" w:space="0" w:color="auto"/>
                <w:left w:val="none" w:sz="0" w:space="0" w:color="auto"/>
                <w:bottom w:val="none" w:sz="0" w:space="0" w:color="auto"/>
                <w:right w:val="none" w:sz="0" w:space="0" w:color="auto"/>
              </w:divBdr>
            </w:div>
            <w:div w:id="1826167097">
              <w:marLeft w:val="0"/>
              <w:marRight w:val="0"/>
              <w:marTop w:val="0"/>
              <w:marBottom w:val="240"/>
              <w:divBdr>
                <w:top w:val="none" w:sz="0" w:space="0" w:color="auto"/>
                <w:left w:val="none" w:sz="0" w:space="0" w:color="auto"/>
                <w:bottom w:val="none" w:sz="0" w:space="0" w:color="auto"/>
                <w:right w:val="none" w:sz="0" w:space="0" w:color="auto"/>
              </w:divBdr>
            </w:div>
            <w:div w:id="635258639">
              <w:marLeft w:val="0"/>
              <w:marRight w:val="0"/>
              <w:marTop w:val="0"/>
              <w:marBottom w:val="240"/>
              <w:divBdr>
                <w:top w:val="none" w:sz="0" w:space="0" w:color="auto"/>
                <w:left w:val="none" w:sz="0" w:space="0" w:color="auto"/>
                <w:bottom w:val="none" w:sz="0" w:space="0" w:color="auto"/>
                <w:right w:val="none" w:sz="0" w:space="0" w:color="auto"/>
              </w:divBdr>
            </w:div>
            <w:div w:id="416483165">
              <w:marLeft w:val="0"/>
              <w:marRight w:val="0"/>
              <w:marTop w:val="0"/>
              <w:marBottom w:val="240"/>
              <w:divBdr>
                <w:top w:val="none" w:sz="0" w:space="0" w:color="auto"/>
                <w:left w:val="none" w:sz="0" w:space="0" w:color="auto"/>
                <w:bottom w:val="none" w:sz="0" w:space="0" w:color="auto"/>
                <w:right w:val="none" w:sz="0" w:space="0" w:color="auto"/>
              </w:divBdr>
            </w:div>
            <w:div w:id="2026711762">
              <w:marLeft w:val="0"/>
              <w:marRight w:val="0"/>
              <w:marTop w:val="0"/>
              <w:marBottom w:val="240"/>
              <w:divBdr>
                <w:top w:val="none" w:sz="0" w:space="0" w:color="auto"/>
                <w:left w:val="none" w:sz="0" w:space="0" w:color="auto"/>
                <w:bottom w:val="none" w:sz="0" w:space="0" w:color="auto"/>
                <w:right w:val="none" w:sz="0" w:space="0" w:color="auto"/>
              </w:divBdr>
            </w:div>
            <w:div w:id="1166751502">
              <w:marLeft w:val="0"/>
              <w:marRight w:val="0"/>
              <w:marTop w:val="0"/>
              <w:marBottom w:val="240"/>
              <w:divBdr>
                <w:top w:val="none" w:sz="0" w:space="0" w:color="auto"/>
                <w:left w:val="none" w:sz="0" w:space="0" w:color="auto"/>
                <w:bottom w:val="none" w:sz="0" w:space="0" w:color="auto"/>
                <w:right w:val="none" w:sz="0" w:space="0" w:color="auto"/>
              </w:divBdr>
            </w:div>
            <w:div w:id="845898516">
              <w:marLeft w:val="0"/>
              <w:marRight w:val="0"/>
              <w:marTop w:val="0"/>
              <w:marBottom w:val="240"/>
              <w:divBdr>
                <w:top w:val="none" w:sz="0" w:space="0" w:color="auto"/>
                <w:left w:val="none" w:sz="0" w:space="0" w:color="auto"/>
                <w:bottom w:val="none" w:sz="0" w:space="0" w:color="auto"/>
                <w:right w:val="none" w:sz="0" w:space="0" w:color="auto"/>
              </w:divBdr>
            </w:div>
            <w:div w:id="660472514">
              <w:marLeft w:val="0"/>
              <w:marRight w:val="0"/>
              <w:marTop w:val="0"/>
              <w:marBottom w:val="240"/>
              <w:divBdr>
                <w:top w:val="none" w:sz="0" w:space="0" w:color="auto"/>
                <w:left w:val="none" w:sz="0" w:space="0" w:color="auto"/>
                <w:bottom w:val="none" w:sz="0" w:space="0" w:color="auto"/>
                <w:right w:val="none" w:sz="0" w:space="0" w:color="auto"/>
              </w:divBdr>
            </w:div>
            <w:div w:id="1179927374">
              <w:marLeft w:val="0"/>
              <w:marRight w:val="0"/>
              <w:marTop w:val="0"/>
              <w:marBottom w:val="240"/>
              <w:divBdr>
                <w:top w:val="none" w:sz="0" w:space="0" w:color="auto"/>
                <w:left w:val="none" w:sz="0" w:space="0" w:color="auto"/>
                <w:bottom w:val="none" w:sz="0" w:space="0" w:color="auto"/>
                <w:right w:val="none" w:sz="0" w:space="0" w:color="auto"/>
              </w:divBdr>
            </w:div>
            <w:div w:id="891692279">
              <w:marLeft w:val="0"/>
              <w:marRight w:val="0"/>
              <w:marTop w:val="0"/>
              <w:marBottom w:val="240"/>
              <w:divBdr>
                <w:top w:val="none" w:sz="0" w:space="0" w:color="auto"/>
                <w:left w:val="none" w:sz="0" w:space="0" w:color="auto"/>
                <w:bottom w:val="none" w:sz="0" w:space="0" w:color="auto"/>
                <w:right w:val="none" w:sz="0" w:space="0" w:color="auto"/>
              </w:divBdr>
            </w:div>
            <w:div w:id="1008097206">
              <w:marLeft w:val="0"/>
              <w:marRight w:val="0"/>
              <w:marTop w:val="0"/>
              <w:marBottom w:val="240"/>
              <w:divBdr>
                <w:top w:val="none" w:sz="0" w:space="0" w:color="auto"/>
                <w:left w:val="none" w:sz="0" w:space="0" w:color="auto"/>
                <w:bottom w:val="none" w:sz="0" w:space="0" w:color="auto"/>
                <w:right w:val="none" w:sz="0" w:space="0" w:color="auto"/>
              </w:divBdr>
            </w:div>
            <w:div w:id="2094274754">
              <w:marLeft w:val="0"/>
              <w:marRight w:val="0"/>
              <w:marTop w:val="0"/>
              <w:marBottom w:val="240"/>
              <w:divBdr>
                <w:top w:val="none" w:sz="0" w:space="0" w:color="auto"/>
                <w:left w:val="none" w:sz="0" w:space="0" w:color="auto"/>
                <w:bottom w:val="none" w:sz="0" w:space="0" w:color="auto"/>
                <w:right w:val="none" w:sz="0" w:space="0" w:color="auto"/>
              </w:divBdr>
            </w:div>
            <w:div w:id="1725106335">
              <w:marLeft w:val="0"/>
              <w:marRight w:val="0"/>
              <w:marTop w:val="0"/>
              <w:marBottom w:val="240"/>
              <w:divBdr>
                <w:top w:val="none" w:sz="0" w:space="0" w:color="auto"/>
                <w:left w:val="none" w:sz="0" w:space="0" w:color="auto"/>
                <w:bottom w:val="none" w:sz="0" w:space="0" w:color="auto"/>
                <w:right w:val="none" w:sz="0" w:space="0" w:color="auto"/>
              </w:divBdr>
            </w:div>
            <w:div w:id="1077896778">
              <w:marLeft w:val="0"/>
              <w:marRight w:val="0"/>
              <w:marTop w:val="0"/>
              <w:marBottom w:val="240"/>
              <w:divBdr>
                <w:top w:val="none" w:sz="0" w:space="0" w:color="auto"/>
                <w:left w:val="none" w:sz="0" w:space="0" w:color="auto"/>
                <w:bottom w:val="none" w:sz="0" w:space="0" w:color="auto"/>
                <w:right w:val="none" w:sz="0" w:space="0" w:color="auto"/>
              </w:divBdr>
            </w:div>
            <w:div w:id="1074012512">
              <w:marLeft w:val="0"/>
              <w:marRight w:val="0"/>
              <w:marTop w:val="0"/>
              <w:marBottom w:val="240"/>
              <w:divBdr>
                <w:top w:val="none" w:sz="0" w:space="0" w:color="auto"/>
                <w:left w:val="none" w:sz="0" w:space="0" w:color="auto"/>
                <w:bottom w:val="none" w:sz="0" w:space="0" w:color="auto"/>
                <w:right w:val="none" w:sz="0" w:space="0" w:color="auto"/>
              </w:divBdr>
            </w:div>
            <w:div w:id="1803695478">
              <w:marLeft w:val="0"/>
              <w:marRight w:val="0"/>
              <w:marTop w:val="0"/>
              <w:marBottom w:val="240"/>
              <w:divBdr>
                <w:top w:val="none" w:sz="0" w:space="0" w:color="auto"/>
                <w:left w:val="none" w:sz="0" w:space="0" w:color="auto"/>
                <w:bottom w:val="none" w:sz="0" w:space="0" w:color="auto"/>
                <w:right w:val="none" w:sz="0" w:space="0" w:color="auto"/>
              </w:divBdr>
            </w:div>
            <w:div w:id="330303723">
              <w:marLeft w:val="0"/>
              <w:marRight w:val="0"/>
              <w:marTop w:val="0"/>
              <w:marBottom w:val="240"/>
              <w:divBdr>
                <w:top w:val="none" w:sz="0" w:space="0" w:color="auto"/>
                <w:left w:val="none" w:sz="0" w:space="0" w:color="auto"/>
                <w:bottom w:val="none" w:sz="0" w:space="0" w:color="auto"/>
                <w:right w:val="none" w:sz="0" w:space="0" w:color="auto"/>
              </w:divBdr>
            </w:div>
            <w:div w:id="659650064">
              <w:marLeft w:val="0"/>
              <w:marRight w:val="0"/>
              <w:marTop w:val="0"/>
              <w:marBottom w:val="240"/>
              <w:divBdr>
                <w:top w:val="none" w:sz="0" w:space="0" w:color="auto"/>
                <w:left w:val="none" w:sz="0" w:space="0" w:color="auto"/>
                <w:bottom w:val="none" w:sz="0" w:space="0" w:color="auto"/>
                <w:right w:val="none" w:sz="0" w:space="0" w:color="auto"/>
              </w:divBdr>
            </w:div>
            <w:div w:id="1681423668">
              <w:marLeft w:val="0"/>
              <w:marRight w:val="0"/>
              <w:marTop w:val="0"/>
              <w:marBottom w:val="240"/>
              <w:divBdr>
                <w:top w:val="none" w:sz="0" w:space="0" w:color="auto"/>
                <w:left w:val="none" w:sz="0" w:space="0" w:color="auto"/>
                <w:bottom w:val="none" w:sz="0" w:space="0" w:color="auto"/>
                <w:right w:val="none" w:sz="0" w:space="0" w:color="auto"/>
              </w:divBdr>
            </w:div>
            <w:div w:id="1577010477">
              <w:marLeft w:val="0"/>
              <w:marRight w:val="0"/>
              <w:marTop w:val="0"/>
              <w:marBottom w:val="240"/>
              <w:divBdr>
                <w:top w:val="none" w:sz="0" w:space="0" w:color="auto"/>
                <w:left w:val="none" w:sz="0" w:space="0" w:color="auto"/>
                <w:bottom w:val="none" w:sz="0" w:space="0" w:color="auto"/>
                <w:right w:val="none" w:sz="0" w:space="0" w:color="auto"/>
              </w:divBdr>
            </w:div>
            <w:div w:id="1682660282">
              <w:marLeft w:val="0"/>
              <w:marRight w:val="0"/>
              <w:marTop w:val="0"/>
              <w:marBottom w:val="240"/>
              <w:divBdr>
                <w:top w:val="none" w:sz="0" w:space="0" w:color="auto"/>
                <w:left w:val="none" w:sz="0" w:space="0" w:color="auto"/>
                <w:bottom w:val="none" w:sz="0" w:space="0" w:color="auto"/>
                <w:right w:val="none" w:sz="0" w:space="0" w:color="auto"/>
              </w:divBdr>
            </w:div>
            <w:div w:id="55012701">
              <w:marLeft w:val="0"/>
              <w:marRight w:val="0"/>
              <w:marTop w:val="0"/>
              <w:marBottom w:val="240"/>
              <w:divBdr>
                <w:top w:val="none" w:sz="0" w:space="0" w:color="auto"/>
                <w:left w:val="none" w:sz="0" w:space="0" w:color="auto"/>
                <w:bottom w:val="none" w:sz="0" w:space="0" w:color="auto"/>
                <w:right w:val="none" w:sz="0" w:space="0" w:color="auto"/>
              </w:divBdr>
            </w:div>
            <w:div w:id="566500649">
              <w:marLeft w:val="0"/>
              <w:marRight w:val="0"/>
              <w:marTop w:val="0"/>
              <w:marBottom w:val="240"/>
              <w:divBdr>
                <w:top w:val="none" w:sz="0" w:space="0" w:color="auto"/>
                <w:left w:val="none" w:sz="0" w:space="0" w:color="auto"/>
                <w:bottom w:val="none" w:sz="0" w:space="0" w:color="auto"/>
                <w:right w:val="none" w:sz="0" w:space="0" w:color="auto"/>
              </w:divBdr>
            </w:div>
            <w:div w:id="1159468768">
              <w:marLeft w:val="0"/>
              <w:marRight w:val="0"/>
              <w:marTop w:val="0"/>
              <w:marBottom w:val="240"/>
              <w:divBdr>
                <w:top w:val="none" w:sz="0" w:space="0" w:color="auto"/>
                <w:left w:val="none" w:sz="0" w:space="0" w:color="auto"/>
                <w:bottom w:val="none" w:sz="0" w:space="0" w:color="auto"/>
                <w:right w:val="none" w:sz="0" w:space="0" w:color="auto"/>
              </w:divBdr>
            </w:div>
            <w:div w:id="304051293">
              <w:marLeft w:val="0"/>
              <w:marRight w:val="0"/>
              <w:marTop w:val="0"/>
              <w:marBottom w:val="240"/>
              <w:divBdr>
                <w:top w:val="none" w:sz="0" w:space="0" w:color="auto"/>
                <w:left w:val="none" w:sz="0" w:space="0" w:color="auto"/>
                <w:bottom w:val="none" w:sz="0" w:space="0" w:color="auto"/>
                <w:right w:val="none" w:sz="0" w:space="0" w:color="auto"/>
              </w:divBdr>
            </w:div>
            <w:div w:id="778599333">
              <w:marLeft w:val="0"/>
              <w:marRight w:val="0"/>
              <w:marTop w:val="0"/>
              <w:marBottom w:val="240"/>
              <w:divBdr>
                <w:top w:val="none" w:sz="0" w:space="0" w:color="auto"/>
                <w:left w:val="none" w:sz="0" w:space="0" w:color="auto"/>
                <w:bottom w:val="none" w:sz="0" w:space="0" w:color="auto"/>
                <w:right w:val="none" w:sz="0" w:space="0" w:color="auto"/>
              </w:divBdr>
            </w:div>
            <w:div w:id="331418849">
              <w:marLeft w:val="0"/>
              <w:marRight w:val="0"/>
              <w:marTop w:val="0"/>
              <w:marBottom w:val="240"/>
              <w:divBdr>
                <w:top w:val="none" w:sz="0" w:space="0" w:color="auto"/>
                <w:left w:val="none" w:sz="0" w:space="0" w:color="auto"/>
                <w:bottom w:val="none" w:sz="0" w:space="0" w:color="auto"/>
                <w:right w:val="none" w:sz="0" w:space="0" w:color="auto"/>
              </w:divBdr>
            </w:div>
            <w:div w:id="440996368">
              <w:marLeft w:val="0"/>
              <w:marRight w:val="0"/>
              <w:marTop w:val="0"/>
              <w:marBottom w:val="240"/>
              <w:divBdr>
                <w:top w:val="none" w:sz="0" w:space="0" w:color="auto"/>
                <w:left w:val="none" w:sz="0" w:space="0" w:color="auto"/>
                <w:bottom w:val="none" w:sz="0" w:space="0" w:color="auto"/>
                <w:right w:val="none" w:sz="0" w:space="0" w:color="auto"/>
              </w:divBdr>
            </w:div>
            <w:div w:id="2049984114">
              <w:marLeft w:val="0"/>
              <w:marRight w:val="0"/>
              <w:marTop w:val="0"/>
              <w:marBottom w:val="240"/>
              <w:divBdr>
                <w:top w:val="none" w:sz="0" w:space="0" w:color="auto"/>
                <w:left w:val="none" w:sz="0" w:space="0" w:color="auto"/>
                <w:bottom w:val="none" w:sz="0" w:space="0" w:color="auto"/>
                <w:right w:val="none" w:sz="0" w:space="0" w:color="auto"/>
              </w:divBdr>
            </w:div>
            <w:div w:id="488056933">
              <w:marLeft w:val="0"/>
              <w:marRight w:val="0"/>
              <w:marTop w:val="0"/>
              <w:marBottom w:val="240"/>
              <w:divBdr>
                <w:top w:val="none" w:sz="0" w:space="0" w:color="auto"/>
                <w:left w:val="none" w:sz="0" w:space="0" w:color="auto"/>
                <w:bottom w:val="none" w:sz="0" w:space="0" w:color="auto"/>
                <w:right w:val="none" w:sz="0" w:space="0" w:color="auto"/>
              </w:divBdr>
            </w:div>
            <w:div w:id="1076049855">
              <w:marLeft w:val="0"/>
              <w:marRight w:val="0"/>
              <w:marTop w:val="0"/>
              <w:marBottom w:val="240"/>
              <w:divBdr>
                <w:top w:val="none" w:sz="0" w:space="0" w:color="auto"/>
                <w:left w:val="none" w:sz="0" w:space="0" w:color="auto"/>
                <w:bottom w:val="none" w:sz="0" w:space="0" w:color="auto"/>
                <w:right w:val="none" w:sz="0" w:space="0" w:color="auto"/>
              </w:divBdr>
            </w:div>
            <w:div w:id="1100682725">
              <w:marLeft w:val="0"/>
              <w:marRight w:val="0"/>
              <w:marTop w:val="0"/>
              <w:marBottom w:val="240"/>
              <w:divBdr>
                <w:top w:val="none" w:sz="0" w:space="0" w:color="auto"/>
                <w:left w:val="none" w:sz="0" w:space="0" w:color="auto"/>
                <w:bottom w:val="none" w:sz="0" w:space="0" w:color="auto"/>
                <w:right w:val="none" w:sz="0" w:space="0" w:color="auto"/>
              </w:divBdr>
            </w:div>
            <w:div w:id="2072731141">
              <w:marLeft w:val="0"/>
              <w:marRight w:val="0"/>
              <w:marTop w:val="0"/>
              <w:marBottom w:val="240"/>
              <w:divBdr>
                <w:top w:val="none" w:sz="0" w:space="0" w:color="auto"/>
                <w:left w:val="none" w:sz="0" w:space="0" w:color="auto"/>
                <w:bottom w:val="none" w:sz="0" w:space="0" w:color="auto"/>
                <w:right w:val="none" w:sz="0" w:space="0" w:color="auto"/>
              </w:divBdr>
            </w:div>
            <w:div w:id="9376936">
              <w:marLeft w:val="0"/>
              <w:marRight w:val="0"/>
              <w:marTop w:val="0"/>
              <w:marBottom w:val="240"/>
              <w:divBdr>
                <w:top w:val="none" w:sz="0" w:space="0" w:color="auto"/>
                <w:left w:val="none" w:sz="0" w:space="0" w:color="auto"/>
                <w:bottom w:val="none" w:sz="0" w:space="0" w:color="auto"/>
                <w:right w:val="none" w:sz="0" w:space="0" w:color="auto"/>
              </w:divBdr>
            </w:div>
            <w:div w:id="165439979">
              <w:marLeft w:val="0"/>
              <w:marRight w:val="0"/>
              <w:marTop w:val="0"/>
              <w:marBottom w:val="240"/>
              <w:divBdr>
                <w:top w:val="none" w:sz="0" w:space="0" w:color="auto"/>
                <w:left w:val="none" w:sz="0" w:space="0" w:color="auto"/>
                <w:bottom w:val="none" w:sz="0" w:space="0" w:color="auto"/>
                <w:right w:val="none" w:sz="0" w:space="0" w:color="auto"/>
              </w:divBdr>
            </w:div>
            <w:div w:id="2126920913">
              <w:marLeft w:val="0"/>
              <w:marRight w:val="0"/>
              <w:marTop w:val="0"/>
              <w:marBottom w:val="240"/>
              <w:divBdr>
                <w:top w:val="none" w:sz="0" w:space="0" w:color="auto"/>
                <w:left w:val="none" w:sz="0" w:space="0" w:color="auto"/>
                <w:bottom w:val="none" w:sz="0" w:space="0" w:color="auto"/>
                <w:right w:val="none" w:sz="0" w:space="0" w:color="auto"/>
              </w:divBdr>
            </w:div>
            <w:div w:id="1084717282">
              <w:marLeft w:val="0"/>
              <w:marRight w:val="0"/>
              <w:marTop w:val="0"/>
              <w:marBottom w:val="240"/>
              <w:divBdr>
                <w:top w:val="none" w:sz="0" w:space="0" w:color="auto"/>
                <w:left w:val="none" w:sz="0" w:space="0" w:color="auto"/>
                <w:bottom w:val="none" w:sz="0" w:space="0" w:color="auto"/>
                <w:right w:val="none" w:sz="0" w:space="0" w:color="auto"/>
              </w:divBdr>
            </w:div>
            <w:div w:id="281234997">
              <w:marLeft w:val="0"/>
              <w:marRight w:val="0"/>
              <w:marTop w:val="0"/>
              <w:marBottom w:val="240"/>
              <w:divBdr>
                <w:top w:val="none" w:sz="0" w:space="0" w:color="auto"/>
                <w:left w:val="none" w:sz="0" w:space="0" w:color="auto"/>
                <w:bottom w:val="none" w:sz="0" w:space="0" w:color="auto"/>
                <w:right w:val="none" w:sz="0" w:space="0" w:color="auto"/>
              </w:divBdr>
            </w:div>
            <w:div w:id="1687094640">
              <w:marLeft w:val="0"/>
              <w:marRight w:val="0"/>
              <w:marTop w:val="0"/>
              <w:marBottom w:val="240"/>
              <w:divBdr>
                <w:top w:val="none" w:sz="0" w:space="0" w:color="auto"/>
                <w:left w:val="none" w:sz="0" w:space="0" w:color="auto"/>
                <w:bottom w:val="none" w:sz="0" w:space="0" w:color="auto"/>
                <w:right w:val="none" w:sz="0" w:space="0" w:color="auto"/>
              </w:divBdr>
            </w:div>
            <w:div w:id="736317948">
              <w:marLeft w:val="0"/>
              <w:marRight w:val="0"/>
              <w:marTop w:val="0"/>
              <w:marBottom w:val="240"/>
              <w:divBdr>
                <w:top w:val="none" w:sz="0" w:space="0" w:color="auto"/>
                <w:left w:val="none" w:sz="0" w:space="0" w:color="auto"/>
                <w:bottom w:val="none" w:sz="0" w:space="0" w:color="auto"/>
                <w:right w:val="none" w:sz="0" w:space="0" w:color="auto"/>
              </w:divBdr>
            </w:div>
            <w:div w:id="1568997438">
              <w:marLeft w:val="0"/>
              <w:marRight w:val="0"/>
              <w:marTop w:val="0"/>
              <w:marBottom w:val="240"/>
              <w:divBdr>
                <w:top w:val="none" w:sz="0" w:space="0" w:color="auto"/>
                <w:left w:val="none" w:sz="0" w:space="0" w:color="auto"/>
                <w:bottom w:val="none" w:sz="0" w:space="0" w:color="auto"/>
                <w:right w:val="none" w:sz="0" w:space="0" w:color="auto"/>
              </w:divBdr>
            </w:div>
            <w:div w:id="1097554400">
              <w:marLeft w:val="0"/>
              <w:marRight w:val="0"/>
              <w:marTop w:val="0"/>
              <w:marBottom w:val="240"/>
              <w:divBdr>
                <w:top w:val="none" w:sz="0" w:space="0" w:color="auto"/>
                <w:left w:val="none" w:sz="0" w:space="0" w:color="auto"/>
                <w:bottom w:val="none" w:sz="0" w:space="0" w:color="auto"/>
                <w:right w:val="none" w:sz="0" w:space="0" w:color="auto"/>
              </w:divBdr>
            </w:div>
            <w:div w:id="299265495">
              <w:marLeft w:val="0"/>
              <w:marRight w:val="0"/>
              <w:marTop w:val="0"/>
              <w:marBottom w:val="240"/>
              <w:divBdr>
                <w:top w:val="none" w:sz="0" w:space="0" w:color="auto"/>
                <w:left w:val="none" w:sz="0" w:space="0" w:color="auto"/>
                <w:bottom w:val="none" w:sz="0" w:space="0" w:color="auto"/>
                <w:right w:val="none" w:sz="0" w:space="0" w:color="auto"/>
              </w:divBdr>
            </w:div>
            <w:div w:id="104426497">
              <w:marLeft w:val="0"/>
              <w:marRight w:val="0"/>
              <w:marTop w:val="0"/>
              <w:marBottom w:val="240"/>
              <w:divBdr>
                <w:top w:val="none" w:sz="0" w:space="0" w:color="auto"/>
                <w:left w:val="none" w:sz="0" w:space="0" w:color="auto"/>
                <w:bottom w:val="none" w:sz="0" w:space="0" w:color="auto"/>
                <w:right w:val="none" w:sz="0" w:space="0" w:color="auto"/>
              </w:divBdr>
            </w:div>
            <w:div w:id="330377536">
              <w:marLeft w:val="0"/>
              <w:marRight w:val="0"/>
              <w:marTop w:val="0"/>
              <w:marBottom w:val="240"/>
              <w:divBdr>
                <w:top w:val="none" w:sz="0" w:space="0" w:color="auto"/>
                <w:left w:val="none" w:sz="0" w:space="0" w:color="auto"/>
                <w:bottom w:val="none" w:sz="0" w:space="0" w:color="auto"/>
                <w:right w:val="none" w:sz="0" w:space="0" w:color="auto"/>
              </w:divBdr>
            </w:div>
            <w:div w:id="331104065">
              <w:marLeft w:val="0"/>
              <w:marRight w:val="0"/>
              <w:marTop w:val="0"/>
              <w:marBottom w:val="240"/>
              <w:divBdr>
                <w:top w:val="none" w:sz="0" w:space="0" w:color="auto"/>
                <w:left w:val="none" w:sz="0" w:space="0" w:color="auto"/>
                <w:bottom w:val="none" w:sz="0" w:space="0" w:color="auto"/>
                <w:right w:val="none" w:sz="0" w:space="0" w:color="auto"/>
              </w:divBdr>
            </w:div>
            <w:div w:id="1201087097">
              <w:marLeft w:val="0"/>
              <w:marRight w:val="0"/>
              <w:marTop w:val="0"/>
              <w:marBottom w:val="240"/>
              <w:divBdr>
                <w:top w:val="none" w:sz="0" w:space="0" w:color="auto"/>
                <w:left w:val="none" w:sz="0" w:space="0" w:color="auto"/>
                <w:bottom w:val="none" w:sz="0" w:space="0" w:color="auto"/>
                <w:right w:val="none" w:sz="0" w:space="0" w:color="auto"/>
              </w:divBdr>
            </w:div>
            <w:div w:id="2072649352">
              <w:marLeft w:val="0"/>
              <w:marRight w:val="0"/>
              <w:marTop w:val="0"/>
              <w:marBottom w:val="240"/>
              <w:divBdr>
                <w:top w:val="none" w:sz="0" w:space="0" w:color="auto"/>
                <w:left w:val="none" w:sz="0" w:space="0" w:color="auto"/>
                <w:bottom w:val="none" w:sz="0" w:space="0" w:color="auto"/>
                <w:right w:val="none" w:sz="0" w:space="0" w:color="auto"/>
              </w:divBdr>
            </w:div>
            <w:div w:id="1787966431">
              <w:marLeft w:val="0"/>
              <w:marRight w:val="0"/>
              <w:marTop w:val="0"/>
              <w:marBottom w:val="240"/>
              <w:divBdr>
                <w:top w:val="none" w:sz="0" w:space="0" w:color="auto"/>
                <w:left w:val="none" w:sz="0" w:space="0" w:color="auto"/>
                <w:bottom w:val="none" w:sz="0" w:space="0" w:color="auto"/>
                <w:right w:val="none" w:sz="0" w:space="0" w:color="auto"/>
              </w:divBdr>
            </w:div>
            <w:div w:id="251934391">
              <w:marLeft w:val="0"/>
              <w:marRight w:val="0"/>
              <w:marTop w:val="0"/>
              <w:marBottom w:val="240"/>
              <w:divBdr>
                <w:top w:val="none" w:sz="0" w:space="0" w:color="auto"/>
                <w:left w:val="none" w:sz="0" w:space="0" w:color="auto"/>
                <w:bottom w:val="none" w:sz="0" w:space="0" w:color="auto"/>
                <w:right w:val="none" w:sz="0" w:space="0" w:color="auto"/>
              </w:divBdr>
            </w:div>
            <w:div w:id="263420854">
              <w:marLeft w:val="0"/>
              <w:marRight w:val="0"/>
              <w:marTop w:val="0"/>
              <w:marBottom w:val="240"/>
              <w:divBdr>
                <w:top w:val="none" w:sz="0" w:space="0" w:color="auto"/>
                <w:left w:val="none" w:sz="0" w:space="0" w:color="auto"/>
                <w:bottom w:val="none" w:sz="0" w:space="0" w:color="auto"/>
                <w:right w:val="none" w:sz="0" w:space="0" w:color="auto"/>
              </w:divBdr>
            </w:div>
            <w:div w:id="43374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986440">
      <w:bodyDiv w:val="1"/>
      <w:marLeft w:val="0"/>
      <w:marRight w:val="0"/>
      <w:marTop w:val="0"/>
      <w:marBottom w:val="0"/>
      <w:divBdr>
        <w:top w:val="none" w:sz="0" w:space="0" w:color="auto"/>
        <w:left w:val="none" w:sz="0" w:space="0" w:color="auto"/>
        <w:bottom w:val="none" w:sz="0" w:space="0" w:color="auto"/>
        <w:right w:val="none" w:sz="0" w:space="0" w:color="auto"/>
      </w:divBdr>
    </w:div>
    <w:div w:id="1474179842">
      <w:bodyDiv w:val="1"/>
      <w:marLeft w:val="0"/>
      <w:marRight w:val="0"/>
      <w:marTop w:val="0"/>
      <w:marBottom w:val="0"/>
      <w:divBdr>
        <w:top w:val="none" w:sz="0" w:space="0" w:color="auto"/>
        <w:left w:val="none" w:sz="0" w:space="0" w:color="auto"/>
        <w:bottom w:val="none" w:sz="0" w:space="0" w:color="auto"/>
        <w:right w:val="none" w:sz="0" w:space="0" w:color="auto"/>
      </w:divBdr>
    </w:div>
    <w:div w:id="1475291454">
      <w:bodyDiv w:val="1"/>
      <w:marLeft w:val="0"/>
      <w:marRight w:val="0"/>
      <w:marTop w:val="0"/>
      <w:marBottom w:val="0"/>
      <w:divBdr>
        <w:top w:val="none" w:sz="0" w:space="0" w:color="auto"/>
        <w:left w:val="none" w:sz="0" w:space="0" w:color="auto"/>
        <w:bottom w:val="none" w:sz="0" w:space="0" w:color="auto"/>
        <w:right w:val="none" w:sz="0" w:space="0" w:color="auto"/>
      </w:divBdr>
    </w:div>
    <w:div w:id="1479884203">
      <w:bodyDiv w:val="1"/>
      <w:marLeft w:val="0"/>
      <w:marRight w:val="0"/>
      <w:marTop w:val="0"/>
      <w:marBottom w:val="0"/>
      <w:divBdr>
        <w:top w:val="none" w:sz="0" w:space="0" w:color="auto"/>
        <w:left w:val="none" w:sz="0" w:space="0" w:color="auto"/>
        <w:bottom w:val="none" w:sz="0" w:space="0" w:color="auto"/>
        <w:right w:val="none" w:sz="0" w:space="0" w:color="auto"/>
      </w:divBdr>
      <w:divsChild>
        <w:div w:id="1694569025">
          <w:marLeft w:val="480"/>
          <w:marRight w:val="0"/>
          <w:marTop w:val="0"/>
          <w:marBottom w:val="0"/>
          <w:divBdr>
            <w:top w:val="none" w:sz="0" w:space="0" w:color="auto"/>
            <w:left w:val="none" w:sz="0" w:space="0" w:color="auto"/>
            <w:bottom w:val="none" w:sz="0" w:space="0" w:color="auto"/>
            <w:right w:val="none" w:sz="0" w:space="0" w:color="auto"/>
          </w:divBdr>
          <w:divsChild>
            <w:div w:id="1454203342">
              <w:marLeft w:val="0"/>
              <w:marRight w:val="0"/>
              <w:marTop w:val="0"/>
              <w:marBottom w:val="240"/>
              <w:divBdr>
                <w:top w:val="none" w:sz="0" w:space="0" w:color="auto"/>
                <w:left w:val="none" w:sz="0" w:space="0" w:color="auto"/>
                <w:bottom w:val="none" w:sz="0" w:space="0" w:color="auto"/>
                <w:right w:val="none" w:sz="0" w:space="0" w:color="auto"/>
              </w:divBdr>
            </w:div>
            <w:div w:id="1141121661">
              <w:marLeft w:val="0"/>
              <w:marRight w:val="0"/>
              <w:marTop w:val="0"/>
              <w:marBottom w:val="240"/>
              <w:divBdr>
                <w:top w:val="none" w:sz="0" w:space="0" w:color="auto"/>
                <w:left w:val="none" w:sz="0" w:space="0" w:color="auto"/>
                <w:bottom w:val="none" w:sz="0" w:space="0" w:color="auto"/>
                <w:right w:val="none" w:sz="0" w:space="0" w:color="auto"/>
              </w:divBdr>
            </w:div>
            <w:div w:id="529145199">
              <w:marLeft w:val="0"/>
              <w:marRight w:val="0"/>
              <w:marTop w:val="0"/>
              <w:marBottom w:val="240"/>
              <w:divBdr>
                <w:top w:val="none" w:sz="0" w:space="0" w:color="auto"/>
                <w:left w:val="none" w:sz="0" w:space="0" w:color="auto"/>
                <w:bottom w:val="none" w:sz="0" w:space="0" w:color="auto"/>
                <w:right w:val="none" w:sz="0" w:space="0" w:color="auto"/>
              </w:divBdr>
            </w:div>
            <w:div w:id="1324503307">
              <w:marLeft w:val="0"/>
              <w:marRight w:val="0"/>
              <w:marTop w:val="0"/>
              <w:marBottom w:val="240"/>
              <w:divBdr>
                <w:top w:val="none" w:sz="0" w:space="0" w:color="auto"/>
                <w:left w:val="none" w:sz="0" w:space="0" w:color="auto"/>
                <w:bottom w:val="none" w:sz="0" w:space="0" w:color="auto"/>
                <w:right w:val="none" w:sz="0" w:space="0" w:color="auto"/>
              </w:divBdr>
            </w:div>
            <w:div w:id="541407632">
              <w:marLeft w:val="0"/>
              <w:marRight w:val="0"/>
              <w:marTop w:val="0"/>
              <w:marBottom w:val="240"/>
              <w:divBdr>
                <w:top w:val="none" w:sz="0" w:space="0" w:color="auto"/>
                <w:left w:val="none" w:sz="0" w:space="0" w:color="auto"/>
                <w:bottom w:val="none" w:sz="0" w:space="0" w:color="auto"/>
                <w:right w:val="none" w:sz="0" w:space="0" w:color="auto"/>
              </w:divBdr>
            </w:div>
            <w:div w:id="1875994167">
              <w:marLeft w:val="0"/>
              <w:marRight w:val="0"/>
              <w:marTop w:val="0"/>
              <w:marBottom w:val="240"/>
              <w:divBdr>
                <w:top w:val="none" w:sz="0" w:space="0" w:color="auto"/>
                <w:left w:val="none" w:sz="0" w:space="0" w:color="auto"/>
                <w:bottom w:val="none" w:sz="0" w:space="0" w:color="auto"/>
                <w:right w:val="none" w:sz="0" w:space="0" w:color="auto"/>
              </w:divBdr>
            </w:div>
            <w:div w:id="1663662798">
              <w:marLeft w:val="0"/>
              <w:marRight w:val="0"/>
              <w:marTop w:val="0"/>
              <w:marBottom w:val="240"/>
              <w:divBdr>
                <w:top w:val="none" w:sz="0" w:space="0" w:color="auto"/>
                <w:left w:val="none" w:sz="0" w:space="0" w:color="auto"/>
                <w:bottom w:val="none" w:sz="0" w:space="0" w:color="auto"/>
                <w:right w:val="none" w:sz="0" w:space="0" w:color="auto"/>
              </w:divBdr>
            </w:div>
            <w:div w:id="1447653646">
              <w:marLeft w:val="0"/>
              <w:marRight w:val="0"/>
              <w:marTop w:val="0"/>
              <w:marBottom w:val="240"/>
              <w:divBdr>
                <w:top w:val="none" w:sz="0" w:space="0" w:color="auto"/>
                <w:left w:val="none" w:sz="0" w:space="0" w:color="auto"/>
                <w:bottom w:val="none" w:sz="0" w:space="0" w:color="auto"/>
                <w:right w:val="none" w:sz="0" w:space="0" w:color="auto"/>
              </w:divBdr>
            </w:div>
            <w:div w:id="1245382657">
              <w:marLeft w:val="0"/>
              <w:marRight w:val="0"/>
              <w:marTop w:val="0"/>
              <w:marBottom w:val="240"/>
              <w:divBdr>
                <w:top w:val="none" w:sz="0" w:space="0" w:color="auto"/>
                <w:left w:val="none" w:sz="0" w:space="0" w:color="auto"/>
                <w:bottom w:val="none" w:sz="0" w:space="0" w:color="auto"/>
                <w:right w:val="none" w:sz="0" w:space="0" w:color="auto"/>
              </w:divBdr>
            </w:div>
            <w:div w:id="246576930">
              <w:marLeft w:val="0"/>
              <w:marRight w:val="0"/>
              <w:marTop w:val="0"/>
              <w:marBottom w:val="240"/>
              <w:divBdr>
                <w:top w:val="none" w:sz="0" w:space="0" w:color="auto"/>
                <w:left w:val="none" w:sz="0" w:space="0" w:color="auto"/>
                <w:bottom w:val="none" w:sz="0" w:space="0" w:color="auto"/>
                <w:right w:val="none" w:sz="0" w:space="0" w:color="auto"/>
              </w:divBdr>
            </w:div>
            <w:div w:id="285356471">
              <w:marLeft w:val="0"/>
              <w:marRight w:val="0"/>
              <w:marTop w:val="0"/>
              <w:marBottom w:val="240"/>
              <w:divBdr>
                <w:top w:val="none" w:sz="0" w:space="0" w:color="auto"/>
                <w:left w:val="none" w:sz="0" w:space="0" w:color="auto"/>
                <w:bottom w:val="none" w:sz="0" w:space="0" w:color="auto"/>
                <w:right w:val="none" w:sz="0" w:space="0" w:color="auto"/>
              </w:divBdr>
            </w:div>
            <w:div w:id="1478297970">
              <w:marLeft w:val="0"/>
              <w:marRight w:val="0"/>
              <w:marTop w:val="0"/>
              <w:marBottom w:val="240"/>
              <w:divBdr>
                <w:top w:val="none" w:sz="0" w:space="0" w:color="auto"/>
                <w:left w:val="none" w:sz="0" w:space="0" w:color="auto"/>
                <w:bottom w:val="none" w:sz="0" w:space="0" w:color="auto"/>
                <w:right w:val="none" w:sz="0" w:space="0" w:color="auto"/>
              </w:divBdr>
            </w:div>
            <w:div w:id="1749838589">
              <w:marLeft w:val="0"/>
              <w:marRight w:val="0"/>
              <w:marTop w:val="0"/>
              <w:marBottom w:val="240"/>
              <w:divBdr>
                <w:top w:val="none" w:sz="0" w:space="0" w:color="auto"/>
                <w:left w:val="none" w:sz="0" w:space="0" w:color="auto"/>
                <w:bottom w:val="none" w:sz="0" w:space="0" w:color="auto"/>
                <w:right w:val="none" w:sz="0" w:space="0" w:color="auto"/>
              </w:divBdr>
            </w:div>
            <w:div w:id="234974236">
              <w:marLeft w:val="0"/>
              <w:marRight w:val="0"/>
              <w:marTop w:val="0"/>
              <w:marBottom w:val="240"/>
              <w:divBdr>
                <w:top w:val="none" w:sz="0" w:space="0" w:color="auto"/>
                <w:left w:val="none" w:sz="0" w:space="0" w:color="auto"/>
                <w:bottom w:val="none" w:sz="0" w:space="0" w:color="auto"/>
                <w:right w:val="none" w:sz="0" w:space="0" w:color="auto"/>
              </w:divBdr>
            </w:div>
            <w:div w:id="372114866">
              <w:marLeft w:val="0"/>
              <w:marRight w:val="0"/>
              <w:marTop w:val="0"/>
              <w:marBottom w:val="240"/>
              <w:divBdr>
                <w:top w:val="none" w:sz="0" w:space="0" w:color="auto"/>
                <w:left w:val="none" w:sz="0" w:space="0" w:color="auto"/>
                <w:bottom w:val="none" w:sz="0" w:space="0" w:color="auto"/>
                <w:right w:val="none" w:sz="0" w:space="0" w:color="auto"/>
              </w:divBdr>
            </w:div>
            <w:div w:id="2082675596">
              <w:marLeft w:val="0"/>
              <w:marRight w:val="0"/>
              <w:marTop w:val="0"/>
              <w:marBottom w:val="240"/>
              <w:divBdr>
                <w:top w:val="none" w:sz="0" w:space="0" w:color="auto"/>
                <w:left w:val="none" w:sz="0" w:space="0" w:color="auto"/>
                <w:bottom w:val="none" w:sz="0" w:space="0" w:color="auto"/>
                <w:right w:val="none" w:sz="0" w:space="0" w:color="auto"/>
              </w:divBdr>
            </w:div>
            <w:div w:id="1821579407">
              <w:marLeft w:val="0"/>
              <w:marRight w:val="0"/>
              <w:marTop w:val="0"/>
              <w:marBottom w:val="240"/>
              <w:divBdr>
                <w:top w:val="none" w:sz="0" w:space="0" w:color="auto"/>
                <w:left w:val="none" w:sz="0" w:space="0" w:color="auto"/>
                <w:bottom w:val="none" w:sz="0" w:space="0" w:color="auto"/>
                <w:right w:val="none" w:sz="0" w:space="0" w:color="auto"/>
              </w:divBdr>
            </w:div>
            <w:div w:id="991325195">
              <w:marLeft w:val="0"/>
              <w:marRight w:val="0"/>
              <w:marTop w:val="0"/>
              <w:marBottom w:val="240"/>
              <w:divBdr>
                <w:top w:val="none" w:sz="0" w:space="0" w:color="auto"/>
                <w:left w:val="none" w:sz="0" w:space="0" w:color="auto"/>
                <w:bottom w:val="none" w:sz="0" w:space="0" w:color="auto"/>
                <w:right w:val="none" w:sz="0" w:space="0" w:color="auto"/>
              </w:divBdr>
            </w:div>
            <w:div w:id="452334615">
              <w:marLeft w:val="0"/>
              <w:marRight w:val="0"/>
              <w:marTop w:val="0"/>
              <w:marBottom w:val="240"/>
              <w:divBdr>
                <w:top w:val="none" w:sz="0" w:space="0" w:color="auto"/>
                <w:left w:val="none" w:sz="0" w:space="0" w:color="auto"/>
                <w:bottom w:val="none" w:sz="0" w:space="0" w:color="auto"/>
                <w:right w:val="none" w:sz="0" w:space="0" w:color="auto"/>
              </w:divBdr>
            </w:div>
            <w:div w:id="1247423018">
              <w:marLeft w:val="0"/>
              <w:marRight w:val="0"/>
              <w:marTop w:val="0"/>
              <w:marBottom w:val="240"/>
              <w:divBdr>
                <w:top w:val="none" w:sz="0" w:space="0" w:color="auto"/>
                <w:left w:val="none" w:sz="0" w:space="0" w:color="auto"/>
                <w:bottom w:val="none" w:sz="0" w:space="0" w:color="auto"/>
                <w:right w:val="none" w:sz="0" w:space="0" w:color="auto"/>
              </w:divBdr>
            </w:div>
            <w:div w:id="326832353">
              <w:marLeft w:val="0"/>
              <w:marRight w:val="0"/>
              <w:marTop w:val="0"/>
              <w:marBottom w:val="240"/>
              <w:divBdr>
                <w:top w:val="none" w:sz="0" w:space="0" w:color="auto"/>
                <w:left w:val="none" w:sz="0" w:space="0" w:color="auto"/>
                <w:bottom w:val="none" w:sz="0" w:space="0" w:color="auto"/>
                <w:right w:val="none" w:sz="0" w:space="0" w:color="auto"/>
              </w:divBdr>
            </w:div>
            <w:div w:id="454101302">
              <w:marLeft w:val="0"/>
              <w:marRight w:val="0"/>
              <w:marTop w:val="0"/>
              <w:marBottom w:val="240"/>
              <w:divBdr>
                <w:top w:val="none" w:sz="0" w:space="0" w:color="auto"/>
                <w:left w:val="none" w:sz="0" w:space="0" w:color="auto"/>
                <w:bottom w:val="none" w:sz="0" w:space="0" w:color="auto"/>
                <w:right w:val="none" w:sz="0" w:space="0" w:color="auto"/>
              </w:divBdr>
            </w:div>
            <w:div w:id="1638602121">
              <w:marLeft w:val="0"/>
              <w:marRight w:val="0"/>
              <w:marTop w:val="0"/>
              <w:marBottom w:val="240"/>
              <w:divBdr>
                <w:top w:val="none" w:sz="0" w:space="0" w:color="auto"/>
                <w:left w:val="none" w:sz="0" w:space="0" w:color="auto"/>
                <w:bottom w:val="none" w:sz="0" w:space="0" w:color="auto"/>
                <w:right w:val="none" w:sz="0" w:space="0" w:color="auto"/>
              </w:divBdr>
            </w:div>
            <w:div w:id="637419206">
              <w:marLeft w:val="0"/>
              <w:marRight w:val="0"/>
              <w:marTop w:val="0"/>
              <w:marBottom w:val="240"/>
              <w:divBdr>
                <w:top w:val="none" w:sz="0" w:space="0" w:color="auto"/>
                <w:left w:val="none" w:sz="0" w:space="0" w:color="auto"/>
                <w:bottom w:val="none" w:sz="0" w:space="0" w:color="auto"/>
                <w:right w:val="none" w:sz="0" w:space="0" w:color="auto"/>
              </w:divBdr>
            </w:div>
            <w:div w:id="1058700737">
              <w:marLeft w:val="0"/>
              <w:marRight w:val="0"/>
              <w:marTop w:val="0"/>
              <w:marBottom w:val="240"/>
              <w:divBdr>
                <w:top w:val="none" w:sz="0" w:space="0" w:color="auto"/>
                <w:left w:val="none" w:sz="0" w:space="0" w:color="auto"/>
                <w:bottom w:val="none" w:sz="0" w:space="0" w:color="auto"/>
                <w:right w:val="none" w:sz="0" w:space="0" w:color="auto"/>
              </w:divBdr>
            </w:div>
            <w:div w:id="67577908">
              <w:marLeft w:val="0"/>
              <w:marRight w:val="0"/>
              <w:marTop w:val="0"/>
              <w:marBottom w:val="240"/>
              <w:divBdr>
                <w:top w:val="none" w:sz="0" w:space="0" w:color="auto"/>
                <w:left w:val="none" w:sz="0" w:space="0" w:color="auto"/>
                <w:bottom w:val="none" w:sz="0" w:space="0" w:color="auto"/>
                <w:right w:val="none" w:sz="0" w:space="0" w:color="auto"/>
              </w:divBdr>
            </w:div>
            <w:div w:id="1673527400">
              <w:marLeft w:val="0"/>
              <w:marRight w:val="0"/>
              <w:marTop w:val="0"/>
              <w:marBottom w:val="240"/>
              <w:divBdr>
                <w:top w:val="none" w:sz="0" w:space="0" w:color="auto"/>
                <w:left w:val="none" w:sz="0" w:space="0" w:color="auto"/>
                <w:bottom w:val="none" w:sz="0" w:space="0" w:color="auto"/>
                <w:right w:val="none" w:sz="0" w:space="0" w:color="auto"/>
              </w:divBdr>
            </w:div>
            <w:div w:id="196820758">
              <w:marLeft w:val="0"/>
              <w:marRight w:val="0"/>
              <w:marTop w:val="0"/>
              <w:marBottom w:val="240"/>
              <w:divBdr>
                <w:top w:val="none" w:sz="0" w:space="0" w:color="auto"/>
                <w:left w:val="none" w:sz="0" w:space="0" w:color="auto"/>
                <w:bottom w:val="none" w:sz="0" w:space="0" w:color="auto"/>
                <w:right w:val="none" w:sz="0" w:space="0" w:color="auto"/>
              </w:divBdr>
            </w:div>
            <w:div w:id="979727881">
              <w:marLeft w:val="0"/>
              <w:marRight w:val="0"/>
              <w:marTop w:val="0"/>
              <w:marBottom w:val="240"/>
              <w:divBdr>
                <w:top w:val="none" w:sz="0" w:space="0" w:color="auto"/>
                <w:left w:val="none" w:sz="0" w:space="0" w:color="auto"/>
                <w:bottom w:val="none" w:sz="0" w:space="0" w:color="auto"/>
                <w:right w:val="none" w:sz="0" w:space="0" w:color="auto"/>
              </w:divBdr>
            </w:div>
            <w:div w:id="1698191831">
              <w:marLeft w:val="0"/>
              <w:marRight w:val="0"/>
              <w:marTop w:val="0"/>
              <w:marBottom w:val="240"/>
              <w:divBdr>
                <w:top w:val="none" w:sz="0" w:space="0" w:color="auto"/>
                <w:left w:val="none" w:sz="0" w:space="0" w:color="auto"/>
                <w:bottom w:val="none" w:sz="0" w:space="0" w:color="auto"/>
                <w:right w:val="none" w:sz="0" w:space="0" w:color="auto"/>
              </w:divBdr>
            </w:div>
            <w:div w:id="839589665">
              <w:marLeft w:val="0"/>
              <w:marRight w:val="0"/>
              <w:marTop w:val="0"/>
              <w:marBottom w:val="240"/>
              <w:divBdr>
                <w:top w:val="none" w:sz="0" w:space="0" w:color="auto"/>
                <w:left w:val="none" w:sz="0" w:space="0" w:color="auto"/>
                <w:bottom w:val="none" w:sz="0" w:space="0" w:color="auto"/>
                <w:right w:val="none" w:sz="0" w:space="0" w:color="auto"/>
              </w:divBdr>
            </w:div>
            <w:div w:id="957026553">
              <w:marLeft w:val="0"/>
              <w:marRight w:val="0"/>
              <w:marTop w:val="0"/>
              <w:marBottom w:val="240"/>
              <w:divBdr>
                <w:top w:val="none" w:sz="0" w:space="0" w:color="auto"/>
                <w:left w:val="none" w:sz="0" w:space="0" w:color="auto"/>
                <w:bottom w:val="none" w:sz="0" w:space="0" w:color="auto"/>
                <w:right w:val="none" w:sz="0" w:space="0" w:color="auto"/>
              </w:divBdr>
            </w:div>
            <w:div w:id="812261487">
              <w:marLeft w:val="0"/>
              <w:marRight w:val="0"/>
              <w:marTop w:val="0"/>
              <w:marBottom w:val="240"/>
              <w:divBdr>
                <w:top w:val="none" w:sz="0" w:space="0" w:color="auto"/>
                <w:left w:val="none" w:sz="0" w:space="0" w:color="auto"/>
                <w:bottom w:val="none" w:sz="0" w:space="0" w:color="auto"/>
                <w:right w:val="none" w:sz="0" w:space="0" w:color="auto"/>
              </w:divBdr>
            </w:div>
            <w:div w:id="1100445100">
              <w:marLeft w:val="0"/>
              <w:marRight w:val="0"/>
              <w:marTop w:val="0"/>
              <w:marBottom w:val="240"/>
              <w:divBdr>
                <w:top w:val="none" w:sz="0" w:space="0" w:color="auto"/>
                <w:left w:val="none" w:sz="0" w:space="0" w:color="auto"/>
                <w:bottom w:val="none" w:sz="0" w:space="0" w:color="auto"/>
                <w:right w:val="none" w:sz="0" w:space="0" w:color="auto"/>
              </w:divBdr>
            </w:div>
            <w:div w:id="1780754961">
              <w:marLeft w:val="0"/>
              <w:marRight w:val="0"/>
              <w:marTop w:val="0"/>
              <w:marBottom w:val="240"/>
              <w:divBdr>
                <w:top w:val="none" w:sz="0" w:space="0" w:color="auto"/>
                <w:left w:val="none" w:sz="0" w:space="0" w:color="auto"/>
                <w:bottom w:val="none" w:sz="0" w:space="0" w:color="auto"/>
                <w:right w:val="none" w:sz="0" w:space="0" w:color="auto"/>
              </w:divBdr>
            </w:div>
            <w:div w:id="1719477282">
              <w:marLeft w:val="0"/>
              <w:marRight w:val="0"/>
              <w:marTop w:val="0"/>
              <w:marBottom w:val="240"/>
              <w:divBdr>
                <w:top w:val="none" w:sz="0" w:space="0" w:color="auto"/>
                <w:left w:val="none" w:sz="0" w:space="0" w:color="auto"/>
                <w:bottom w:val="none" w:sz="0" w:space="0" w:color="auto"/>
                <w:right w:val="none" w:sz="0" w:space="0" w:color="auto"/>
              </w:divBdr>
            </w:div>
            <w:div w:id="1066539086">
              <w:marLeft w:val="0"/>
              <w:marRight w:val="0"/>
              <w:marTop w:val="0"/>
              <w:marBottom w:val="240"/>
              <w:divBdr>
                <w:top w:val="none" w:sz="0" w:space="0" w:color="auto"/>
                <w:left w:val="none" w:sz="0" w:space="0" w:color="auto"/>
                <w:bottom w:val="none" w:sz="0" w:space="0" w:color="auto"/>
                <w:right w:val="none" w:sz="0" w:space="0" w:color="auto"/>
              </w:divBdr>
            </w:div>
            <w:div w:id="1904564737">
              <w:marLeft w:val="0"/>
              <w:marRight w:val="0"/>
              <w:marTop w:val="0"/>
              <w:marBottom w:val="240"/>
              <w:divBdr>
                <w:top w:val="none" w:sz="0" w:space="0" w:color="auto"/>
                <w:left w:val="none" w:sz="0" w:space="0" w:color="auto"/>
                <w:bottom w:val="none" w:sz="0" w:space="0" w:color="auto"/>
                <w:right w:val="none" w:sz="0" w:space="0" w:color="auto"/>
              </w:divBdr>
            </w:div>
            <w:div w:id="1870289433">
              <w:marLeft w:val="0"/>
              <w:marRight w:val="0"/>
              <w:marTop w:val="0"/>
              <w:marBottom w:val="240"/>
              <w:divBdr>
                <w:top w:val="none" w:sz="0" w:space="0" w:color="auto"/>
                <w:left w:val="none" w:sz="0" w:space="0" w:color="auto"/>
                <w:bottom w:val="none" w:sz="0" w:space="0" w:color="auto"/>
                <w:right w:val="none" w:sz="0" w:space="0" w:color="auto"/>
              </w:divBdr>
            </w:div>
            <w:div w:id="241375139">
              <w:marLeft w:val="0"/>
              <w:marRight w:val="0"/>
              <w:marTop w:val="0"/>
              <w:marBottom w:val="240"/>
              <w:divBdr>
                <w:top w:val="none" w:sz="0" w:space="0" w:color="auto"/>
                <w:left w:val="none" w:sz="0" w:space="0" w:color="auto"/>
                <w:bottom w:val="none" w:sz="0" w:space="0" w:color="auto"/>
                <w:right w:val="none" w:sz="0" w:space="0" w:color="auto"/>
              </w:divBdr>
            </w:div>
            <w:div w:id="164334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582940">
      <w:bodyDiv w:val="1"/>
      <w:marLeft w:val="0"/>
      <w:marRight w:val="0"/>
      <w:marTop w:val="0"/>
      <w:marBottom w:val="0"/>
      <w:divBdr>
        <w:top w:val="none" w:sz="0" w:space="0" w:color="auto"/>
        <w:left w:val="none" w:sz="0" w:space="0" w:color="auto"/>
        <w:bottom w:val="none" w:sz="0" w:space="0" w:color="auto"/>
        <w:right w:val="none" w:sz="0" w:space="0" w:color="auto"/>
      </w:divBdr>
    </w:div>
    <w:div w:id="1492793304">
      <w:bodyDiv w:val="1"/>
      <w:marLeft w:val="0"/>
      <w:marRight w:val="0"/>
      <w:marTop w:val="0"/>
      <w:marBottom w:val="0"/>
      <w:divBdr>
        <w:top w:val="none" w:sz="0" w:space="0" w:color="auto"/>
        <w:left w:val="none" w:sz="0" w:space="0" w:color="auto"/>
        <w:bottom w:val="none" w:sz="0" w:space="0" w:color="auto"/>
        <w:right w:val="none" w:sz="0" w:space="0" w:color="auto"/>
      </w:divBdr>
    </w:div>
    <w:div w:id="1493986713">
      <w:bodyDiv w:val="1"/>
      <w:marLeft w:val="0"/>
      <w:marRight w:val="0"/>
      <w:marTop w:val="0"/>
      <w:marBottom w:val="0"/>
      <w:divBdr>
        <w:top w:val="none" w:sz="0" w:space="0" w:color="auto"/>
        <w:left w:val="none" w:sz="0" w:space="0" w:color="auto"/>
        <w:bottom w:val="none" w:sz="0" w:space="0" w:color="auto"/>
        <w:right w:val="none" w:sz="0" w:space="0" w:color="auto"/>
      </w:divBdr>
    </w:div>
    <w:div w:id="1496921119">
      <w:bodyDiv w:val="1"/>
      <w:marLeft w:val="0"/>
      <w:marRight w:val="0"/>
      <w:marTop w:val="0"/>
      <w:marBottom w:val="0"/>
      <w:divBdr>
        <w:top w:val="none" w:sz="0" w:space="0" w:color="auto"/>
        <w:left w:val="none" w:sz="0" w:space="0" w:color="auto"/>
        <w:bottom w:val="none" w:sz="0" w:space="0" w:color="auto"/>
        <w:right w:val="none" w:sz="0" w:space="0" w:color="auto"/>
      </w:divBdr>
    </w:div>
    <w:div w:id="1497454749">
      <w:bodyDiv w:val="1"/>
      <w:marLeft w:val="0"/>
      <w:marRight w:val="0"/>
      <w:marTop w:val="0"/>
      <w:marBottom w:val="0"/>
      <w:divBdr>
        <w:top w:val="none" w:sz="0" w:space="0" w:color="auto"/>
        <w:left w:val="none" w:sz="0" w:space="0" w:color="auto"/>
        <w:bottom w:val="none" w:sz="0" w:space="0" w:color="auto"/>
        <w:right w:val="none" w:sz="0" w:space="0" w:color="auto"/>
      </w:divBdr>
    </w:div>
    <w:div w:id="1513452541">
      <w:bodyDiv w:val="1"/>
      <w:marLeft w:val="0"/>
      <w:marRight w:val="0"/>
      <w:marTop w:val="0"/>
      <w:marBottom w:val="0"/>
      <w:divBdr>
        <w:top w:val="none" w:sz="0" w:space="0" w:color="auto"/>
        <w:left w:val="none" w:sz="0" w:space="0" w:color="auto"/>
        <w:bottom w:val="none" w:sz="0" w:space="0" w:color="auto"/>
        <w:right w:val="none" w:sz="0" w:space="0" w:color="auto"/>
      </w:divBdr>
    </w:div>
    <w:div w:id="1519269530">
      <w:bodyDiv w:val="1"/>
      <w:marLeft w:val="0"/>
      <w:marRight w:val="0"/>
      <w:marTop w:val="0"/>
      <w:marBottom w:val="0"/>
      <w:divBdr>
        <w:top w:val="none" w:sz="0" w:space="0" w:color="auto"/>
        <w:left w:val="none" w:sz="0" w:space="0" w:color="auto"/>
        <w:bottom w:val="none" w:sz="0" w:space="0" w:color="auto"/>
        <w:right w:val="none" w:sz="0" w:space="0" w:color="auto"/>
      </w:divBdr>
    </w:div>
    <w:div w:id="1528105181">
      <w:bodyDiv w:val="1"/>
      <w:marLeft w:val="0"/>
      <w:marRight w:val="0"/>
      <w:marTop w:val="0"/>
      <w:marBottom w:val="0"/>
      <w:divBdr>
        <w:top w:val="none" w:sz="0" w:space="0" w:color="auto"/>
        <w:left w:val="none" w:sz="0" w:space="0" w:color="auto"/>
        <w:bottom w:val="none" w:sz="0" w:space="0" w:color="auto"/>
        <w:right w:val="none" w:sz="0" w:space="0" w:color="auto"/>
      </w:divBdr>
    </w:div>
    <w:div w:id="1555117642">
      <w:bodyDiv w:val="1"/>
      <w:marLeft w:val="0"/>
      <w:marRight w:val="0"/>
      <w:marTop w:val="0"/>
      <w:marBottom w:val="0"/>
      <w:divBdr>
        <w:top w:val="none" w:sz="0" w:space="0" w:color="auto"/>
        <w:left w:val="none" w:sz="0" w:space="0" w:color="auto"/>
        <w:bottom w:val="none" w:sz="0" w:space="0" w:color="auto"/>
        <w:right w:val="none" w:sz="0" w:space="0" w:color="auto"/>
      </w:divBdr>
    </w:div>
    <w:div w:id="1561481136">
      <w:bodyDiv w:val="1"/>
      <w:marLeft w:val="0"/>
      <w:marRight w:val="0"/>
      <w:marTop w:val="0"/>
      <w:marBottom w:val="0"/>
      <w:divBdr>
        <w:top w:val="none" w:sz="0" w:space="0" w:color="auto"/>
        <w:left w:val="none" w:sz="0" w:space="0" w:color="auto"/>
        <w:bottom w:val="none" w:sz="0" w:space="0" w:color="auto"/>
        <w:right w:val="none" w:sz="0" w:space="0" w:color="auto"/>
      </w:divBdr>
    </w:div>
    <w:div w:id="1576620826">
      <w:bodyDiv w:val="1"/>
      <w:marLeft w:val="0"/>
      <w:marRight w:val="0"/>
      <w:marTop w:val="0"/>
      <w:marBottom w:val="0"/>
      <w:divBdr>
        <w:top w:val="none" w:sz="0" w:space="0" w:color="auto"/>
        <w:left w:val="none" w:sz="0" w:space="0" w:color="auto"/>
        <w:bottom w:val="none" w:sz="0" w:space="0" w:color="auto"/>
        <w:right w:val="none" w:sz="0" w:space="0" w:color="auto"/>
      </w:divBdr>
    </w:div>
    <w:div w:id="1579245797">
      <w:bodyDiv w:val="1"/>
      <w:marLeft w:val="0"/>
      <w:marRight w:val="0"/>
      <w:marTop w:val="0"/>
      <w:marBottom w:val="0"/>
      <w:divBdr>
        <w:top w:val="none" w:sz="0" w:space="0" w:color="auto"/>
        <w:left w:val="none" w:sz="0" w:space="0" w:color="auto"/>
        <w:bottom w:val="none" w:sz="0" w:space="0" w:color="auto"/>
        <w:right w:val="none" w:sz="0" w:space="0" w:color="auto"/>
      </w:divBdr>
    </w:div>
    <w:div w:id="1585841046">
      <w:bodyDiv w:val="1"/>
      <w:marLeft w:val="0"/>
      <w:marRight w:val="0"/>
      <w:marTop w:val="0"/>
      <w:marBottom w:val="0"/>
      <w:divBdr>
        <w:top w:val="none" w:sz="0" w:space="0" w:color="auto"/>
        <w:left w:val="none" w:sz="0" w:space="0" w:color="auto"/>
        <w:bottom w:val="none" w:sz="0" w:space="0" w:color="auto"/>
        <w:right w:val="none" w:sz="0" w:space="0" w:color="auto"/>
      </w:divBdr>
    </w:div>
    <w:div w:id="1588923147">
      <w:bodyDiv w:val="1"/>
      <w:marLeft w:val="0"/>
      <w:marRight w:val="0"/>
      <w:marTop w:val="0"/>
      <w:marBottom w:val="0"/>
      <w:divBdr>
        <w:top w:val="none" w:sz="0" w:space="0" w:color="auto"/>
        <w:left w:val="none" w:sz="0" w:space="0" w:color="auto"/>
        <w:bottom w:val="none" w:sz="0" w:space="0" w:color="auto"/>
        <w:right w:val="none" w:sz="0" w:space="0" w:color="auto"/>
      </w:divBdr>
    </w:div>
    <w:div w:id="1593007553">
      <w:bodyDiv w:val="1"/>
      <w:marLeft w:val="0"/>
      <w:marRight w:val="0"/>
      <w:marTop w:val="0"/>
      <w:marBottom w:val="0"/>
      <w:divBdr>
        <w:top w:val="none" w:sz="0" w:space="0" w:color="auto"/>
        <w:left w:val="none" w:sz="0" w:space="0" w:color="auto"/>
        <w:bottom w:val="none" w:sz="0" w:space="0" w:color="auto"/>
        <w:right w:val="none" w:sz="0" w:space="0" w:color="auto"/>
      </w:divBdr>
      <w:divsChild>
        <w:div w:id="1315648471">
          <w:marLeft w:val="480"/>
          <w:marRight w:val="0"/>
          <w:marTop w:val="0"/>
          <w:marBottom w:val="0"/>
          <w:divBdr>
            <w:top w:val="none" w:sz="0" w:space="0" w:color="auto"/>
            <w:left w:val="none" w:sz="0" w:space="0" w:color="auto"/>
            <w:bottom w:val="none" w:sz="0" w:space="0" w:color="auto"/>
            <w:right w:val="none" w:sz="0" w:space="0" w:color="auto"/>
          </w:divBdr>
          <w:divsChild>
            <w:div w:id="338894495">
              <w:marLeft w:val="0"/>
              <w:marRight w:val="0"/>
              <w:marTop w:val="0"/>
              <w:marBottom w:val="240"/>
              <w:divBdr>
                <w:top w:val="none" w:sz="0" w:space="0" w:color="auto"/>
                <w:left w:val="none" w:sz="0" w:space="0" w:color="auto"/>
                <w:bottom w:val="none" w:sz="0" w:space="0" w:color="auto"/>
                <w:right w:val="none" w:sz="0" w:space="0" w:color="auto"/>
              </w:divBdr>
            </w:div>
            <w:div w:id="1286544701">
              <w:marLeft w:val="0"/>
              <w:marRight w:val="0"/>
              <w:marTop w:val="0"/>
              <w:marBottom w:val="240"/>
              <w:divBdr>
                <w:top w:val="none" w:sz="0" w:space="0" w:color="auto"/>
                <w:left w:val="none" w:sz="0" w:space="0" w:color="auto"/>
                <w:bottom w:val="none" w:sz="0" w:space="0" w:color="auto"/>
                <w:right w:val="none" w:sz="0" w:space="0" w:color="auto"/>
              </w:divBdr>
            </w:div>
            <w:div w:id="746154408">
              <w:marLeft w:val="0"/>
              <w:marRight w:val="0"/>
              <w:marTop w:val="0"/>
              <w:marBottom w:val="240"/>
              <w:divBdr>
                <w:top w:val="none" w:sz="0" w:space="0" w:color="auto"/>
                <w:left w:val="none" w:sz="0" w:space="0" w:color="auto"/>
                <w:bottom w:val="none" w:sz="0" w:space="0" w:color="auto"/>
                <w:right w:val="none" w:sz="0" w:space="0" w:color="auto"/>
              </w:divBdr>
            </w:div>
            <w:div w:id="2050061294">
              <w:marLeft w:val="0"/>
              <w:marRight w:val="0"/>
              <w:marTop w:val="0"/>
              <w:marBottom w:val="240"/>
              <w:divBdr>
                <w:top w:val="none" w:sz="0" w:space="0" w:color="auto"/>
                <w:left w:val="none" w:sz="0" w:space="0" w:color="auto"/>
                <w:bottom w:val="none" w:sz="0" w:space="0" w:color="auto"/>
                <w:right w:val="none" w:sz="0" w:space="0" w:color="auto"/>
              </w:divBdr>
            </w:div>
            <w:div w:id="486286476">
              <w:marLeft w:val="0"/>
              <w:marRight w:val="0"/>
              <w:marTop w:val="0"/>
              <w:marBottom w:val="240"/>
              <w:divBdr>
                <w:top w:val="none" w:sz="0" w:space="0" w:color="auto"/>
                <w:left w:val="none" w:sz="0" w:space="0" w:color="auto"/>
                <w:bottom w:val="none" w:sz="0" w:space="0" w:color="auto"/>
                <w:right w:val="none" w:sz="0" w:space="0" w:color="auto"/>
              </w:divBdr>
            </w:div>
            <w:div w:id="653871893">
              <w:marLeft w:val="0"/>
              <w:marRight w:val="0"/>
              <w:marTop w:val="0"/>
              <w:marBottom w:val="240"/>
              <w:divBdr>
                <w:top w:val="none" w:sz="0" w:space="0" w:color="auto"/>
                <w:left w:val="none" w:sz="0" w:space="0" w:color="auto"/>
                <w:bottom w:val="none" w:sz="0" w:space="0" w:color="auto"/>
                <w:right w:val="none" w:sz="0" w:space="0" w:color="auto"/>
              </w:divBdr>
            </w:div>
            <w:div w:id="2074891572">
              <w:marLeft w:val="0"/>
              <w:marRight w:val="0"/>
              <w:marTop w:val="0"/>
              <w:marBottom w:val="240"/>
              <w:divBdr>
                <w:top w:val="none" w:sz="0" w:space="0" w:color="auto"/>
                <w:left w:val="none" w:sz="0" w:space="0" w:color="auto"/>
                <w:bottom w:val="none" w:sz="0" w:space="0" w:color="auto"/>
                <w:right w:val="none" w:sz="0" w:space="0" w:color="auto"/>
              </w:divBdr>
            </w:div>
            <w:div w:id="1363702737">
              <w:marLeft w:val="0"/>
              <w:marRight w:val="0"/>
              <w:marTop w:val="0"/>
              <w:marBottom w:val="240"/>
              <w:divBdr>
                <w:top w:val="none" w:sz="0" w:space="0" w:color="auto"/>
                <w:left w:val="none" w:sz="0" w:space="0" w:color="auto"/>
                <w:bottom w:val="none" w:sz="0" w:space="0" w:color="auto"/>
                <w:right w:val="none" w:sz="0" w:space="0" w:color="auto"/>
              </w:divBdr>
            </w:div>
            <w:div w:id="1445491668">
              <w:marLeft w:val="0"/>
              <w:marRight w:val="0"/>
              <w:marTop w:val="0"/>
              <w:marBottom w:val="240"/>
              <w:divBdr>
                <w:top w:val="none" w:sz="0" w:space="0" w:color="auto"/>
                <w:left w:val="none" w:sz="0" w:space="0" w:color="auto"/>
                <w:bottom w:val="none" w:sz="0" w:space="0" w:color="auto"/>
                <w:right w:val="none" w:sz="0" w:space="0" w:color="auto"/>
              </w:divBdr>
            </w:div>
            <w:div w:id="741215599">
              <w:marLeft w:val="0"/>
              <w:marRight w:val="0"/>
              <w:marTop w:val="0"/>
              <w:marBottom w:val="240"/>
              <w:divBdr>
                <w:top w:val="none" w:sz="0" w:space="0" w:color="auto"/>
                <w:left w:val="none" w:sz="0" w:space="0" w:color="auto"/>
                <w:bottom w:val="none" w:sz="0" w:space="0" w:color="auto"/>
                <w:right w:val="none" w:sz="0" w:space="0" w:color="auto"/>
              </w:divBdr>
            </w:div>
            <w:div w:id="1899045897">
              <w:marLeft w:val="0"/>
              <w:marRight w:val="0"/>
              <w:marTop w:val="0"/>
              <w:marBottom w:val="240"/>
              <w:divBdr>
                <w:top w:val="none" w:sz="0" w:space="0" w:color="auto"/>
                <w:left w:val="none" w:sz="0" w:space="0" w:color="auto"/>
                <w:bottom w:val="none" w:sz="0" w:space="0" w:color="auto"/>
                <w:right w:val="none" w:sz="0" w:space="0" w:color="auto"/>
              </w:divBdr>
            </w:div>
            <w:div w:id="1968899325">
              <w:marLeft w:val="0"/>
              <w:marRight w:val="0"/>
              <w:marTop w:val="0"/>
              <w:marBottom w:val="240"/>
              <w:divBdr>
                <w:top w:val="none" w:sz="0" w:space="0" w:color="auto"/>
                <w:left w:val="none" w:sz="0" w:space="0" w:color="auto"/>
                <w:bottom w:val="none" w:sz="0" w:space="0" w:color="auto"/>
                <w:right w:val="none" w:sz="0" w:space="0" w:color="auto"/>
              </w:divBdr>
            </w:div>
            <w:div w:id="1981810984">
              <w:marLeft w:val="0"/>
              <w:marRight w:val="0"/>
              <w:marTop w:val="0"/>
              <w:marBottom w:val="240"/>
              <w:divBdr>
                <w:top w:val="none" w:sz="0" w:space="0" w:color="auto"/>
                <w:left w:val="none" w:sz="0" w:space="0" w:color="auto"/>
                <w:bottom w:val="none" w:sz="0" w:space="0" w:color="auto"/>
                <w:right w:val="none" w:sz="0" w:space="0" w:color="auto"/>
              </w:divBdr>
            </w:div>
            <w:div w:id="1010524025">
              <w:marLeft w:val="0"/>
              <w:marRight w:val="0"/>
              <w:marTop w:val="0"/>
              <w:marBottom w:val="240"/>
              <w:divBdr>
                <w:top w:val="none" w:sz="0" w:space="0" w:color="auto"/>
                <w:left w:val="none" w:sz="0" w:space="0" w:color="auto"/>
                <w:bottom w:val="none" w:sz="0" w:space="0" w:color="auto"/>
                <w:right w:val="none" w:sz="0" w:space="0" w:color="auto"/>
              </w:divBdr>
            </w:div>
            <w:div w:id="1415859424">
              <w:marLeft w:val="0"/>
              <w:marRight w:val="0"/>
              <w:marTop w:val="0"/>
              <w:marBottom w:val="240"/>
              <w:divBdr>
                <w:top w:val="none" w:sz="0" w:space="0" w:color="auto"/>
                <w:left w:val="none" w:sz="0" w:space="0" w:color="auto"/>
                <w:bottom w:val="none" w:sz="0" w:space="0" w:color="auto"/>
                <w:right w:val="none" w:sz="0" w:space="0" w:color="auto"/>
              </w:divBdr>
            </w:div>
            <w:div w:id="1145855066">
              <w:marLeft w:val="0"/>
              <w:marRight w:val="0"/>
              <w:marTop w:val="0"/>
              <w:marBottom w:val="240"/>
              <w:divBdr>
                <w:top w:val="none" w:sz="0" w:space="0" w:color="auto"/>
                <w:left w:val="none" w:sz="0" w:space="0" w:color="auto"/>
                <w:bottom w:val="none" w:sz="0" w:space="0" w:color="auto"/>
                <w:right w:val="none" w:sz="0" w:space="0" w:color="auto"/>
              </w:divBdr>
            </w:div>
            <w:div w:id="458039135">
              <w:marLeft w:val="0"/>
              <w:marRight w:val="0"/>
              <w:marTop w:val="0"/>
              <w:marBottom w:val="240"/>
              <w:divBdr>
                <w:top w:val="none" w:sz="0" w:space="0" w:color="auto"/>
                <w:left w:val="none" w:sz="0" w:space="0" w:color="auto"/>
                <w:bottom w:val="none" w:sz="0" w:space="0" w:color="auto"/>
                <w:right w:val="none" w:sz="0" w:space="0" w:color="auto"/>
              </w:divBdr>
            </w:div>
            <w:div w:id="549151032">
              <w:marLeft w:val="0"/>
              <w:marRight w:val="0"/>
              <w:marTop w:val="0"/>
              <w:marBottom w:val="240"/>
              <w:divBdr>
                <w:top w:val="none" w:sz="0" w:space="0" w:color="auto"/>
                <w:left w:val="none" w:sz="0" w:space="0" w:color="auto"/>
                <w:bottom w:val="none" w:sz="0" w:space="0" w:color="auto"/>
                <w:right w:val="none" w:sz="0" w:space="0" w:color="auto"/>
              </w:divBdr>
            </w:div>
            <w:div w:id="894851052">
              <w:marLeft w:val="0"/>
              <w:marRight w:val="0"/>
              <w:marTop w:val="0"/>
              <w:marBottom w:val="240"/>
              <w:divBdr>
                <w:top w:val="none" w:sz="0" w:space="0" w:color="auto"/>
                <w:left w:val="none" w:sz="0" w:space="0" w:color="auto"/>
                <w:bottom w:val="none" w:sz="0" w:space="0" w:color="auto"/>
                <w:right w:val="none" w:sz="0" w:space="0" w:color="auto"/>
              </w:divBdr>
            </w:div>
            <w:div w:id="414515416">
              <w:marLeft w:val="0"/>
              <w:marRight w:val="0"/>
              <w:marTop w:val="0"/>
              <w:marBottom w:val="240"/>
              <w:divBdr>
                <w:top w:val="none" w:sz="0" w:space="0" w:color="auto"/>
                <w:left w:val="none" w:sz="0" w:space="0" w:color="auto"/>
                <w:bottom w:val="none" w:sz="0" w:space="0" w:color="auto"/>
                <w:right w:val="none" w:sz="0" w:space="0" w:color="auto"/>
              </w:divBdr>
            </w:div>
            <w:div w:id="1863124590">
              <w:marLeft w:val="0"/>
              <w:marRight w:val="0"/>
              <w:marTop w:val="0"/>
              <w:marBottom w:val="240"/>
              <w:divBdr>
                <w:top w:val="none" w:sz="0" w:space="0" w:color="auto"/>
                <w:left w:val="none" w:sz="0" w:space="0" w:color="auto"/>
                <w:bottom w:val="none" w:sz="0" w:space="0" w:color="auto"/>
                <w:right w:val="none" w:sz="0" w:space="0" w:color="auto"/>
              </w:divBdr>
            </w:div>
            <w:div w:id="1052313881">
              <w:marLeft w:val="0"/>
              <w:marRight w:val="0"/>
              <w:marTop w:val="0"/>
              <w:marBottom w:val="240"/>
              <w:divBdr>
                <w:top w:val="none" w:sz="0" w:space="0" w:color="auto"/>
                <w:left w:val="none" w:sz="0" w:space="0" w:color="auto"/>
                <w:bottom w:val="none" w:sz="0" w:space="0" w:color="auto"/>
                <w:right w:val="none" w:sz="0" w:space="0" w:color="auto"/>
              </w:divBdr>
            </w:div>
            <w:div w:id="2095735533">
              <w:marLeft w:val="0"/>
              <w:marRight w:val="0"/>
              <w:marTop w:val="0"/>
              <w:marBottom w:val="240"/>
              <w:divBdr>
                <w:top w:val="none" w:sz="0" w:space="0" w:color="auto"/>
                <w:left w:val="none" w:sz="0" w:space="0" w:color="auto"/>
                <w:bottom w:val="none" w:sz="0" w:space="0" w:color="auto"/>
                <w:right w:val="none" w:sz="0" w:space="0" w:color="auto"/>
              </w:divBdr>
            </w:div>
            <w:div w:id="896474708">
              <w:marLeft w:val="0"/>
              <w:marRight w:val="0"/>
              <w:marTop w:val="0"/>
              <w:marBottom w:val="240"/>
              <w:divBdr>
                <w:top w:val="none" w:sz="0" w:space="0" w:color="auto"/>
                <w:left w:val="none" w:sz="0" w:space="0" w:color="auto"/>
                <w:bottom w:val="none" w:sz="0" w:space="0" w:color="auto"/>
                <w:right w:val="none" w:sz="0" w:space="0" w:color="auto"/>
              </w:divBdr>
            </w:div>
            <w:div w:id="135951282">
              <w:marLeft w:val="0"/>
              <w:marRight w:val="0"/>
              <w:marTop w:val="0"/>
              <w:marBottom w:val="240"/>
              <w:divBdr>
                <w:top w:val="none" w:sz="0" w:space="0" w:color="auto"/>
                <w:left w:val="none" w:sz="0" w:space="0" w:color="auto"/>
                <w:bottom w:val="none" w:sz="0" w:space="0" w:color="auto"/>
                <w:right w:val="none" w:sz="0" w:space="0" w:color="auto"/>
              </w:divBdr>
            </w:div>
            <w:div w:id="294795678">
              <w:marLeft w:val="0"/>
              <w:marRight w:val="0"/>
              <w:marTop w:val="0"/>
              <w:marBottom w:val="240"/>
              <w:divBdr>
                <w:top w:val="none" w:sz="0" w:space="0" w:color="auto"/>
                <w:left w:val="none" w:sz="0" w:space="0" w:color="auto"/>
                <w:bottom w:val="none" w:sz="0" w:space="0" w:color="auto"/>
                <w:right w:val="none" w:sz="0" w:space="0" w:color="auto"/>
              </w:divBdr>
            </w:div>
            <w:div w:id="1890339617">
              <w:marLeft w:val="0"/>
              <w:marRight w:val="0"/>
              <w:marTop w:val="0"/>
              <w:marBottom w:val="240"/>
              <w:divBdr>
                <w:top w:val="none" w:sz="0" w:space="0" w:color="auto"/>
                <w:left w:val="none" w:sz="0" w:space="0" w:color="auto"/>
                <w:bottom w:val="none" w:sz="0" w:space="0" w:color="auto"/>
                <w:right w:val="none" w:sz="0" w:space="0" w:color="auto"/>
              </w:divBdr>
            </w:div>
            <w:div w:id="1518470932">
              <w:marLeft w:val="0"/>
              <w:marRight w:val="0"/>
              <w:marTop w:val="0"/>
              <w:marBottom w:val="240"/>
              <w:divBdr>
                <w:top w:val="none" w:sz="0" w:space="0" w:color="auto"/>
                <w:left w:val="none" w:sz="0" w:space="0" w:color="auto"/>
                <w:bottom w:val="none" w:sz="0" w:space="0" w:color="auto"/>
                <w:right w:val="none" w:sz="0" w:space="0" w:color="auto"/>
              </w:divBdr>
            </w:div>
            <w:div w:id="594363462">
              <w:marLeft w:val="0"/>
              <w:marRight w:val="0"/>
              <w:marTop w:val="0"/>
              <w:marBottom w:val="240"/>
              <w:divBdr>
                <w:top w:val="none" w:sz="0" w:space="0" w:color="auto"/>
                <w:left w:val="none" w:sz="0" w:space="0" w:color="auto"/>
                <w:bottom w:val="none" w:sz="0" w:space="0" w:color="auto"/>
                <w:right w:val="none" w:sz="0" w:space="0" w:color="auto"/>
              </w:divBdr>
            </w:div>
            <w:div w:id="1094396014">
              <w:marLeft w:val="0"/>
              <w:marRight w:val="0"/>
              <w:marTop w:val="0"/>
              <w:marBottom w:val="240"/>
              <w:divBdr>
                <w:top w:val="none" w:sz="0" w:space="0" w:color="auto"/>
                <w:left w:val="none" w:sz="0" w:space="0" w:color="auto"/>
                <w:bottom w:val="none" w:sz="0" w:space="0" w:color="auto"/>
                <w:right w:val="none" w:sz="0" w:space="0" w:color="auto"/>
              </w:divBdr>
            </w:div>
            <w:div w:id="589195226">
              <w:marLeft w:val="0"/>
              <w:marRight w:val="0"/>
              <w:marTop w:val="0"/>
              <w:marBottom w:val="240"/>
              <w:divBdr>
                <w:top w:val="none" w:sz="0" w:space="0" w:color="auto"/>
                <w:left w:val="none" w:sz="0" w:space="0" w:color="auto"/>
                <w:bottom w:val="none" w:sz="0" w:space="0" w:color="auto"/>
                <w:right w:val="none" w:sz="0" w:space="0" w:color="auto"/>
              </w:divBdr>
            </w:div>
            <w:div w:id="865680039">
              <w:marLeft w:val="0"/>
              <w:marRight w:val="0"/>
              <w:marTop w:val="0"/>
              <w:marBottom w:val="240"/>
              <w:divBdr>
                <w:top w:val="none" w:sz="0" w:space="0" w:color="auto"/>
                <w:left w:val="none" w:sz="0" w:space="0" w:color="auto"/>
                <w:bottom w:val="none" w:sz="0" w:space="0" w:color="auto"/>
                <w:right w:val="none" w:sz="0" w:space="0" w:color="auto"/>
              </w:divBdr>
            </w:div>
            <w:div w:id="789251678">
              <w:marLeft w:val="0"/>
              <w:marRight w:val="0"/>
              <w:marTop w:val="0"/>
              <w:marBottom w:val="240"/>
              <w:divBdr>
                <w:top w:val="none" w:sz="0" w:space="0" w:color="auto"/>
                <w:left w:val="none" w:sz="0" w:space="0" w:color="auto"/>
                <w:bottom w:val="none" w:sz="0" w:space="0" w:color="auto"/>
                <w:right w:val="none" w:sz="0" w:space="0" w:color="auto"/>
              </w:divBdr>
            </w:div>
            <w:div w:id="1188715767">
              <w:marLeft w:val="0"/>
              <w:marRight w:val="0"/>
              <w:marTop w:val="0"/>
              <w:marBottom w:val="240"/>
              <w:divBdr>
                <w:top w:val="none" w:sz="0" w:space="0" w:color="auto"/>
                <w:left w:val="none" w:sz="0" w:space="0" w:color="auto"/>
                <w:bottom w:val="none" w:sz="0" w:space="0" w:color="auto"/>
                <w:right w:val="none" w:sz="0" w:space="0" w:color="auto"/>
              </w:divBdr>
            </w:div>
            <w:div w:id="605388260">
              <w:marLeft w:val="0"/>
              <w:marRight w:val="0"/>
              <w:marTop w:val="0"/>
              <w:marBottom w:val="240"/>
              <w:divBdr>
                <w:top w:val="none" w:sz="0" w:space="0" w:color="auto"/>
                <w:left w:val="none" w:sz="0" w:space="0" w:color="auto"/>
                <w:bottom w:val="none" w:sz="0" w:space="0" w:color="auto"/>
                <w:right w:val="none" w:sz="0" w:space="0" w:color="auto"/>
              </w:divBdr>
            </w:div>
            <w:div w:id="778179636">
              <w:marLeft w:val="0"/>
              <w:marRight w:val="0"/>
              <w:marTop w:val="0"/>
              <w:marBottom w:val="240"/>
              <w:divBdr>
                <w:top w:val="none" w:sz="0" w:space="0" w:color="auto"/>
                <w:left w:val="none" w:sz="0" w:space="0" w:color="auto"/>
                <w:bottom w:val="none" w:sz="0" w:space="0" w:color="auto"/>
                <w:right w:val="none" w:sz="0" w:space="0" w:color="auto"/>
              </w:divBdr>
            </w:div>
            <w:div w:id="17919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212367">
      <w:bodyDiv w:val="1"/>
      <w:marLeft w:val="0"/>
      <w:marRight w:val="0"/>
      <w:marTop w:val="0"/>
      <w:marBottom w:val="0"/>
      <w:divBdr>
        <w:top w:val="none" w:sz="0" w:space="0" w:color="auto"/>
        <w:left w:val="none" w:sz="0" w:space="0" w:color="auto"/>
        <w:bottom w:val="none" w:sz="0" w:space="0" w:color="auto"/>
        <w:right w:val="none" w:sz="0" w:space="0" w:color="auto"/>
      </w:divBdr>
    </w:div>
    <w:div w:id="1601644792">
      <w:bodyDiv w:val="1"/>
      <w:marLeft w:val="0"/>
      <w:marRight w:val="0"/>
      <w:marTop w:val="0"/>
      <w:marBottom w:val="0"/>
      <w:divBdr>
        <w:top w:val="none" w:sz="0" w:space="0" w:color="auto"/>
        <w:left w:val="none" w:sz="0" w:space="0" w:color="auto"/>
        <w:bottom w:val="none" w:sz="0" w:space="0" w:color="auto"/>
        <w:right w:val="none" w:sz="0" w:space="0" w:color="auto"/>
      </w:divBdr>
      <w:divsChild>
        <w:div w:id="1047729006">
          <w:marLeft w:val="480"/>
          <w:marRight w:val="0"/>
          <w:marTop w:val="0"/>
          <w:marBottom w:val="0"/>
          <w:divBdr>
            <w:top w:val="none" w:sz="0" w:space="0" w:color="auto"/>
            <w:left w:val="none" w:sz="0" w:space="0" w:color="auto"/>
            <w:bottom w:val="none" w:sz="0" w:space="0" w:color="auto"/>
            <w:right w:val="none" w:sz="0" w:space="0" w:color="auto"/>
          </w:divBdr>
          <w:divsChild>
            <w:div w:id="179860745">
              <w:marLeft w:val="0"/>
              <w:marRight w:val="0"/>
              <w:marTop w:val="0"/>
              <w:marBottom w:val="240"/>
              <w:divBdr>
                <w:top w:val="none" w:sz="0" w:space="0" w:color="auto"/>
                <w:left w:val="none" w:sz="0" w:space="0" w:color="auto"/>
                <w:bottom w:val="none" w:sz="0" w:space="0" w:color="auto"/>
                <w:right w:val="none" w:sz="0" w:space="0" w:color="auto"/>
              </w:divBdr>
            </w:div>
            <w:div w:id="2124496181">
              <w:marLeft w:val="0"/>
              <w:marRight w:val="0"/>
              <w:marTop w:val="0"/>
              <w:marBottom w:val="240"/>
              <w:divBdr>
                <w:top w:val="none" w:sz="0" w:space="0" w:color="auto"/>
                <w:left w:val="none" w:sz="0" w:space="0" w:color="auto"/>
                <w:bottom w:val="none" w:sz="0" w:space="0" w:color="auto"/>
                <w:right w:val="none" w:sz="0" w:space="0" w:color="auto"/>
              </w:divBdr>
            </w:div>
            <w:div w:id="979110874">
              <w:marLeft w:val="0"/>
              <w:marRight w:val="0"/>
              <w:marTop w:val="0"/>
              <w:marBottom w:val="240"/>
              <w:divBdr>
                <w:top w:val="none" w:sz="0" w:space="0" w:color="auto"/>
                <w:left w:val="none" w:sz="0" w:space="0" w:color="auto"/>
                <w:bottom w:val="none" w:sz="0" w:space="0" w:color="auto"/>
                <w:right w:val="none" w:sz="0" w:space="0" w:color="auto"/>
              </w:divBdr>
            </w:div>
            <w:div w:id="8161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87194">
      <w:bodyDiv w:val="1"/>
      <w:marLeft w:val="0"/>
      <w:marRight w:val="0"/>
      <w:marTop w:val="0"/>
      <w:marBottom w:val="0"/>
      <w:divBdr>
        <w:top w:val="none" w:sz="0" w:space="0" w:color="auto"/>
        <w:left w:val="none" w:sz="0" w:space="0" w:color="auto"/>
        <w:bottom w:val="none" w:sz="0" w:space="0" w:color="auto"/>
        <w:right w:val="none" w:sz="0" w:space="0" w:color="auto"/>
      </w:divBdr>
      <w:divsChild>
        <w:div w:id="1729761343">
          <w:marLeft w:val="480"/>
          <w:marRight w:val="0"/>
          <w:marTop w:val="0"/>
          <w:marBottom w:val="0"/>
          <w:divBdr>
            <w:top w:val="none" w:sz="0" w:space="0" w:color="auto"/>
            <w:left w:val="none" w:sz="0" w:space="0" w:color="auto"/>
            <w:bottom w:val="none" w:sz="0" w:space="0" w:color="auto"/>
            <w:right w:val="none" w:sz="0" w:space="0" w:color="auto"/>
          </w:divBdr>
          <w:divsChild>
            <w:div w:id="483161975">
              <w:marLeft w:val="0"/>
              <w:marRight w:val="0"/>
              <w:marTop w:val="0"/>
              <w:marBottom w:val="240"/>
              <w:divBdr>
                <w:top w:val="none" w:sz="0" w:space="0" w:color="auto"/>
                <w:left w:val="none" w:sz="0" w:space="0" w:color="auto"/>
                <w:bottom w:val="none" w:sz="0" w:space="0" w:color="auto"/>
                <w:right w:val="none" w:sz="0" w:space="0" w:color="auto"/>
              </w:divBdr>
            </w:div>
            <w:div w:id="935790138">
              <w:marLeft w:val="0"/>
              <w:marRight w:val="0"/>
              <w:marTop w:val="0"/>
              <w:marBottom w:val="240"/>
              <w:divBdr>
                <w:top w:val="none" w:sz="0" w:space="0" w:color="auto"/>
                <w:left w:val="none" w:sz="0" w:space="0" w:color="auto"/>
                <w:bottom w:val="none" w:sz="0" w:space="0" w:color="auto"/>
                <w:right w:val="none" w:sz="0" w:space="0" w:color="auto"/>
              </w:divBdr>
            </w:div>
            <w:div w:id="1685205865">
              <w:marLeft w:val="0"/>
              <w:marRight w:val="0"/>
              <w:marTop w:val="0"/>
              <w:marBottom w:val="240"/>
              <w:divBdr>
                <w:top w:val="none" w:sz="0" w:space="0" w:color="auto"/>
                <w:left w:val="none" w:sz="0" w:space="0" w:color="auto"/>
                <w:bottom w:val="none" w:sz="0" w:space="0" w:color="auto"/>
                <w:right w:val="none" w:sz="0" w:space="0" w:color="auto"/>
              </w:divBdr>
            </w:div>
            <w:div w:id="1692105759">
              <w:marLeft w:val="0"/>
              <w:marRight w:val="0"/>
              <w:marTop w:val="0"/>
              <w:marBottom w:val="240"/>
              <w:divBdr>
                <w:top w:val="none" w:sz="0" w:space="0" w:color="auto"/>
                <w:left w:val="none" w:sz="0" w:space="0" w:color="auto"/>
                <w:bottom w:val="none" w:sz="0" w:space="0" w:color="auto"/>
                <w:right w:val="none" w:sz="0" w:space="0" w:color="auto"/>
              </w:divBdr>
            </w:div>
            <w:div w:id="1272783441">
              <w:marLeft w:val="0"/>
              <w:marRight w:val="0"/>
              <w:marTop w:val="0"/>
              <w:marBottom w:val="240"/>
              <w:divBdr>
                <w:top w:val="none" w:sz="0" w:space="0" w:color="auto"/>
                <w:left w:val="none" w:sz="0" w:space="0" w:color="auto"/>
                <w:bottom w:val="none" w:sz="0" w:space="0" w:color="auto"/>
                <w:right w:val="none" w:sz="0" w:space="0" w:color="auto"/>
              </w:divBdr>
            </w:div>
            <w:div w:id="307101774">
              <w:marLeft w:val="0"/>
              <w:marRight w:val="0"/>
              <w:marTop w:val="0"/>
              <w:marBottom w:val="240"/>
              <w:divBdr>
                <w:top w:val="none" w:sz="0" w:space="0" w:color="auto"/>
                <w:left w:val="none" w:sz="0" w:space="0" w:color="auto"/>
                <w:bottom w:val="none" w:sz="0" w:space="0" w:color="auto"/>
                <w:right w:val="none" w:sz="0" w:space="0" w:color="auto"/>
              </w:divBdr>
            </w:div>
            <w:div w:id="1187282366">
              <w:marLeft w:val="0"/>
              <w:marRight w:val="0"/>
              <w:marTop w:val="0"/>
              <w:marBottom w:val="240"/>
              <w:divBdr>
                <w:top w:val="none" w:sz="0" w:space="0" w:color="auto"/>
                <w:left w:val="none" w:sz="0" w:space="0" w:color="auto"/>
                <w:bottom w:val="none" w:sz="0" w:space="0" w:color="auto"/>
                <w:right w:val="none" w:sz="0" w:space="0" w:color="auto"/>
              </w:divBdr>
            </w:div>
            <w:div w:id="191305192">
              <w:marLeft w:val="0"/>
              <w:marRight w:val="0"/>
              <w:marTop w:val="0"/>
              <w:marBottom w:val="240"/>
              <w:divBdr>
                <w:top w:val="none" w:sz="0" w:space="0" w:color="auto"/>
                <w:left w:val="none" w:sz="0" w:space="0" w:color="auto"/>
                <w:bottom w:val="none" w:sz="0" w:space="0" w:color="auto"/>
                <w:right w:val="none" w:sz="0" w:space="0" w:color="auto"/>
              </w:divBdr>
            </w:div>
            <w:div w:id="1978022520">
              <w:marLeft w:val="0"/>
              <w:marRight w:val="0"/>
              <w:marTop w:val="0"/>
              <w:marBottom w:val="240"/>
              <w:divBdr>
                <w:top w:val="none" w:sz="0" w:space="0" w:color="auto"/>
                <w:left w:val="none" w:sz="0" w:space="0" w:color="auto"/>
                <w:bottom w:val="none" w:sz="0" w:space="0" w:color="auto"/>
                <w:right w:val="none" w:sz="0" w:space="0" w:color="auto"/>
              </w:divBdr>
            </w:div>
            <w:div w:id="760951520">
              <w:marLeft w:val="0"/>
              <w:marRight w:val="0"/>
              <w:marTop w:val="0"/>
              <w:marBottom w:val="240"/>
              <w:divBdr>
                <w:top w:val="none" w:sz="0" w:space="0" w:color="auto"/>
                <w:left w:val="none" w:sz="0" w:space="0" w:color="auto"/>
                <w:bottom w:val="none" w:sz="0" w:space="0" w:color="auto"/>
                <w:right w:val="none" w:sz="0" w:space="0" w:color="auto"/>
              </w:divBdr>
            </w:div>
            <w:div w:id="1168910072">
              <w:marLeft w:val="0"/>
              <w:marRight w:val="0"/>
              <w:marTop w:val="0"/>
              <w:marBottom w:val="240"/>
              <w:divBdr>
                <w:top w:val="none" w:sz="0" w:space="0" w:color="auto"/>
                <w:left w:val="none" w:sz="0" w:space="0" w:color="auto"/>
                <w:bottom w:val="none" w:sz="0" w:space="0" w:color="auto"/>
                <w:right w:val="none" w:sz="0" w:space="0" w:color="auto"/>
              </w:divBdr>
            </w:div>
            <w:div w:id="30153906">
              <w:marLeft w:val="0"/>
              <w:marRight w:val="0"/>
              <w:marTop w:val="0"/>
              <w:marBottom w:val="240"/>
              <w:divBdr>
                <w:top w:val="none" w:sz="0" w:space="0" w:color="auto"/>
                <w:left w:val="none" w:sz="0" w:space="0" w:color="auto"/>
                <w:bottom w:val="none" w:sz="0" w:space="0" w:color="auto"/>
                <w:right w:val="none" w:sz="0" w:space="0" w:color="auto"/>
              </w:divBdr>
            </w:div>
            <w:div w:id="2053381317">
              <w:marLeft w:val="0"/>
              <w:marRight w:val="0"/>
              <w:marTop w:val="0"/>
              <w:marBottom w:val="240"/>
              <w:divBdr>
                <w:top w:val="none" w:sz="0" w:space="0" w:color="auto"/>
                <w:left w:val="none" w:sz="0" w:space="0" w:color="auto"/>
                <w:bottom w:val="none" w:sz="0" w:space="0" w:color="auto"/>
                <w:right w:val="none" w:sz="0" w:space="0" w:color="auto"/>
              </w:divBdr>
            </w:div>
            <w:div w:id="1069577128">
              <w:marLeft w:val="0"/>
              <w:marRight w:val="0"/>
              <w:marTop w:val="0"/>
              <w:marBottom w:val="240"/>
              <w:divBdr>
                <w:top w:val="none" w:sz="0" w:space="0" w:color="auto"/>
                <w:left w:val="none" w:sz="0" w:space="0" w:color="auto"/>
                <w:bottom w:val="none" w:sz="0" w:space="0" w:color="auto"/>
                <w:right w:val="none" w:sz="0" w:space="0" w:color="auto"/>
              </w:divBdr>
            </w:div>
            <w:div w:id="663821378">
              <w:marLeft w:val="0"/>
              <w:marRight w:val="0"/>
              <w:marTop w:val="0"/>
              <w:marBottom w:val="240"/>
              <w:divBdr>
                <w:top w:val="none" w:sz="0" w:space="0" w:color="auto"/>
                <w:left w:val="none" w:sz="0" w:space="0" w:color="auto"/>
                <w:bottom w:val="none" w:sz="0" w:space="0" w:color="auto"/>
                <w:right w:val="none" w:sz="0" w:space="0" w:color="auto"/>
              </w:divBdr>
            </w:div>
            <w:div w:id="294456701">
              <w:marLeft w:val="0"/>
              <w:marRight w:val="0"/>
              <w:marTop w:val="0"/>
              <w:marBottom w:val="240"/>
              <w:divBdr>
                <w:top w:val="none" w:sz="0" w:space="0" w:color="auto"/>
                <w:left w:val="none" w:sz="0" w:space="0" w:color="auto"/>
                <w:bottom w:val="none" w:sz="0" w:space="0" w:color="auto"/>
                <w:right w:val="none" w:sz="0" w:space="0" w:color="auto"/>
              </w:divBdr>
            </w:div>
            <w:div w:id="2117211735">
              <w:marLeft w:val="0"/>
              <w:marRight w:val="0"/>
              <w:marTop w:val="0"/>
              <w:marBottom w:val="240"/>
              <w:divBdr>
                <w:top w:val="none" w:sz="0" w:space="0" w:color="auto"/>
                <w:left w:val="none" w:sz="0" w:space="0" w:color="auto"/>
                <w:bottom w:val="none" w:sz="0" w:space="0" w:color="auto"/>
                <w:right w:val="none" w:sz="0" w:space="0" w:color="auto"/>
              </w:divBdr>
            </w:div>
            <w:div w:id="199829212">
              <w:marLeft w:val="0"/>
              <w:marRight w:val="0"/>
              <w:marTop w:val="0"/>
              <w:marBottom w:val="240"/>
              <w:divBdr>
                <w:top w:val="none" w:sz="0" w:space="0" w:color="auto"/>
                <w:left w:val="none" w:sz="0" w:space="0" w:color="auto"/>
                <w:bottom w:val="none" w:sz="0" w:space="0" w:color="auto"/>
                <w:right w:val="none" w:sz="0" w:space="0" w:color="auto"/>
              </w:divBdr>
            </w:div>
            <w:div w:id="1335037356">
              <w:marLeft w:val="0"/>
              <w:marRight w:val="0"/>
              <w:marTop w:val="0"/>
              <w:marBottom w:val="240"/>
              <w:divBdr>
                <w:top w:val="none" w:sz="0" w:space="0" w:color="auto"/>
                <w:left w:val="none" w:sz="0" w:space="0" w:color="auto"/>
                <w:bottom w:val="none" w:sz="0" w:space="0" w:color="auto"/>
                <w:right w:val="none" w:sz="0" w:space="0" w:color="auto"/>
              </w:divBdr>
            </w:div>
            <w:div w:id="69813753">
              <w:marLeft w:val="0"/>
              <w:marRight w:val="0"/>
              <w:marTop w:val="0"/>
              <w:marBottom w:val="240"/>
              <w:divBdr>
                <w:top w:val="none" w:sz="0" w:space="0" w:color="auto"/>
                <w:left w:val="none" w:sz="0" w:space="0" w:color="auto"/>
                <w:bottom w:val="none" w:sz="0" w:space="0" w:color="auto"/>
                <w:right w:val="none" w:sz="0" w:space="0" w:color="auto"/>
              </w:divBdr>
            </w:div>
            <w:div w:id="1962033334">
              <w:marLeft w:val="0"/>
              <w:marRight w:val="0"/>
              <w:marTop w:val="0"/>
              <w:marBottom w:val="240"/>
              <w:divBdr>
                <w:top w:val="none" w:sz="0" w:space="0" w:color="auto"/>
                <w:left w:val="none" w:sz="0" w:space="0" w:color="auto"/>
                <w:bottom w:val="none" w:sz="0" w:space="0" w:color="auto"/>
                <w:right w:val="none" w:sz="0" w:space="0" w:color="auto"/>
              </w:divBdr>
            </w:div>
            <w:div w:id="306665027">
              <w:marLeft w:val="0"/>
              <w:marRight w:val="0"/>
              <w:marTop w:val="0"/>
              <w:marBottom w:val="240"/>
              <w:divBdr>
                <w:top w:val="none" w:sz="0" w:space="0" w:color="auto"/>
                <w:left w:val="none" w:sz="0" w:space="0" w:color="auto"/>
                <w:bottom w:val="none" w:sz="0" w:space="0" w:color="auto"/>
                <w:right w:val="none" w:sz="0" w:space="0" w:color="auto"/>
              </w:divBdr>
            </w:div>
            <w:div w:id="1991326666">
              <w:marLeft w:val="0"/>
              <w:marRight w:val="0"/>
              <w:marTop w:val="0"/>
              <w:marBottom w:val="240"/>
              <w:divBdr>
                <w:top w:val="none" w:sz="0" w:space="0" w:color="auto"/>
                <w:left w:val="none" w:sz="0" w:space="0" w:color="auto"/>
                <w:bottom w:val="none" w:sz="0" w:space="0" w:color="auto"/>
                <w:right w:val="none" w:sz="0" w:space="0" w:color="auto"/>
              </w:divBdr>
            </w:div>
            <w:div w:id="1011419011">
              <w:marLeft w:val="0"/>
              <w:marRight w:val="0"/>
              <w:marTop w:val="0"/>
              <w:marBottom w:val="240"/>
              <w:divBdr>
                <w:top w:val="none" w:sz="0" w:space="0" w:color="auto"/>
                <w:left w:val="none" w:sz="0" w:space="0" w:color="auto"/>
                <w:bottom w:val="none" w:sz="0" w:space="0" w:color="auto"/>
                <w:right w:val="none" w:sz="0" w:space="0" w:color="auto"/>
              </w:divBdr>
            </w:div>
            <w:div w:id="1063526280">
              <w:marLeft w:val="0"/>
              <w:marRight w:val="0"/>
              <w:marTop w:val="0"/>
              <w:marBottom w:val="240"/>
              <w:divBdr>
                <w:top w:val="none" w:sz="0" w:space="0" w:color="auto"/>
                <w:left w:val="none" w:sz="0" w:space="0" w:color="auto"/>
                <w:bottom w:val="none" w:sz="0" w:space="0" w:color="auto"/>
                <w:right w:val="none" w:sz="0" w:space="0" w:color="auto"/>
              </w:divBdr>
            </w:div>
            <w:div w:id="738669498">
              <w:marLeft w:val="0"/>
              <w:marRight w:val="0"/>
              <w:marTop w:val="0"/>
              <w:marBottom w:val="240"/>
              <w:divBdr>
                <w:top w:val="none" w:sz="0" w:space="0" w:color="auto"/>
                <w:left w:val="none" w:sz="0" w:space="0" w:color="auto"/>
                <w:bottom w:val="none" w:sz="0" w:space="0" w:color="auto"/>
                <w:right w:val="none" w:sz="0" w:space="0" w:color="auto"/>
              </w:divBdr>
            </w:div>
            <w:div w:id="19287122">
              <w:marLeft w:val="0"/>
              <w:marRight w:val="0"/>
              <w:marTop w:val="0"/>
              <w:marBottom w:val="240"/>
              <w:divBdr>
                <w:top w:val="none" w:sz="0" w:space="0" w:color="auto"/>
                <w:left w:val="none" w:sz="0" w:space="0" w:color="auto"/>
                <w:bottom w:val="none" w:sz="0" w:space="0" w:color="auto"/>
                <w:right w:val="none" w:sz="0" w:space="0" w:color="auto"/>
              </w:divBdr>
            </w:div>
            <w:div w:id="1941253336">
              <w:marLeft w:val="0"/>
              <w:marRight w:val="0"/>
              <w:marTop w:val="0"/>
              <w:marBottom w:val="240"/>
              <w:divBdr>
                <w:top w:val="none" w:sz="0" w:space="0" w:color="auto"/>
                <w:left w:val="none" w:sz="0" w:space="0" w:color="auto"/>
                <w:bottom w:val="none" w:sz="0" w:space="0" w:color="auto"/>
                <w:right w:val="none" w:sz="0" w:space="0" w:color="auto"/>
              </w:divBdr>
            </w:div>
            <w:div w:id="1982883477">
              <w:marLeft w:val="0"/>
              <w:marRight w:val="0"/>
              <w:marTop w:val="0"/>
              <w:marBottom w:val="240"/>
              <w:divBdr>
                <w:top w:val="none" w:sz="0" w:space="0" w:color="auto"/>
                <w:left w:val="none" w:sz="0" w:space="0" w:color="auto"/>
                <w:bottom w:val="none" w:sz="0" w:space="0" w:color="auto"/>
                <w:right w:val="none" w:sz="0" w:space="0" w:color="auto"/>
              </w:divBdr>
            </w:div>
            <w:div w:id="122580042">
              <w:marLeft w:val="0"/>
              <w:marRight w:val="0"/>
              <w:marTop w:val="0"/>
              <w:marBottom w:val="240"/>
              <w:divBdr>
                <w:top w:val="none" w:sz="0" w:space="0" w:color="auto"/>
                <w:left w:val="none" w:sz="0" w:space="0" w:color="auto"/>
                <w:bottom w:val="none" w:sz="0" w:space="0" w:color="auto"/>
                <w:right w:val="none" w:sz="0" w:space="0" w:color="auto"/>
              </w:divBdr>
            </w:div>
            <w:div w:id="1746292599">
              <w:marLeft w:val="0"/>
              <w:marRight w:val="0"/>
              <w:marTop w:val="0"/>
              <w:marBottom w:val="240"/>
              <w:divBdr>
                <w:top w:val="none" w:sz="0" w:space="0" w:color="auto"/>
                <w:left w:val="none" w:sz="0" w:space="0" w:color="auto"/>
                <w:bottom w:val="none" w:sz="0" w:space="0" w:color="auto"/>
                <w:right w:val="none" w:sz="0" w:space="0" w:color="auto"/>
              </w:divBdr>
            </w:div>
            <w:div w:id="411391959">
              <w:marLeft w:val="0"/>
              <w:marRight w:val="0"/>
              <w:marTop w:val="0"/>
              <w:marBottom w:val="240"/>
              <w:divBdr>
                <w:top w:val="none" w:sz="0" w:space="0" w:color="auto"/>
                <w:left w:val="none" w:sz="0" w:space="0" w:color="auto"/>
                <w:bottom w:val="none" w:sz="0" w:space="0" w:color="auto"/>
                <w:right w:val="none" w:sz="0" w:space="0" w:color="auto"/>
              </w:divBdr>
            </w:div>
            <w:div w:id="82772946">
              <w:marLeft w:val="0"/>
              <w:marRight w:val="0"/>
              <w:marTop w:val="0"/>
              <w:marBottom w:val="240"/>
              <w:divBdr>
                <w:top w:val="none" w:sz="0" w:space="0" w:color="auto"/>
                <w:left w:val="none" w:sz="0" w:space="0" w:color="auto"/>
                <w:bottom w:val="none" w:sz="0" w:space="0" w:color="auto"/>
                <w:right w:val="none" w:sz="0" w:space="0" w:color="auto"/>
              </w:divBdr>
            </w:div>
            <w:div w:id="286861634">
              <w:marLeft w:val="0"/>
              <w:marRight w:val="0"/>
              <w:marTop w:val="0"/>
              <w:marBottom w:val="240"/>
              <w:divBdr>
                <w:top w:val="none" w:sz="0" w:space="0" w:color="auto"/>
                <w:left w:val="none" w:sz="0" w:space="0" w:color="auto"/>
                <w:bottom w:val="none" w:sz="0" w:space="0" w:color="auto"/>
                <w:right w:val="none" w:sz="0" w:space="0" w:color="auto"/>
              </w:divBdr>
            </w:div>
            <w:div w:id="1571499652">
              <w:marLeft w:val="0"/>
              <w:marRight w:val="0"/>
              <w:marTop w:val="0"/>
              <w:marBottom w:val="240"/>
              <w:divBdr>
                <w:top w:val="none" w:sz="0" w:space="0" w:color="auto"/>
                <w:left w:val="none" w:sz="0" w:space="0" w:color="auto"/>
                <w:bottom w:val="none" w:sz="0" w:space="0" w:color="auto"/>
                <w:right w:val="none" w:sz="0" w:space="0" w:color="auto"/>
              </w:divBdr>
            </w:div>
            <w:div w:id="260647165">
              <w:marLeft w:val="0"/>
              <w:marRight w:val="0"/>
              <w:marTop w:val="0"/>
              <w:marBottom w:val="240"/>
              <w:divBdr>
                <w:top w:val="none" w:sz="0" w:space="0" w:color="auto"/>
                <w:left w:val="none" w:sz="0" w:space="0" w:color="auto"/>
                <w:bottom w:val="none" w:sz="0" w:space="0" w:color="auto"/>
                <w:right w:val="none" w:sz="0" w:space="0" w:color="auto"/>
              </w:divBdr>
            </w:div>
            <w:div w:id="2003310319">
              <w:marLeft w:val="0"/>
              <w:marRight w:val="0"/>
              <w:marTop w:val="0"/>
              <w:marBottom w:val="240"/>
              <w:divBdr>
                <w:top w:val="none" w:sz="0" w:space="0" w:color="auto"/>
                <w:left w:val="none" w:sz="0" w:space="0" w:color="auto"/>
                <w:bottom w:val="none" w:sz="0" w:space="0" w:color="auto"/>
                <w:right w:val="none" w:sz="0" w:space="0" w:color="auto"/>
              </w:divBdr>
            </w:div>
            <w:div w:id="1352101175">
              <w:marLeft w:val="0"/>
              <w:marRight w:val="0"/>
              <w:marTop w:val="0"/>
              <w:marBottom w:val="240"/>
              <w:divBdr>
                <w:top w:val="none" w:sz="0" w:space="0" w:color="auto"/>
                <w:left w:val="none" w:sz="0" w:space="0" w:color="auto"/>
                <w:bottom w:val="none" w:sz="0" w:space="0" w:color="auto"/>
                <w:right w:val="none" w:sz="0" w:space="0" w:color="auto"/>
              </w:divBdr>
            </w:div>
            <w:div w:id="236672584">
              <w:marLeft w:val="0"/>
              <w:marRight w:val="0"/>
              <w:marTop w:val="0"/>
              <w:marBottom w:val="240"/>
              <w:divBdr>
                <w:top w:val="none" w:sz="0" w:space="0" w:color="auto"/>
                <w:left w:val="none" w:sz="0" w:space="0" w:color="auto"/>
                <w:bottom w:val="none" w:sz="0" w:space="0" w:color="auto"/>
                <w:right w:val="none" w:sz="0" w:space="0" w:color="auto"/>
              </w:divBdr>
            </w:div>
            <w:div w:id="424037245">
              <w:marLeft w:val="0"/>
              <w:marRight w:val="0"/>
              <w:marTop w:val="0"/>
              <w:marBottom w:val="240"/>
              <w:divBdr>
                <w:top w:val="none" w:sz="0" w:space="0" w:color="auto"/>
                <w:left w:val="none" w:sz="0" w:space="0" w:color="auto"/>
                <w:bottom w:val="none" w:sz="0" w:space="0" w:color="auto"/>
                <w:right w:val="none" w:sz="0" w:space="0" w:color="auto"/>
              </w:divBdr>
            </w:div>
            <w:div w:id="98720792">
              <w:marLeft w:val="0"/>
              <w:marRight w:val="0"/>
              <w:marTop w:val="0"/>
              <w:marBottom w:val="240"/>
              <w:divBdr>
                <w:top w:val="none" w:sz="0" w:space="0" w:color="auto"/>
                <w:left w:val="none" w:sz="0" w:space="0" w:color="auto"/>
                <w:bottom w:val="none" w:sz="0" w:space="0" w:color="auto"/>
                <w:right w:val="none" w:sz="0" w:space="0" w:color="auto"/>
              </w:divBdr>
            </w:div>
            <w:div w:id="500782853">
              <w:marLeft w:val="0"/>
              <w:marRight w:val="0"/>
              <w:marTop w:val="0"/>
              <w:marBottom w:val="240"/>
              <w:divBdr>
                <w:top w:val="none" w:sz="0" w:space="0" w:color="auto"/>
                <w:left w:val="none" w:sz="0" w:space="0" w:color="auto"/>
                <w:bottom w:val="none" w:sz="0" w:space="0" w:color="auto"/>
                <w:right w:val="none" w:sz="0" w:space="0" w:color="auto"/>
              </w:divBdr>
            </w:div>
            <w:div w:id="56369868">
              <w:marLeft w:val="0"/>
              <w:marRight w:val="0"/>
              <w:marTop w:val="0"/>
              <w:marBottom w:val="240"/>
              <w:divBdr>
                <w:top w:val="none" w:sz="0" w:space="0" w:color="auto"/>
                <w:left w:val="none" w:sz="0" w:space="0" w:color="auto"/>
                <w:bottom w:val="none" w:sz="0" w:space="0" w:color="auto"/>
                <w:right w:val="none" w:sz="0" w:space="0" w:color="auto"/>
              </w:divBdr>
            </w:div>
            <w:div w:id="2029983233">
              <w:marLeft w:val="0"/>
              <w:marRight w:val="0"/>
              <w:marTop w:val="0"/>
              <w:marBottom w:val="240"/>
              <w:divBdr>
                <w:top w:val="none" w:sz="0" w:space="0" w:color="auto"/>
                <w:left w:val="none" w:sz="0" w:space="0" w:color="auto"/>
                <w:bottom w:val="none" w:sz="0" w:space="0" w:color="auto"/>
                <w:right w:val="none" w:sz="0" w:space="0" w:color="auto"/>
              </w:divBdr>
            </w:div>
            <w:div w:id="551041290">
              <w:marLeft w:val="0"/>
              <w:marRight w:val="0"/>
              <w:marTop w:val="0"/>
              <w:marBottom w:val="240"/>
              <w:divBdr>
                <w:top w:val="none" w:sz="0" w:space="0" w:color="auto"/>
                <w:left w:val="none" w:sz="0" w:space="0" w:color="auto"/>
                <w:bottom w:val="none" w:sz="0" w:space="0" w:color="auto"/>
                <w:right w:val="none" w:sz="0" w:space="0" w:color="auto"/>
              </w:divBdr>
            </w:div>
            <w:div w:id="1069227237">
              <w:marLeft w:val="0"/>
              <w:marRight w:val="0"/>
              <w:marTop w:val="0"/>
              <w:marBottom w:val="240"/>
              <w:divBdr>
                <w:top w:val="none" w:sz="0" w:space="0" w:color="auto"/>
                <w:left w:val="none" w:sz="0" w:space="0" w:color="auto"/>
                <w:bottom w:val="none" w:sz="0" w:space="0" w:color="auto"/>
                <w:right w:val="none" w:sz="0" w:space="0" w:color="auto"/>
              </w:divBdr>
            </w:div>
            <w:div w:id="379020707">
              <w:marLeft w:val="0"/>
              <w:marRight w:val="0"/>
              <w:marTop w:val="0"/>
              <w:marBottom w:val="240"/>
              <w:divBdr>
                <w:top w:val="none" w:sz="0" w:space="0" w:color="auto"/>
                <w:left w:val="none" w:sz="0" w:space="0" w:color="auto"/>
                <w:bottom w:val="none" w:sz="0" w:space="0" w:color="auto"/>
                <w:right w:val="none" w:sz="0" w:space="0" w:color="auto"/>
              </w:divBdr>
            </w:div>
            <w:div w:id="955214250">
              <w:marLeft w:val="0"/>
              <w:marRight w:val="0"/>
              <w:marTop w:val="0"/>
              <w:marBottom w:val="240"/>
              <w:divBdr>
                <w:top w:val="none" w:sz="0" w:space="0" w:color="auto"/>
                <w:left w:val="none" w:sz="0" w:space="0" w:color="auto"/>
                <w:bottom w:val="none" w:sz="0" w:space="0" w:color="auto"/>
                <w:right w:val="none" w:sz="0" w:space="0" w:color="auto"/>
              </w:divBdr>
            </w:div>
            <w:div w:id="1370298076">
              <w:marLeft w:val="0"/>
              <w:marRight w:val="0"/>
              <w:marTop w:val="0"/>
              <w:marBottom w:val="240"/>
              <w:divBdr>
                <w:top w:val="none" w:sz="0" w:space="0" w:color="auto"/>
                <w:left w:val="none" w:sz="0" w:space="0" w:color="auto"/>
                <w:bottom w:val="none" w:sz="0" w:space="0" w:color="auto"/>
                <w:right w:val="none" w:sz="0" w:space="0" w:color="auto"/>
              </w:divBdr>
            </w:div>
            <w:div w:id="287047954">
              <w:marLeft w:val="0"/>
              <w:marRight w:val="0"/>
              <w:marTop w:val="0"/>
              <w:marBottom w:val="240"/>
              <w:divBdr>
                <w:top w:val="none" w:sz="0" w:space="0" w:color="auto"/>
                <w:left w:val="none" w:sz="0" w:space="0" w:color="auto"/>
                <w:bottom w:val="none" w:sz="0" w:space="0" w:color="auto"/>
                <w:right w:val="none" w:sz="0" w:space="0" w:color="auto"/>
              </w:divBdr>
            </w:div>
            <w:div w:id="325137909">
              <w:marLeft w:val="0"/>
              <w:marRight w:val="0"/>
              <w:marTop w:val="0"/>
              <w:marBottom w:val="240"/>
              <w:divBdr>
                <w:top w:val="none" w:sz="0" w:space="0" w:color="auto"/>
                <w:left w:val="none" w:sz="0" w:space="0" w:color="auto"/>
                <w:bottom w:val="none" w:sz="0" w:space="0" w:color="auto"/>
                <w:right w:val="none" w:sz="0" w:space="0" w:color="auto"/>
              </w:divBdr>
            </w:div>
            <w:div w:id="195703604">
              <w:marLeft w:val="0"/>
              <w:marRight w:val="0"/>
              <w:marTop w:val="0"/>
              <w:marBottom w:val="240"/>
              <w:divBdr>
                <w:top w:val="none" w:sz="0" w:space="0" w:color="auto"/>
                <w:left w:val="none" w:sz="0" w:space="0" w:color="auto"/>
                <w:bottom w:val="none" w:sz="0" w:space="0" w:color="auto"/>
                <w:right w:val="none" w:sz="0" w:space="0" w:color="auto"/>
              </w:divBdr>
            </w:div>
            <w:div w:id="1889536056">
              <w:marLeft w:val="0"/>
              <w:marRight w:val="0"/>
              <w:marTop w:val="0"/>
              <w:marBottom w:val="240"/>
              <w:divBdr>
                <w:top w:val="none" w:sz="0" w:space="0" w:color="auto"/>
                <w:left w:val="none" w:sz="0" w:space="0" w:color="auto"/>
                <w:bottom w:val="none" w:sz="0" w:space="0" w:color="auto"/>
                <w:right w:val="none" w:sz="0" w:space="0" w:color="auto"/>
              </w:divBdr>
            </w:div>
            <w:div w:id="1240991170">
              <w:marLeft w:val="0"/>
              <w:marRight w:val="0"/>
              <w:marTop w:val="0"/>
              <w:marBottom w:val="240"/>
              <w:divBdr>
                <w:top w:val="none" w:sz="0" w:space="0" w:color="auto"/>
                <w:left w:val="none" w:sz="0" w:space="0" w:color="auto"/>
                <w:bottom w:val="none" w:sz="0" w:space="0" w:color="auto"/>
                <w:right w:val="none" w:sz="0" w:space="0" w:color="auto"/>
              </w:divBdr>
            </w:div>
            <w:div w:id="2028478621">
              <w:marLeft w:val="0"/>
              <w:marRight w:val="0"/>
              <w:marTop w:val="0"/>
              <w:marBottom w:val="240"/>
              <w:divBdr>
                <w:top w:val="none" w:sz="0" w:space="0" w:color="auto"/>
                <w:left w:val="none" w:sz="0" w:space="0" w:color="auto"/>
                <w:bottom w:val="none" w:sz="0" w:space="0" w:color="auto"/>
                <w:right w:val="none" w:sz="0" w:space="0" w:color="auto"/>
              </w:divBdr>
            </w:div>
            <w:div w:id="1245650916">
              <w:marLeft w:val="0"/>
              <w:marRight w:val="0"/>
              <w:marTop w:val="0"/>
              <w:marBottom w:val="240"/>
              <w:divBdr>
                <w:top w:val="none" w:sz="0" w:space="0" w:color="auto"/>
                <w:left w:val="none" w:sz="0" w:space="0" w:color="auto"/>
                <w:bottom w:val="none" w:sz="0" w:space="0" w:color="auto"/>
                <w:right w:val="none" w:sz="0" w:space="0" w:color="auto"/>
              </w:divBdr>
            </w:div>
            <w:div w:id="1820994293">
              <w:marLeft w:val="0"/>
              <w:marRight w:val="0"/>
              <w:marTop w:val="0"/>
              <w:marBottom w:val="240"/>
              <w:divBdr>
                <w:top w:val="none" w:sz="0" w:space="0" w:color="auto"/>
                <w:left w:val="none" w:sz="0" w:space="0" w:color="auto"/>
                <w:bottom w:val="none" w:sz="0" w:space="0" w:color="auto"/>
                <w:right w:val="none" w:sz="0" w:space="0" w:color="auto"/>
              </w:divBdr>
            </w:div>
            <w:div w:id="503398641">
              <w:marLeft w:val="0"/>
              <w:marRight w:val="0"/>
              <w:marTop w:val="0"/>
              <w:marBottom w:val="240"/>
              <w:divBdr>
                <w:top w:val="none" w:sz="0" w:space="0" w:color="auto"/>
                <w:left w:val="none" w:sz="0" w:space="0" w:color="auto"/>
                <w:bottom w:val="none" w:sz="0" w:space="0" w:color="auto"/>
                <w:right w:val="none" w:sz="0" w:space="0" w:color="auto"/>
              </w:divBdr>
            </w:div>
            <w:div w:id="103885396">
              <w:marLeft w:val="0"/>
              <w:marRight w:val="0"/>
              <w:marTop w:val="0"/>
              <w:marBottom w:val="240"/>
              <w:divBdr>
                <w:top w:val="none" w:sz="0" w:space="0" w:color="auto"/>
                <w:left w:val="none" w:sz="0" w:space="0" w:color="auto"/>
                <w:bottom w:val="none" w:sz="0" w:space="0" w:color="auto"/>
                <w:right w:val="none" w:sz="0" w:space="0" w:color="auto"/>
              </w:divBdr>
            </w:div>
            <w:div w:id="2066755695">
              <w:marLeft w:val="0"/>
              <w:marRight w:val="0"/>
              <w:marTop w:val="0"/>
              <w:marBottom w:val="240"/>
              <w:divBdr>
                <w:top w:val="none" w:sz="0" w:space="0" w:color="auto"/>
                <w:left w:val="none" w:sz="0" w:space="0" w:color="auto"/>
                <w:bottom w:val="none" w:sz="0" w:space="0" w:color="auto"/>
                <w:right w:val="none" w:sz="0" w:space="0" w:color="auto"/>
              </w:divBdr>
            </w:div>
            <w:div w:id="963271443">
              <w:marLeft w:val="0"/>
              <w:marRight w:val="0"/>
              <w:marTop w:val="0"/>
              <w:marBottom w:val="240"/>
              <w:divBdr>
                <w:top w:val="none" w:sz="0" w:space="0" w:color="auto"/>
                <w:left w:val="none" w:sz="0" w:space="0" w:color="auto"/>
                <w:bottom w:val="none" w:sz="0" w:space="0" w:color="auto"/>
                <w:right w:val="none" w:sz="0" w:space="0" w:color="auto"/>
              </w:divBdr>
            </w:div>
            <w:div w:id="224878597">
              <w:marLeft w:val="0"/>
              <w:marRight w:val="0"/>
              <w:marTop w:val="0"/>
              <w:marBottom w:val="240"/>
              <w:divBdr>
                <w:top w:val="none" w:sz="0" w:space="0" w:color="auto"/>
                <w:left w:val="none" w:sz="0" w:space="0" w:color="auto"/>
                <w:bottom w:val="none" w:sz="0" w:space="0" w:color="auto"/>
                <w:right w:val="none" w:sz="0" w:space="0" w:color="auto"/>
              </w:divBdr>
            </w:div>
            <w:div w:id="1013915921">
              <w:marLeft w:val="0"/>
              <w:marRight w:val="0"/>
              <w:marTop w:val="0"/>
              <w:marBottom w:val="240"/>
              <w:divBdr>
                <w:top w:val="none" w:sz="0" w:space="0" w:color="auto"/>
                <w:left w:val="none" w:sz="0" w:space="0" w:color="auto"/>
                <w:bottom w:val="none" w:sz="0" w:space="0" w:color="auto"/>
                <w:right w:val="none" w:sz="0" w:space="0" w:color="auto"/>
              </w:divBdr>
            </w:div>
            <w:div w:id="558130168">
              <w:marLeft w:val="0"/>
              <w:marRight w:val="0"/>
              <w:marTop w:val="0"/>
              <w:marBottom w:val="240"/>
              <w:divBdr>
                <w:top w:val="none" w:sz="0" w:space="0" w:color="auto"/>
                <w:left w:val="none" w:sz="0" w:space="0" w:color="auto"/>
                <w:bottom w:val="none" w:sz="0" w:space="0" w:color="auto"/>
                <w:right w:val="none" w:sz="0" w:space="0" w:color="auto"/>
              </w:divBdr>
            </w:div>
            <w:div w:id="972322515">
              <w:marLeft w:val="0"/>
              <w:marRight w:val="0"/>
              <w:marTop w:val="0"/>
              <w:marBottom w:val="240"/>
              <w:divBdr>
                <w:top w:val="none" w:sz="0" w:space="0" w:color="auto"/>
                <w:left w:val="none" w:sz="0" w:space="0" w:color="auto"/>
                <w:bottom w:val="none" w:sz="0" w:space="0" w:color="auto"/>
                <w:right w:val="none" w:sz="0" w:space="0" w:color="auto"/>
              </w:divBdr>
            </w:div>
            <w:div w:id="977108744">
              <w:marLeft w:val="0"/>
              <w:marRight w:val="0"/>
              <w:marTop w:val="0"/>
              <w:marBottom w:val="240"/>
              <w:divBdr>
                <w:top w:val="none" w:sz="0" w:space="0" w:color="auto"/>
                <w:left w:val="none" w:sz="0" w:space="0" w:color="auto"/>
                <w:bottom w:val="none" w:sz="0" w:space="0" w:color="auto"/>
                <w:right w:val="none" w:sz="0" w:space="0" w:color="auto"/>
              </w:divBdr>
            </w:div>
            <w:div w:id="247660746">
              <w:marLeft w:val="0"/>
              <w:marRight w:val="0"/>
              <w:marTop w:val="0"/>
              <w:marBottom w:val="240"/>
              <w:divBdr>
                <w:top w:val="none" w:sz="0" w:space="0" w:color="auto"/>
                <w:left w:val="none" w:sz="0" w:space="0" w:color="auto"/>
                <w:bottom w:val="none" w:sz="0" w:space="0" w:color="auto"/>
                <w:right w:val="none" w:sz="0" w:space="0" w:color="auto"/>
              </w:divBdr>
            </w:div>
            <w:div w:id="1047266406">
              <w:marLeft w:val="0"/>
              <w:marRight w:val="0"/>
              <w:marTop w:val="0"/>
              <w:marBottom w:val="240"/>
              <w:divBdr>
                <w:top w:val="none" w:sz="0" w:space="0" w:color="auto"/>
                <w:left w:val="none" w:sz="0" w:space="0" w:color="auto"/>
                <w:bottom w:val="none" w:sz="0" w:space="0" w:color="auto"/>
                <w:right w:val="none" w:sz="0" w:space="0" w:color="auto"/>
              </w:divBdr>
            </w:div>
            <w:div w:id="921111704">
              <w:marLeft w:val="0"/>
              <w:marRight w:val="0"/>
              <w:marTop w:val="0"/>
              <w:marBottom w:val="240"/>
              <w:divBdr>
                <w:top w:val="none" w:sz="0" w:space="0" w:color="auto"/>
                <w:left w:val="none" w:sz="0" w:space="0" w:color="auto"/>
                <w:bottom w:val="none" w:sz="0" w:space="0" w:color="auto"/>
                <w:right w:val="none" w:sz="0" w:space="0" w:color="auto"/>
              </w:divBdr>
            </w:div>
            <w:div w:id="665285805">
              <w:marLeft w:val="0"/>
              <w:marRight w:val="0"/>
              <w:marTop w:val="0"/>
              <w:marBottom w:val="240"/>
              <w:divBdr>
                <w:top w:val="none" w:sz="0" w:space="0" w:color="auto"/>
                <w:left w:val="none" w:sz="0" w:space="0" w:color="auto"/>
                <w:bottom w:val="none" w:sz="0" w:space="0" w:color="auto"/>
                <w:right w:val="none" w:sz="0" w:space="0" w:color="auto"/>
              </w:divBdr>
            </w:div>
            <w:div w:id="947614617">
              <w:marLeft w:val="0"/>
              <w:marRight w:val="0"/>
              <w:marTop w:val="0"/>
              <w:marBottom w:val="240"/>
              <w:divBdr>
                <w:top w:val="none" w:sz="0" w:space="0" w:color="auto"/>
                <w:left w:val="none" w:sz="0" w:space="0" w:color="auto"/>
                <w:bottom w:val="none" w:sz="0" w:space="0" w:color="auto"/>
                <w:right w:val="none" w:sz="0" w:space="0" w:color="auto"/>
              </w:divBdr>
            </w:div>
            <w:div w:id="1418743002">
              <w:marLeft w:val="0"/>
              <w:marRight w:val="0"/>
              <w:marTop w:val="0"/>
              <w:marBottom w:val="240"/>
              <w:divBdr>
                <w:top w:val="none" w:sz="0" w:space="0" w:color="auto"/>
                <w:left w:val="none" w:sz="0" w:space="0" w:color="auto"/>
                <w:bottom w:val="none" w:sz="0" w:space="0" w:color="auto"/>
                <w:right w:val="none" w:sz="0" w:space="0" w:color="auto"/>
              </w:divBdr>
            </w:div>
            <w:div w:id="1735157155">
              <w:marLeft w:val="0"/>
              <w:marRight w:val="0"/>
              <w:marTop w:val="0"/>
              <w:marBottom w:val="240"/>
              <w:divBdr>
                <w:top w:val="none" w:sz="0" w:space="0" w:color="auto"/>
                <w:left w:val="none" w:sz="0" w:space="0" w:color="auto"/>
                <w:bottom w:val="none" w:sz="0" w:space="0" w:color="auto"/>
                <w:right w:val="none" w:sz="0" w:space="0" w:color="auto"/>
              </w:divBdr>
            </w:div>
            <w:div w:id="1037120565">
              <w:marLeft w:val="0"/>
              <w:marRight w:val="0"/>
              <w:marTop w:val="0"/>
              <w:marBottom w:val="240"/>
              <w:divBdr>
                <w:top w:val="none" w:sz="0" w:space="0" w:color="auto"/>
                <w:left w:val="none" w:sz="0" w:space="0" w:color="auto"/>
                <w:bottom w:val="none" w:sz="0" w:space="0" w:color="auto"/>
                <w:right w:val="none" w:sz="0" w:space="0" w:color="auto"/>
              </w:divBdr>
            </w:div>
            <w:div w:id="1783256749">
              <w:marLeft w:val="0"/>
              <w:marRight w:val="0"/>
              <w:marTop w:val="0"/>
              <w:marBottom w:val="240"/>
              <w:divBdr>
                <w:top w:val="none" w:sz="0" w:space="0" w:color="auto"/>
                <w:left w:val="none" w:sz="0" w:space="0" w:color="auto"/>
                <w:bottom w:val="none" w:sz="0" w:space="0" w:color="auto"/>
                <w:right w:val="none" w:sz="0" w:space="0" w:color="auto"/>
              </w:divBdr>
            </w:div>
            <w:div w:id="1306206014">
              <w:marLeft w:val="0"/>
              <w:marRight w:val="0"/>
              <w:marTop w:val="0"/>
              <w:marBottom w:val="240"/>
              <w:divBdr>
                <w:top w:val="none" w:sz="0" w:space="0" w:color="auto"/>
                <w:left w:val="none" w:sz="0" w:space="0" w:color="auto"/>
                <w:bottom w:val="none" w:sz="0" w:space="0" w:color="auto"/>
                <w:right w:val="none" w:sz="0" w:space="0" w:color="auto"/>
              </w:divBdr>
            </w:div>
            <w:div w:id="707997643">
              <w:marLeft w:val="0"/>
              <w:marRight w:val="0"/>
              <w:marTop w:val="0"/>
              <w:marBottom w:val="240"/>
              <w:divBdr>
                <w:top w:val="none" w:sz="0" w:space="0" w:color="auto"/>
                <w:left w:val="none" w:sz="0" w:space="0" w:color="auto"/>
                <w:bottom w:val="none" w:sz="0" w:space="0" w:color="auto"/>
                <w:right w:val="none" w:sz="0" w:space="0" w:color="auto"/>
              </w:divBdr>
            </w:div>
            <w:div w:id="525797570">
              <w:marLeft w:val="0"/>
              <w:marRight w:val="0"/>
              <w:marTop w:val="0"/>
              <w:marBottom w:val="240"/>
              <w:divBdr>
                <w:top w:val="none" w:sz="0" w:space="0" w:color="auto"/>
                <w:left w:val="none" w:sz="0" w:space="0" w:color="auto"/>
                <w:bottom w:val="none" w:sz="0" w:space="0" w:color="auto"/>
                <w:right w:val="none" w:sz="0" w:space="0" w:color="auto"/>
              </w:divBdr>
            </w:div>
            <w:div w:id="2065368206">
              <w:marLeft w:val="0"/>
              <w:marRight w:val="0"/>
              <w:marTop w:val="0"/>
              <w:marBottom w:val="240"/>
              <w:divBdr>
                <w:top w:val="none" w:sz="0" w:space="0" w:color="auto"/>
                <w:left w:val="none" w:sz="0" w:space="0" w:color="auto"/>
                <w:bottom w:val="none" w:sz="0" w:space="0" w:color="auto"/>
                <w:right w:val="none" w:sz="0" w:space="0" w:color="auto"/>
              </w:divBdr>
            </w:div>
            <w:div w:id="983311315">
              <w:marLeft w:val="0"/>
              <w:marRight w:val="0"/>
              <w:marTop w:val="0"/>
              <w:marBottom w:val="240"/>
              <w:divBdr>
                <w:top w:val="none" w:sz="0" w:space="0" w:color="auto"/>
                <w:left w:val="none" w:sz="0" w:space="0" w:color="auto"/>
                <w:bottom w:val="none" w:sz="0" w:space="0" w:color="auto"/>
                <w:right w:val="none" w:sz="0" w:space="0" w:color="auto"/>
              </w:divBdr>
            </w:div>
            <w:div w:id="1494954070">
              <w:marLeft w:val="0"/>
              <w:marRight w:val="0"/>
              <w:marTop w:val="0"/>
              <w:marBottom w:val="240"/>
              <w:divBdr>
                <w:top w:val="none" w:sz="0" w:space="0" w:color="auto"/>
                <w:left w:val="none" w:sz="0" w:space="0" w:color="auto"/>
                <w:bottom w:val="none" w:sz="0" w:space="0" w:color="auto"/>
                <w:right w:val="none" w:sz="0" w:space="0" w:color="auto"/>
              </w:divBdr>
            </w:div>
            <w:div w:id="1521897588">
              <w:marLeft w:val="0"/>
              <w:marRight w:val="0"/>
              <w:marTop w:val="0"/>
              <w:marBottom w:val="240"/>
              <w:divBdr>
                <w:top w:val="none" w:sz="0" w:space="0" w:color="auto"/>
                <w:left w:val="none" w:sz="0" w:space="0" w:color="auto"/>
                <w:bottom w:val="none" w:sz="0" w:space="0" w:color="auto"/>
                <w:right w:val="none" w:sz="0" w:space="0" w:color="auto"/>
              </w:divBdr>
            </w:div>
            <w:div w:id="556011107">
              <w:marLeft w:val="0"/>
              <w:marRight w:val="0"/>
              <w:marTop w:val="0"/>
              <w:marBottom w:val="240"/>
              <w:divBdr>
                <w:top w:val="none" w:sz="0" w:space="0" w:color="auto"/>
                <w:left w:val="none" w:sz="0" w:space="0" w:color="auto"/>
                <w:bottom w:val="none" w:sz="0" w:space="0" w:color="auto"/>
                <w:right w:val="none" w:sz="0" w:space="0" w:color="auto"/>
              </w:divBdr>
            </w:div>
            <w:div w:id="1736391820">
              <w:marLeft w:val="0"/>
              <w:marRight w:val="0"/>
              <w:marTop w:val="0"/>
              <w:marBottom w:val="240"/>
              <w:divBdr>
                <w:top w:val="none" w:sz="0" w:space="0" w:color="auto"/>
                <w:left w:val="none" w:sz="0" w:space="0" w:color="auto"/>
                <w:bottom w:val="none" w:sz="0" w:space="0" w:color="auto"/>
                <w:right w:val="none" w:sz="0" w:space="0" w:color="auto"/>
              </w:divBdr>
            </w:div>
            <w:div w:id="1857112379">
              <w:marLeft w:val="0"/>
              <w:marRight w:val="0"/>
              <w:marTop w:val="0"/>
              <w:marBottom w:val="240"/>
              <w:divBdr>
                <w:top w:val="none" w:sz="0" w:space="0" w:color="auto"/>
                <w:left w:val="none" w:sz="0" w:space="0" w:color="auto"/>
                <w:bottom w:val="none" w:sz="0" w:space="0" w:color="auto"/>
                <w:right w:val="none" w:sz="0" w:space="0" w:color="auto"/>
              </w:divBdr>
            </w:div>
            <w:div w:id="122313564">
              <w:marLeft w:val="0"/>
              <w:marRight w:val="0"/>
              <w:marTop w:val="0"/>
              <w:marBottom w:val="240"/>
              <w:divBdr>
                <w:top w:val="none" w:sz="0" w:space="0" w:color="auto"/>
                <w:left w:val="none" w:sz="0" w:space="0" w:color="auto"/>
                <w:bottom w:val="none" w:sz="0" w:space="0" w:color="auto"/>
                <w:right w:val="none" w:sz="0" w:space="0" w:color="auto"/>
              </w:divBdr>
            </w:div>
            <w:div w:id="1851605419">
              <w:marLeft w:val="0"/>
              <w:marRight w:val="0"/>
              <w:marTop w:val="0"/>
              <w:marBottom w:val="240"/>
              <w:divBdr>
                <w:top w:val="none" w:sz="0" w:space="0" w:color="auto"/>
                <w:left w:val="none" w:sz="0" w:space="0" w:color="auto"/>
                <w:bottom w:val="none" w:sz="0" w:space="0" w:color="auto"/>
                <w:right w:val="none" w:sz="0" w:space="0" w:color="auto"/>
              </w:divBdr>
            </w:div>
            <w:div w:id="1510027084">
              <w:marLeft w:val="0"/>
              <w:marRight w:val="0"/>
              <w:marTop w:val="0"/>
              <w:marBottom w:val="240"/>
              <w:divBdr>
                <w:top w:val="none" w:sz="0" w:space="0" w:color="auto"/>
                <w:left w:val="none" w:sz="0" w:space="0" w:color="auto"/>
                <w:bottom w:val="none" w:sz="0" w:space="0" w:color="auto"/>
                <w:right w:val="none" w:sz="0" w:space="0" w:color="auto"/>
              </w:divBdr>
            </w:div>
            <w:div w:id="249237571">
              <w:marLeft w:val="0"/>
              <w:marRight w:val="0"/>
              <w:marTop w:val="0"/>
              <w:marBottom w:val="240"/>
              <w:divBdr>
                <w:top w:val="none" w:sz="0" w:space="0" w:color="auto"/>
                <w:left w:val="none" w:sz="0" w:space="0" w:color="auto"/>
                <w:bottom w:val="none" w:sz="0" w:space="0" w:color="auto"/>
                <w:right w:val="none" w:sz="0" w:space="0" w:color="auto"/>
              </w:divBdr>
            </w:div>
            <w:div w:id="1656253764">
              <w:marLeft w:val="0"/>
              <w:marRight w:val="0"/>
              <w:marTop w:val="0"/>
              <w:marBottom w:val="240"/>
              <w:divBdr>
                <w:top w:val="none" w:sz="0" w:space="0" w:color="auto"/>
                <w:left w:val="none" w:sz="0" w:space="0" w:color="auto"/>
                <w:bottom w:val="none" w:sz="0" w:space="0" w:color="auto"/>
                <w:right w:val="none" w:sz="0" w:space="0" w:color="auto"/>
              </w:divBdr>
            </w:div>
            <w:div w:id="1812017110">
              <w:marLeft w:val="0"/>
              <w:marRight w:val="0"/>
              <w:marTop w:val="0"/>
              <w:marBottom w:val="240"/>
              <w:divBdr>
                <w:top w:val="none" w:sz="0" w:space="0" w:color="auto"/>
                <w:left w:val="none" w:sz="0" w:space="0" w:color="auto"/>
                <w:bottom w:val="none" w:sz="0" w:space="0" w:color="auto"/>
                <w:right w:val="none" w:sz="0" w:space="0" w:color="auto"/>
              </w:divBdr>
            </w:div>
            <w:div w:id="843252273">
              <w:marLeft w:val="0"/>
              <w:marRight w:val="0"/>
              <w:marTop w:val="0"/>
              <w:marBottom w:val="240"/>
              <w:divBdr>
                <w:top w:val="none" w:sz="0" w:space="0" w:color="auto"/>
                <w:left w:val="none" w:sz="0" w:space="0" w:color="auto"/>
                <w:bottom w:val="none" w:sz="0" w:space="0" w:color="auto"/>
                <w:right w:val="none" w:sz="0" w:space="0" w:color="auto"/>
              </w:divBdr>
            </w:div>
            <w:div w:id="704252902">
              <w:marLeft w:val="0"/>
              <w:marRight w:val="0"/>
              <w:marTop w:val="0"/>
              <w:marBottom w:val="240"/>
              <w:divBdr>
                <w:top w:val="none" w:sz="0" w:space="0" w:color="auto"/>
                <w:left w:val="none" w:sz="0" w:space="0" w:color="auto"/>
                <w:bottom w:val="none" w:sz="0" w:space="0" w:color="auto"/>
                <w:right w:val="none" w:sz="0" w:space="0" w:color="auto"/>
              </w:divBdr>
            </w:div>
            <w:div w:id="2120640958">
              <w:marLeft w:val="0"/>
              <w:marRight w:val="0"/>
              <w:marTop w:val="0"/>
              <w:marBottom w:val="240"/>
              <w:divBdr>
                <w:top w:val="none" w:sz="0" w:space="0" w:color="auto"/>
                <w:left w:val="none" w:sz="0" w:space="0" w:color="auto"/>
                <w:bottom w:val="none" w:sz="0" w:space="0" w:color="auto"/>
                <w:right w:val="none" w:sz="0" w:space="0" w:color="auto"/>
              </w:divBdr>
            </w:div>
            <w:div w:id="1178733793">
              <w:marLeft w:val="0"/>
              <w:marRight w:val="0"/>
              <w:marTop w:val="0"/>
              <w:marBottom w:val="240"/>
              <w:divBdr>
                <w:top w:val="none" w:sz="0" w:space="0" w:color="auto"/>
                <w:left w:val="none" w:sz="0" w:space="0" w:color="auto"/>
                <w:bottom w:val="none" w:sz="0" w:space="0" w:color="auto"/>
                <w:right w:val="none" w:sz="0" w:space="0" w:color="auto"/>
              </w:divBdr>
            </w:div>
            <w:div w:id="428238939">
              <w:marLeft w:val="0"/>
              <w:marRight w:val="0"/>
              <w:marTop w:val="0"/>
              <w:marBottom w:val="240"/>
              <w:divBdr>
                <w:top w:val="none" w:sz="0" w:space="0" w:color="auto"/>
                <w:left w:val="none" w:sz="0" w:space="0" w:color="auto"/>
                <w:bottom w:val="none" w:sz="0" w:space="0" w:color="auto"/>
                <w:right w:val="none" w:sz="0" w:space="0" w:color="auto"/>
              </w:divBdr>
            </w:div>
            <w:div w:id="474833109">
              <w:marLeft w:val="0"/>
              <w:marRight w:val="0"/>
              <w:marTop w:val="0"/>
              <w:marBottom w:val="240"/>
              <w:divBdr>
                <w:top w:val="none" w:sz="0" w:space="0" w:color="auto"/>
                <w:left w:val="none" w:sz="0" w:space="0" w:color="auto"/>
                <w:bottom w:val="none" w:sz="0" w:space="0" w:color="auto"/>
                <w:right w:val="none" w:sz="0" w:space="0" w:color="auto"/>
              </w:divBdr>
            </w:div>
            <w:div w:id="2054497505">
              <w:marLeft w:val="0"/>
              <w:marRight w:val="0"/>
              <w:marTop w:val="0"/>
              <w:marBottom w:val="240"/>
              <w:divBdr>
                <w:top w:val="none" w:sz="0" w:space="0" w:color="auto"/>
                <w:left w:val="none" w:sz="0" w:space="0" w:color="auto"/>
                <w:bottom w:val="none" w:sz="0" w:space="0" w:color="auto"/>
                <w:right w:val="none" w:sz="0" w:space="0" w:color="auto"/>
              </w:divBdr>
            </w:div>
            <w:div w:id="176032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301381">
      <w:bodyDiv w:val="1"/>
      <w:marLeft w:val="0"/>
      <w:marRight w:val="0"/>
      <w:marTop w:val="0"/>
      <w:marBottom w:val="0"/>
      <w:divBdr>
        <w:top w:val="none" w:sz="0" w:space="0" w:color="auto"/>
        <w:left w:val="none" w:sz="0" w:space="0" w:color="auto"/>
        <w:bottom w:val="none" w:sz="0" w:space="0" w:color="auto"/>
        <w:right w:val="none" w:sz="0" w:space="0" w:color="auto"/>
      </w:divBdr>
    </w:div>
    <w:div w:id="1630432892">
      <w:bodyDiv w:val="1"/>
      <w:marLeft w:val="0"/>
      <w:marRight w:val="0"/>
      <w:marTop w:val="0"/>
      <w:marBottom w:val="0"/>
      <w:divBdr>
        <w:top w:val="none" w:sz="0" w:space="0" w:color="auto"/>
        <w:left w:val="none" w:sz="0" w:space="0" w:color="auto"/>
        <w:bottom w:val="none" w:sz="0" w:space="0" w:color="auto"/>
        <w:right w:val="none" w:sz="0" w:space="0" w:color="auto"/>
      </w:divBdr>
    </w:div>
    <w:div w:id="1630672491">
      <w:bodyDiv w:val="1"/>
      <w:marLeft w:val="0"/>
      <w:marRight w:val="0"/>
      <w:marTop w:val="0"/>
      <w:marBottom w:val="0"/>
      <w:divBdr>
        <w:top w:val="none" w:sz="0" w:space="0" w:color="auto"/>
        <w:left w:val="none" w:sz="0" w:space="0" w:color="auto"/>
        <w:bottom w:val="none" w:sz="0" w:space="0" w:color="auto"/>
        <w:right w:val="none" w:sz="0" w:space="0" w:color="auto"/>
      </w:divBdr>
    </w:div>
    <w:div w:id="1640066722">
      <w:bodyDiv w:val="1"/>
      <w:marLeft w:val="0"/>
      <w:marRight w:val="0"/>
      <w:marTop w:val="0"/>
      <w:marBottom w:val="0"/>
      <w:divBdr>
        <w:top w:val="none" w:sz="0" w:space="0" w:color="auto"/>
        <w:left w:val="none" w:sz="0" w:space="0" w:color="auto"/>
        <w:bottom w:val="none" w:sz="0" w:space="0" w:color="auto"/>
        <w:right w:val="none" w:sz="0" w:space="0" w:color="auto"/>
      </w:divBdr>
    </w:div>
    <w:div w:id="1647511611">
      <w:bodyDiv w:val="1"/>
      <w:marLeft w:val="0"/>
      <w:marRight w:val="0"/>
      <w:marTop w:val="0"/>
      <w:marBottom w:val="0"/>
      <w:divBdr>
        <w:top w:val="none" w:sz="0" w:space="0" w:color="auto"/>
        <w:left w:val="none" w:sz="0" w:space="0" w:color="auto"/>
        <w:bottom w:val="none" w:sz="0" w:space="0" w:color="auto"/>
        <w:right w:val="none" w:sz="0" w:space="0" w:color="auto"/>
      </w:divBdr>
    </w:div>
    <w:div w:id="1656453665">
      <w:bodyDiv w:val="1"/>
      <w:marLeft w:val="0"/>
      <w:marRight w:val="0"/>
      <w:marTop w:val="0"/>
      <w:marBottom w:val="0"/>
      <w:divBdr>
        <w:top w:val="none" w:sz="0" w:space="0" w:color="auto"/>
        <w:left w:val="none" w:sz="0" w:space="0" w:color="auto"/>
        <w:bottom w:val="none" w:sz="0" w:space="0" w:color="auto"/>
        <w:right w:val="none" w:sz="0" w:space="0" w:color="auto"/>
      </w:divBdr>
    </w:div>
    <w:div w:id="1662389443">
      <w:bodyDiv w:val="1"/>
      <w:marLeft w:val="0"/>
      <w:marRight w:val="0"/>
      <w:marTop w:val="0"/>
      <w:marBottom w:val="0"/>
      <w:divBdr>
        <w:top w:val="none" w:sz="0" w:space="0" w:color="auto"/>
        <w:left w:val="none" w:sz="0" w:space="0" w:color="auto"/>
        <w:bottom w:val="none" w:sz="0" w:space="0" w:color="auto"/>
        <w:right w:val="none" w:sz="0" w:space="0" w:color="auto"/>
      </w:divBdr>
      <w:divsChild>
        <w:div w:id="1266840320">
          <w:marLeft w:val="480"/>
          <w:marRight w:val="0"/>
          <w:marTop w:val="0"/>
          <w:marBottom w:val="0"/>
          <w:divBdr>
            <w:top w:val="none" w:sz="0" w:space="0" w:color="auto"/>
            <w:left w:val="none" w:sz="0" w:space="0" w:color="auto"/>
            <w:bottom w:val="none" w:sz="0" w:space="0" w:color="auto"/>
            <w:right w:val="none" w:sz="0" w:space="0" w:color="auto"/>
          </w:divBdr>
          <w:divsChild>
            <w:div w:id="138232598">
              <w:marLeft w:val="0"/>
              <w:marRight w:val="0"/>
              <w:marTop w:val="0"/>
              <w:marBottom w:val="240"/>
              <w:divBdr>
                <w:top w:val="none" w:sz="0" w:space="0" w:color="auto"/>
                <w:left w:val="none" w:sz="0" w:space="0" w:color="auto"/>
                <w:bottom w:val="none" w:sz="0" w:space="0" w:color="auto"/>
                <w:right w:val="none" w:sz="0" w:space="0" w:color="auto"/>
              </w:divBdr>
            </w:div>
            <w:div w:id="779109480">
              <w:marLeft w:val="0"/>
              <w:marRight w:val="0"/>
              <w:marTop w:val="0"/>
              <w:marBottom w:val="240"/>
              <w:divBdr>
                <w:top w:val="none" w:sz="0" w:space="0" w:color="auto"/>
                <w:left w:val="none" w:sz="0" w:space="0" w:color="auto"/>
                <w:bottom w:val="none" w:sz="0" w:space="0" w:color="auto"/>
                <w:right w:val="none" w:sz="0" w:space="0" w:color="auto"/>
              </w:divBdr>
            </w:div>
            <w:div w:id="1800686339">
              <w:marLeft w:val="0"/>
              <w:marRight w:val="0"/>
              <w:marTop w:val="0"/>
              <w:marBottom w:val="240"/>
              <w:divBdr>
                <w:top w:val="none" w:sz="0" w:space="0" w:color="auto"/>
                <w:left w:val="none" w:sz="0" w:space="0" w:color="auto"/>
                <w:bottom w:val="none" w:sz="0" w:space="0" w:color="auto"/>
                <w:right w:val="none" w:sz="0" w:space="0" w:color="auto"/>
              </w:divBdr>
            </w:div>
            <w:div w:id="1634021097">
              <w:marLeft w:val="0"/>
              <w:marRight w:val="0"/>
              <w:marTop w:val="0"/>
              <w:marBottom w:val="240"/>
              <w:divBdr>
                <w:top w:val="none" w:sz="0" w:space="0" w:color="auto"/>
                <w:left w:val="none" w:sz="0" w:space="0" w:color="auto"/>
                <w:bottom w:val="none" w:sz="0" w:space="0" w:color="auto"/>
                <w:right w:val="none" w:sz="0" w:space="0" w:color="auto"/>
              </w:divBdr>
            </w:div>
            <w:div w:id="666906860">
              <w:marLeft w:val="0"/>
              <w:marRight w:val="0"/>
              <w:marTop w:val="0"/>
              <w:marBottom w:val="240"/>
              <w:divBdr>
                <w:top w:val="none" w:sz="0" w:space="0" w:color="auto"/>
                <w:left w:val="none" w:sz="0" w:space="0" w:color="auto"/>
                <w:bottom w:val="none" w:sz="0" w:space="0" w:color="auto"/>
                <w:right w:val="none" w:sz="0" w:space="0" w:color="auto"/>
              </w:divBdr>
            </w:div>
            <w:div w:id="1838301384">
              <w:marLeft w:val="0"/>
              <w:marRight w:val="0"/>
              <w:marTop w:val="0"/>
              <w:marBottom w:val="240"/>
              <w:divBdr>
                <w:top w:val="none" w:sz="0" w:space="0" w:color="auto"/>
                <w:left w:val="none" w:sz="0" w:space="0" w:color="auto"/>
                <w:bottom w:val="none" w:sz="0" w:space="0" w:color="auto"/>
                <w:right w:val="none" w:sz="0" w:space="0" w:color="auto"/>
              </w:divBdr>
            </w:div>
            <w:div w:id="1599217607">
              <w:marLeft w:val="0"/>
              <w:marRight w:val="0"/>
              <w:marTop w:val="0"/>
              <w:marBottom w:val="240"/>
              <w:divBdr>
                <w:top w:val="none" w:sz="0" w:space="0" w:color="auto"/>
                <w:left w:val="none" w:sz="0" w:space="0" w:color="auto"/>
                <w:bottom w:val="none" w:sz="0" w:space="0" w:color="auto"/>
                <w:right w:val="none" w:sz="0" w:space="0" w:color="auto"/>
              </w:divBdr>
            </w:div>
            <w:div w:id="947545675">
              <w:marLeft w:val="0"/>
              <w:marRight w:val="0"/>
              <w:marTop w:val="0"/>
              <w:marBottom w:val="240"/>
              <w:divBdr>
                <w:top w:val="none" w:sz="0" w:space="0" w:color="auto"/>
                <w:left w:val="none" w:sz="0" w:space="0" w:color="auto"/>
                <w:bottom w:val="none" w:sz="0" w:space="0" w:color="auto"/>
                <w:right w:val="none" w:sz="0" w:space="0" w:color="auto"/>
              </w:divBdr>
            </w:div>
            <w:div w:id="1979724879">
              <w:marLeft w:val="0"/>
              <w:marRight w:val="0"/>
              <w:marTop w:val="0"/>
              <w:marBottom w:val="240"/>
              <w:divBdr>
                <w:top w:val="none" w:sz="0" w:space="0" w:color="auto"/>
                <w:left w:val="none" w:sz="0" w:space="0" w:color="auto"/>
                <w:bottom w:val="none" w:sz="0" w:space="0" w:color="auto"/>
                <w:right w:val="none" w:sz="0" w:space="0" w:color="auto"/>
              </w:divBdr>
            </w:div>
            <w:div w:id="1081872527">
              <w:marLeft w:val="0"/>
              <w:marRight w:val="0"/>
              <w:marTop w:val="0"/>
              <w:marBottom w:val="240"/>
              <w:divBdr>
                <w:top w:val="none" w:sz="0" w:space="0" w:color="auto"/>
                <w:left w:val="none" w:sz="0" w:space="0" w:color="auto"/>
                <w:bottom w:val="none" w:sz="0" w:space="0" w:color="auto"/>
                <w:right w:val="none" w:sz="0" w:space="0" w:color="auto"/>
              </w:divBdr>
            </w:div>
            <w:div w:id="1474441619">
              <w:marLeft w:val="0"/>
              <w:marRight w:val="0"/>
              <w:marTop w:val="0"/>
              <w:marBottom w:val="240"/>
              <w:divBdr>
                <w:top w:val="none" w:sz="0" w:space="0" w:color="auto"/>
                <w:left w:val="none" w:sz="0" w:space="0" w:color="auto"/>
                <w:bottom w:val="none" w:sz="0" w:space="0" w:color="auto"/>
                <w:right w:val="none" w:sz="0" w:space="0" w:color="auto"/>
              </w:divBdr>
            </w:div>
            <w:div w:id="1981685242">
              <w:marLeft w:val="0"/>
              <w:marRight w:val="0"/>
              <w:marTop w:val="0"/>
              <w:marBottom w:val="240"/>
              <w:divBdr>
                <w:top w:val="none" w:sz="0" w:space="0" w:color="auto"/>
                <w:left w:val="none" w:sz="0" w:space="0" w:color="auto"/>
                <w:bottom w:val="none" w:sz="0" w:space="0" w:color="auto"/>
                <w:right w:val="none" w:sz="0" w:space="0" w:color="auto"/>
              </w:divBdr>
            </w:div>
            <w:div w:id="35087787">
              <w:marLeft w:val="0"/>
              <w:marRight w:val="0"/>
              <w:marTop w:val="0"/>
              <w:marBottom w:val="240"/>
              <w:divBdr>
                <w:top w:val="none" w:sz="0" w:space="0" w:color="auto"/>
                <w:left w:val="none" w:sz="0" w:space="0" w:color="auto"/>
                <w:bottom w:val="none" w:sz="0" w:space="0" w:color="auto"/>
                <w:right w:val="none" w:sz="0" w:space="0" w:color="auto"/>
              </w:divBdr>
            </w:div>
            <w:div w:id="2114399447">
              <w:marLeft w:val="0"/>
              <w:marRight w:val="0"/>
              <w:marTop w:val="0"/>
              <w:marBottom w:val="240"/>
              <w:divBdr>
                <w:top w:val="none" w:sz="0" w:space="0" w:color="auto"/>
                <w:left w:val="none" w:sz="0" w:space="0" w:color="auto"/>
                <w:bottom w:val="none" w:sz="0" w:space="0" w:color="auto"/>
                <w:right w:val="none" w:sz="0" w:space="0" w:color="auto"/>
              </w:divBdr>
            </w:div>
            <w:div w:id="1059404079">
              <w:marLeft w:val="0"/>
              <w:marRight w:val="0"/>
              <w:marTop w:val="0"/>
              <w:marBottom w:val="240"/>
              <w:divBdr>
                <w:top w:val="none" w:sz="0" w:space="0" w:color="auto"/>
                <w:left w:val="none" w:sz="0" w:space="0" w:color="auto"/>
                <w:bottom w:val="none" w:sz="0" w:space="0" w:color="auto"/>
                <w:right w:val="none" w:sz="0" w:space="0" w:color="auto"/>
              </w:divBdr>
            </w:div>
            <w:div w:id="1736003220">
              <w:marLeft w:val="0"/>
              <w:marRight w:val="0"/>
              <w:marTop w:val="0"/>
              <w:marBottom w:val="240"/>
              <w:divBdr>
                <w:top w:val="none" w:sz="0" w:space="0" w:color="auto"/>
                <w:left w:val="none" w:sz="0" w:space="0" w:color="auto"/>
                <w:bottom w:val="none" w:sz="0" w:space="0" w:color="auto"/>
                <w:right w:val="none" w:sz="0" w:space="0" w:color="auto"/>
              </w:divBdr>
            </w:div>
            <w:div w:id="360209240">
              <w:marLeft w:val="0"/>
              <w:marRight w:val="0"/>
              <w:marTop w:val="0"/>
              <w:marBottom w:val="240"/>
              <w:divBdr>
                <w:top w:val="none" w:sz="0" w:space="0" w:color="auto"/>
                <w:left w:val="none" w:sz="0" w:space="0" w:color="auto"/>
                <w:bottom w:val="none" w:sz="0" w:space="0" w:color="auto"/>
                <w:right w:val="none" w:sz="0" w:space="0" w:color="auto"/>
              </w:divBdr>
            </w:div>
            <w:div w:id="1390227694">
              <w:marLeft w:val="0"/>
              <w:marRight w:val="0"/>
              <w:marTop w:val="0"/>
              <w:marBottom w:val="240"/>
              <w:divBdr>
                <w:top w:val="none" w:sz="0" w:space="0" w:color="auto"/>
                <w:left w:val="none" w:sz="0" w:space="0" w:color="auto"/>
                <w:bottom w:val="none" w:sz="0" w:space="0" w:color="auto"/>
                <w:right w:val="none" w:sz="0" w:space="0" w:color="auto"/>
              </w:divBdr>
            </w:div>
            <w:div w:id="791557993">
              <w:marLeft w:val="0"/>
              <w:marRight w:val="0"/>
              <w:marTop w:val="0"/>
              <w:marBottom w:val="240"/>
              <w:divBdr>
                <w:top w:val="none" w:sz="0" w:space="0" w:color="auto"/>
                <w:left w:val="none" w:sz="0" w:space="0" w:color="auto"/>
                <w:bottom w:val="none" w:sz="0" w:space="0" w:color="auto"/>
                <w:right w:val="none" w:sz="0" w:space="0" w:color="auto"/>
              </w:divBdr>
            </w:div>
            <w:div w:id="1251816858">
              <w:marLeft w:val="0"/>
              <w:marRight w:val="0"/>
              <w:marTop w:val="0"/>
              <w:marBottom w:val="240"/>
              <w:divBdr>
                <w:top w:val="none" w:sz="0" w:space="0" w:color="auto"/>
                <w:left w:val="none" w:sz="0" w:space="0" w:color="auto"/>
                <w:bottom w:val="none" w:sz="0" w:space="0" w:color="auto"/>
                <w:right w:val="none" w:sz="0" w:space="0" w:color="auto"/>
              </w:divBdr>
            </w:div>
            <w:div w:id="2066834854">
              <w:marLeft w:val="0"/>
              <w:marRight w:val="0"/>
              <w:marTop w:val="0"/>
              <w:marBottom w:val="240"/>
              <w:divBdr>
                <w:top w:val="none" w:sz="0" w:space="0" w:color="auto"/>
                <w:left w:val="none" w:sz="0" w:space="0" w:color="auto"/>
                <w:bottom w:val="none" w:sz="0" w:space="0" w:color="auto"/>
                <w:right w:val="none" w:sz="0" w:space="0" w:color="auto"/>
              </w:divBdr>
            </w:div>
            <w:div w:id="975836362">
              <w:marLeft w:val="0"/>
              <w:marRight w:val="0"/>
              <w:marTop w:val="0"/>
              <w:marBottom w:val="240"/>
              <w:divBdr>
                <w:top w:val="none" w:sz="0" w:space="0" w:color="auto"/>
                <w:left w:val="none" w:sz="0" w:space="0" w:color="auto"/>
                <w:bottom w:val="none" w:sz="0" w:space="0" w:color="auto"/>
                <w:right w:val="none" w:sz="0" w:space="0" w:color="auto"/>
              </w:divBdr>
            </w:div>
            <w:div w:id="571357397">
              <w:marLeft w:val="0"/>
              <w:marRight w:val="0"/>
              <w:marTop w:val="0"/>
              <w:marBottom w:val="240"/>
              <w:divBdr>
                <w:top w:val="none" w:sz="0" w:space="0" w:color="auto"/>
                <w:left w:val="none" w:sz="0" w:space="0" w:color="auto"/>
                <w:bottom w:val="none" w:sz="0" w:space="0" w:color="auto"/>
                <w:right w:val="none" w:sz="0" w:space="0" w:color="auto"/>
              </w:divBdr>
            </w:div>
            <w:div w:id="1309483262">
              <w:marLeft w:val="0"/>
              <w:marRight w:val="0"/>
              <w:marTop w:val="0"/>
              <w:marBottom w:val="240"/>
              <w:divBdr>
                <w:top w:val="none" w:sz="0" w:space="0" w:color="auto"/>
                <w:left w:val="none" w:sz="0" w:space="0" w:color="auto"/>
                <w:bottom w:val="none" w:sz="0" w:space="0" w:color="auto"/>
                <w:right w:val="none" w:sz="0" w:space="0" w:color="auto"/>
              </w:divBdr>
            </w:div>
            <w:div w:id="914242674">
              <w:marLeft w:val="0"/>
              <w:marRight w:val="0"/>
              <w:marTop w:val="0"/>
              <w:marBottom w:val="240"/>
              <w:divBdr>
                <w:top w:val="none" w:sz="0" w:space="0" w:color="auto"/>
                <w:left w:val="none" w:sz="0" w:space="0" w:color="auto"/>
                <w:bottom w:val="none" w:sz="0" w:space="0" w:color="auto"/>
                <w:right w:val="none" w:sz="0" w:space="0" w:color="auto"/>
              </w:divBdr>
            </w:div>
            <w:div w:id="2141652489">
              <w:marLeft w:val="0"/>
              <w:marRight w:val="0"/>
              <w:marTop w:val="0"/>
              <w:marBottom w:val="240"/>
              <w:divBdr>
                <w:top w:val="none" w:sz="0" w:space="0" w:color="auto"/>
                <w:left w:val="none" w:sz="0" w:space="0" w:color="auto"/>
                <w:bottom w:val="none" w:sz="0" w:space="0" w:color="auto"/>
                <w:right w:val="none" w:sz="0" w:space="0" w:color="auto"/>
              </w:divBdr>
            </w:div>
            <w:div w:id="100952073">
              <w:marLeft w:val="0"/>
              <w:marRight w:val="0"/>
              <w:marTop w:val="0"/>
              <w:marBottom w:val="240"/>
              <w:divBdr>
                <w:top w:val="none" w:sz="0" w:space="0" w:color="auto"/>
                <w:left w:val="none" w:sz="0" w:space="0" w:color="auto"/>
                <w:bottom w:val="none" w:sz="0" w:space="0" w:color="auto"/>
                <w:right w:val="none" w:sz="0" w:space="0" w:color="auto"/>
              </w:divBdr>
            </w:div>
            <w:div w:id="1286156428">
              <w:marLeft w:val="0"/>
              <w:marRight w:val="0"/>
              <w:marTop w:val="0"/>
              <w:marBottom w:val="240"/>
              <w:divBdr>
                <w:top w:val="none" w:sz="0" w:space="0" w:color="auto"/>
                <w:left w:val="none" w:sz="0" w:space="0" w:color="auto"/>
                <w:bottom w:val="none" w:sz="0" w:space="0" w:color="auto"/>
                <w:right w:val="none" w:sz="0" w:space="0" w:color="auto"/>
              </w:divBdr>
            </w:div>
            <w:div w:id="298804235">
              <w:marLeft w:val="0"/>
              <w:marRight w:val="0"/>
              <w:marTop w:val="0"/>
              <w:marBottom w:val="240"/>
              <w:divBdr>
                <w:top w:val="none" w:sz="0" w:space="0" w:color="auto"/>
                <w:left w:val="none" w:sz="0" w:space="0" w:color="auto"/>
                <w:bottom w:val="none" w:sz="0" w:space="0" w:color="auto"/>
                <w:right w:val="none" w:sz="0" w:space="0" w:color="auto"/>
              </w:divBdr>
            </w:div>
            <w:div w:id="485438141">
              <w:marLeft w:val="0"/>
              <w:marRight w:val="0"/>
              <w:marTop w:val="0"/>
              <w:marBottom w:val="240"/>
              <w:divBdr>
                <w:top w:val="none" w:sz="0" w:space="0" w:color="auto"/>
                <w:left w:val="none" w:sz="0" w:space="0" w:color="auto"/>
                <w:bottom w:val="none" w:sz="0" w:space="0" w:color="auto"/>
                <w:right w:val="none" w:sz="0" w:space="0" w:color="auto"/>
              </w:divBdr>
            </w:div>
            <w:div w:id="635719927">
              <w:marLeft w:val="0"/>
              <w:marRight w:val="0"/>
              <w:marTop w:val="0"/>
              <w:marBottom w:val="240"/>
              <w:divBdr>
                <w:top w:val="none" w:sz="0" w:space="0" w:color="auto"/>
                <w:left w:val="none" w:sz="0" w:space="0" w:color="auto"/>
                <w:bottom w:val="none" w:sz="0" w:space="0" w:color="auto"/>
                <w:right w:val="none" w:sz="0" w:space="0" w:color="auto"/>
              </w:divBdr>
            </w:div>
            <w:div w:id="1155678752">
              <w:marLeft w:val="0"/>
              <w:marRight w:val="0"/>
              <w:marTop w:val="0"/>
              <w:marBottom w:val="240"/>
              <w:divBdr>
                <w:top w:val="none" w:sz="0" w:space="0" w:color="auto"/>
                <w:left w:val="none" w:sz="0" w:space="0" w:color="auto"/>
                <w:bottom w:val="none" w:sz="0" w:space="0" w:color="auto"/>
                <w:right w:val="none" w:sz="0" w:space="0" w:color="auto"/>
              </w:divBdr>
            </w:div>
            <w:div w:id="1774934570">
              <w:marLeft w:val="0"/>
              <w:marRight w:val="0"/>
              <w:marTop w:val="0"/>
              <w:marBottom w:val="240"/>
              <w:divBdr>
                <w:top w:val="none" w:sz="0" w:space="0" w:color="auto"/>
                <w:left w:val="none" w:sz="0" w:space="0" w:color="auto"/>
                <w:bottom w:val="none" w:sz="0" w:space="0" w:color="auto"/>
                <w:right w:val="none" w:sz="0" w:space="0" w:color="auto"/>
              </w:divBdr>
            </w:div>
            <w:div w:id="442382715">
              <w:marLeft w:val="0"/>
              <w:marRight w:val="0"/>
              <w:marTop w:val="0"/>
              <w:marBottom w:val="240"/>
              <w:divBdr>
                <w:top w:val="none" w:sz="0" w:space="0" w:color="auto"/>
                <w:left w:val="none" w:sz="0" w:space="0" w:color="auto"/>
                <w:bottom w:val="none" w:sz="0" w:space="0" w:color="auto"/>
                <w:right w:val="none" w:sz="0" w:space="0" w:color="auto"/>
              </w:divBdr>
            </w:div>
            <w:div w:id="898596035">
              <w:marLeft w:val="0"/>
              <w:marRight w:val="0"/>
              <w:marTop w:val="0"/>
              <w:marBottom w:val="240"/>
              <w:divBdr>
                <w:top w:val="none" w:sz="0" w:space="0" w:color="auto"/>
                <w:left w:val="none" w:sz="0" w:space="0" w:color="auto"/>
                <w:bottom w:val="none" w:sz="0" w:space="0" w:color="auto"/>
                <w:right w:val="none" w:sz="0" w:space="0" w:color="auto"/>
              </w:divBdr>
            </w:div>
            <w:div w:id="1732341186">
              <w:marLeft w:val="0"/>
              <w:marRight w:val="0"/>
              <w:marTop w:val="0"/>
              <w:marBottom w:val="240"/>
              <w:divBdr>
                <w:top w:val="none" w:sz="0" w:space="0" w:color="auto"/>
                <w:left w:val="none" w:sz="0" w:space="0" w:color="auto"/>
                <w:bottom w:val="none" w:sz="0" w:space="0" w:color="auto"/>
                <w:right w:val="none" w:sz="0" w:space="0" w:color="auto"/>
              </w:divBdr>
            </w:div>
            <w:div w:id="1484468454">
              <w:marLeft w:val="0"/>
              <w:marRight w:val="0"/>
              <w:marTop w:val="0"/>
              <w:marBottom w:val="240"/>
              <w:divBdr>
                <w:top w:val="none" w:sz="0" w:space="0" w:color="auto"/>
                <w:left w:val="none" w:sz="0" w:space="0" w:color="auto"/>
                <w:bottom w:val="none" w:sz="0" w:space="0" w:color="auto"/>
                <w:right w:val="none" w:sz="0" w:space="0" w:color="auto"/>
              </w:divBdr>
            </w:div>
            <w:div w:id="166940350">
              <w:marLeft w:val="0"/>
              <w:marRight w:val="0"/>
              <w:marTop w:val="0"/>
              <w:marBottom w:val="240"/>
              <w:divBdr>
                <w:top w:val="none" w:sz="0" w:space="0" w:color="auto"/>
                <w:left w:val="none" w:sz="0" w:space="0" w:color="auto"/>
                <w:bottom w:val="none" w:sz="0" w:space="0" w:color="auto"/>
                <w:right w:val="none" w:sz="0" w:space="0" w:color="auto"/>
              </w:divBdr>
            </w:div>
            <w:div w:id="156598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671071">
      <w:bodyDiv w:val="1"/>
      <w:marLeft w:val="0"/>
      <w:marRight w:val="0"/>
      <w:marTop w:val="0"/>
      <w:marBottom w:val="0"/>
      <w:divBdr>
        <w:top w:val="none" w:sz="0" w:space="0" w:color="auto"/>
        <w:left w:val="none" w:sz="0" w:space="0" w:color="auto"/>
        <w:bottom w:val="none" w:sz="0" w:space="0" w:color="auto"/>
        <w:right w:val="none" w:sz="0" w:space="0" w:color="auto"/>
      </w:divBdr>
      <w:divsChild>
        <w:div w:id="703605282">
          <w:marLeft w:val="480"/>
          <w:marRight w:val="0"/>
          <w:marTop w:val="0"/>
          <w:marBottom w:val="0"/>
          <w:divBdr>
            <w:top w:val="none" w:sz="0" w:space="0" w:color="auto"/>
            <w:left w:val="none" w:sz="0" w:space="0" w:color="auto"/>
            <w:bottom w:val="none" w:sz="0" w:space="0" w:color="auto"/>
            <w:right w:val="none" w:sz="0" w:space="0" w:color="auto"/>
          </w:divBdr>
          <w:divsChild>
            <w:div w:id="105739407">
              <w:marLeft w:val="0"/>
              <w:marRight w:val="0"/>
              <w:marTop w:val="0"/>
              <w:marBottom w:val="240"/>
              <w:divBdr>
                <w:top w:val="none" w:sz="0" w:space="0" w:color="auto"/>
                <w:left w:val="none" w:sz="0" w:space="0" w:color="auto"/>
                <w:bottom w:val="none" w:sz="0" w:space="0" w:color="auto"/>
                <w:right w:val="none" w:sz="0" w:space="0" w:color="auto"/>
              </w:divBdr>
            </w:div>
            <w:div w:id="1232039684">
              <w:marLeft w:val="0"/>
              <w:marRight w:val="0"/>
              <w:marTop w:val="0"/>
              <w:marBottom w:val="240"/>
              <w:divBdr>
                <w:top w:val="none" w:sz="0" w:space="0" w:color="auto"/>
                <w:left w:val="none" w:sz="0" w:space="0" w:color="auto"/>
                <w:bottom w:val="none" w:sz="0" w:space="0" w:color="auto"/>
                <w:right w:val="none" w:sz="0" w:space="0" w:color="auto"/>
              </w:divBdr>
            </w:div>
            <w:div w:id="261109876">
              <w:marLeft w:val="0"/>
              <w:marRight w:val="0"/>
              <w:marTop w:val="0"/>
              <w:marBottom w:val="240"/>
              <w:divBdr>
                <w:top w:val="none" w:sz="0" w:space="0" w:color="auto"/>
                <w:left w:val="none" w:sz="0" w:space="0" w:color="auto"/>
                <w:bottom w:val="none" w:sz="0" w:space="0" w:color="auto"/>
                <w:right w:val="none" w:sz="0" w:space="0" w:color="auto"/>
              </w:divBdr>
            </w:div>
            <w:div w:id="1117918030">
              <w:marLeft w:val="0"/>
              <w:marRight w:val="0"/>
              <w:marTop w:val="0"/>
              <w:marBottom w:val="240"/>
              <w:divBdr>
                <w:top w:val="none" w:sz="0" w:space="0" w:color="auto"/>
                <w:left w:val="none" w:sz="0" w:space="0" w:color="auto"/>
                <w:bottom w:val="none" w:sz="0" w:space="0" w:color="auto"/>
                <w:right w:val="none" w:sz="0" w:space="0" w:color="auto"/>
              </w:divBdr>
            </w:div>
            <w:div w:id="490758787">
              <w:marLeft w:val="0"/>
              <w:marRight w:val="0"/>
              <w:marTop w:val="0"/>
              <w:marBottom w:val="240"/>
              <w:divBdr>
                <w:top w:val="none" w:sz="0" w:space="0" w:color="auto"/>
                <w:left w:val="none" w:sz="0" w:space="0" w:color="auto"/>
                <w:bottom w:val="none" w:sz="0" w:space="0" w:color="auto"/>
                <w:right w:val="none" w:sz="0" w:space="0" w:color="auto"/>
              </w:divBdr>
            </w:div>
            <w:div w:id="1507861750">
              <w:marLeft w:val="0"/>
              <w:marRight w:val="0"/>
              <w:marTop w:val="0"/>
              <w:marBottom w:val="240"/>
              <w:divBdr>
                <w:top w:val="none" w:sz="0" w:space="0" w:color="auto"/>
                <w:left w:val="none" w:sz="0" w:space="0" w:color="auto"/>
                <w:bottom w:val="none" w:sz="0" w:space="0" w:color="auto"/>
                <w:right w:val="none" w:sz="0" w:space="0" w:color="auto"/>
              </w:divBdr>
            </w:div>
            <w:div w:id="2043632406">
              <w:marLeft w:val="0"/>
              <w:marRight w:val="0"/>
              <w:marTop w:val="0"/>
              <w:marBottom w:val="240"/>
              <w:divBdr>
                <w:top w:val="none" w:sz="0" w:space="0" w:color="auto"/>
                <w:left w:val="none" w:sz="0" w:space="0" w:color="auto"/>
                <w:bottom w:val="none" w:sz="0" w:space="0" w:color="auto"/>
                <w:right w:val="none" w:sz="0" w:space="0" w:color="auto"/>
              </w:divBdr>
            </w:div>
            <w:div w:id="146677672">
              <w:marLeft w:val="0"/>
              <w:marRight w:val="0"/>
              <w:marTop w:val="0"/>
              <w:marBottom w:val="240"/>
              <w:divBdr>
                <w:top w:val="none" w:sz="0" w:space="0" w:color="auto"/>
                <w:left w:val="none" w:sz="0" w:space="0" w:color="auto"/>
                <w:bottom w:val="none" w:sz="0" w:space="0" w:color="auto"/>
                <w:right w:val="none" w:sz="0" w:space="0" w:color="auto"/>
              </w:divBdr>
            </w:div>
            <w:div w:id="2122531920">
              <w:marLeft w:val="0"/>
              <w:marRight w:val="0"/>
              <w:marTop w:val="0"/>
              <w:marBottom w:val="240"/>
              <w:divBdr>
                <w:top w:val="none" w:sz="0" w:space="0" w:color="auto"/>
                <w:left w:val="none" w:sz="0" w:space="0" w:color="auto"/>
                <w:bottom w:val="none" w:sz="0" w:space="0" w:color="auto"/>
                <w:right w:val="none" w:sz="0" w:space="0" w:color="auto"/>
              </w:divBdr>
            </w:div>
            <w:div w:id="1058865740">
              <w:marLeft w:val="0"/>
              <w:marRight w:val="0"/>
              <w:marTop w:val="0"/>
              <w:marBottom w:val="240"/>
              <w:divBdr>
                <w:top w:val="none" w:sz="0" w:space="0" w:color="auto"/>
                <w:left w:val="none" w:sz="0" w:space="0" w:color="auto"/>
                <w:bottom w:val="none" w:sz="0" w:space="0" w:color="auto"/>
                <w:right w:val="none" w:sz="0" w:space="0" w:color="auto"/>
              </w:divBdr>
            </w:div>
            <w:div w:id="473529623">
              <w:marLeft w:val="0"/>
              <w:marRight w:val="0"/>
              <w:marTop w:val="0"/>
              <w:marBottom w:val="240"/>
              <w:divBdr>
                <w:top w:val="none" w:sz="0" w:space="0" w:color="auto"/>
                <w:left w:val="none" w:sz="0" w:space="0" w:color="auto"/>
                <w:bottom w:val="none" w:sz="0" w:space="0" w:color="auto"/>
                <w:right w:val="none" w:sz="0" w:space="0" w:color="auto"/>
              </w:divBdr>
            </w:div>
            <w:div w:id="2088921279">
              <w:marLeft w:val="0"/>
              <w:marRight w:val="0"/>
              <w:marTop w:val="0"/>
              <w:marBottom w:val="240"/>
              <w:divBdr>
                <w:top w:val="none" w:sz="0" w:space="0" w:color="auto"/>
                <w:left w:val="none" w:sz="0" w:space="0" w:color="auto"/>
                <w:bottom w:val="none" w:sz="0" w:space="0" w:color="auto"/>
                <w:right w:val="none" w:sz="0" w:space="0" w:color="auto"/>
              </w:divBdr>
            </w:div>
            <w:div w:id="81679758">
              <w:marLeft w:val="0"/>
              <w:marRight w:val="0"/>
              <w:marTop w:val="0"/>
              <w:marBottom w:val="240"/>
              <w:divBdr>
                <w:top w:val="none" w:sz="0" w:space="0" w:color="auto"/>
                <w:left w:val="none" w:sz="0" w:space="0" w:color="auto"/>
                <w:bottom w:val="none" w:sz="0" w:space="0" w:color="auto"/>
                <w:right w:val="none" w:sz="0" w:space="0" w:color="auto"/>
              </w:divBdr>
            </w:div>
            <w:div w:id="1109163821">
              <w:marLeft w:val="0"/>
              <w:marRight w:val="0"/>
              <w:marTop w:val="0"/>
              <w:marBottom w:val="240"/>
              <w:divBdr>
                <w:top w:val="none" w:sz="0" w:space="0" w:color="auto"/>
                <w:left w:val="none" w:sz="0" w:space="0" w:color="auto"/>
                <w:bottom w:val="none" w:sz="0" w:space="0" w:color="auto"/>
                <w:right w:val="none" w:sz="0" w:space="0" w:color="auto"/>
              </w:divBdr>
            </w:div>
            <w:div w:id="396245685">
              <w:marLeft w:val="0"/>
              <w:marRight w:val="0"/>
              <w:marTop w:val="0"/>
              <w:marBottom w:val="240"/>
              <w:divBdr>
                <w:top w:val="none" w:sz="0" w:space="0" w:color="auto"/>
                <w:left w:val="none" w:sz="0" w:space="0" w:color="auto"/>
                <w:bottom w:val="none" w:sz="0" w:space="0" w:color="auto"/>
                <w:right w:val="none" w:sz="0" w:space="0" w:color="auto"/>
              </w:divBdr>
            </w:div>
            <w:div w:id="1501776342">
              <w:marLeft w:val="0"/>
              <w:marRight w:val="0"/>
              <w:marTop w:val="0"/>
              <w:marBottom w:val="240"/>
              <w:divBdr>
                <w:top w:val="none" w:sz="0" w:space="0" w:color="auto"/>
                <w:left w:val="none" w:sz="0" w:space="0" w:color="auto"/>
                <w:bottom w:val="none" w:sz="0" w:space="0" w:color="auto"/>
                <w:right w:val="none" w:sz="0" w:space="0" w:color="auto"/>
              </w:divBdr>
            </w:div>
            <w:div w:id="865486658">
              <w:marLeft w:val="0"/>
              <w:marRight w:val="0"/>
              <w:marTop w:val="0"/>
              <w:marBottom w:val="240"/>
              <w:divBdr>
                <w:top w:val="none" w:sz="0" w:space="0" w:color="auto"/>
                <w:left w:val="none" w:sz="0" w:space="0" w:color="auto"/>
                <w:bottom w:val="none" w:sz="0" w:space="0" w:color="auto"/>
                <w:right w:val="none" w:sz="0" w:space="0" w:color="auto"/>
              </w:divBdr>
            </w:div>
            <w:div w:id="1135291067">
              <w:marLeft w:val="0"/>
              <w:marRight w:val="0"/>
              <w:marTop w:val="0"/>
              <w:marBottom w:val="240"/>
              <w:divBdr>
                <w:top w:val="none" w:sz="0" w:space="0" w:color="auto"/>
                <w:left w:val="none" w:sz="0" w:space="0" w:color="auto"/>
                <w:bottom w:val="none" w:sz="0" w:space="0" w:color="auto"/>
                <w:right w:val="none" w:sz="0" w:space="0" w:color="auto"/>
              </w:divBdr>
            </w:div>
            <w:div w:id="1373191884">
              <w:marLeft w:val="0"/>
              <w:marRight w:val="0"/>
              <w:marTop w:val="0"/>
              <w:marBottom w:val="240"/>
              <w:divBdr>
                <w:top w:val="none" w:sz="0" w:space="0" w:color="auto"/>
                <w:left w:val="none" w:sz="0" w:space="0" w:color="auto"/>
                <w:bottom w:val="none" w:sz="0" w:space="0" w:color="auto"/>
                <w:right w:val="none" w:sz="0" w:space="0" w:color="auto"/>
              </w:divBdr>
            </w:div>
            <w:div w:id="976489521">
              <w:marLeft w:val="0"/>
              <w:marRight w:val="0"/>
              <w:marTop w:val="0"/>
              <w:marBottom w:val="240"/>
              <w:divBdr>
                <w:top w:val="none" w:sz="0" w:space="0" w:color="auto"/>
                <w:left w:val="none" w:sz="0" w:space="0" w:color="auto"/>
                <w:bottom w:val="none" w:sz="0" w:space="0" w:color="auto"/>
                <w:right w:val="none" w:sz="0" w:space="0" w:color="auto"/>
              </w:divBdr>
            </w:div>
            <w:div w:id="909269559">
              <w:marLeft w:val="0"/>
              <w:marRight w:val="0"/>
              <w:marTop w:val="0"/>
              <w:marBottom w:val="240"/>
              <w:divBdr>
                <w:top w:val="none" w:sz="0" w:space="0" w:color="auto"/>
                <w:left w:val="none" w:sz="0" w:space="0" w:color="auto"/>
                <w:bottom w:val="none" w:sz="0" w:space="0" w:color="auto"/>
                <w:right w:val="none" w:sz="0" w:space="0" w:color="auto"/>
              </w:divBdr>
            </w:div>
            <w:div w:id="117915898">
              <w:marLeft w:val="0"/>
              <w:marRight w:val="0"/>
              <w:marTop w:val="0"/>
              <w:marBottom w:val="240"/>
              <w:divBdr>
                <w:top w:val="none" w:sz="0" w:space="0" w:color="auto"/>
                <w:left w:val="none" w:sz="0" w:space="0" w:color="auto"/>
                <w:bottom w:val="none" w:sz="0" w:space="0" w:color="auto"/>
                <w:right w:val="none" w:sz="0" w:space="0" w:color="auto"/>
              </w:divBdr>
            </w:div>
            <w:div w:id="1525364701">
              <w:marLeft w:val="0"/>
              <w:marRight w:val="0"/>
              <w:marTop w:val="0"/>
              <w:marBottom w:val="240"/>
              <w:divBdr>
                <w:top w:val="none" w:sz="0" w:space="0" w:color="auto"/>
                <w:left w:val="none" w:sz="0" w:space="0" w:color="auto"/>
                <w:bottom w:val="none" w:sz="0" w:space="0" w:color="auto"/>
                <w:right w:val="none" w:sz="0" w:space="0" w:color="auto"/>
              </w:divBdr>
            </w:div>
            <w:div w:id="728958060">
              <w:marLeft w:val="0"/>
              <w:marRight w:val="0"/>
              <w:marTop w:val="0"/>
              <w:marBottom w:val="240"/>
              <w:divBdr>
                <w:top w:val="none" w:sz="0" w:space="0" w:color="auto"/>
                <w:left w:val="none" w:sz="0" w:space="0" w:color="auto"/>
                <w:bottom w:val="none" w:sz="0" w:space="0" w:color="auto"/>
                <w:right w:val="none" w:sz="0" w:space="0" w:color="auto"/>
              </w:divBdr>
            </w:div>
            <w:div w:id="543442512">
              <w:marLeft w:val="0"/>
              <w:marRight w:val="0"/>
              <w:marTop w:val="0"/>
              <w:marBottom w:val="240"/>
              <w:divBdr>
                <w:top w:val="none" w:sz="0" w:space="0" w:color="auto"/>
                <w:left w:val="none" w:sz="0" w:space="0" w:color="auto"/>
                <w:bottom w:val="none" w:sz="0" w:space="0" w:color="auto"/>
                <w:right w:val="none" w:sz="0" w:space="0" w:color="auto"/>
              </w:divBdr>
            </w:div>
            <w:div w:id="333000144">
              <w:marLeft w:val="0"/>
              <w:marRight w:val="0"/>
              <w:marTop w:val="0"/>
              <w:marBottom w:val="240"/>
              <w:divBdr>
                <w:top w:val="none" w:sz="0" w:space="0" w:color="auto"/>
                <w:left w:val="none" w:sz="0" w:space="0" w:color="auto"/>
                <w:bottom w:val="none" w:sz="0" w:space="0" w:color="auto"/>
                <w:right w:val="none" w:sz="0" w:space="0" w:color="auto"/>
              </w:divBdr>
            </w:div>
            <w:div w:id="135804101">
              <w:marLeft w:val="0"/>
              <w:marRight w:val="0"/>
              <w:marTop w:val="0"/>
              <w:marBottom w:val="240"/>
              <w:divBdr>
                <w:top w:val="none" w:sz="0" w:space="0" w:color="auto"/>
                <w:left w:val="none" w:sz="0" w:space="0" w:color="auto"/>
                <w:bottom w:val="none" w:sz="0" w:space="0" w:color="auto"/>
                <w:right w:val="none" w:sz="0" w:space="0" w:color="auto"/>
              </w:divBdr>
            </w:div>
            <w:div w:id="1955205695">
              <w:marLeft w:val="0"/>
              <w:marRight w:val="0"/>
              <w:marTop w:val="0"/>
              <w:marBottom w:val="240"/>
              <w:divBdr>
                <w:top w:val="none" w:sz="0" w:space="0" w:color="auto"/>
                <w:left w:val="none" w:sz="0" w:space="0" w:color="auto"/>
                <w:bottom w:val="none" w:sz="0" w:space="0" w:color="auto"/>
                <w:right w:val="none" w:sz="0" w:space="0" w:color="auto"/>
              </w:divBdr>
            </w:div>
            <w:div w:id="218173036">
              <w:marLeft w:val="0"/>
              <w:marRight w:val="0"/>
              <w:marTop w:val="0"/>
              <w:marBottom w:val="240"/>
              <w:divBdr>
                <w:top w:val="none" w:sz="0" w:space="0" w:color="auto"/>
                <w:left w:val="none" w:sz="0" w:space="0" w:color="auto"/>
                <w:bottom w:val="none" w:sz="0" w:space="0" w:color="auto"/>
                <w:right w:val="none" w:sz="0" w:space="0" w:color="auto"/>
              </w:divBdr>
            </w:div>
            <w:div w:id="1173881153">
              <w:marLeft w:val="0"/>
              <w:marRight w:val="0"/>
              <w:marTop w:val="0"/>
              <w:marBottom w:val="240"/>
              <w:divBdr>
                <w:top w:val="none" w:sz="0" w:space="0" w:color="auto"/>
                <w:left w:val="none" w:sz="0" w:space="0" w:color="auto"/>
                <w:bottom w:val="none" w:sz="0" w:space="0" w:color="auto"/>
                <w:right w:val="none" w:sz="0" w:space="0" w:color="auto"/>
              </w:divBdr>
            </w:div>
            <w:div w:id="709689479">
              <w:marLeft w:val="0"/>
              <w:marRight w:val="0"/>
              <w:marTop w:val="0"/>
              <w:marBottom w:val="240"/>
              <w:divBdr>
                <w:top w:val="none" w:sz="0" w:space="0" w:color="auto"/>
                <w:left w:val="none" w:sz="0" w:space="0" w:color="auto"/>
                <w:bottom w:val="none" w:sz="0" w:space="0" w:color="auto"/>
                <w:right w:val="none" w:sz="0" w:space="0" w:color="auto"/>
              </w:divBdr>
            </w:div>
            <w:div w:id="888297004">
              <w:marLeft w:val="0"/>
              <w:marRight w:val="0"/>
              <w:marTop w:val="0"/>
              <w:marBottom w:val="240"/>
              <w:divBdr>
                <w:top w:val="none" w:sz="0" w:space="0" w:color="auto"/>
                <w:left w:val="none" w:sz="0" w:space="0" w:color="auto"/>
                <w:bottom w:val="none" w:sz="0" w:space="0" w:color="auto"/>
                <w:right w:val="none" w:sz="0" w:space="0" w:color="auto"/>
              </w:divBdr>
            </w:div>
            <w:div w:id="2126386171">
              <w:marLeft w:val="0"/>
              <w:marRight w:val="0"/>
              <w:marTop w:val="0"/>
              <w:marBottom w:val="240"/>
              <w:divBdr>
                <w:top w:val="none" w:sz="0" w:space="0" w:color="auto"/>
                <w:left w:val="none" w:sz="0" w:space="0" w:color="auto"/>
                <w:bottom w:val="none" w:sz="0" w:space="0" w:color="auto"/>
                <w:right w:val="none" w:sz="0" w:space="0" w:color="auto"/>
              </w:divBdr>
            </w:div>
            <w:div w:id="437146584">
              <w:marLeft w:val="0"/>
              <w:marRight w:val="0"/>
              <w:marTop w:val="0"/>
              <w:marBottom w:val="240"/>
              <w:divBdr>
                <w:top w:val="none" w:sz="0" w:space="0" w:color="auto"/>
                <w:left w:val="none" w:sz="0" w:space="0" w:color="auto"/>
                <w:bottom w:val="none" w:sz="0" w:space="0" w:color="auto"/>
                <w:right w:val="none" w:sz="0" w:space="0" w:color="auto"/>
              </w:divBdr>
            </w:div>
            <w:div w:id="691151786">
              <w:marLeft w:val="0"/>
              <w:marRight w:val="0"/>
              <w:marTop w:val="0"/>
              <w:marBottom w:val="240"/>
              <w:divBdr>
                <w:top w:val="none" w:sz="0" w:space="0" w:color="auto"/>
                <w:left w:val="none" w:sz="0" w:space="0" w:color="auto"/>
                <w:bottom w:val="none" w:sz="0" w:space="0" w:color="auto"/>
                <w:right w:val="none" w:sz="0" w:space="0" w:color="auto"/>
              </w:divBdr>
            </w:div>
            <w:div w:id="1427773752">
              <w:marLeft w:val="0"/>
              <w:marRight w:val="0"/>
              <w:marTop w:val="0"/>
              <w:marBottom w:val="240"/>
              <w:divBdr>
                <w:top w:val="none" w:sz="0" w:space="0" w:color="auto"/>
                <w:left w:val="none" w:sz="0" w:space="0" w:color="auto"/>
                <w:bottom w:val="none" w:sz="0" w:space="0" w:color="auto"/>
                <w:right w:val="none" w:sz="0" w:space="0" w:color="auto"/>
              </w:divBdr>
            </w:div>
            <w:div w:id="2144034113">
              <w:marLeft w:val="0"/>
              <w:marRight w:val="0"/>
              <w:marTop w:val="0"/>
              <w:marBottom w:val="240"/>
              <w:divBdr>
                <w:top w:val="none" w:sz="0" w:space="0" w:color="auto"/>
                <w:left w:val="none" w:sz="0" w:space="0" w:color="auto"/>
                <w:bottom w:val="none" w:sz="0" w:space="0" w:color="auto"/>
                <w:right w:val="none" w:sz="0" w:space="0" w:color="auto"/>
              </w:divBdr>
            </w:div>
            <w:div w:id="852457349">
              <w:marLeft w:val="0"/>
              <w:marRight w:val="0"/>
              <w:marTop w:val="0"/>
              <w:marBottom w:val="240"/>
              <w:divBdr>
                <w:top w:val="none" w:sz="0" w:space="0" w:color="auto"/>
                <w:left w:val="none" w:sz="0" w:space="0" w:color="auto"/>
                <w:bottom w:val="none" w:sz="0" w:space="0" w:color="auto"/>
                <w:right w:val="none" w:sz="0" w:space="0" w:color="auto"/>
              </w:divBdr>
            </w:div>
            <w:div w:id="1264536280">
              <w:marLeft w:val="0"/>
              <w:marRight w:val="0"/>
              <w:marTop w:val="0"/>
              <w:marBottom w:val="240"/>
              <w:divBdr>
                <w:top w:val="none" w:sz="0" w:space="0" w:color="auto"/>
                <w:left w:val="none" w:sz="0" w:space="0" w:color="auto"/>
                <w:bottom w:val="none" w:sz="0" w:space="0" w:color="auto"/>
                <w:right w:val="none" w:sz="0" w:space="0" w:color="auto"/>
              </w:divBdr>
            </w:div>
            <w:div w:id="1729305896">
              <w:marLeft w:val="0"/>
              <w:marRight w:val="0"/>
              <w:marTop w:val="0"/>
              <w:marBottom w:val="240"/>
              <w:divBdr>
                <w:top w:val="none" w:sz="0" w:space="0" w:color="auto"/>
                <w:left w:val="none" w:sz="0" w:space="0" w:color="auto"/>
                <w:bottom w:val="none" w:sz="0" w:space="0" w:color="auto"/>
                <w:right w:val="none" w:sz="0" w:space="0" w:color="auto"/>
              </w:divBdr>
            </w:div>
            <w:div w:id="705789294">
              <w:marLeft w:val="0"/>
              <w:marRight w:val="0"/>
              <w:marTop w:val="0"/>
              <w:marBottom w:val="240"/>
              <w:divBdr>
                <w:top w:val="none" w:sz="0" w:space="0" w:color="auto"/>
                <w:left w:val="none" w:sz="0" w:space="0" w:color="auto"/>
                <w:bottom w:val="none" w:sz="0" w:space="0" w:color="auto"/>
                <w:right w:val="none" w:sz="0" w:space="0" w:color="auto"/>
              </w:divBdr>
            </w:div>
            <w:div w:id="207306476">
              <w:marLeft w:val="0"/>
              <w:marRight w:val="0"/>
              <w:marTop w:val="0"/>
              <w:marBottom w:val="240"/>
              <w:divBdr>
                <w:top w:val="none" w:sz="0" w:space="0" w:color="auto"/>
                <w:left w:val="none" w:sz="0" w:space="0" w:color="auto"/>
                <w:bottom w:val="none" w:sz="0" w:space="0" w:color="auto"/>
                <w:right w:val="none" w:sz="0" w:space="0" w:color="auto"/>
              </w:divBdr>
            </w:div>
            <w:div w:id="99574699">
              <w:marLeft w:val="0"/>
              <w:marRight w:val="0"/>
              <w:marTop w:val="0"/>
              <w:marBottom w:val="240"/>
              <w:divBdr>
                <w:top w:val="none" w:sz="0" w:space="0" w:color="auto"/>
                <w:left w:val="none" w:sz="0" w:space="0" w:color="auto"/>
                <w:bottom w:val="none" w:sz="0" w:space="0" w:color="auto"/>
                <w:right w:val="none" w:sz="0" w:space="0" w:color="auto"/>
              </w:divBdr>
            </w:div>
            <w:div w:id="1112674257">
              <w:marLeft w:val="0"/>
              <w:marRight w:val="0"/>
              <w:marTop w:val="0"/>
              <w:marBottom w:val="240"/>
              <w:divBdr>
                <w:top w:val="none" w:sz="0" w:space="0" w:color="auto"/>
                <w:left w:val="none" w:sz="0" w:space="0" w:color="auto"/>
                <w:bottom w:val="none" w:sz="0" w:space="0" w:color="auto"/>
                <w:right w:val="none" w:sz="0" w:space="0" w:color="auto"/>
              </w:divBdr>
            </w:div>
            <w:div w:id="1622878527">
              <w:marLeft w:val="0"/>
              <w:marRight w:val="0"/>
              <w:marTop w:val="0"/>
              <w:marBottom w:val="240"/>
              <w:divBdr>
                <w:top w:val="none" w:sz="0" w:space="0" w:color="auto"/>
                <w:left w:val="none" w:sz="0" w:space="0" w:color="auto"/>
                <w:bottom w:val="none" w:sz="0" w:space="0" w:color="auto"/>
                <w:right w:val="none" w:sz="0" w:space="0" w:color="auto"/>
              </w:divBdr>
            </w:div>
            <w:div w:id="2093811125">
              <w:marLeft w:val="0"/>
              <w:marRight w:val="0"/>
              <w:marTop w:val="0"/>
              <w:marBottom w:val="240"/>
              <w:divBdr>
                <w:top w:val="none" w:sz="0" w:space="0" w:color="auto"/>
                <w:left w:val="none" w:sz="0" w:space="0" w:color="auto"/>
                <w:bottom w:val="none" w:sz="0" w:space="0" w:color="auto"/>
                <w:right w:val="none" w:sz="0" w:space="0" w:color="auto"/>
              </w:divBdr>
            </w:div>
            <w:div w:id="1973633803">
              <w:marLeft w:val="0"/>
              <w:marRight w:val="0"/>
              <w:marTop w:val="0"/>
              <w:marBottom w:val="240"/>
              <w:divBdr>
                <w:top w:val="none" w:sz="0" w:space="0" w:color="auto"/>
                <w:left w:val="none" w:sz="0" w:space="0" w:color="auto"/>
                <w:bottom w:val="none" w:sz="0" w:space="0" w:color="auto"/>
                <w:right w:val="none" w:sz="0" w:space="0" w:color="auto"/>
              </w:divBdr>
            </w:div>
            <w:div w:id="427122196">
              <w:marLeft w:val="0"/>
              <w:marRight w:val="0"/>
              <w:marTop w:val="0"/>
              <w:marBottom w:val="240"/>
              <w:divBdr>
                <w:top w:val="none" w:sz="0" w:space="0" w:color="auto"/>
                <w:left w:val="none" w:sz="0" w:space="0" w:color="auto"/>
                <w:bottom w:val="none" w:sz="0" w:space="0" w:color="auto"/>
                <w:right w:val="none" w:sz="0" w:space="0" w:color="auto"/>
              </w:divBdr>
            </w:div>
            <w:div w:id="1298028992">
              <w:marLeft w:val="0"/>
              <w:marRight w:val="0"/>
              <w:marTop w:val="0"/>
              <w:marBottom w:val="240"/>
              <w:divBdr>
                <w:top w:val="none" w:sz="0" w:space="0" w:color="auto"/>
                <w:left w:val="none" w:sz="0" w:space="0" w:color="auto"/>
                <w:bottom w:val="none" w:sz="0" w:space="0" w:color="auto"/>
                <w:right w:val="none" w:sz="0" w:space="0" w:color="auto"/>
              </w:divBdr>
            </w:div>
            <w:div w:id="1014066934">
              <w:marLeft w:val="0"/>
              <w:marRight w:val="0"/>
              <w:marTop w:val="0"/>
              <w:marBottom w:val="240"/>
              <w:divBdr>
                <w:top w:val="none" w:sz="0" w:space="0" w:color="auto"/>
                <w:left w:val="none" w:sz="0" w:space="0" w:color="auto"/>
                <w:bottom w:val="none" w:sz="0" w:space="0" w:color="auto"/>
                <w:right w:val="none" w:sz="0" w:space="0" w:color="auto"/>
              </w:divBdr>
            </w:div>
            <w:div w:id="2047023357">
              <w:marLeft w:val="0"/>
              <w:marRight w:val="0"/>
              <w:marTop w:val="0"/>
              <w:marBottom w:val="240"/>
              <w:divBdr>
                <w:top w:val="none" w:sz="0" w:space="0" w:color="auto"/>
                <w:left w:val="none" w:sz="0" w:space="0" w:color="auto"/>
                <w:bottom w:val="none" w:sz="0" w:space="0" w:color="auto"/>
                <w:right w:val="none" w:sz="0" w:space="0" w:color="auto"/>
              </w:divBdr>
            </w:div>
            <w:div w:id="1055817692">
              <w:marLeft w:val="0"/>
              <w:marRight w:val="0"/>
              <w:marTop w:val="0"/>
              <w:marBottom w:val="240"/>
              <w:divBdr>
                <w:top w:val="none" w:sz="0" w:space="0" w:color="auto"/>
                <w:left w:val="none" w:sz="0" w:space="0" w:color="auto"/>
                <w:bottom w:val="none" w:sz="0" w:space="0" w:color="auto"/>
                <w:right w:val="none" w:sz="0" w:space="0" w:color="auto"/>
              </w:divBdr>
            </w:div>
            <w:div w:id="973752610">
              <w:marLeft w:val="0"/>
              <w:marRight w:val="0"/>
              <w:marTop w:val="0"/>
              <w:marBottom w:val="240"/>
              <w:divBdr>
                <w:top w:val="none" w:sz="0" w:space="0" w:color="auto"/>
                <w:left w:val="none" w:sz="0" w:space="0" w:color="auto"/>
                <w:bottom w:val="none" w:sz="0" w:space="0" w:color="auto"/>
                <w:right w:val="none" w:sz="0" w:space="0" w:color="auto"/>
              </w:divBdr>
            </w:div>
            <w:div w:id="992640550">
              <w:marLeft w:val="0"/>
              <w:marRight w:val="0"/>
              <w:marTop w:val="0"/>
              <w:marBottom w:val="240"/>
              <w:divBdr>
                <w:top w:val="none" w:sz="0" w:space="0" w:color="auto"/>
                <w:left w:val="none" w:sz="0" w:space="0" w:color="auto"/>
                <w:bottom w:val="none" w:sz="0" w:space="0" w:color="auto"/>
                <w:right w:val="none" w:sz="0" w:space="0" w:color="auto"/>
              </w:divBdr>
            </w:div>
            <w:div w:id="394669100">
              <w:marLeft w:val="0"/>
              <w:marRight w:val="0"/>
              <w:marTop w:val="0"/>
              <w:marBottom w:val="240"/>
              <w:divBdr>
                <w:top w:val="none" w:sz="0" w:space="0" w:color="auto"/>
                <w:left w:val="none" w:sz="0" w:space="0" w:color="auto"/>
                <w:bottom w:val="none" w:sz="0" w:space="0" w:color="auto"/>
                <w:right w:val="none" w:sz="0" w:space="0" w:color="auto"/>
              </w:divBdr>
            </w:div>
            <w:div w:id="736902762">
              <w:marLeft w:val="0"/>
              <w:marRight w:val="0"/>
              <w:marTop w:val="0"/>
              <w:marBottom w:val="240"/>
              <w:divBdr>
                <w:top w:val="none" w:sz="0" w:space="0" w:color="auto"/>
                <w:left w:val="none" w:sz="0" w:space="0" w:color="auto"/>
                <w:bottom w:val="none" w:sz="0" w:space="0" w:color="auto"/>
                <w:right w:val="none" w:sz="0" w:space="0" w:color="auto"/>
              </w:divBdr>
            </w:div>
            <w:div w:id="1961448952">
              <w:marLeft w:val="0"/>
              <w:marRight w:val="0"/>
              <w:marTop w:val="0"/>
              <w:marBottom w:val="240"/>
              <w:divBdr>
                <w:top w:val="none" w:sz="0" w:space="0" w:color="auto"/>
                <w:left w:val="none" w:sz="0" w:space="0" w:color="auto"/>
                <w:bottom w:val="none" w:sz="0" w:space="0" w:color="auto"/>
                <w:right w:val="none" w:sz="0" w:space="0" w:color="auto"/>
              </w:divBdr>
            </w:div>
            <w:div w:id="626014182">
              <w:marLeft w:val="0"/>
              <w:marRight w:val="0"/>
              <w:marTop w:val="0"/>
              <w:marBottom w:val="240"/>
              <w:divBdr>
                <w:top w:val="none" w:sz="0" w:space="0" w:color="auto"/>
                <w:left w:val="none" w:sz="0" w:space="0" w:color="auto"/>
                <w:bottom w:val="none" w:sz="0" w:space="0" w:color="auto"/>
                <w:right w:val="none" w:sz="0" w:space="0" w:color="auto"/>
              </w:divBdr>
            </w:div>
            <w:div w:id="2147232762">
              <w:marLeft w:val="0"/>
              <w:marRight w:val="0"/>
              <w:marTop w:val="0"/>
              <w:marBottom w:val="240"/>
              <w:divBdr>
                <w:top w:val="none" w:sz="0" w:space="0" w:color="auto"/>
                <w:left w:val="none" w:sz="0" w:space="0" w:color="auto"/>
                <w:bottom w:val="none" w:sz="0" w:space="0" w:color="auto"/>
                <w:right w:val="none" w:sz="0" w:space="0" w:color="auto"/>
              </w:divBdr>
            </w:div>
            <w:div w:id="499319856">
              <w:marLeft w:val="0"/>
              <w:marRight w:val="0"/>
              <w:marTop w:val="0"/>
              <w:marBottom w:val="240"/>
              <w:divBdr>
                <w:top w:val="none" w:sz="0" w:space="0" w:color="auto"/>
                <w:left w:val="none" w:sz="0" w:space="0" w:color="auto"/>
                <w:bottom w:val="none" w:sz="0" w:space="0" w:color="auto"/>
                <w:right w:val="none" w:sz="0" w:space="0" w:color="auto"/>
              </w:divBdr>
            </w:div>
            <w:div w:id="704792070">
              <w:marLeft w:val="0"/>
              <w:marRight w:val="0"/>
              <w:marTop w:val="0"/>
              <w:marBottom w:val="240"/>
              <w:divBdr>
                <w:top w:val="none" w:sz="0" w:space="0" w:color="auto"/>
                <w:left w:val="none" w:sz="0" w:space="0" w:color="auto"/>
                <w:bottom w:val="none" w:sz="0" w:space="0" w:color="auto"/>
                <w:right w:val="none" w:sz="0" w:space="0" w:color="auto"/>
              </w:divBdr>
            </w:div>
            <w:div w:id="1991664826">
              <w:marLeft w:val="0"/>
              <w:marRight w:val="0"/>
              <w:marTop w:val="0"/>
              <w:marBottom w:val="240"/>
              <w:divBdr>
                <w:top w:val="none" w:sz="0" w:space="0" w:color="auto"/>
                <w:left w:val="none" w:sz="0" w:space="0" w:color="auto"/>
                <w:bottom w:val="none" w:sz="0" w:space="0" w:color="auto"/>
                <w:right w:val="none" w:sz="0" w:space="0" w:color="auto"/>
              </w:divBdr>
            </w:div>
            <w:div w:id="1410421618">
              <w:marLeft w:val="0"/>
              <w:marRight w:val="0"/>
              <w:marTop w:val="0"/>
              <w:marBottom w:val="240"/>
              <w:divBdr>
                <w:top w:val="none" w:sz="0" w:space="0" w:color="auto"/>
                <w:left w:val="none" w:sz="0" w:space="0" w:color="auto"/>
                <w:bottom w:val="none" w:sz="0" w:space="0" w:color="auto"/>
                <w:right w:val="none" w:sz="0" w:space="0" w:color="auto"/>
              </w:divBdr>
            </w:div>
            <w:div w:id="1316758671">
              <w:marLeft w:val="0"/>
              <w:marRight w:val="0"/>
              <w:marTop w:val="0"/>
              <w:marBottom w:val="240"/>
              <w:divBdr>
                <w:top w:val="none" w:sz="0" w:space="0" w:color="auto"/>
                <w:left w:val="none" w:sz="0" w:space="0" w:color="auto"/>
                <w:bottom w:val="none" w:sz="0" w:space="0" w:color="auto"/>
                <w:right w:val="none" w:sz="0" w:space="0" w:color="auto"/>
              </w:divBdr>
            </w:div>
            <w:div w:id="522325163">
              <w:marLeft w:val="0"/>
              <w:marRight w:val="0"/>
              <w:marTop w:val="0"/>
              <w:marBottom w:val="240"/>
              <w:divBdr>
                <w:top w:val="none" w:sz="0" w:space="0" w:color="auto"/>
                <w:left w:val="none" w:sz="0" w:space="0" w:color="auto"/>
                <w:bottom w:val="none" w:sz="0" w:space="0" w:color="auto"/>
                <w:right w:val="none" w:sz="0" w:space="0" w:color="auto"/>
              </w:divBdr>
            </w:div>
            <w:div w:id="207038721">
              <w:marLeft w:val="0"/>
              <w:marRight w:val="0"/>
              <w:marTop w:val="0"/>
              <w:marBottom w:val="240"/>
              <w:divBdr>
                <w:top w:val="none" w:sz="0" w:space="0" w:color="auto"/>
                <w:left w:val="none" w:sz="0" w:space="0" w:color="auto"/>
                <w:bottom w:val="none" w:sz="0" w:space="0" w:color="auto"/>
                <w:right w:val="none" w:sz="0" w:space="0" w:color="auto"/>
              </w:divBdr>
            </w:div>
            <w:div w:id="794106897">
              <w:marLeft w:val="0"/>
              <w:marRight w:val="0"/>
              <w:marTop w:val="0"/>
              <w:marBottom w:val="240"/>
              <w:divBdr>
                <w:top w:val="none" w:sz="0" w:space="0" w:color="auto"/>
                <w:left w:val="none" w:sz="0" w:space="0" w:color="auto"/>
                <w:bottom w:val="none" w:sz="0" w:space="0" w:color="auto"/>
                <w:right w:val="none" w:sz="0" w:space="0" w:color="auto"/>
              </w:divBdr>
            </w:div>
            <w:div w:id="1367216379">
              <w:marLeft w:val="0"/>
              <w:marRight w:val="0"/>
              <w:marTop w:val="0"/>
              <w:marBottom w:val="240"/>
              <w:divBdr>
                <w:top w:val="none" w:sz="0" w:space="0" w:color="auto"/>
                <w:left w:val="none" w:sz="0" w:space="0" w:color="auto"/>
                <w:bottom w:val="none" w:sz="0" w:space="0" w:color="auto"/>
                <w:right w:val="none" w:sz="0" w:space="0" w:color="auto"/>
              </w:divBdr>
            </w:div>
            <w:div w:id="101537529">
              <w:marLeft w:val="0"/>
              <w:marRight w:val="0"/>
              <w:marTop w:val="0"/>
              <w:marBottom w:val="240"/>
              <w:divBdr>
                <w:top w:val="none" w:sz="0" w:space="0" w:color="auto"/>
                <w:left w:val="none" w:sz="0" w:space="0" w:color="auto"/>
                <w:bottom w:val="none" w:sz="0" w:space="0" w:color="auto"/>
                <w:right w:val="none" w:sz="0" w:space="0" w:color="auto"/>
              </w:divBdr>
            </w:div>
            <w:div w:id="516508374">
              <w:marLeft w:val="0"/>
              <w:marRight w:val="0"/>
              <w:marTop w:val="0"/>
              <w:marBottom w:val="240"/>
              <w:divBdr>
                <w:top w:val="none" w:sz="0" w:space="0" w:color="auto"/>
                <w:left w:val="none" w:sz="0" w:space="0" w:color="auto"/>
                <w:bottom w:val="none" w:sz="0" w:space="0" w:color="auto"/>
                <w:right w:val="none" w:sz="0" w:space="0" w:color="auto"/>
              </w:divBdr>
            </w:div>
            <w:div w:id="116876661">
              <w:marLeft w:val="0"/>
              <w:marRight w:val="0"/>
              <w:marTop w:val="0"/>
              <w:marBottom w:val="240"/>
              <w:divBdr>
                <w:top w:val="none" w:sz="0" w:space="0" w:color="auto"/>
                <w:left w:val="none" w:sz="0" w:space="0" w:color="auto"/>
                <w:bottom w:val="none" w:sz="0" w:space="0" w:color="auto"/>
                <w:right w:val="none" w:sz="0" w:space="0" w:color="auto"/>
              </w:divBdr>
            </w:div>
            <w:div w:id="1674186412">
              <w:marLeft w:val="0"/>
              <w:marRight w:val="0"/>
              <w:marTop w:val="0"/>
              <w:marBottom w:val="240"/>
              <w:divBdr>
                <w:top w:val="none" w:sz="0" w:space="0" w:color="auto"/>
                <w:left w:val="none" w:sz="0" w:space="0" w:color="auto"/>
                <w:bottom w:val="none" w:sz="0" w:space="0" w:color="auto"/>
                <w:right w:val="none" w:sz="0" w:space="0" w:color="auto"/>
              </w:divBdr>
            </w:div>
            <w:div w:id="1681008892">
              <w:marLeft w:val="0"/>
              <w:marRight w:val="0"/>
              <w:marTop w:val="0"/>
              <w:marBottom w:val="240"/>
              <w:divBdr>
                <w:top w:val="none" w:sz="0" w:space="0" w:color="auto"/>
                <w:left w:val="none" w:sz="0" w:space="0" w:color="auto"/>
                <w:bottom w:val="none" w:sz="0" w:space="0" w:color="auto"/>
                <w:right w:val="none" w:sz="0" w:space="0" w:color="auto"/>
              </w:divBdr>
            </w:div>
            <w:div w:id="1609660498">
              <w:marLeft w:val="0"/>
              <w:marRight w:val="0"/>
              <w:marTop w:val="0"/>
              <w:marBottom w:val="240"/>
              <w:divBdr>
                <w:top w:val="none" w:sz="0" w:space="0" w:color="auto"/>
                <w:left w:val="none" w:sz="0" w:space="0" w:color="auto"/>
                <w:bottom w:val="none" w:sz="0" w:space="0" w:color="auto"/>
                <w:right w:val="none" w:sz="0" w:space="0" w:color="auto"/>
              </w:divBdr>
            </w:div>
            <w:div w:id="93132262">
              <w:marLeft w:val="0"/>
              <w:marRight w:val="0"/>
              <w:marTop w:val="0"/>
              <w:marBottom w:val="240"/>
              <w:divBdr>
                <w:top w:val="none" w:sz="0" w:space="0" w:color="auto"/>
                <w:left w:val="none" w:sz="0" w:space="0" w:color="auto"/>
                <w:bottom w:val="none" w:sz="0" w:space="0" w:color="auto"/>
                <w:right w:val="none" w:sz="0" w:space="0" w:color="auto"/>
              </w:divBdr>
            </w:div>
            <w:div w:id="386758685">
              <w:marLeft w:val="0"/>
              <w:marRight w:val="0"/>
              <w:marTop w:val="0"/>
              <w:marBottom w:val="240"/>
              <w:divBdr>
                <w:top w:val="none" w:sz="0" w:space="0" w:color="auto"/>
                <w:left w:val="none" w:sz="0" w:space="0" w:color="auto"/>
                <w:bottom w:val="none" w:sz="0" w:space="0" w:color="auto"/>
                <w:right w:val="none" w:sz="0" w:space="0" w:color="auto"/>
              </w:divBdr>
            </w:div>
            <w:div w:id="241646934">
              <w:marLeft w:val="0"/>
              <w:marRight w:val="0"/>
              <w:marTop w:val="0"/>
              <w:marBottom w:val="240"/>
              <w:divBdr>
                <w:top w:val="none" w:sz="0" w:space="0" w:color="auto"/>
                <w:left w:val="none" w:sz="0" w:space="0" w:color="auto"/>
                <w:bottom w:val="none" w:sz="0" w:space="0" w:color="auto"/>
                <w:right w:val="none" w:sz="0" w:space="0" w:color="auto"/>
              </w:divBdr>
            </w:div>
            <w:div w:id="496042747">
              <w:marLeft w:val="0"/>
              <w:marRight w:val="0"/>
              <w:marTop w:val="0"/>
              <w:marBottom w:val="240"/>
              <w:divBdr>
                <w:top w:val="none" w:sz="0" w:space="0" w:color="auto"/>
                <w:left w:val="none" w:sz="0" w:space="0" w:color="auto"/>
                <w:bottom w:val="none" w:sz="0" w:space="0" w:color="auto"/>
                <w:right w:val="none" w:sz="0" w:space="0" w:color="auto"/>
              </w:divBdr>
            </w:div>
            <w:div w:id="1488596479">
              <w:marLeft w:val="0"/>
              <w:marRight w:val="0"/>
              <w:marTop w:val="0"/>
              <w:marBottom w:val="240"/>
              <w:divBdr>
                <w:top w:val="none" w:sz="0" w:space="0" w:color="auto"/>
                <w:left w:val="none" w:sz="0" w:space="0" w:color="auto"/>
                <w:bottom w:val="none" w:sz="0" w:space="0" w:color="auto"/>
                <w:right w:val="none" w:sz="0" w:space="0" w:color="auto"/>
              </w:divBdr>
            </w:div>
            <w:div w:id="758601437">
              <w:marLeft w:val="0"/>
              <w:marRight w:val="0"/>
              <w:marTop w:val="0"/>
              <w:marBottom w:val="240"/>
              <w:divBdr>
                <w:top w:val="none" w:sz="0" w:space="0" w:color="auto"/>
                <w:left w:val="none" w:sz="0" w:space="0" w:color="auto"/>
                <w:bottom w:val="none" w:sz="0" w:space="0" w:color="auto"/>
                <w:right w:val="none" w:sz="0" w:space="0" w:color="auto"/>
              </w:divBdr>
            </w:div>
            <w:div w:id="1993561373">
              <w:marLeft w:val="0"/>
              <w:marRight w:val="0"/>
              <w:marTop w:val="0"/>
              <w:marBottom w:val="240"/>
              <w:divBdr>
                <w:top w:val="none" w:sz="0" w:space="0" w:color="auto"/>
                <w:left w:val="none" w:sz="0" w:space="0" w:color="auto"/>
                <w:bottom w:val="none" w:sz="0" w:space="0" w:color="auto"/>
                <w:right w:val="none" w:sz="0" w:space="0" w:color="auto"/>
              </w:divBdr>
            </w:div>
            <w:div w:id="1712075273">
              <w:marLeft w:val="0"/>
              <w:marRight w:val="0"/>
              <w:marTop w:val="0"/>
              <w:marBottom w:val="240"/>
              <w:divBdr>
                <w:top w:val="none" w:sz="0" w:space="0" w:color="auto"/>
                <w:left w:val="none" w:sz="0" w:space="0" w:color="auto"/>
                <w:bottom w:val="none" w:sz="0" w:space="0" w:color="auto"/>
                <w:right w:val="none" w:sz="0" w:space="0" w:color="auto"/>
              </w:divBdr>
            </w:div>
            <w:div w:id="306782799">
              <w:marLeft w:val="0"/>
              <w:marRight w:val="0"/>
              <w:marTop w:val="0"/>
              <w:marBottom w:val="240"/>
              <w:divBdr>
                <w:top w:val="none" w:sz="0" w:space="0" w:color="auto"/>
                <w:left w:val="none" w:sz="0" w:space="0" w:color="auto"/>
                <w:bottom w:val="none" w:sz="0" w:space="0" w:color="auto"/>
                <w:right w:val="none" w:sz="0" w:space="0" w:color="auto"/>
              </w:divBdr>
            </w:div>
            <w:div w:id="1001396620">
              <w:marLeft w:val="0"/>
              <w:marRight w:val="0"/>
              <w:marTop w:val="0"/>
              <w:marBottom w:val="240"/>
              <w:divBdr>
                <w:top w:val="none" w:sz="0" w:space="0" w:color="auto"/>
                <w:left w:val="none" w:sz="0" w:space="0" w:color="auto"/>
                <w:bottom w:val="none" w:sz="0" w:space="0" w:color="auto"/>
                <w:right w:val="none" w:sz="0" w:space="0" w:color="auto"/>
              </w:divBdr>
            </w:div>
            <w:div w:id="247471517">
              <w:marLeft w:val="0"/>
              <w:marRight w:val="0"/>
              <w:marTop w:val="0"/>
              <w:marBottom w:val="240"/>
              <w:divBdr>
                <w:top w:val="none" w:sz="0" w:space="0" w:color="auto"/>
                <w:left w:val="none" w:sz="0" w:space="0" w:color="auto"/>
                <w:bottom w:val="none" w:sz="0" w:space="0" w:color="auto"/>
                <w:right w:val="none" w:sz="0" w:space="0" w:color="auto"/>
              </w:divBdr>
            </w:div>
            <w:div w:id="605036781">
              <w:marLeft w:val="0"/>
              <w:marRight w:val="0"/>
              <w:marTop w:val="0"/>
              <w:marBottom w:val="240"/>
              <w:divBdr>
                <w:top w:val="none" w:sz="0" w:space="0" w:color="auto"/>
                <w:left w:val="none" w:sz="0" w:space="0" w:color="auto"/>
                <w:bottom w:val="none" w:sz="0" w:space="0" w:color="auto"/>
                <w:right w:val="none" w:sz="0" w:space="0" w:color="auto"/>
              </w:divBdr>
            </w:div>
            <w:div w:id="679619832">
              <w:marLeft w:val="0"/>
              <w:marRight w:val="0"/>
              <w:marTop w:val="0"/>
              <w:marBottom w:val="240"/>
              <w:divBdr>
                <w:top w:val="none" w:sz="0" w:space="0" w:color="auto"/>
                <w:left w:val="none" w:sz="0" w:space="0" w:color="auto"/>
                <w:bottom w:val="none" w:sz="0" w:space="0" w:color="auto"/>
                <w:right w:val="none" w:sz="0" w:space="0" w:color="auto"/>
              </w:divBdr>
            </w:div>
            <w:div w:id="816654399">
              <w:marLeft w:val="0"/>
              <w:marRight w:val="0"/>
              <w:marTop w:val="0"/>
              <w:marBottom w:val="240"/>
              <w:divBdr>
                <w:top w:val="none" w:sz="0" w:space="0" w:color="auto"/>
                <w:left w:val="none" w:sz="0" w:space="0" w:color="auto"/>
                <w:bottom w:val="none" w:sz="0" w:space="0" w:color="auto"/>
                <w:right w:val="none" w:sz="0" w:space="0" w:color="auto"/>
              </w:divBdr>
            </w:div>
            <w:div w:id="163281714">
              <w:marLeft w:val="0"/>
              <w:marRight w:val="0"/>
              <w:marTop w:val="0"/>
              <w:marBottom w:val="240"/>
              <w:divBdr>
                <w:top w:val="none" w:sz="0" w:space="0" w:color="auto"/>
                <w:left w:val="none" w:sz="0" w:space="0" w:color="auto"/>
                <w:bottom w:val="none" w:sz="0" w:space="0" w:color="auto"/>
                <w:right w:val="none" w:sz="0" w:space="0" w:color="auto"/>
              </w:divBdr>
            </w:div>
            <w:div w:id="1812751726">
              <w:marLeft w:val="0"/>
              <w:marRight w:val="0"/>
              <w:marTop w:val="0"/>
              <w:marBottom w:val="240"/>
              <w:divBdr>
                <w:top w:val="none" w:sz="0" w:space="0" w:color="auto"/>
                <w:left w:val="none" w:sz="0" w:space="0" w:color="auto"/>
                <w:bottom w:val="none" w:sz="0" w:space="0" w:color="auto"/>
                <w:right w:val="none" w:sz="0" w:space="0" w:color="auto"/>
              </w:divBdr>
            </w:div>
            <w:div w:id="1264649826">
              <w:marLeft w:val="0"/>
              <w:marRight w:val="0"/>
              <w:marTop w:val="0"/>
              <w:marBottom w:val="240"/>
              <w:divBdr>
                <w:top w:val="none" w:sz="0" w:space="0" w:color="auto"/>
                <w:left w:val="none" w:sz="0" w:space="0" w:color="auto"/>
                <w:bottom w:val="none" w:sz="0" w:space="0" w:color="auto"/>
                <w:right w:val="none" w:sz="0" w:space="0" w:color="auto"/>
              </w:divBdr>
            </w:div>
            <w:div w:id="1526094250">
              <w:marLeft w:val="0"/>
              <w:marRight w:val="0"/>
              <w:marTop w:val="0"/>
              <w:marBottom w:val="240"/>
              <w:divBdr>
                <w:top w:val="none" w:sz="0" w:space="0" w:color="auto"/>
                <w:left w:val="none" w:sz="0" w:space="0" w:color="auto"/>
                <w:bottom w:val="none" w:sz="0" w:space="0" w:color="auto"/>
                <w:right w:val="none" w:sz="0" w:space="0" w:color="auto"/>
              </w:divBdr>
            </w:div>
            <w:div w:id="2114663348">
              <w:marLeft w:val="0"/>
              <w:marRight w:val="0"/>
              <w:marTop w:val="0"/>
              <w:marBottom w:val="240"/>
              <w:divBdr>
                <w:top w:val="none" w:sz="0" w:space="0" w:color="auto"/>
                <w:left w:val="none" w:sz="0" w:space="0" w:color="auto"/>
                <w:bottom w:val="none" w:sz="0" w:space="0" w:color="auto"/>
                <w:right w:val="none" w:sz="0" w:space="0" w:color="auto"/>
              </w:divBdr>
            </w:div>
            <w:div w:id="105194608">
              <w:marLeft w:val="0"/>
              <w:marRight w:val="0"/>
              <w:marTop w:val="0"/>
              <w:marBottom w:val="240"/>
              <w:divBdr>
                <w:top w:val="none" w:sz="0" w:space="0" w:color="auto"/>
                <w:left w:val="none" w:sz="0" w:space="0" w:color="auto"/>
                <w:bottom w:val="none" w:sz="0" w:space="0" w:color="auto"/>
                <w:right w:val="none" w:sz="0" w:space="0" w:color="auto"/>
              </w:divBdr>
            </w:div>
            <w:div w:id="1566798464">
              <w:marLeft w:val="0"/>
              <w:marRight w:val="0"/>
              <w:marTop w:val="0"/>
              <w:marBottom w:val="240"/>
              <w:divBdr>
                <w:top w:val="none" w:sz="0" w:space="0" w:color="auto"/>
                <w:left w:val="none" w:sz="0" w:space="0" w:color="auto"/>
                <w:bottom w:val="none" w:sz="0" w:space="0" w:color="auto"/>
                <w:right w:val="none" w:sz="0" w:space="0" w:color="auto"/>
              </w:divBdr>
            </w:div>
            <w:div w:id="1113213078">
              <w:marLeft w:val="0"/>
              <w:marRight w:val="0"/>
              <w:marTop w:val="0"/>
              <w:marBottom w:val="240"/>
              <w:divBdr>
                <w:top w:val="none" w:sz="0" w:space="0" w:color="auto"/>
                <w:left w:val="none" w:sz="0" w:space="0" w:color="auto"/>
                <w:bottom w:val="none" w:sz="0" w:space="0" w:color="auto"/>
                <w:right w:val="none" w:sz="0" w:space="0" w:color="auto"/>
              </w:divBdr>
            </w:div>
            <w:div w:id="935746028">
              <w:marLeft w:val="0"/>
              <w:marRight w:val="0"/>
              <w:marTop w:val="0"/>
              <w:marBottom w:val="240"/>
              <w:divBdr>
                <w:top w:val="none" w:sz="0" w:space="0" w:color="auto"/>
                <w:left w:val="none" w:sz="0" w:space="0" w:color="auto"/>
                <w:bottom w:val="none" w:sz="0" w:space="0" w:color="auto"/>
                <w:right w:val="none" w:sz="0" w:space="0" w:color="auto"/>
              </w:divBdr>
            </w:div>
            <w:div w:id="1598321468">
              <w:marLeft w:val="0"/>
              <w:marRight w:val="0"/>
              <w:marTop w:val="0"/>
              <w:marBottom w:val="240"/>
              <w:divBdr>
                <w:top w:val="none" w:sz="0" w:space="0" w:color="auto"/>
                <w:left w:val="none" w:sz="0" w:space="0" w:color="auto"/>
                <w:bottom w:val="none" w:sz="0" w:space="0" w:color="auto"/>
                <w:right w:val="none" w:sz="0" w:space="0" w:color="auto"/>
              </w:divBdr>
            </w:div>
            <w:div w:id="1941060304">
              <w:marLeft w:val="0"/>
              <w:marRight w:val="0"/>
              <w:marTop w:val="0"/>
              <w:marBottom w:val="240"/>
              <w:divBdr>
                <w:top w:val="none" w:sz="0" w:space="0" w:color="auto"/>
                <w:left w:val="none" w:sz="0" w:space="0" w:color="auto"/>
                <w:bottom w:val="none" w:sz="0" w:space="0" w:color="auto"/>
                <w:right w:val="none" w:sz="0" w:space="0" w:color="auto"/>
              </w:divBdr>
            </w:div>
            <w:div w:id="1468814191">
              <w:marLeft w:val="0"/>
              <w:marRight w:val="0"/>
              <w:marTop w:val="0"/>
              <w:marBottom w:val="240"/>
              <w:divBdr>
                <w:top w:val="none" w:sz="0" w:space="0" w:color="auto"/>
                <w:left w:val="none" w:sz="0" w:space="0" w:color="auto"/>
                <w:bottom w:val="none" w:sz="0" w:space="0" w:color="auto"/>
                <w:right w:val="none" w:sz="0" w:space="0" w:color="auto"/>
              </w:divBdr>
            </w:div>
            <w:div w:id="1527207356">
              <w:marLeft w:val="0"/>
              <w:marRight w:val="0"/>
              <w:marTop w:val="0"/>
              <w:marBottom w:val="240"/>
              <w:divBdr>
                <w:top w:val="none" w:sz="0" w:space="0" w:color="auto"/>
                <w:left w:val="none" w:sz="0" w:space="0" w:color="auto"/>
                <w:bottom w:val="none" w:sz="0" w:space="0" w:color="auto"/>
                <w:right w:val="none" w:sz="0" w:space="0" w:color="auto"/>
              </w:divBdr>
            </w:div>
            <w:div w:id="528026034">
              <w:marLeft w:val="0"/>
              <w:marRight w:val="0"/>
              <w:marTop w:val="0"/>
              <w:marBottom w:val="240"/>
              <w:divBdr>
                <w:top w:val="none" w:sz="0" w:space="0" w:color="auto"/>
                <w:left w:val="none" w:sz="0" w:space="0" w:color="auto"/>
                <w:bottom w:val="none" w:sz="0" w:space="0" w:color="auto"/>
                <w:right w:val="none" w:sz="0" w:space="0" w:color="auto"/>
              </w:divBdr>
            </w:div>
            <w:div w:id="2128039582">
              <w:marLeft w:val="0"/>
              <w:marRight w:val="0"/>
              <w:marTop w:val="0"/>
              <w:marBottom w:val="240"/>
              <w:divBdr>
                <w:top w:val="none" w:sz="0" w:space="0" w:color="auto"/>
                <w:left w:val="none" w:sz="0" w:space="0" w:color="auto"/>
                <w:bottom w:val="none" w:sz="0" w:space="0" w:color="auto"/>
                <w:right w:val="none" w:sz="0" w:space="0" w:color="auto"/>
              </w:divBdr>
            </w:div>
            <w:div w:id="313262202">
              <w:marLeft w:val="0"/>
              <w:marRight w:val="0"/>
              <w:marTop w:val="0"/>
              <w:marBottom w:val="240"/>
              <w:divBdr>
                <w:top w:val="none" w:sz="0" w:space="0" w:color="auto"/>
                <w:left w:val="none" w:sz="0" w:space="0" w:color="auto"/>
                <w:bottom w:val="none" w:sz="0" w:space="0" w:color="auto"/>
                <w:right w:val="none" w:sz="0" w:space="0" w:color="auto"/>
              </w:divBdr>
            </w:div>
            <w:div w:id="1053582819">
              <w:marLeft w:val="0"/>
              <w:marRight w:val="0"/>
              <w:marTop w:val="0"/>
              <w:marBottom w:val="240"/>
              <w:divBdr>
                <w:top w:val="none" w:sz="0" w:space="0" w:color="auto"/>
                <w:left w:val="none" w:sz="0" w:space="0" w:color="auto"/>
                <w:bottom w:val="none" w:sz="0" w:space="0" w:color="auto"/>
                <w:right w:val="none" w:sz="0" w:space="0" w:color="auto"/>
              </w:divBdr>
            </w:div>
            <w:div w:id="1398868419">
              <w:marLeft w:val="0"/>
              <w:marRight w:val="0"/>
              <w:marTop w:val="0"/>
              <w:marBottom w:val="240"/>
              <w:divBdr>
                <w:top w:val="none" w:sz="0" w:space="0" w:color="auto"/>
                <w:left w:val="none" w:sz="0" w:space="0" w:color="auto"/>
                <w:bottom w:val="none" w:sz="0" w:space="0" w:color="auto"/>
                <w:right w:val="none" w:sz="0" w:space="0" w:color="auto"/>
              </w:divBdr>
            </w:div>
            <w:div w:id="110366103">
              <w:marLeft w:val="0"/>
              <w:marRight w:val="0"/>
              <w:marTop w:val="0"/>
              <w:marBottom w:val="240"/>
              <w:divBdr>
                <w:top w:val="none" w:sz="0" w:space="0" w:color="auto"/>
                <w:left w:val="none" w:sz="0" w:space="0" w:color="auto"/>
                <w:bottom w:val="none" w:sz="0" w:space="0" w:color="auto"/>
                <w:right w:val="none" w:sz="0" w:space="0" w:color="auto"/>
              </w:divBdr>
            </w:div>
            <w:div w:id="1754934095">
              <w:marLeft w:val="0"/>
              <w:marRight w:val="0"/>
              <w:marTop w:val="0"/>
              <w:marBottom w:val="240"/>
              <w:divBdr>
                <w:top w:val="none" w:sz="0" w:space="0" w:color="auto"/>
                <w:left w:val="none" w:sz="0" w:space="0" w:color="auto"/>
                <w:bottom w:val="none" w:sz="0" w:space="0" w:color="auto"/>
                <w:right w:val="none" w:sz="0" w:space="0" w:color="auto"/>
              </w:divBdr>
            </w:div>
            <w:div w:id="2119252652">
              <w:marLeft w:val="0"/>
              <w:marRight w:val="0"/>
              <w:marTop w:val="0"/>
              <w:marBottom w:val="240"/>
              <w:divBdr>
                <w:top w:val="none" w:sz="0" w:space="0" w:color="auto"/>
                <w:left w:val="none" w:sz="0" w:space="0" w:color="auto"/>
                <w:bottom w:val="none" w:sz="0" w:space="0" w:color="auto"/>
                <w:right w:val="none" w:sz="0" w:space="0" w:color="auto"/>
              </w:divBdr>
            </w:div>
            <w:div w:id="2112973788">
              <w:marLeft w:val="0"/>
              <w:marRight w:val="0"/>
              <w:marTop w:val="0"/>
              <w:marBottom w:val="240"/>
              <w:divBdr>
                <w:top w:val="none" w:sz="0" w:space="0" w:color="auto"/>
                <w:left w:val="none" w:sz="0" w:space="0" w:color="auto"/>
                <w:bottom w:val="none" w:sz="0" w:space="0" w:color="auto"/>
                <w:right w:val="none" w:sz="0" w:space="0" w:color="auto"/>
              </w:divBdr>
            </w:div>
            <w:div w:id="1893039638">
              <w:marLeft w:val="0"/>
              <w:marRight w:val="0"/>
              <w:marTop w:val="0"/>
              <w:marBottom w:val="240"/>
              <w:divBdr>
                <w:top w:val="none" w:sz="0" w:space="0" w:color="auto"/>
                <w:left w:val="none" w:sz="0" w:space="0" w:color="auto"/>
                <w:bottom w:val="none" w:sz="0" w:space="0" w:color="auto"/>
                <w:right w:val="none" w:sz="0" w:space="0" w:color="auto"/>
              </w:divBdr>
            </w:div>
            <w:div w:id="1321889163">
              <w:marLeft w:val="0"/>
              <w:marRight w:val="0"/>
              <w:marTop w:val="0"/>
              <w:marBottom w:val="240"/>
              <w:divBdr>
                <w:top w:val="none" w:sz="0" w:space="0" w:color="auto"/>
                <w:left w:val="none" w:sz="0" w:space="0" w:color="auto"/>
                <w:bottom w:val="none" w:sz="0" w:space="0" w:color="auto"/>
                <w:right w:val="none" w:sz="0" w:space="0" w:color="auto"/>
              </w:divBdr>
            </w:div>
            <w:div w:id="632564284">
              <w:marLeft w:val="0"/>
              <w:marRight w:val="0"/>
              <w:marTop w:val="0"/>
              <w:marBottom w:val="240"/>
              <w:divBdr>
                <w:top w:val="none" w:sz="0" w:space="0" w:color="auto"/>
                <w:left w:val="none" w:sz="0" w:space="0" w:color="auto"/>
                <w:bottom w:val="none" w:sz="0" w:space="0" w:color="auto"/>
                <w:right w:val="none" w:sz="0" w:space="0" w:color="auto"/>
              </w:divBdr>
            </w:div>
            <w:div w:id="1365866859">
              <w:marLeft w:val="0"/>
              <w:marRight w:val="0"/>
              <w:marTop w:val="0"/>
              <w:marBottom w:val="240"/>
              <w:divBdr>
                <w:top w:val="none" w:sz="0" w:space="0" w:color="auto"/>
                <w:left w:val="none" w:sz="0" w:space="0" w:color="auto"/>
                <w:bottom w:val="none" w:sz="0" w:space="0" w:color="auto"/>
                <w:right w:val="none" w:sz="0" w:space="0" w:color="auto"/>
              </w:divBdr>
            </w:div>
            <w:div w:id="642078264">
              <w:marLeft w:val="0"/>
              <w:marRight w:val="0"/>
              <w:marTop w:val="0"/>
              <w:marBottom w:val="240"/>
              <w:divBdr>
                <w:top w:val="none" w:sz="0" w:space="0" w:color="auto"/>
                <w:left w:val="none" w:sz="0" w:space="0" w:color="auto"/>
                <w:bottom w:val="none" w:sz="0" w:space="0" w:color="auto"/>
                <w:right w:val="none" w:sz="0" w:space="0" w:color="auto"/>
              </w:divBdr>
            </w:div>
            <w:div w:id="880366625">
              <w:marLeft w:val="0"/>
              <w:marRight w:val="0"/>
              <w:marTop w:val="0"/>
              <w:marBottom w:val="240"/>
              <w:divBdr>
                <w:top w:val="none" w:sz="0" w:space="0" w:color="auto"/>
                <w:left w:val="none" w:sz="0" w:space="0" w:color="auto"/>
                <w:bottom w:val="none" w:sz="0" w:space="0" w:color="auto"/>
                <w:right w:val="none" w:sz="0" w:space="0" w:color="auto"/>
              </w:divBdr>
            </w:div>
            <w:div w:id="357396245">
              <w:marLeft w:val="0"/>
              <w:marRight w:val="0"/>
              <w:marTop w:val="0"/>
              <w:marBottom w:val="240"/>
              <w:divBdr>
                <w:top w:val="none" w:sz="0" w:space="0" w:color="auto"/>
                <w:left w:val="none" w:sz="0" w:space="0" w:color="auto"/>
                <w:bottom w:val="none" w:sz="0" w:space="0" w:color="auto"/>
                <w:right w:val="none" w:sz="0" w:space="0" w:color="auto"/>
              </w:divBdr>
            </w:div>
            <w:div w:id="381447472">
              <w:marLeft w:val="0"/>
              <w:marRight w:val="0"/>
              <w:marTop w:val="0"/>
              <w:marBottom w:val="240"/>
              <w:divBdr>
                <w:top w:val="none" w:sz="0" w:space="0" w:color="auto"/>
                <w:left w:val="none" w:sz="0" w:space="0" w:color="auto"/>
                <w:bottom w:val="none" w:sz="0" w:space="0" w:color="auto"/>
                <w:right w:val="none" w:sz="0" w:space="0" w:color="auto"/>
              </w:divBdr>
            </w:div>
            <w:div w:id="1842701543">
              <w:marLeft w:val="0"/>
              <w:marRight w:val="0"/>
              <w:marTop w:val="0"/>
              <w:marBottom w:val="240"/>
              <w:divBdr>
                <w:top w:val="none" w:sz="0" w:space="0" w:color="auto"/>
                <w:left w:val="none" w:sz="0" w:space="0" w:color="auto"/>
                <w:bottom w:val="none" w:sz="0" w:space="0" w:color="auto"/>
                <w:right w:val="none" w:sz="0" w:space="0" w:color="auto"/>
              </w:divBdr>
            </w:div>
            <w:div w:id="466509985">
              <w:marLeft w:val="0"/>
              <w:marRight w:val="0"/>
              <w:marTop w:val="0"/>
              <w:marBottom w:val="240"/>
              <w:divBdr>
                <w:top w:val="none" w:sz="0" w:space="0" w:color="auto"/>
                <w:left w:val="none" w:sz="0" w:space="0" w:color="auto"/>
                <w:bottom w:val="none" w:sz="0" w:space="0" w:color="auto"/>
                <w:right w:val="none" w:sz="0" w:space="0" w:color="auto"/>
              </w:divBdr>
            </w:div>
            <w:div w:id="599997323">
              <w:marLeft w:val="0"/>
              <w:marRight w:val="0"/>
              <w:marTop w:val="0"/>
              <w:marBottom w:val="240"/>
              <w:divBdr>
                <w:top w:val="none" w:sz="0" w:space="0" w:color="auto"/>
                <w:left w:val="none" w:sz="0" w:space="0" w:color="auto"/>
                <w:bottom w:val="none" w:sz="0" w:space="0" w:color="auto"/>
                <w:right w:val="none" w:sz="0" w:space="0" w:color="auto"/>
              </w:divBdr>
            </w:div>
            <w:div w:id="1556500867">
              <w:marLeft w:val="0"/>
              <w:marRight w:val="0"/>
              <w:marTop w:val="0"/>
              <w:marBottom w:val="240"/>
              <w:divBdr>
                <w:top w:val="none" w:sz="0" w:space="0" w:color="auto"/>
                <w:left w:val="none" w:sz="0" w:space="0" w:color="auto"/>
                <w:bottom w:val="none" w:sz="0" w:space="0" w:color="auto"/>
                <w:right w:val="none" w:sz="0" w:space="0" w:color="auto"/>
              </w:divBdr>
            </w:div>
            <w:div w:id="918097867">
              <w:marLeft w:val="0"/>
              <w:marRight w:val="0"/>
              <w:marTop w:val="0"/>
              <w:marBottom w:val="240"/>
              <w:divBdr>
                <w:top w:val="none" w:sz="0" w:space="0" w:color="auto"/>
                <w:left w:val="none" w:sz="0" w:space="0" w:color="auto"/>
                <w:bottom w:val="none" w:sz="0" w:space="0" w:color="auto"/>
                <w:right w:val="none" w:sz="0" w:space="0" w:color="auto"/>
              </w:divBdr>
            </w:div>
            <w:div w:id="1512917778">
              <w:marLeft w:val="0"/>
              <w:marRight w:val="0"/>
              <w:marTop w:val="0"/>
              <w:marBottom w:val="240"/>
              <w:divBdr>
                <w:top w:val="none" w:sz="0" w:space="0" w:color="auto"/>
                <w:left w:val="none" w:sz="0" w:space="0" w:color="auto"/>
                <w:bottom w:val="none" w:sz="0" w:space="0" w:color="auto"/>
                <w:right w:val="none" w:sz="0" w:space="0" w:color="auto"/>
              </w:divBdr>
            </w:div>
            <w:div w:id="5518360">
              <w:marLeft w:val="0"/>
              <w:marRight w:val="0"/>
              <w:marTop w:val="0"/>
              <w:marBottom w:val="240"/>
              <w:divBdr>
                <w:top w:val="none" w:sz="0" w:space="0" w:color="auto"/>
                <w:left w:val="none" w:sz="0" w:space="0" w:color="auto"/>
                <w:bottom w:val="none" w:sz="0" w:space="0" w:color="auto"/>
                <w:right w:val="none" w:sz="0" w:space="0" w:color="auto"/>
              </w:divBdr>
            </w:div>
            <w:div w:id="494303684">
              <w:marLeft w:val="0"/>
              <w:marRight w:val="0"/>
              <w:marTop w:val="0"/>
              <w:marBottom w:val="240"/>
              <w:divBdr>
                <w:top w:val="none" w:sz="0" w:space="0" w:color="auto"/>
                <w:left w:val="none" w:sz="0" w:space="0" w:color="auto"/>
                <w:bottom w:val="none" w:sz="0" w:space="0" w:color="auto"/>
                <w:right w:val="none" w:sz="0" w:space="0" w:color="auto"/>
              </w:divBdr>
            </w:div>
            <w:div w:id="134837073">
              <w:marLeft w:val="0"/>
              <w:marRight w:val="0"/>
              <w:marTop w:val="0"/>
              <w:marBottom w:val="240"/>
              <w:divBdr>
                <w:top w:val="none" w:sz="0" w:space="0" w:color="auto"/>
                <w:left w:val="none" w:sz="0" w:space="0" w:color="auto"/>
                <w:bottom w:val="none" w:sz="0" w:space="0" w:color="auto"/>
                <w:right w:val="none" w:sz="0" w:space="0" w:color="auto"/>
              </w:divBdr>
            </w:div>
            <w:div w:id="165437656">
              <w:marLeft w:val="0"/>
              <w:marRight w:val="0"/>
              <w:marTop w:val="0"/>
              <w:marBottom w:val="240"/>
              <w:divBdr>
                <w:top w:val="none" w:sz="0" w:space="0" w:color="auto"/>
                <w:left w:val="none" w:sz="0" w:space="0" w:color="auto"/>
                <w:bottom w:val="none" w:sz="0" w:space="0" w:color="auto"/>
                <w:right w:val="none" w:sz="0" w:space="0" w:color="auto"/>
              </w:divBdr>
            </w:div>
            <w:div w:id="1515997660">
              <w:marLeft w:val="0"/>
              <w:marRight w:val="0"/>
              <w:marTop w:val="0"/>
              <w:marBottom w:val="240"/>
              <w:divBdr>
                <w:top w:val="none" w:sz="0" w:space="0" w:color="auto"/>
                <w:left w:val="none" w:sz="0" w:space="0" w:color="auto"/>
                <w:bottom w:val="none" w:sz="0" w:space="0" w:color="auto"/>
                <w:right w:val="none" w:sz="0" w:space="0" w:color="auto"/>
              </w:divBdr>
            </w:div>
            <w:div w:id="618995567">
              <w:marLeft w:val="0"/>
              <w:marRight w:val="0"/>
              <w:marTop w:val="0"/>
              <w:marBottom w:val="240"/>
              <w:divBdr>
                <w:top w:val="none" w:sz="0" w:space="0" w:color="auto"/>
                <w:left w:val="none" w:sz="0" w:space="0" w:color="auto"/>
                <w:bottom w:val="none" w:sz="0" w:space="0" w:color="auto"/>
                <w:right w:val="none" w:sz="0" w:space="0" w:color="auto"/>
              </w:divBdr>
            </w:div>
            <w:div w:id="1826820575">
              <w:marLeft w:val="0"/>
              <w:marRight w:val="0"/>
              <w:marTop w:val="0"/>
              <w:marBottom w:val="240"/>
              <w:divBdr>
                <w:top w:val="none" w:sz="0" w:space="0" w:color="auto"/>
                <w:left w:val="none" w:sz="0" w:space="0" w:color="auto"/>
                <w:bottom w:val="none" w:sz="0" w:space="0" w:color="auto"/>
                <w:right w:val="none" w:sz="0" w:space="0" w:color="auto"/>
              </w:divBdr>
            </w:div>
            <w:div w:id="717046626">
              <w:marLeft w:val="0"/>
              <w:marRight w:val="0"/>
              <w:marTop w:val="0"/>
              <w:marBottom w:val="240"/>
              <w:divBdr>
                <w:top w:val="none" w:sz="0" w:space="0" w:color="auto"/>
                <w:left w:val="none" w:sz="0" w:space="0" w:color="auto"/>
                <w:bottom w:val="none" w:sz="0" w:space="0" w:color="auto"/>
                <w:right w:val="none" w:sz="0" w:space="0" w:color="auto"/>
              </w:divBdr>
            </w:div>
            <w:div w:id="612060573">
              <w:marLeft w:val="0"/>
              <w:marRight w:val="0"/>
              <w:marTop w:val="0"/>
              <w:marBottom w:val="240"/>
              <w:divBdr>
                <w:top w:val="none" w:sz="0" w:space="0" w:color="auto"/>
                <w:left w:val="none" w:sz="0" w:space="0" w:color="auto"/>
                <w:bottom w:val="none" w:sz="0" w:space="0" w:color="auto"/>
                <w:right w:val="none" w:sz="0" w:space="0" w:color="auto"/>
              </w:divBdr>
            </w:div>
            <w:div w:id="350230145">
              <w:marLeft w:val="0"/>
              <w:marRight w:val="0"/>
              <w:marTop w:val="0"/>
              <w:marBottom w:val="240"/>
              <w:divBdr>
                <w:top w:val="none" w:sz="0" w:space="0" w:color="auto"/>
                <w:left w:val="none" w:sz="0" w:space="0" w:color="auto"/>
                <w:bottom w:val="none" w:sz="0" w:space="0" w:color="auto"/>
                <w:right w:val="none" w:sz="0" w:space="0" w:color="auto"/>
              </w:divBdr>
            </w:div>
            <w:div w:id="183259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675402">
      <w:bodyDiv w:val="1"/>
      <w:marLeft w:val="0"/>
      <w:marRight w:val="0"/>
      <w:marTop w:val="0"/>
      <w:marBottom w:val="0"/>
      <w:divBdr>
        <w:top w:val="none" w:sz="0" w:space="0" w:color="auto"/>
        <w:left w:val="none" w:sz="0" w:space="0" w:color="auto"/>
        <w:bottom w:val="none" w:sz="0" w:space="0" w:color="auto"/>
        <w:right w:val="none" w:sz="0" w:space="0" w:color="auto"/>
      </w:divBdr>
    </w:div>
    <w:div w:id="1681810737">
      <w:bodyDiv w:val="1"/>
      <w:marLeft w:val="0"/>
      <w:marRight w:val="0"/>
      <w:marTop w:val="0"/>
      <w:marBottom w:val="0"/>
      <w:divBdr>
        <w:top w:val="none" w:sz="0" w:space="0" w:color="auto"/>
        <w:left w:val="none" w:sz="0" w:space="0" w:color="auto"/>
        <w:bottom w:val="none" w:sz="0" w:space="0" w:color="auto"/>
        <w:right w:val="none" w:sz="0" w:space="0" w:color="auto"/>
      </w:divBdr>
    </w:div>
    <w:div w:id="1686859514">
      <w:bodyDiv w:val="1"/>
      <w:marLeft w:val="0"/>
      <w:marRight w:val="0"/>
      <w:marTop w:val="0"/>
      <w:marBottom w:val="0"/>
      <w:divBdr>
        <w:top w:val="none" w:sz="0" w:space="0" w:color="auto"/>
        <w:left w:val="none" w:sz="0" w:space="0" w:color="auto"/>
        <w:bottom w:val="none" w:sz="0" w:space="0" w:color="auto"/>
        <w:right w:val="none" w:sz="0" w:space="0" w:color="auto"/>
      </w:divBdr>
    </w:div>
    <w:div w:id="1686979852">
      <w:bodyDiv w:val="1"/>
      <w:marLeft w:val="0"/>
      <w:marRight w:val="0"/>
      <w:marTop w:val="0"/>
      <w:marBottom w:val="0"/>
      <w:divBdr>
        <w:top w:val="none" w:sz="0" w:space="0" w:color="auto"/>
        <w:left w:val="none" w:sz="0" w:space="0" w:color="auto"/>
        <w:bottom w:val="none" w:sz="0" w:space="0" w:color="auto"/>
        <w:right w:val="none" w:sz="0" w:space="0" w:color="auto"/>
      </w:divBdr>
      <w:divsChild>
        <w:div w:id="1502886518">
          <w:marLeft w:val="480"/>
          <w:marRight w:val="0"/>
          <w:marTop w:val="0"/>
          <w:marBottom w:val="0"/>
          <w:divBdr>
            <w:top w:val="none" w:sz="0" w:space="0" w:color="auto"/>
            <w:left w:val="none" w:sz="0" w:space="0" w:color="auto"/>
            <w:bottom w:val="none" w:sz="0" w:space="0" w:color="auto"/>
            <w:right w:val="none" w:sz="0" w:space="0" w:color="auto"/>
          </w:divBdr>
          <w:divsChild>
            <w:div w:id="1218122791">
              <w:marLeft w:val="0"/>
              <w:marRight w:val="0"/>
              <w:marTop w:val="0"/>
              <w:marBottom w:val="240"/>
              <w:divBdr>
                <w:top w:val="none" w:sz="0" w:space="0" w:color="auto"/>
                <w:left w:val="none" w:sz="0" w:space="0" w:color="auto"/>
                <w:bottom w:val="none" w:sz="0" w:space="0" w:color="auto"/>
                <w:right w:val="none" w:sz="0" w:space="0" w:color="auto"/>
              </w:divBdr>
            </w:div>
            <w:div w:id="45025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507969">
      <w:bodyDiv w:val="1"/>
      <w:marLeft w:val="0"/>
      <w:marRight w:val="0"/>
      <w:marTop w:val="0"/>
      <w:marBottom w:val="0"/>
      <w:divBdr>
        <w:top w:val="none" w:sz="0" w:space="0" w:color="auto"/>
        <w:left w:val="none" w:sz="0" w:space="0" w:color="auto"/>
        <w:bottom w:val="none" w:sz="0" w:space="0" w:color="auto"/>
        <w:right w:val="none" w:sz="0" w:space="0" w:color="auto"/>
      </w:divBdr>
      <w:divsChild>
        <w:div w:id="863438541">
          <w:marLeft w:val="480"/>
          <w:marRight w:val="0"/>
          <w:marTop w:val="0"/>
          <w:marBottom w:val="0"/>
          <w:divBdr>
            <w:top w:val="none" w:sz="0" w:space="0" w:color="auto"/>
            <w:left w:val="none" w:sz="0" w:space="0" w:color="auto"/>
            <w:bottom w:val="none" w:sz="0" w:space="0" w:color="auto"/>
            <w:right w:val="none" w:sz="0" w:space="0" w:color="auto"/>
          </w:divBdr>
          <w:divsChild>
            <w:div w:id="1118909219">
              <w:marLeft w:val="0"/>
              <w:marRight w:val="0"/>
              <w:marTop w:val="0"/>
              <w:marBottom w:val="240"/>
              <w:divBdr>
                <w:top w:val="none" w:sz="0" w:space="0" w:color="auto"/>
                <w:left w:val="none" w:sz="0" w:space="0" w:color="auto"/>
                <w:bottom w:val="none" w:sz="0" w:space="0" w:color="auto"/>
                <w:right w:val="none" w:sz="0" w:space="0" w:color="auto"/>
              </w:divBdr>
            </w:div>
            <w:div w:id="1539778449">
              <w:marLeft w:val="0"/>
              <w:marRight w:val="0"/>
              <w:marTop w:val="0"/>
              <w:marBottom w:val="240"/>
              <w:divBdr>
                <w:top w:val="none" w:sz="0" w:space="0" w:color="auto"/>
                <w:left w:val="none" w:sz="0" w:space="0" w:color="auto"/>
                <w:bottom w:val="none" w:sz="0" w:space="0" w:color="auto"/>
                <w:right w:val="none" w:sz="0" w:space="0" w:color="auto"/>
              </w:divBdr>
            </w:div>
            <w:div w:id="2007900942">
              <w:marLeft w:val="0"/>
              <w:marRight w:val="0"/>
              <w:marTop w:val="0"/>
              <w:marBottom w:val="240"/>
              <w:divBdr>
                <w:top w:val="none" w:sz="0" w:space="0" w:color="auto"/>
                <w:left w:val="none" w:sz="0" w:space="0" w:color="auto"/>
                <w:bottom w:val="none" w:sz="0" w:space="0" w:color="auto"/>
                <w:right w:val="none" w:sz="0" w:space="0" w:color="auto"/>
              </w:divBdr>
            </w:div>
            <w:div w:id="1905411680">
              <w:marLeft w:val="0"/>
              <w:marRight w:val="0"/>
              <w:marTop w:val="0"/>
              <w:marBottom w:val="240"/>
              <w:divBdr>
                <w:top w:val="none" w:sz="0" w:space="0" w:color="auto"/>
                <w:left w:val="none" w:sz="0" w:space="0" w:color="auto"/>
                <w:bottom w:val="none" w:sz="0" w:space="0" w:color="auto"/>
                <w:right w:val="none" w:sz="0" w:space="0" w:color="auto"/>
              </w:divBdr>
            </w:div>
            <w:div w:id="1579825918">
              <w:marLeft w:val="0"/>
              <w:marRight w:val="0"/>
              <w:marTop w:val="0"/>
              <w:marBottom w:val="240"/>
              <w:divBdr>
                <w:top w:val="none" w:sz="0" w:space="0" w:color="auto"/>
                <w:left w:val="none" w:sz="0" w:space="0" w:color="auto"/>
                <w:bottom w:val="none" w:sz="0" w:space="0" w:color="auto"/>
                <w:right w:val="none" w:sz="0" w:space="0" w:color="auto"/>
              </w:divBdr>
            </w:div>
            <w:div w:id="1153647283">
              <w:marLeft w:val="0"/>
              <w:marRight w:val="0"/>
              <w:marTop w:val="0"/>
              <w:marBottom w:val="240"/>
              <w:divBdr>
                <w:top w:val="none" w:sz="0" w:space="0" w:color="auto"/>
                <w:left w:val="none" w:sz="0" w:space="0" w:color="auto"/>
                <w:bottom w:val="none" w:sz="0" w:space="0" w:color="auto"/>
                <w:right w:val="none" w:sz="0" w:space="0" w:color="auto"/>
              </w:divBdr>
            </w:div>
            <w:div w:id="2017610943">
              <w:marLeft w:val="0"/>
              <w:marRight w:val="0"/>
              <w:marTop w:val="0"/>
              <w:marBottom w:val="240"/>
              <w:divBdr>
                <w:top w:val="none" w:sz="0" w:space="0" w:color="auto"/>
                <w:left w:val="none" w:sz="0" w:space="0" w:color="auto"/>
                <w:bottom w:val="none" w:sz="0" w:space="0" w:color="auto"/>
                <w:right w:val="none" w:sz="0" w:space="0" w:color="auto"/>
              </w:divBdr>
            </w:div>
            <w:div w:id="1207765385">
              <w:marLeft w:val="0"/>
              <w:marRight w:val="0"/>
              <w:marTop w:val="0"/>
              <w:marBottom w:val="240"/>
              <w:divBdr>
                <w:top w:val="none" w:sz="0" w:space="0" w:color="auto"/>
                <w:left w:val="none" w:sz="0" w:space="0" w:color="auto"/>
                <w:bottom w:val="none" w:sz="0" w:space="0" w:color="auto"/>
                <w:right w:val="none" w:sz="0" w:space="0" w:color="auto"/>
              </w:divBdr>
            </w:div>
            <w:div w:id="1406679821">
              <w:marLeft w:val="0"/>
              <w:marRight w:val="0"/>
              <w:marTop w:val="0"/>
              <w:marBottom w:val="240"/>
              <w:divBdr>
                <w:top w:val="none" w:sz="0" w:space="0" w:color="auto"/>
                <w:left w:val="none" w:sz="0" w:space="0" w:color="auto"/>
                <w:bottom w:val="none" w:sz="0" w:space="0" w:color="auto"/>
                <w:right w:val="none" w:sz="0" w:space="0" w:color="auto"/>
              </w:divBdr>
            </w:div>
            <w:div w:id="2034914397">
              <w:marLeft w:val="0"/>
              <w:marRight w:val="0"/>
              <w:marTop w:val="0"/>
              <w:marBottom w:val="240"/>
              <w:divBdr>
                <w:top w:val="none" w:sz="0" w:space="0" w:color="auto"/>
                <w:left w:val="none" w:sz="0" w:space="0" w:color="auto"/>
                <w:bottom w:val="none" w:sz="0" w:space="0" w:color="auto"/>
                <w:right w:val="none" w:sz="0" w:space="0" w:color="auto"/>
              </w:divBdr>
            </w:div>
            <w:div w:id="671496785">
              <w:marLeft w:val="0"/>
              <w:marRight w:val="0"/>
              <w:marTop w:val="0"/>
              <w:marBottom w:val="240"/>
              <w:divBdr>
                <w:top w:val="none" w:sz="0" w:space="0" w:color="auto"/>
                <w:left w:val="none" w:sz="0" w:space="0" w:color="auto"/>
                <w:bottom w:val="none" w:sz="0" w:space="0" w:color="auto"/>
                <w:right w:val="none" w:sz="0" w:space="0" w:color="auto"/>
              </w:divBdr>
            </w:div>
            <w:div w:id="1470244228">
              <w:marLeft w:val="0"/>
              <w:marRight w:val="0"/>
              <w:marTop w:val="0"/>
              <w:marBottom w:val="240"/>
              <w:divBdr>
                <w:top w:val="none" w:sz="0" w:space="0" w:color="auto"/>
                <w:left w:val="none" w:sz="0" w:space="0" w:color="auto"/>
                <w:bottom w:val="none" w:sz="0" w:space="0" w:color="auto"/>
                <w:right w:val="none" w:sz="0" w:space="0" w:color="auto"/>
              </w:divBdr>
            </w:div>
            <w:div w:id="1095437946">
              <w:marLeft w:val="0"/>
              <w:marRight w:val="0"/>
              <w:marTop w:val="0"/>
              <w:marBottom w:val="240"/>
              <w:divBdr>
                <w:top w:val="none" w:sz="0" w:space="0" w:color="auto"/>
                <w:left w:val="none" w:sz="0" w:space="0" w:color="auto"/>
                <w:bottom w:val="none" w:sz="0" w:space="0" w:color="auto"/>
                <w:right w:val="none" w:sz="0" w:space="0" w:color="auto"/>
              </w:divBdr>
            </w:div>
            <w:div w:id="1712916563">
              <w:marLeft w:val="0"/>
              <w:marRight w:val="0"/>
              <w:marTop w:val="0"/>
              <w:marBottom w:val="240"/>
              <w:divBdr>
                <w:top w:val="none" w:sz="0" w:space="0" w:color="auto"/>
                <w:left w:val="none" w:sz="0" w:space="0" w:color="auto"/>
                <w:bottom w:val="none" w:sz="0" w:space="0" w:color="auto"/>
                <w:right w:val="none" w:sz="0" w:space="0" w:color="auto"/>
              </w:divBdr>
            </w:div>
            <w:div w:id="1595168139">
              <w:marLeft w:val="0"/>
              <w:marRight w:val="0"/>
              <w:marTop w:val="0"/>
              <w:marBottom w:val="240"/>
              <w:divBdr>
                <w:top w:val="none" w:sz="0" w:space="0" w:color="auto"/>
                <w:left w:val="none" w:sz="0" w:space="0" w:color="auto"/>
                <w:bottom w:val="none" w:sz="0" w:space="0" w:color="auto"/>
                <w:right w:val="none" w:sz="0" w:space="0" w:color="auto"/>
              </w:divBdr>
            </w:div>
            <w:div w:id="1615793482">
              <w:marLeft w:val="0"/>
              <w:marRight w:val="0"/>
              <w:marTop w:val="0"/>
              <w:marBottom w:val="240"/>
              <w:divBdr>
                <w:top w:val="none" w:sz="0" w:space="0" w:color="auto"/>
                <w:left w:val="none" w:sz="0" w:space="0" w:color="auto"/>
                <w:bottom w:val="none" w:sz="0" w:space="0" w:color="auto"/>
                <w:right w:val="none" w:sz="0" w:space="0" w:color="auto"/>
              </w:divBdr>
            </w:div>
            <w:div w:id="1339045505">
              <w:marLeft w:val="0"/>
              <w:marRight w:val="0"/>
              <w:marTop w:val="0"/>
              <w:marBottom w:val="240"/>
              <w:divBdr>
                <w:top w:val="none" w:sz="0" w:space="0" w:color="auto"/>
                <w:left w:val="none" w:sz="0" w:space="0" w:color="auto"/>
                <w:bottom w:val="none" w:sz="0" w:space="0" w:color="auto"/>
                <w:right w:val="none" w:sz="0" w:space="0" w:color="auto"/>
              </w:divBdr>
            </w:div>
            <w:div w:id="206920207">
              <w:marLeft w:val="0"/>
              <w:marRight w:val="0"/>
              <w:marTop w:val="0"/>
              <w:marBottom w:val="240"/>
              <w:divBdr>
                <w:top w:val="none" w:sz="0" w:space="0" w:color="auto"/>
                <w:left w:val="none" w:sz="0" w:space="0" w:color="auto"/>
                <w:bottom w:val="none" w:sz="0" w:space="0" w:color="auto"/>
                <w:right w:val="none" w:sz="0" w:space="0" w:color="auto"/>
              </w:divBdr>
            </w:div>
            <w:div w:id="322663949">
              <w:marLeft w:val="0"/>
              <w:marRight w:val="0"/>
              <w:marTop w:val="0"/>
              <w:marBottom w:val="240"/>
              <w:divBdr>
                <w:top w:val="none" w:sz="0" w:space="0" w:color="auto"/>
                <w:left w:val="none" w:sz="0" w:space="0" w:color="auto"/>
                <w:bottom w:val="none" w:sz="0" w:space="0" w:color="auto"/>
                <w:right w:val="none" w:sz="0" w:space="0" w:color="auto"/>
              </w:divBdr>
            </w:div>
            <w:div w:id="2089764367">
              <w:marLeft w:val="0"/>
              <w:marRight w:val="0"/>
              <w:marTop w:val="0"/>
              <w:marBottom w:val="240"/>
              <w:divBdr>
                <w:top w:val="none" w:sz="0" w:space="0" w:color="auto"/>
                <w:left w:val="none" w:sz="0" w:space="0" w:color="auto"/>
                <w:bottom w:val="none" w:sz="0" w:space="0" w:color="auto"/>
                <w:right w:val="none" w:sz="0" w:space="0" w:color="auto"/>
              </w:divBdr>
            </w:div>
            <w:div w:id="929388963">
              <w:marLeft w:val="0"/>
              <w:marRight w:val="0"/>
              <w:marTop w:val="0"/>
              <w:marBottom w:val="240"/>
              <w:divBdr>
                <w:top w:val="none" w:sz="0" w:space="0" w:color="auto"/>
                <w:left w:val="none" w:sz="0" w:space="0" w:color="auto"/>
                <w:bottom w:val="none" w:sz="0" w:space="0" w:color="auto"/>
                <w:right w:val="none" w:sz="0" w:space="0" w:color="auto"/>
              </w:divBdr>
            </w:div>
            <w:div w:id="1575240393">
              <w:marLeft w:val="0"/>
              <w:marRight w:val="0"/>
              <w:marTop w:val="0"/>
              <w:marBottom w:val="240"/>
              <w:divBdr>
                <w:top w:val="none" w:sz="0" w:space="0" w:color="auto"/>
                <w:left w:val="none" w:sz="0" w:space="0" w:color="auto"/>
                <w:bottom w:val="none" w:sz="0" w:space="0" w:color="auto"/>
                <w:right w:val="none" w:sz="0" w:space="0" w:color="auto"/>
              </w:divBdr>
            </w:div>
            <w:div w:id="627971645">
              <w:marLeft w:val="0"/>
              <w:marRight w:val="0"/>
              <w:marTop w:val="0"/>
              <w:marBottom w:val="240"/>
              <w:divBdr>
                <w:top w:val="none" w:sz="0" w:space="0" w:color="auto"/>
                <w:left w:val="none" w:sz="0" w:space="0" w:color="auto"/>
                <w:bottom w:val="none" w:sz="0" w:space="0" w:color="auto"/>
                <w:right w:val="none" w:sz="0" w:space="0" w:color="auto"/>
              </w:divBdr>
            </w:div>
            <w:div w:id="546377892">
              <w:marLeft w:val="0"/>
              <w:marRight w:val="0"/>
              <w:marTop w:val="0"/>
              <w:marBottom w:val="240"/>
              <w:divBdr>
                <w:top w:val="none" w:sz="0" w:space="0" w:color="auto"/>
                <w:left w:val="none" w:sz="0" w:space="0" w:color="auto"/>
                <w:bottom w:val="none" w:sz="0" w:space="0" w:color="auto"/>
                <w:right w:val="none" w:sz="0" w:space="0" w:color="auto"/>
              </w:divBdr>
            </w:div>
            <w:div w:id="57830016">
              <w:marLeft w:val="0"/>
              <w:marRight w:val="0"/>
              <w:marTop w:val="0"/>
              <w:marBottom w:val="240"/>
              <w:divBdr>
                <w:top w:val="none" w:sz="0" w:space="0" w:color="auto"/>
                <w:left w:val="none" w:sz="0" w:space="0" w:color="auto"/>
                <w:bottom w:val="none" w:sz="0" w:space="0" w:color="auto"/>
                <w:right w:val="none" w:sz="0" w:space="0" w:color="auto"/>
              </w:divBdr>
            </w:div>
            <w:div w:id="1675690260">
              <w:marLeft w:val="0"/>
              <w:marRight w:val="0"/>
              <w:marTop w:val="0"/>
              <w:marBottom w:val="240"/>
              <w:divBdr>
                <w:top w:val="none" w:sz="0" w:space="0" w:color="auto"/>
                <w:left w:val="none" w:sz="0" w:space="0" w:color="auto"/>
                <w:bottom w:val="none" w:sz="0" w:space="0" w:color="auto"/>
                <w:right w:val="none" w:sz="0" w:space="0" w:color="auto"/>
              </w:divBdr>
            </w:div>
            <w:div w:id="1439644437">
              <w:marLeft w:val="0"/>
              <w:marRight w:val="0"/>
              <w:marTop w:val="0"/>
              <w:marBottom w:val="240"/>
              <w:divBdr>
                <w:top w:val="none" w:sz="0" w:space="0" w:color="auto"/>
                <w:left w:val="none" w:sz="0" w:space="0" w:color="auto"/>
                <w:bottom w:val="none" w:sz="0" w:space="0" w:color="auto"/>
                <w:right w:val="none" w:sz="0" w:space="0" w:color="auto"/>
              </w:divBdr>
            </w:div>
            <w:div w:id="702629990">
              <w:marLeft w:val="0"/>
              <w:marRight w:val="0"/>
              <w:marTop w:val="0"/>
              <w:marBottom w:val="240"/>
              <w:divBdr>
                <w:top w:val="none" w:sz="0" w:space="0" w:color="auto"/>
                <w:left w:val="none" w:sz="0" w:space="0" w:color="auto"/>
                <w:bottom w:val="none" w:sz="0" w:space="0" w:color="auto"/>
                <w:right w:val="none" w:sz="0" w:space="0" w:color="auto"/>
              </w:divBdr>
            </w:div>
            <w:div w:id="102463827">
              <w:marLeft w:val="0"/>
              <w:marRight w:val="0"/>
              <w:marTop w:val="0"/>
              <w:marBottom w:val="240"/>
              <w:divBdr>
                <w:top w:val="none" w:sz="0" w:space="0" w:color="auto"/>
                <w:left w:val="none" w:sz="0" w:space="0" w:color="auto"/>
                <w:bottom w:val="none" w:sz="0" w:space="0" w:color="auto"/>
                <w:right w:val="none" w:sz="0" w:space="0" w:color="auto"/>
              </w:divBdr>
            </w:div>
            <w:div w:id="470638073">
              <w:marLeft w:val="0"/>
              <w:marRight w:val="0"/>
              <w:marTop w:val="0"/>
              <w:marBottom w:val="240"/>
              <w:divBdr>
                <w:top w:val="none" w:sz="0" w:space="0" w:color="auto"/>
                <w:left w:val="none" w:sz="0" w:space="0" w:color="auto"/>
                <w:bottom w:val="none" w:sz="0" w:space="0" w:color="auto"/>
                <w:right w:val="none" w:sz="0" w:space="0" w:color="auto"/>
              </w:divBdr>
            </w:div>
            <w:div w:id="712730904">
              <w:marLeft w:val="0"/>
              <w:marRight w:val="0"/>
              <w:marTop w:val="0"/>
              <w:marBottom w:val="240"/>
              <w:divBdr>
                <w:top w:val="none" w:sz="0" w:space="0" w:color="auto"/>
                <w:left w:val="none" w:sz="0" w:space="0" w:color="auto"/>
                <w:bottom w:val="none" w:sz="0" w:space="0" w:color="auto"/>
                <w:right w:val="none" w:sz="0" w:space="0" w:color="auto"/>
              </w:divBdr>
            </w:div>
            <w:div w:id="1519465934">
              <w:marLeft w:val="0"/>
              <w:marRight w:val="0"/>
              <w:marTop w:val="0"/>
              <w:marBottom w:val="240"/>
              <w:divBdr>
                <w:top w:val="none" w:sz="0" w:space="0" w:color="auto"/>
                <w:left w:val="none" w:sz="0" w:space="0" w:color="auto"/>
                <w:bottom w:val="none" w:sz="0" w:space="0" w:color="auto"/>
                <w:right w:val="none" w:sz="0" w:space="0" w:color="auto"/>
              </w:divBdr>
            </w:div>
            <w:div w:id="638459225">
              <w:marLeft w:val="0"/>
              <w:marRight w:val="0"/>
              <w:marTop w:val="0"/>
              <w:marBottom w:val="240"/>
              <w:divBdr>
                <w:top w:val="none" w:sz="0" w:space="0" w:color="auto"/>
                <w:left w:val="none" w:sz="0" w:space="0" w:color="auto"/>
                <w:bottom w:val="none" w:sz="0" w:space="0" w:color="auto"/>
                <w:right w:val="none" w:sz="0" w:space="0" w:color="auto"/>
              </w:divBdr>
            </w:div>
            <w:div w:id="1890146465">
              <w:marLeft w:val="0"/>
              <w:marRight w:val="0"/>
              <w:marTop w:val="0"/>
              <w:marBottom w:val="240"/>
              <w:divBdr>
                <w:top w:val="none" w:sz="0" w:space="0" w:color="auto"/>
                <w:left w:val="none" w:sz="0" w:space="0" w:color="auto"/>
                <w:bottom w:val="none" w:sz="0" w:space="0" w:color="auto"/>
                <w:right w:val="none" w:sz="0" w:space="0" w:color="auto"/>
              </w:divBdr>
            </w:div>
            <w:div w:id="1104376895">
              <w:marLeft w:val="0"/>
              <w:marRight w:val="0"/>
              <w:marTop w:val="0"/>
              <w:marBottom w:val="240"/>
              <w:divBdr>
                <w:top w:val="none" w:sz="0" w:space="0" w:color="auto"/>
                <w:left w:val="none" w:sz="0" w:space="0" w:color="auto"/>
                <w:bottom w:val="none" w:sz="0" w:space="0" w:color="auto"/>
                <w:right w:val="none" w:sz="0" w:space="0" w:color="auto"/>
              </w:divBdr>
            </w:div>
            <w:div w:id="1009408025">
              <w:marLeft w:val="0"/>
              <w:marRight w:val="0"/>
              <w:marTop w:val="0"/>
              <w:marBottom w:val="240"/>
              <w:divBdr>
                <w:top w:val="none" w:sz="0" w:space="0" w:color="auto"/>
                <w:left w:val="none" w:sz="0" w:space="0" w:color="auto"/>
                <w:bottom w:val="none" w:sz="0" w:space="0" w:color="auto"/>
                <w:right w:val="none" w:sz="0" w:space="0" w:color="auto"/>
              </w:divBdr>
            </w:div>
            <w:div w:id="1569458171">
              <w:marLeft w:val="0"/>
              <w:marRight w:val="0"/>
              <w:marTop w:val="0"/>
              <w:marBottom w:val="240"/>
              <w:divBdr>
                <w:top w:val="none" w:sz="0" w:space="0" w:color="auto"/>
                <w:left w:val="none" w:sz="0" w:space="0" w:color="auto"/>
                <w:bottom w:val="none" w:sz="0" w:space="0" w:color="auto"/>
                <w:right w:val="none" w:sz="0" w:space="0" w:color="auto"/>
              </w:divBdr>
            </w:div>
            <w:div w:id="665787372">
              <w:marLeft w:val="0"/>
              <w:marRight w:val="0"/>
              <w:marTop w:val="0"/>
              <w:marBottom w:val="240"/>
              <w:divBdr>
                <w:top w:val="none" w:sz="0" w:space="0" w:color="auto"/>
                <w:left w:val="none" w:sz="0" w:space="0" w:color="auto"/>
                <w:bottom w:val="none" w:sz="0" w:space="0" w:color="auto"/>
                <w:right w:val="none" w:sz="0" w:space="0" w:color="auto"/>
              </w:divBdr>
            </w:div>
            <w:div w:id="824475111">
              <w:marLeft w:val="0"/>
              <w:marRight w:val="0"/>
              <w:marTop w:val="0"/>
              <w:marBottom w:val="240"/>
              <w:divBdr>
                <w:top w:val="none" w:sz="0" w:space="0" w:color="auto"/>
                <w:left w:val="none" w:sz="0" w:space="0" w:color="auto"/>
                <w:bottom w:val="none" w:sz="0" w:space="0" w:color="auto"/>
                <w:right w:val="none" w:sz="0" w:space="0" w:color="auto"/>
              </w:divBdr>
            </w:div>
            <w:div w:id="819806938">
              <w:marLeft w:val="0"/>
              <w:marRight w:val="0"/>
              <w:marTop w:val="0"/>
              <w:marBottom w:val="240"/>
              <w:divBdr>
                <w:top w:val="none" w:sz="0" w:space="0" w:color="auto"/>
                <w:left w:val="none" w:sz="0" w:space="0" w:color="auto"/>
                <w:bottom w:val="none" w:sz="0" w:space="0" w:color="auto"/>
                <w:right w:val="none" w:sz="0" w:space="0" w:color="auto"/>
              </w:divBdr>
            </w:div>
            <w:div w:id="1316178549">
              <w:marLeft w:val="0"/>
              <w:marRight w:val="0"/>
              <w:marTop w:val="0"/>
              <w:marBottom w:val="240"/>
              <w:divBdr>
                <w:top w:val="none" w:sz="0" w:space="0" w:color="auto"/>
                <w:left w:val="none" w:sz="0" w:space="0" w:color="auto"/>
                <w:bottom w:val="none" w:sz="0" w:space="0" w:color="auto"/>
                <w:right w:val="none" w:sz="0" w:space="0" w:color="auto"/>
              </w:divBdr>
            </w:div>
            <w:div w:id="212811450">
              <w:marLeft w:val="0"/>
              <w:marRight w:val="0"/>
              <w:marTop w:val="0"/>
              <w:marBottom w:val="240"/>
              <w:divBdr>
                <w:top w:val="none" w:sz="0" w:space="0" w:color="auto"/>
                <w:left w:val="none" w:sz="0" w:space="0" w:color="auto"/>
                <w:bottom w:val="none" w:sz="0" w:space="0" w:color="auto"/>
                <w:right w:val="none" w:sz="0" w:space="0" w:color="auto"/>
              </w:divBdr>
            </w:div>
            <w:div w:id="275525561">
              <w:marLeft w:val="0"/>
              <w:marRight w:val="0"/>
              <w:marTop w:val="0"/>
              <w:marBottom w:val="240"/>
              <w:divBdr>
                <w:top w:val="none" w:sz="0" w:space="0" w:color="auto"/>
                <w:left w:val="none" w:sz="0" w:space="0" w:color="auto"/>
                <w:bottom w:val="none" w:sz="0" w:space="0" w:color="auto"/>
                <w:right w:val="none" w:sz="0" w:space="0" w:color="auto"/>
              </w:divBdr>
            </w:div>
            <w:div w:id="1811051332">
              <w:marLeft w:val="0"/>
              <w:marRight w:val="0"/>
              <w:marTop w:val="0"/>
              <w:marBottom w:val="240"/>
              <w:divBdr>
                <w:top w:val="none" w:sz="0" w:space="0" w:color="auto"/>
                <w:left w:val="none" w:sz="0" w:space="0" w:color="auto"/>
                <w:bottom w:val="none" w:sz="0" w:space="0" w:color="auto"/>
                <w:right w:val="none" w:sz="0" w:space="0" w:color="auto"/>
              </w:divBdr>
            </w:div>
            <w:div w:id="890846258">
              <w:marLeft w:val="0"/>
              <w:marRight w:val="0"/>
              <w:marTop w:val="0"/>
              <w:marBottom w:val="240"/>
              <w:divBdr>
                <w:top w:val="none" w:sz="0" w:space="0" w:color="auto"/>
                <w:left w:val="none" w:sz="0" w:space="0" w:color="auto"/>
                <w:bottom w:val="none" w:sz="0" w:space="0" w:color="auto"/>
                <w:right w:val="none" w:sz="0" w:space="0" w:color="auto"/>
              </w:divBdr>
            </w:div>
            <w:div w:id="1488787837">
              <w:marLeft w:val="0"/>
              <w:marRight w:val="0"/>
              <w:marTop w:val="0"/>
              <w:marBottom w:val="240"/>
              <w:divBdr>
                <w:top w:val="none" w:sz="0" w:space="0" w:color="auto"/>
                <w:left w:val="none" w:sz="0" w:space="0" w:color="auto"/>
                <w:bottom w:val="none" w:sz="0" w:space="0" w:color="auto"/>
                <w:right w:val="none" w:sz="0" w:space="0" w:color="auto"/>
              </w:divBdr>
            </w:div>
            <w:div w:id="1633831607">
              <w:marLeft w:val="0"/>
              <w:marRight w:val="0"/>
              <w:marTop w:val="0"/>
              <w:marBottom w:val="240"/>
              <w:divBdr>
                <w:top w:val="none" w:sz="0" w:space="0" w:color="auto"/>
                <w:left w:val="none" w:sz="0" w:space="0" w:color="auto"/>
                <w:bottom w:val="none" w:sz="0" w:space="0" w:color="auto"/>
                <w:right w:val="none" w:sz="0" w:space="0" w:color="auto"/>
              </w:divBdr>
            </w:div>
            <w:div w:id="1795322682">
              <w:marLeft w:val="0"/>
              <w:marRight w:val="0"/>
              <w:marTop w:val="0"/>
              <w:marBottom w:val="240"/>
              <w:divBdr>
                <w:top w:val="none" w:sz="0" w:space="0" w:color="auto"/>
                <w:left w:val="none" w:sz="0" w:space="0" w:color="auto"/>
                <w:bottom w:val="none" w:sz="0" w:space="0" w:color="auto"/>
                <w:right w:val="none" w:sz="0" w:space="0" w:color="auto"/>
              </w:divBdr>
            </w:div>
            <w:div w:id="521407561">
              <w:marLeft w:val="0"/>
              <w:marRight w:val="0"/>
              <w:marTop w:val="0"/>
              <w:marBottom w:val="240"/>
              <w:divBdr>
                <w:top w:val="none" w:sz="0" w:space="0" w:color="auto"/>
                <w:left w:val="none" w:sz="0" w:space="0" w:color="auto"/>
                <w:bottom w:val="none" w:sz="0" w:space="0" w:color="auto"/>
                <w:right w:val="none" w:sz="0" w:space="0" w:color="auto"/>
              </w:divBdr>
            </w:div>
            <w:div w:id="1723600933">
              <w:marLeft w:val="0"/>
              <w:marRight w:val="0"/>
              <w:marTop w:val="0"/>
              <w:marBottom w:val="240"/>
              <w:divBdr>
                <w:top w:val="none" w:sz="0" w:space="0" w:color="auto"/>
                <w:left w:val="none" w:sz="0" w:space="0" w:color="auto"/>
                <w:bottom w:val="none" w:sz="0" w:space="0" w:color="auto"/>
                <w:right w:val="none" w:sz="0" w:space="0" w:color="auto"/>
              </w:divBdr>
            </w:div>
            <w:div w:id="1476681335">
              <w:marLeft w:val="0"/>
              <w:marRight w:val="0"/>
              <w:marTop w:val="0"/>
              <w:marBottom w:val="240"/>
              <w:divBdr>
                <w:top w:val="none" w:sz="0" w:space="0" w:color="auto"/>
                <w:left w:val="none" w:sz="0" w:space="0" w:color="auto"/>
                <w:bottom w:val="none" w:sz="0" w:space="0" w:color="auto"/>
                <w:right w:val="none" w:sz="0" w:space="0" w:color="auto"/>
              </w:divBdr>
            </w:div>
            <w:div w:id="506093713">
              <w:marLeft w:val="0"/>
              <w:marRight w:val="0"/>
              <w:marTop w:val="0"/>
              <w:marBottom w:val="240"/>
              <w:divBdr>
                <w:top w:val="none" w:sz="0" w:space="0" w:color="auto"/>
                <w:left w:val="none" w:sz="0" w:space="0" w:color="auto"/>
                <w:bottom w:val="none" w:sz="0" w:space="0" w:color="auto"/>
                <w:right w:val="none" w:sz="0" w:space="0" w:color="auto"/>
              </w:divBdr>
            </w:div>
            <w:div w:id="912858689">
              <w:marLeft w:val="0"/>
              <w:marRight w:val="0"/>
              <w:marTop w:val="0"/>
              <w:marBottom w:val="240"/>
              <w:divBdr>
                <w:top w:val="none" w:sz="0" w:space="0" w:color="auto"/>
                <w:left w:val="none" w:sz="0" w:space="0" w:color="auto"/>
                <w:bottom w:val="none" w:sz="0" w:space="0" w:color="auto"/>
                <w:right w:val="none" w:sz="0" w:space="0" w:color="auto"/>
              </w:divBdr>
            </w:div>
            <w:div w:id="949243607">
              <w:marLeft w:val="0"/>
              <w:marRight w:val="0"/>
              <w:marTop w:val="0"/>
              <w:marBottom w:val="240"/>
              <w:divBdr>
                <w:top w:val="none" w:sz="0" w:space="0" w:color="auto"/>
                <w:left w:val="none" w:sz="0" w:space="0" w:color="auto"/>
                <w:bottom w:val="none" w:sz="0" w:space="0" w:color="auto"/>
                <w:right w:val="none" w:sz="0" w:space="0" w:color="auto"/>
              </w:divBdr>
            </w:div>
            <w:div w:id="1023749082">
              <w:marLeft w:val="0"/>
              <w:marRight w:val="0"/>
              <w:marTop w:val="0"/>
              <w:marBottom w:val="240"/>
              <w:divBdr>
                <w:top w:val="none" w:sz="0" w:space="0" w:color="auto"/>
                <w:left w:val="none" w:sz="0" w:space="0" w:color="auto"/>
                <w:bottom w:val="none" w:sz="0" w:space="0" w:color="auto"/>
                <w:right w:val="none" w:sz="0" w:space="0" w:color="auto"/>
              </w:divBdr>
            </w:div>
            <w:div w:id="1539470880">
              <w:marLeft w:val="0"/>
              <w:marRight w:val="0"/>
              <w:marTop w:val="0"/>
              <w:marBottom w:val="240"/>
              <w:divBdr>
                <w:top w:val="none" w:sz="0" w:space="0" w:color="auto"/>
                <w:left w:val="none" w:sz="0" w:space="0" w:color="auto"/>
                <w:bottom w:val="none" w:sz="0" w:space="0" w:color="auto"/>
                <w:right w:val="none" w:sz="0" w:space="0" w:color="auto"/>
              </w:divBdr>
            </w:div>
            <w:div w:id="1692141597">
              <w:marLeft w:val="0"/>
              <w:marRight w:val="0"/>
              <w:marTop w:val="0"/>
              <w:marBottom w:val="240"/>
              <w:divBdr>
                <w:top w:val="none" w:sz="0" w:space="0" w:color="auto"/>
                <w:left w:val="none" w:sz="0" w:space="0" w:color="auto"/>
                <w:bottom w:val="none" w:sz="0" w:space="0" w:color="auto"/>
                <w:right w:val="none" w:sz="0" w:space="0" w:color="auto"/>
              </w:divBdr>
            </w:div>
            <w:div w:id="1389835918">
              <w:marLeft w:val="0"/>
              <w:marRight w:val="0"/>
              <w:marTop w:val="0"/>
              <w:marBottom w:val="240"/>
              <w:divBdr>
                <w:top w:val="none" w:sz="0" w:space="0" w:color="auto"/>
                <w:left w:val="none" w:sz="0" w:space="0" w:color="auto"/>
                <w:bottom w:val="none" w:sz="0" w:space="0" w:color="auto"/>
                <w:right w:val="none" w:sz="0" w:space="0" w:color="auto"/>
              </w:divBdr>
            </w:div>
            <w:div w:id="1899825892">
              <w:marLeft w:val="0"/>
              <w:marRight w:val="0"/>
              <w:marTop w:val="0"/>
              <w:marBottom w:val="240"/>
              <w:divBdr>
                <w:top w:val="none" w:sz="0" w:space="0" w:color="auto"/>
                <w:left w:val="none" w:sz="0" w:space="0" w:color="auto"/>
                <w:bottom w:val="none" w:sz="0" w:space="0" w:color="auto"/>
                <w:right w:val="none" w:sz="0" w:space="0" w:color="auto"/>
              </w:divBdr>
            </w:div>
            <w:div w:id="1769353456">
              <w:marLeft w:val="0"/>
              <w:marRight w:val="0"/>
              <w:marTop w:val="0"/>
              <w:marBottom w:val="240"/>
              <w:divBdr>
                <w:top w:val="none" w:sz="0" w:space="0" w:color="auto"/>
                <w:left w:val="none" w:sz="0" w:space="0" w:color="auto"/>
                <w:bottom w:val="none" w:sz="0" w:space="0" w:color="auto"/>
                <w:right w:val="none" w:sz="0" w:space="0" w:color="auto"/>
              </w:divBdr>
            </w:div>
            <w:div w:id="1936866990">
              <w:marLeft w:val="0"/>
              <w:marRight w:val="0"/>
              <w:marTop w:val="0"/>
              <w:marBottom w:val="240"/>
              <w:divBdr>
                <w:top w:val="none" w:sz="0" w:space="0" w:color="auto"/>
                <w:left w:val="none" w:sz="0" w:space="0" w:color="auto"/>
                <w:bottom w:val="none" w:sz="0" w:space="0" w:color="auto"/>
                <w:right w:val="none" w:sz="0" w:space="0" w:color="auto"/>
              </w:divBdr>
            </w:div>
            <w:div w:id="557018000">
              <w:marLeft w:val="0"/>
              <w:marRight w:val="0"/>
              <w:marTop w:val="0"/>
              <w:marBottom w:val="240"/>
              <w:divBdr>
                <w:top w:val="none" w:sz="0" w:space="0" w:color="auto"/>
                <w:left w:val="none" w:sz="0" w:space="0" w:color="auto"/>
                <w:bottom w:val="none" w:sz="0" w:space="0" w:color="auto"/>
                <w:right w:val="none" w:sz="0" w:space="0" w:color="auto"/>
              </w:divBdr>
            </w:div>
            <w:div w:id="148405485">
              <w:marLeft w:val="0"/>
              <w:marRight w:val="0"/>
              <w:marTop w:val="0"/>
              <w:marBottom w:val="240"/>
              <w:divBdr>
                <w:top w:val="none" w:sz="0" w:space="0" w:color="auto"/>
                <w:left w:val="none" w:sz="0" w:space="0" w:color="auto"/>
                <w:bottom w:val="none" w:sz="0" w:space="0" w:color="auto"/>
                <w:right w:val="none" w:sz="0" w:space="0" w:color="auto"/>
              </w:divBdr>
            </w:div>
            <w:div w:id="1020858779">
              <w:marLeft w:val="0"/>
              <w:marRight w:val="0"/>
              <w:marTop w:val="0"/>
              <w:marBottom w:val="240"/>
              <w:divBdr>
                <w:top w:val="none" w:sz="0" w:space="0" w:color="auto"/>
                <w:left w:val="none" w:sz="0" w:space="0" w:color="auto"/>
                <w:bottom w:val="none" w:sz="0" w:space="0" w:color="auto"/>
                <w:right w:val="none" w:sz="0" w:space="0" w:color="auto"/>
              </w:divBdr>
            </w:div>
            <w:div w:id="2062094762">
              <w:marLeft w:val="0"/>
              <w:marRight w:val="0"/>
              <w:marTop w:val="0"/>
              <w:marBottom w:val="240"/>
              <w:divBdr>
                <w:top w:val="none" w:sz="0" w:space="0" w:color="auto"/>
                <w:left w:val="none" w:sz="0" w:space="0" w:color="auto"/>
                <w:bottom w:val="none" w:sz="0" w:space="0" w:color="auto"/>
                <w:right w:val="none" w:sz="0" w:space="0" w:color="auto"/>
              </w:divBdr>
            </w:div>
            <w:div w:id="848521804">
              <w:marLeft w:val="0"/>
              <w:marRight w:val="0"/>
              <w:marTop w:val="0"/>
              <w:marBottom w:val="240"/>
              <w:divBdr>
                <w:top w:val="none" w:sz="0" w:space="0" w:color="auto"/>
                <w:left w:val="none" w:sz="0" w:space="0" w:color="auto"/>
                <w:bottom w:val="none" w:sz="0" w:space="0" w:color="auto"/>
                <w:right w:val="none" w:sz="0" w:space="0" w:color="auto"/>
              </w:divBdr>
            </w:div>
            <w:div w:id="269704813">
              <w:marLeft w:val="0"/>
              <w:marRight w:val="0"/>
              <w:marTop w:val="0"/>
              <w:marBottom w:val="240"/>
              <w:divBdr>
                <w:top w:val="none" w:sz="0" w:space="0" w:color="auto"/>
                <w:left w:val="none" w:sz="0" w:space="0" w:color="auto"/>
                <w:bottom w:val="none" w:sz="0" w:space="0" w:color="auto"/>
                <w:right w:val="none" w:sz="0" w:space="0" w:color="auto"/>
              </w:divBdr>
            </w:div>
            <w:div w:id="472867374">
              <w:marLeft w:val="0"/>
              <w:marRight w:val="0"/>
              <w:marTop w:val="0"/>
              <w:marBottom w:val="240"/>
              <w:divBdr>
                <w:top w:val="none" w:sz="0" w:space="0" w:color="auto"/>
                <w:left w:val="none" w:sz="0" w:space="0" w:color="auto"/>
                <w:bottom w:val="none" w:sz="0" w:space="0" w:color="auto"/>
                <w:right w:val="none" w:sz="0" w:space="0" w:color="auto"/>
              </w:divBdr>
            </w:div>
            <w:div w:id="692924003">
              <w:marLeft w:val="0"/>
              <w:marRight w:val="0"/>
              <w:marTop w:val="0"/>
              <w:marBottom w:val="240"/>
              <w:divBdr>
                <w:top w:val="none" w:sz="0" w:space="0" w:color="auto"/>
                <w:left w:val="none" w:sz="0" w:space="0" w:color="auto"/>
                <w:bottom w:val="none" w:sz="0" w:space="0" w:color="auto"/>
                <w:right w:val="none" w:sz="0" w:space="0" w:color="auto"/>
              </w:divBdr>
            </w:div>
            <w:div w:id="633606593">
              <w:marLeft w:val="0"/>
              <w:marRight w:val="0"/>
              <w:marTop w:val="0"/>
              <w:marBottom w:val="240"/>
              <w:divBdr>
                <w:top w:val="none" w:sz="0" w:space="0" w:color="auto"/>
                <w:left w:val="none" w:sz="0" w:space="0" w:color="auto"/>
                <w:bottom w:val="none" w:sz="0" w:space="0" w:color="auto"/>
                <w:right w:val="none" w:sz="0" w:space="0" w:color="auto"/>
              </w:divBdr>
            </w:div>
            <w:div w:id="842472594">
              <w:marLeft w:val="0"/>
              <w:marRight w:val="0"/>
              <w:marTop w:val="0"/>
              <w:marBottom w:val="240"/>
              <w:divBdr>
                <w:top w:val="none" w:sz="0" w:space="0" w:color="auto"/>
                <w:left w:val="none" w:sz="0" w:space="0" w:color="auto"/>
                <w:bottom w:val="none" w:sz="0" w:space="0" w:color="auto"/>
                <w:right w:val="none" w:sz="0" w:space="0" w:color="auto"/>
              </w:divBdr>
            </w:div>
            <w:div w:id="180629357">
              <w:marLeft w:val="0"/>
              <w:marRight w:val="0"/>
              <w:marTop w:val="0"/>
              <w:marBottom w:val="240"/>
              <w:divBdr>
                <w:top w:val="none" w:sz="0" w:space="0" w:color="auto"/>
                <w:left w:val="none" w:sz="0" w:space="0" w:color="auto"/>
                <w:bottom w:val="none" w:sz="0" w:space="0" w:color="auto"/>
                <w:right w:val="none" w:sz="0" w:space="0" w:color="auto"/>
              </w:divBdr>
            </w:div>
            <w:div w:id="91585805">
              <w:marLeft w:val="0"/>
              <w:marRight w:val="0"/>
              <w:marTop w:val="0"/>
              <w:marBottom w:val="240"/>
              <w:divBdr>
                <w:top w:val="none" w:sz="0" w:space="0" w:color="auto"/>
                <w:left w:val="none" w:sz="0" w:space="0" w:color="auto"/>
                <w:bottom w:val="none" w:sz="0" w:space="0" w:color="auto"/>
                <w:right w:val="none" w:sz="0" w:space="0" w:color="auto"/>
              </w:divBdr>
            </w:div>
            <w:div w:id="2053646981">
              <w:marLeft w:val="0"/>
              <w:marRight w:val="0"/>
              <w:marTop w:val="0"/>
              <w:marBottom w:val="240"/>
              <w:divBdr>
                <w:top w:val="none" w:sz="0" w:space="0" w:color="auto"/>
                <w:left w:val="none" w:sz="0" w:space="0" w:color="auto"/>
                <w:bottom w:val="none" w:sz="0" w:space="0" w:color="auto"/>
                <w:right w:val="none" w:sz="0" w:space="0" w:color="auto"/>
              </w:divBdr>
            </w:div>
            <w:div w:id="879588013">
              <w:marLeft w:val="0"/>
              <w:marRight w:val="0"/>
              <w:marTop w:val="0"/>
              <w:marBottom w:val="240"/>
              <w:divBdr>
                <w:top w:val="none" w:sz="0" w:space="0" w:color="auto"/>
                <w:left w:val="none" w:sz="0" w:space="0" w:color="auto"/>
                <w:bottom w:val="none" w:sz="0" w:space="0" w:color="auto"/>
                <w:right w:val="none" w:sz="0" w:space="0" w:color="auto"/>
              </w:divBdr>
            </w:div>
            <w:div w:id="266892622">
              <w:marLeft w:val="0"/>
              <w:marRight w:val="0"/>
              <w:marTop w:val="0"/>
              <w:marBottom w:val="240"/>
              <w:divBdr>
                <w:top w:val="none" w:sz="0" w:space="0" w:color="auto"/>
                <w:left w:val="none" w:sz="0" w:space="0" w:color="auto"/>
                <w:bottom w:val="none" w:sz="0" w:space="0" w:color="auto"/>
                <w:right w:val="none" w:sz="0" w:space="0" w:color="auto"/>
              </w:divBdr>
            </w:div>
            <w:div w:id="1567062594">
              <w:marLeft w:val="0"/>
              <w:marRight w:val="0"/>
              <w:marTop w:val="0"/>
              <w:marBottom w:val="240"/>
              <w:divBdr>
                <w:top w:val="none" w:sz="0" w:space="0" w:color="auto"/>
                <w:left w:val="none" w:sz="0" w:space="0" w:color="auto"/>
                <w:bottom w:val="none" w:sz="0" w:space="0" w:color="auto"/>
                <w:right w:val="none" w:sz="0" w:space="0" w:color="auto"/>
              </w:divBdr>
            </w:div>
            <w:div w:id="1396508663">
              <w:marLeft w:val="0"/>
              <w:marRight w:val="0"/>
              <w:marTop w:val="0"/>
              <w:marBottom w:val="240"/>
              <w:divBdr>
                <w:top w:val="none" w:sz="0" w:space="0" w:color="auto"/>
                <w:left w:val="none" w:sz="0" w:space="0" w:color="auto"/>
                <w:bottom w:val="none" w:sz="0" w:space="0" w:color="auto"/>
                <w:right w:val="none" w:sz="0" w:space="0" w:color="auto"/>
              </w:divBdr>
            </w:div>
            <w:div w:id="254674262">
              <w:marLeft w:val="0"/>
              <w:marRight w:val="0"/>
              <w:marTop w:val="0"/>
              <w:marBottom w:val="240"/>
              <w:divBdr>
                <w:top w:val="none" w:sz="0" w:space="0" w:color="auto"/>
                <w:left w:val="none" w:sz="0" w:space="0" w:color="auto"/>
                <w:bottom w:val="none" w:sz="0" w:space="0" w:color="auto"/>
                <w:right w:val="none" w:sz="0" w:space="0" w:color="auto"/>
              </w:divBdr>
            </w:div>
            <w:div w:id="963659838">
              <w:marLeft w:val="0"/>
              <w:marRight w:val="0"/>
              <w:marTop w:val="0"/>
              <w:marBottom w:val="240"/>
              <w:divBdr>
                <w:top w:val="none" w:sz="0" w:space="0" w:color="auto"/>
                <w:left w:val="none" w:sz="0" w:space="0" w:color="auto"/>
                <w:bottom w:val="none" w:sz="0" w:space="0" w:color="auto"/>
                <w:right w:val="none" w:sz="0" w:space="0" w:color="auto"/>
              </w:divBdr>
            </w:div>
            <w:div w:id="95446140">
              <w:marLeft w:val="0"/>
              <w:marRight w:val="0"/>
              <w:marTop w:val="0"/>
              <w:marBottom w:val="240"/>
              <w:divBdr>
                <w:top w:val="none" w:sz="0" w:space="0" w:color="auto"/>
                <w:left w:val="none" w:sz="0" w:space="0" w:color="auto"/>
                <w:bottom w:val="none" w:sz="0" w:space="0" w:color="auto"/>
                <w:right w:val="none" w:sz="0" w:space="0" w:color="auto"/>
              </w:divBdr>
            </w:div>
            <w:div w:id="339235722">
              <w:marLeft w:val="0"/>
              <w:marRight w:val="0"/>
              <w:marTop w:val="0"/>
              <w:marBottom w:val="240"/>
              <w:divBdr>
                <w:top w:val="none" w:sz="0" w:space="0" w:color="auto"/>
                <w:left w:val="none" w:sz="0" w:space="0" w:color="auto"/>
                <w:bottom w:val="none" w:sz="0" w:space="0" w:color="auto"/>
                <w:right w:val="none" w:sz="0" w:space="0" w:color="auto"/>
              </w:divBdr>
            </w:div>
            <w:div w:id="107160040">
              <w:marLeft w:val="0"/>
              <w:marRight w:val="0"/>
              <w:marTop w:val="0"/>
              <w:marBottom w:val="240"/>
              <w:divBdr>
                <w:top w:val="none" w:sz="0" w:space="0" w:color="auto"/>
                <w:left w:val="none" w:sz="0" w:space="0" w:color="auto"/>
                <w:bottom w:val="none" w:sz="0" w:space="0" w:color="auto"/>
                <w:right w:val="none" w:sz="0" w:space="0" w:color="auto"/>
              </w:divBdr>
            </w:div>
            <w:div w:id="1259751591">
              <w:marLeft w:val="0"/>
              <w:marRight w:val="0"/>
              <w:marTop w:val="0"/>
              <w:marBottom w:val="240"/>
              <w:divBdr>
                <w:top w:val="none" w:sz="0" w:space="0" w:color="auto"/>
                <w:left w:val="none" w:sz="0" w:space="0" w:color="auto"/>
                <w:bottom w:val="none" w:sz="0" w:space="0" w:color="auto"/>
                <w:right w:val="none" w:sz="0" w:space="0" w:color="auto"/>
              </w:divBdr>
            </w:div>
            <w:div w:id="1043753727">
              <w:marLeft w:val="0"/>
              <w:marRight w:val="0"/>
              <w:marTop w:val="0"/>
              <w:marBottom w:val="240"/>
              <w:divBdr>
                <w:top w:val="none" w:sz="0" w:space="0" w:color="auto"/>
                <w:left w:val="none" w:sz="0" w:space="0" w:color="auto"/>
                <w:bottom w:val="none" w:sz="0" w:space="0" w:color="auto"/>
                <w:right w:val="none" w:sz="0" w:space="0" w:color="auto"/>
              </w:divBdr>
            </w:div>
            <w:div w:id="1568540406">
              <w:marLeft w:val="0"/>
              <w:marRight w:val="0"/>
              <w:marTop w:val="0"/>
              <w:marBottom w:val="240"/>
              <w:divBdr>
                <w:top w:val="none" w:sz="0" w:space="0" w:color="auto"/>
                <w:left w:val="none" w:sz="0" w:space="0" w:color="auto"/>
                <w:bottom w:val="none" w:sz="0" w:space="0" w:color="auto"/>
                <w:right w:val="none" w:sz="0" w:space="0" w:color="auto"/>
              </w:divBdr>
            </w:div>
            <w:div w:id="199904007">
              <w:marLeft w:val="0"/>
              <w:marRight w:val="0"/>
              <w:marTop w:val="0"/>
              <w:marBottom w:val="240"/>
              <w:divBdr>
                <w:top w:val="none" w:sz="0" w:space="0" w:color="auto"/>
                <w:left w:val="none" w:sz="0" w:space="0" w:color="auto"/>
                <w:bottom w:val="none" w:sz="0" w:space="0" w:color="auto"/>
                <w:right w:val="none" w:sz="0" w:space="0" w:color="auto"/>
              </w:divBdr>
            </w:div>
            <w:div w:id="1513838890">
              <w:marLeft w:val="0"/>
              <w:marRight w:val="0"/>
              <w:marTop w:val="0"/>
              <w:marBottom w:val="240"/>
              <w:divBdr>
                <w:top w:val="none" w:sz="0" w:space="0" w:color="auto"/>
                <w:left w:val="none" w:sz="0" w:space="0" w:color="auto"/>
                <w:bottom w:val="none" w:sz="0" w:space="0" w:color="auto"/>
                <w:right w:val="none" w:sz="0" w:space="0" w:color="auto"/>
              </w:divBdr>
            </w:div>
            <w:div w:id="1247879087">
              <w:marLeft w:val="0"/>
              <w:marRight w:val="0"/>
              <w:marTop w:val="0"/>
              <w:marBottom w:val="240"/>
              <w:divBdr>
                <w:top w:val="none" w:sz="0" w:space="0" w:color="auto"/>
                <w:left w:val="none" w:sz="0" w:space="0" w:color="auto"/>
                <w:bottom w:val="none" w:sz="0" w:space="0" w:color="auto"/>
                <w:right w:val="none" w:sz="0" w:space="0" w:color="auto"/>
              </w:divBdr>
            </w:div>
            <w:div w:id="206766368">
              <w:marLeft w:val="0"/>
              <w:marRight w:val="0"/>
              <w:marTop w:val="0"/>
              <w:marBottom w:val="240"/>
              <w:divBdr>
                <w:top w:val="none" w:sz="0" w:space="0" w:color="auto"/>
                <w:left w:val="none" w:sz="0" w:space="0" w:color="auto"/>
                <w:bottom w:val="none" w:sz="0" w:space="0" w:color="auto"/>
                <w:right w:val="none" w:sz="0" w:space="0" w:color="auto"/>
              </w:divBdr>
            </w:div>
            <w:div w:id="894774823">
              <w:marLeft w:val="0"/>
              <w:marRight w:val="0"/>
              <w:marTop w:val="0"/>
              <w:marBottom w:val="240"/>
              <w:divBdr>
                <w:top w:val="none" w:sz="0" w:space="0" w:color="auto"/>
                <w:left w:val="none" w:sz="0" w:space="0" w:color="auto"/>
                <w:bottom w:val="none" w:sz="0" w:space="0" w:color="auto"/>
                <w:right w:val="none" w:sz="0" w:space="0" w:color="auto"/>
              </w:divBdr>
            </w:div>
            <w:div w:id="780224010">
              <w:marLeft w:val="0"/>
              <w:marRight w:val="0"/>
              <w:marTop w:val="0"/>
              <w:marBottom w:val="240"/>
              <w:divBdr>
                <w:top w:val="none" w:sz="0" w:space="0" w:color="auto"/>
                <w:left w:val="none" w:sz="0" w:space="0" w:color="auto"/>
                <w:bottom w:val="none" w:sz="0" w:space="0" w:color="auto"/>
                <w:right w:val="none" w:sz="0" w:space="0" w:color="auto"/>
              </w:divBdr>
            </w:div>
            <w:div w:id="2025011274">
              <w:marLeft w:val="0"/>
              <w:marRight w:val="0"/>
              <w:marTop w:val="0"/>
              <w:marBottom w:val="240"/>
              <w:divBdr>
                <w:top w:val="none" w:sz="0" w:space="0" w:color="auto"/>
                <w:left w:val="none" w:sz="0" w:space="0" w:color="auto"/>
                <w:bottom w:val="none" w:sz="0" w:space="0" w:color="auto"/>
                <w:right w:val="none" w:sz="0" w:space="0" w:color="auto"/>
              </w:divBdr>
            </w:div>
            <w:div w:id="207843540">
              <w:marLeft w:val="0"/>
              <w:marRight w:val="0"/>
              <w:marTop w:val="0"/>
              <w:marBottom w:val="240"/>
              <w:divBdr>
                <w:top w:val="none" w:sz="0" w:space="0" w:color="auto"/>
                <w:left w:val="none" w:sz="0" w:space="0" w:color="auto"/>
                <w:bottom w:val="none" w:sz="0" w:space="0" w:color="auto"/>
                <w:right w:val="none" w:sz="0" w:space="0" w:color="auto"/>
              </w:divBdr>
            </w:div>
            <w:div w:id="640576802">
              <w:marLeft w:val="0"/>
              <w:marRight w:val="0"/>
              <w:marTop w:val="0"/>
              <w:marBottom w:val="240"/>
              <w:divBdr>
                <w:top w:val="none" w:sz="0" w:space="0" w:color="auto"/>
                <w:left w:val="none" w:sz="0" w:space="0" w:color="auto"/>
                <w:bottom w:val="none" w:sz="0" w:space="0" w:color="auto"/>
                <w:right w:val="none" w:sz="0" w:space="0" w:color="auto"/>
              </w:divBdr>
            </w:div>
            <w:div w:id="1662923371">
              <w:marLeft w:val="0"/>
              <w:marRight w:val="0"/>
              <w:marTop w:val="0"/>
              <w:marBottom w:val="240"/>
              <w:divBdr>
                <w:top w:val="none" w:sz="0" w:space="0" w:color="auto"/>
                <w:left w:val="none" w:sz="0" w:space="0" w:color="auto"/>
                <w:bottom w:val="none" w:sz="0" w:space="0" w:color="auto"/>
                <w:right w:val="none" w:sz="0" w:space="0" w:color="auto"/>
              </w:divBdr>
            </w:div>
            <w:div w:id="1190993162">
              <w:marLeft w:val="0"/>
              <w:marRight w:val="0"/>
              <w:marTop w:val="0"/>
              <w:marBottom w:val="240"/>
              <w:divBdr>
                <w:top w:val="none" w:sz="0" w:space="0" w:color="auto"/>
                <w:left w:val="none" w:sz="0" w:space="0" w:color="auto"/>
                <w:bottom w:val="none" w:sz="0" w:space="0" w:color="auto"/>
                <w:right w:val="none" w:sz="0" w:space="0" w:color="auto"/>
              </w:divBdr>
            </w:div>
            <w:div w:id="268197418">
              <w:marLeft w:val="0"/>
              <w:marRight w:val="0"/>
              <w:marTop w:val="0"/>
              <w:marBottom w:val="240"/>
              <w:divBdr>
                <w:top w:val="none" w:sz="0" w:space="0" w:color="auto"/>
                <w:left w:val="none" w:sz="0" w:space="0" w:color="auto"/>
                <w:bottom w:val="none" w:sz="0" w:space="0" w:color="auto"/>
                <w:right w:val="none" w:sz="0" w:space="0" w:color="auto"/>
              </w:divBdr>
            </w:div>
            <w:div w:id="281694811">
              <w:marLeft w:val="0"/>
              <w:marRight w:val="0"/>
              <w:marTop w:val="0"/>
              <w:marBottom w:val="240"/>
              <w:divBdr>
                <w:top w:val="none" w:sz="0" w:space="0" w:color="auto"/>
                <w:left w:val="none" w:sz="0" w:space="0" w:color="auto"/>
                <w:bottom w:val="none" w:sz="0" w:space="0" w:color="auto"/>
                <w:right w:val="none" w:sz="0" w:space="0" w:color="auto"/>
              </w:divBdr>
            </w:div>
            <w:div w:id="132873520">
              <w:marLeft w:val="0"/>
              <w:marRight w:val="0"/>
              <w:marTop w:val="0"/>
              <w:marBottom w:val="240"/>
              <w:divBdr>
                <w:top w:val="none" w:sz="0" w:space="0" w:color="auto"/>
                <w:left w:val="none" w:sz="0" w:space="0" w:color="auto"/>
                <w:bottom w:val="none" w:sz="0" w:space="0" w:color="auto"/>
                <w:right w:val="none" w:sz="0" w:space="0" w:color="auto"/>
              </w:divBdr>
            </w:div>
            <w:div w:id="982585742">
              <w:marLeft w:val="0"/>
              <w:marRight w:val="0"/>
              <w:marTop w:val="0"/>
              <w:marBottom w:val="240"/>
              <w:divBdr>
                <w:top w:val="none" w:sz="0" w:space="0" w:color="auto"/>
                <w:left w:val="none" w:sz="0" w:space="0" w:color="auto"/>
                <w:bottom w:val="none" w:sz="0" w:space="0" w:color="auto"/>
                <w:right w:val="none" w:sz="0" w:space="0" w:color="auto"/>
              </w:divBdr>
            </w:div>
            <w:div w:id="302660010">
              <w:marLeft w:val="0"/>
              <w:marRight w:val="0"/>
              <w:marTop w:val="0"/>
              <w:marBottom w:val="240"/>
              <w:divBdr>
                <w:top w:val="none" w:sz="0" w:space="0" w:color="auto"/>
                <w:left w:val="none" w:sz="0" w:space="0" w:color="auto"/>
                <w:bottom w:val="none" w:sz="0" w:space="0" w:color="auto"/>
                <w:right w:val="none" w:sz="0" w:space="0" w:color="auto"/>
              </w:divBdr>
            </w:div>
            <w:div w:id="1113943169">
              <w:marLeft w:val="0"/>
              <w:marRight w:val="0"/>
              <w:marTop w:val="0"/>
              <w:marBottom w:val="240"/>
              <w:divBdr>
                <w:top w:val="none" w:sz="0" w:space="0" w:color="auto"/>
                <w:left w:val="none" w:sz="0" w:space="0" w:color="auto"/>
                <w:bottom w:val="none" w:sz="0" w:space="0" w:color="auto"/>
                <w:right w:val="none" w:sz="0" w:space="0" w:color="auto"/>
              </w:divBdr>
            </w:div>
            <w:div w:id="1092703681">
              <w:marLeft w:val="0"/>
              <w:marRight w:val="0"/>
              <w:marTop w:val="0"/>
              <w:marBottom w:val="240"/>
              <w:divBdr>
                <w:top w:val="none" w:sz="0" w:space="0" w:color="auto"/>
                <w:left w:val="none" w:sz="0" w:space="0" w:color="auto"/>
                <w:bottom w:val="none" w:sz="0" w:space="0" w:color="auto"/>
                <w:right w:val="none" w:sz="0" w:space="0" w:color="auto"/>
              </w:divBdr>
            </w:div>
            <w:div w:id="1677460260">
              <w:marLeft w:val="0"/>
              <w:marRight w:val="0"/>
              <w:marTop w:val="0"/>
              <w:marBottom w:val="240"/>
              <w:divBdr>
                <w:top w:val="none" w:sz="0" w:space="0" w:color="auto"/>
                <w:left w:val="none" w:sz="0" w:space="0" w:color="auto"/>
                <w:bottom w:val="none" w:sz="0" w:space="0" w:color="auto"/>
                <w:right w:val="none" w:sz="0" w:space="0" w:color="auto"/>
              </w:divBdr>
            </w:div>
            <w:div w:id="390469877">
              <w:marLeft w:val="0"/>
              <w:marRight w:val="0"/>
              <w:marTop w:val="0"/>
              <w:marBottom w:val="240"/>
              <w:divBdr>
                <w:top w:val="none" w:sz="0" w:space="0" w:color="auto"/>
                <w:left w:val="none" w:sz="0" w:space="0" w:color="auto"/>
                <w:bottom w:val="none" w:sz="0" w:space="0" w:color="auto"/>
                <w:right w:val="none" w:sz="0" w:space="0" w:color="auto"/>
              </w:divBdr>
            </w:div>
            <w:div w:id="1955743055">
              <w:marLeft w:val="0"/>
              <w:marRight w:val="0"/>
              <w:marTop w:val="0"/>
              <w:marBottom w:val="240"/>
              <w:divBdr>
                <w:top w:val="none" w:sz="0" w:space="0" w:color="auto"/>
                <w:left w:val="none" w:sz="0" w:space="0" w:color="auto"/>
                <w:bottom w:val="none" w:sz="0" w:space="0" w:color="auto"/>
                <w:right w:val="none" w:sz="0" w:space="0" w:color="auto"/>
              </w:divBdr>
            </w:div>
            <w:div w:id="1976446016">
              <w:marLeft w:val="0"/>
              <w:marRight w:val="0"/>
              <w:marTop w:val="0"/>
              <w:marBottom w:val="240"/>
              <w:divBdr>
                <w:top w:val="none" w:sz="0" w:space="0" w:color="auto"/>
                <w:left w:val="none" w:sz="0" w:space="0" w:color="auto"/>
                <w:bottom w:val="none" w:sz="0" w:space="0" w:color="auto"/>
                <w:right w:val="none" w:sz="0" w:space="0" w:color="auto"/>
              </w:divBdr>
            </w:div>
            <w:div w:id="674111283">
              <w:marLeft w:val="0"/>
              <w:marRight w:val="0"/>
              <w:marTop w:val="0"/>
              <w:marBottom w:val="240"/>
              <w:divBdr>
                <w:top w:val="none" w:sz="0" w:space="0" w:color="auto"/>
                <w:left w:val="none" w:sz="0" w:space="0" w:color="auto"/>
                <w:bottom w:val="none" w:sz="0" w:space="0" w:color="auto"/>
                <w:right w:val="none" w:sz="0" w:space="0" w:color="auto"/>
              </w:divBdr>
            </w:div>
            <w:div w:id="167452933">
              <w:marLeft w:val="0"/>
              <w:marRight w:val="0"/>
              <w:marTop w:val="0"/>
              <w:marBottom w:val="240"/>
              <w:divBdr>
                <w:top w:val="none" w:sz="0" w:space="0" w:color="auto"/>
                <w:left w:val="none" w:sz="0" w:space="0" w:color="auto"/>
                <w:bottom w:val="none" w:sz="0" w:space="0" w:color="auto"/>
                <w:right w:val="none" w:sz="0" w:space="0" w:color="auto"/>
              </w:divBdr>
            </w:div>
            <w:div w:id="1468816735">
              <w:marLeft w:val="0"/>
              <w:marRight w:val="0"/>
              <w:marTop w:val="0"/>
              <w:marBottom w:val="240"/>
              <w:divBdr>
                <w:top w:val="none" w:sz="0" w:space="0" w:color="auto"/>
                <w:left w:val="none" w:sz="0" w:space="0" w:color="auto"/>
                <w:bottom w:val="none" w:sz="0" w:space="0" w:color="auto"/>
                <w:right w:val="none" w:sz="0" w:space="0" w:color="auto"/>
              </w:divBdr>
            </w:div>
            <w:div w:id="960771187">
              <w:marLeft w:val="0"/>
              <w:marRight w:val="0"/>
              <w:marTop w:val="0"/>
              <w:marBottom w:val="240"/>
              <w:divBdr>
                <w:top w:val="none" w:sz="0" w:space="0" w:color="auto"/>
                <w:left w:val="none" w:sz="0" w:space="0" w:color="auto"/>
                <w:bottom w:val="none" w:sz="0" w:space="0" w:color="auto"/>
                <w:right w:val="none" w:sz="0" w:space="0" w:color="auto"/>
              </w:divBdr>
            </w:div>
            <w:div w:id="1207449950">
              <w:marLeft w:val="0"/>
              <w:marRight w:val="0"/>
              <w:marTop w:val="0"/>
              <w:marBottom w:val="240"/>
              <w:divBdr>
                <w:top w:val="none" w:sz="0" w:space="0" w:color="auto"/>
                <w:left w:val="none" w:sz="0" w:space="0" w:color="auto"/>
                <w:bottom w:val="none" w:sz="0" w:space="0" w:color="auto"/>
                <w:right w:val="none" w:sz="0" w:space="0" w:color="auto"/>
              </w:divBdr>
            </w:div>
            <w:div w:id="1399278232">
              <w:marLeft w:val="0"/>
              <w:marRight w:val="0"/>
              <w:marTop w:val="0"/>
              <w:marBottom w:val="240"/>
              <w:divBdr>
                <w:top w:val="none" w:sz="0" w:space="0" w:color="auto"/>
                <w:left w:val="none" w:sz="0" w:space="0" w:color="auto"/>
                <w:bottom w:val="none" w:sz="0" w:space="0" w:color="auto"/>
                <w:right w:val="none" w:sz="0" w:space="0" w:color="auto"/>
              </w:divBdr>
            </w:div>
            <w:div w:id="966395191">
              <w:marLeft w:val="0"/>
              <w:marRight w:val="0"/>
              <w:marTop w:val="0"/>
              <w:marBottom w:val="240"/>
              <w:divBdr>
                <w:top w:val="none" w:sz="0" w:space="0" w:color="auto"/>
                <w:left w:val="none" w:sz="0" w:space="0" w:color="auto"/>
                <w:bottom w:val="none" w:sz="0" w:space="0" w:color="auto"/>
                <w:right w:val="none" w:sz="0" w:space="0" w:color="auto"/>
              </w:divBdr>
            </w:div>
            <w:div w:id="262081164">
              <w:marLeft w:val="0"/>
              <w:marRight w:val="0"/>
              <w:marTop w:val="0"/>
              <w:marBottom w:val="240"/>
              <w:divBdr>
                <w:top w:val="none" w:sz="0" w:space="0" w:color="auto"/>
                <w:left w:val="none" w:sz="0" w:space="0" w:color="auto"/>
                <w:bottom w:val="none" w:sz="0" w:space="0" w:color="auto"/>
                <w:right w:val="none" w:sz="0" w:space="0" w:color="auto"/>
              </w:divBdr>
            </w:div>
            <w:div w:id="60627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08285">
      <w:bodyDiv w:val="1"/>
      <w:marLeft w:val="0"/>
      <w:marRight w:val="0"/>
      <w:marTop w:val="0"/>
      <w:marBottom w:val="0"/>
      <w:divBdr>
        <w:top w:val="none" w:sz="0" w:space="0" w:color="auto"/>
        <w:left w:val="none" w:sz="0" w:space="0" w:color="auto"/>
        <w:bottom w:val="none" w:sz="0" w:space="0" w:color="auto"/>
        <w:right w:val="none" w:sz="0" w:space="0" w:color="auto"/>
      </w:divBdr>
    </w:div>
    <w:div w:id="1705905534">
      <w:bodyDiv w:val="1"/>
      <w:marLeft w:val="0"/>
      <w:marRight w:val="0"/>
      <w:marTop w:val="0"/>
      <w:marBottom w:val="0"/>
      <w:divBdr>
        <w:top w:val="none" w:sz="0" w:space="0" w:color="auto"/>
        <w:left w:val="none" w:sz="0" w:space="0" w:color="auto"/>
        <w:bottom w:val="none" w:sz="0" w:space="0" w:color="auto"/>
        <w:right w:val="none" w:sz="0" w:space="0" w:color="auto"/>
      </w:divBdr>
    </w:div>
    <w:div w:id="1708412231">
      <w:bodyDiv w:val="1"/>
      <w:marLeft w:val="0"/>
      <w:marRight w:val="0"/>
      <w:marTop w:val="0"/>
      <w:marBottom w:val="0"/>
      <w:divBdr>
        <w:top w:val="none" w:sz="0" w:space="0" w:color="auto"/>
        <w:left w:val="none" w:sz="0" w:space="0" w:color="auto"/>
        <w:bottom w:val="none" w:sz="0" w:space="0" w:color="auto"/>
        <w:right w:val="none" w:sz="0" w:space="0" w:color="auto"/>
      </w:divBdr>
    </w:div>
    <w:div w:id="1708943765">
      <w:bodyDiv w:val="1"/>
      <w:marLeft w:val="0"/>
      <w:marRight w:val="0"/>
      <w:marTop w:val="0"/>
      <w:marBottom w:val="0"/>
      <w:divBdr>
        <w:top w:val="none" w:sz="0" w:space="0" w:color="auto"/>
        <w:left w:val="none" w:sz="0" w:space="0" w:color="auto"/>
        <w:bottom w:val="none" w:sz="0" w:space="0" w:color="auto"/>
        <w:right w:val="none" w:sz="0" w:space="0" w:color="auto"/>
      </w:divBdr>
    </w:div>
    <w:div w:id="1709644206">
      <w:bodyDiv w:val="1"/>
      <w:marLeft w:val="0"/>
      <w:marRight w:val="0"/>
      <w:marTop w:val="0"/>
      <w:marBottom w:val="0"/>
      <w:divBdr>
        <w:top w:val="none" w:sz="0" w:space="0" w:color="auto"/>
        <w:left w:val="none" w:sz="0" w:space="0" w:color="auto"/>
        <w:bottom w:val="none" w:sz="0" w:space="0" w:color="auto"/>
        <w:right w:val="none" w:sz="0" w:space="0" w:color="auto"/>
      </w:divBdr>
    </w:div>
    <w:div w:id="1709911568">
      <w:bodyDiv w:val="1"/>
      <w:marLeft w:val="0"/>
      <w:marRight w:val="0"/>
      <w:marTop w:val="0"/>
      <w:marBottom w:val="0"/>
      <w:divBdr>
        <w:top w:val="none" w:sz="0" w:space="0" w:color="auto"/>
        <w:left w:val="none" w:sz="0" w:space="0" w:color="auto"/>
        <w:bottom w:val="none" w:sz="0" w:space="0" w:color="auto"/>
        <w:right w:val="none" w:sz="0" w:space="0" w:color="auto"/>
      </w:divBdr>
    </w:div>
    <w:div w:id="1709913491">
      <w:bodyDiv w:val="1"/>
      <w:marLeft w:val="0"/>
      <w:marRight w:val="0"/>
      <w:marTop w:val="0"/>
      <w:marBottom w:val="0"/>
      <w:divBdr>
        <w:top w:val="none" w:sz="0" w:space="0" w:color="auto"/>
        <w:left w:val="none" w:sz="0" w:space="0" w:color="auto"/>
        <w:bottom w:val="none" w:sz="0" w:space="0" w:color="auto"/>
        <w:right w:val="none" w:sz="0" w:space="0" w:color="auto"/>
      </w:divBdr>
    </w:div>
    <w:div w:id="1727490180">
      <w:bodyDiv w:val="1"/>
      <w:marLeft w:val="0"/>
      <w:marRight w:val="0"/>
      <w:marTop w:val="0"/>
      <w:marBottom w:val="0"/>
      <w:divBdr>
        <w:top w:val="none" w:sz="0" w:space="0" w:color="auto"/>
        <w:left w:val="none" w:sz="0" w:space="0" w:color="auto"/>
        <w:bottom w:val="none" w:sz="0" w:space="0" w:color="auto"/>
        <w:right w:val="none" w:sz="0" w:space="0" w:color="auto"/>
      </w:divBdr>
    </w:div>
    <w:div w:id="1729915642">
      <w:bodyDiv w:val="1"/>
      <w:marLeft w:val="0"/>
      <w:marRight w:val="0"/>
      <w:marTop w:val="0"/>
      <w:marBottom w:val="0"/>
      <w:divBdr>
        <w:top w:val="none" w:sz="0" w:space="0" w:color="auto"/>
        <w:left w:val="none" w:sz="0" w:space="0" w:color="auto"/>
        <w:bottom w:val="none" w:sz="0" w:space="0" w:color="auto"/>
        <w:right w:val="none" w:sz="0" w:space="0" w:color="auto"/>
      </w:divBdr>
    </w:div>
    <w:div w:id="1731926685">
      <w:bodyDiv w:val="1"/>
      <w:marLeft w:val="0"/>
      <w:marRight w:val="0"/>
      <w:marTop w:val="0"/>
      <w:marBottom w:val="0"/>
      <w:divBdr>
        <w:top w:val="none" w:sz="0" w:space="0" w:color="auto"/>
        <w:left w:val="none" w:sz="0" w:space="0" w:color="auto"/>
        <w:bottom w:val="none" w:sz="0" w:space="0" w:color="auto"/>
        <w:right w:val="none" w:sz="0" w:space="0" w:color="auto"/>
      </w:divBdr>
      <w:divsChild>
        <w:div w:id="737679181">
          <w:marLeft w:val="480"/>
          <w:marRight w:val="0"/>
          <w:marTop w:val="0"/>
          <w:marBottom w:val="0"/>
          <w:divBdr>
            <w:top w:val="none" w:sz="0" w:space="0" w:color="auto"/>
            <w:left w:val="none" w:sz="0" w:space="0" w:color="auto"/>
            <w:bottom w:val="none" w:sz="0" w:space="0" w:color="auto"/>
            <w:right w:val="none" w:sz="0" w:space="0" w:color="auto"/>
          </w:divBdr>
          <w:divsChild>
            <w:div w:id="821241959">
              <w:marLeft w:val="0"/>
              <w:marRight w:val="0"/>
              <w:marTop w:val="0"/>
              <w:marBottom w:val="240"/>
              <w:divBdr>
                <w:top w:val="none" w:sz="0" w:space="0" w:color="auto"/>
                <w:left w:val="none" w:sz="0" w:space="0" w:color="auto"/>
                <w:bottom w:val="none" w:sz="0" w:space="0" w:color="auto"/>
                <w:right w:val="none" w:sz="0" w:space="0" w:color="auto"/>
              </w:divBdr>
            </w:div>
            <w:div w:id="224529264">
              <w:marLeft w:val="0"/>
              <w:marRight w:val="0"/>
              <w:marTop w:val="0"/>
              <w:marBottom w:val="240"/>
              <w:divBdr>
                <w:top w:val="none" w:sz="0" w:space="0" w:color="auto"/>
                <w:left w:val="none" w:sz="0" w:space="0" w:color="auto"/>
                <w:bottom w:val="none" w:sz="0" w:space="0" w:color="auto"/>
                <w:right w:val="none" w:sz="0" w:space="0" w:color="auto"/>
              </w:divBdr>
            </w:div>
            <w:div w:id="1581524906">
              <w:marLeft w:val="0"/>
              <w:marRight w:val="0"/>
              <w:marTop w:val="0"/>
              <w:marBottom w:val="240"/>
              <w:divBdr>
                <w:top w:val="none" w:sz="0" w:space="0" w:color="auto"/>
                <w:left w:val="none" w:sz="0" w:space="0" w:color="auto"/>
                <w:bottom w:val="none" w:sz="0" w:space="0" w:color="auto"/>
                <w:right w:val="none" w:sz="0" w:space="0" w:color="auto"/>
              </w:divBdr>
            </w:div>
            <w:div w:id="798305685">
              <w:marLeft w:val="0"/>
              <w:marRight w:val="0"/>
              <w:marTop w:val="0"/>
              <w:marBottom w:val="240"/>
              <w:divBdr>
                <w:top w:val="none" w:sz="0" w:space="0" w:color="auto"/>
                <w:left w:val="none" w:sz="0" w:space="0" w:color="auto"/>
                <w:bottom w:val="none" w:sz="0" w:space="0" w:color="auto"/>
                <w:right w:val="none" w:sz="0" w:space="0" w:color="auto"/>
              </w:divBdr>
            </w:div>
            <w:div w:id="1416634964">
              <w:marLeft w:val="0"/>
              <w:marRight w:val="0"/>
              <w:marTop w:val="0"/>
              <w:marBottom w:val="240"/>
              <w:divBdr>
                <w:top w:val="none" w:sz="0" w:space="0" w:color="auto"/>
                <w:left w:val="none" w:sz="0" w:space="0" w:color="auto"/>
                <w:bottom w:val="none" w:sz="0" w:space="0" w:color="auto"/>
                <w:right w:val="none" w:sz="0" w:space="0" w:color="auto"/>
              </w:divBdr>
            </w:div>
            <w:div w:id="1973748206">
              <w:marLeft w:val="0"/>
              <w:marRight w:val="0"/>
              <w:marTop w:val="0"/>
              <w:marBottom w:val="240"/>
              <w:divBdr>
                <w:top w:val="none" w:sz="0" w:space="0" w:color="auto"/>
                <w:left w:val="none" w:sz="0" w:space="0" w:color="auto"/>
                <w:bottom w:val="none" w:sz="0" w:space="0" w:color="auto"/>
                <w:right w:val="none" w:sz="0" w:space="0" w:color="auto"/>
              </w:divBdr>
            </w:div>
            <w:div w:id="126509285">
              <w:marLeft w:val="0"/>
              <w:marRight w:val="0"/>
              <w:marTop w:val="0"/>
              <w:marBottom w:val="240"/>
              <w:divBdr>
                <w:top w:val="none" w:sz="0" w:space="0" w:color="auto"/>
                <w:left w:val="none" w:sz="0" w:space="0" w:color="auto"/>
                <w:bottom w:val="none" w:sz="0" w:space="0" w:color="auto"/>
                <w:right w:val="none" w:sz="0" w:space="0" w:color="auto"/>
              </w:divBdr>
            </w:div>
            <w:div w:id="1303998136">
              <w:marLeft w:val="0"/>
              <w:marRight w:val="0"/>
              <w:marTop w:val="0"/>
              <w:marBottom w:val="240"/>
              <w:divBdr>
                <w:top w:val="none" w:sz="0" w:space="0" w:color="auto"/>
                <w:left w:val="none" w:sz="0" w:space="0" w:color="auto"/>
                <w:bottom w:val="none" w:sz="0" w:space="0" w:color="auto"/>
                <w:right w:val="none" w:sz="0" w:space="0" w:color="auto"/>
              </w:divBdr>
            </w:div>
            <w:div w:id="583342292">
              <w:marLeft w:val="0"/>
              <w:marRight w:val="0"/>
              <w:marTop w:val="0"/>
              <w:marBottom w:val="240"/>
              <w:divBdr>
                <w:top w:val="none" w:sz="0" w:space="0" w:color="auto"/>
                <w:left w:val="none" w:sz="0" w:space="0" w:color="auto"/>
                <w:bottom w:val="none" w:sz="0" w:space="0" w:color="auto"/>
                <w:right w:val="none" w:sz="0" w:space="0" w:color="auto"/>
              </w:divBdr>
            </w:div>
            <w:div w:id="381827060">
              <w:marLeft w:val="0"/>
              <w:marRight w:val="0"/>
              <w:marTop w:val="0"/>
              <w:marBottom w:val="240"/>
              <w:divBdr>
                <w:top w:val="none" w:sz="0" w:space="0" w:color="auto"/>
                <w:left w:val="none" w:sz="0" w:space="0" w:color="auto"/>
                <w:bottom w:val="none" w:sz="0" w:space="0" w:color="auto"/>
                <w:right w:val="none" w:sz="0" w:space="0" w:color="auto"/>
              </w:divBdr>
            </w:div>
            <w:div w:id="898322271">
              <w:marLeft w:val="0"/>
              <w:marRight w:val="0"/>
              <w:marTop w:val="0"/>
              <w:marBottom w:val="240"/>
              <w:divBdr>
                <w:top w:val="none" w:sz="0" w:space="0" w:color="auto"/>
                <w:left w:val="none" w:sz="0" w:space="0" w:color="auto"/>
                <w:bottom w:val="none" w:sz="0" w:space="0" w:color="auto"/>
                <w:right w:val="none" w:sz="0" w:space="0" w:color="auto"/>
              </w:divBdr>
            </w:div>
            <w:div w:id="91518227">
              <w:marLeft w:val="0"/>
              <w:marRight w:val="0"/>
              <w:marTop w:val="0"/>
              <w:marBottom w:val="240"/>
              <w:divBdr>
                <w:top w:val="none" w:sz="0" w:space="0" w:color="auto"/>
                <w:left w:val="none" w:sz="0" w:space="0" w:color="auto"/>
                <w:bottom w:val="none" w:sz="0" w:space="0" w:color="auto"/>
                <w:right w:val="none" w:sz="0" w:space="0" w:color="auto"/>
              </w:divBdr>
            </w:div>
            <w:div w:id="2020234455">
              <w:marLeft w:val="0"/>
              <w:marRight w:val="0"/>
              <w:marTop w:val="0"/>
              <w:marBottom w:val="240"/>
              <w:divBdr>
                <w:top w:val="none" w:sz="0" w:space="0" w:color="auto"/>
                <w:left w:val="none" w:sz="0" w:space="0" w:color="auto"/>
                <w:bottom w:val="none" w:sz="0" w:space="0" w:color="auto"/>
                <w:right w:val="none" w:sz="0" w:space="0" w:color="auto"/>
              </w:divBdr>
            </w:div>
            <w:div w:id="1403601258">
              <w:marLeft w:val="0"/>
              <w:marRight w:val="0"/>
              <w:marTop w:val="0"/>
              <w:marBottom w:val="240"/>
              <w:divBdr>
                <w:top w:val="none" w:sz="0" w:space="0" w:color="auto"/>
                <w:left w:val="none" w:sz="0" w:space="0" w:color="auto"/>
                <w:bottom w:val="none" w:sz="0" w:space="0" w:color="auto"/>
                <w:right w:val="none" w:sz="0" w:space="0" w:color="auto"/>
              </w:divBdr>
            </w:div>
            <w:div w:id="703288305">
              <w:marLeft w:val="0"/>
              <w:marRight w:val="0"/>
              <w:marTop w:val="0"/>
              <w:marBottom w:val="240"/>
              <w:divBdr>
                <w:top w:val="none" w:sz="0" w:space="0" w:color="auto"/>
                <w:left w:val="none" w:sz="0" w:space="0" w:color="auto"/>
                <w:bottom w:val="none" w:sz="0" w:space="0" w:color="auto"/>
                <w:right w:val="none" w:sz="0" w:space="0" w:color="auto"/>
              </w:divBdr>
            </w:div>
            <w:div w:id="1903833412">
              <w:marLeft w:val="0"/>
              <w:marRight w:val="0"/>
              <w:marTop w:val="0"/>
              <w:marBottom w:val="240"/>
              <w:divBdr>
                <w:top w:val="none" w:sz="0" w:space="0" w:color="auto"/>
                <w:left w:val="none" w:sz="0" w:space="0" w:color="auto"/>
                <w:bottom w:val="none" w:sz="0" w:space="0" w:color="auto"/>
                <w:right w:val="none" w:sz="0" w:space="0" w:color="auto"/>
              </w:divBdr>
            </w:div>
            <w:div w:id="440149541">
              <w:marLeft w:val="0"/>
              <w:marRight w:val="0"/>
              <w:marTop w:val="0"/>
              <w:marBottom w:val="240"/>
              <w:divBdr>
                <w:top w:val="none" w:sz="0" w:space="0" w:color="auto"/>
                <w:left w:val="none" w:sz="0" w:space="0" w:color="auto"/>
                <w:bottom w:val="none" w:sz="0" w:space="0" w:color="auto"/>
                <w:right w:val="none" w:sz="0" w:space="0" w:color="auto"/>
              </w:divBdr>
            </w:div>
            <w:div w:id="2103989887">
              <w:marLeft w:val="0"/>
              <w:marRight w:val="0"/>
              <w:marTop w:val="0"/>
              <w:marBottom w:val="240"/>
              <w:divBdr>
                <w:top w:val="none" w:sz="0" w:space="0" w:color="auto"/>
                <w:left w:val="none" w:sz="0" w:space="0" w:color="auto"/>
                <w:bottom w:val="none" w:sz="0" w:space="0" w:color="auto"/>
                <w:right w:val="none" w:sz="0" w:space="0" w:color="auto"/>
              </w:divBdr>
            </w:div>
            <w:div w:id="1574005994">
              <w:marLeft w:val="0"/>
              <w:marRight w:val="0"/>
              <w:marTop w:val="0"/>
              <w:marBottom w:val="240"/>
              <w:divBdr>
                <w:top w:val="none" w:sz="0" w:space="0" w:color="auto"/>
                <w:left w:val="none" w:sz="0" w:space="0" w:color="auto"/>
                <w:bottom w:val="none" w:sz="0" w:space="0" w:color="auto"/>
                <w:right w:val="none" w:sz="0" w:space="0" w:color="auto"/>
              </w:divBdr>
            </w:div>
            <w:div w:id="1858495688">
              <w:marLeft w:val="0"/>
              <w:marRight w:val="0"/>
              <w:marTop w:val="0"/>
              <w:marBottom w:val="240"/>
              <w:divBdr>
                <w:top w:val="none" w:sz="0" w:space="0" w:color="auto"/>
                <w:left w:val="none" w:sz="0" w:space="0" w:color="auto"/>
                <w:bottom w:val="none" w:sz="0" w:space="0" w:color="auto"/>
                <w:right w:val="none" w:sz="0" w:space="0" w:color="auto"/>
              </w:divBdr>
            </w:div>
            <w:div w:id="1795557483">
              <w:marLeft w:val="0"/>
              <w:marRight w:val="0"/>
              <w:marTop w:val="0"/>
              <w:marBottom w:val="240"/>
              <w:divBdr>
                <w:top w:val="none" w:sz="0" w:space="0" w:color="auto"/>
                <w:left w:val="none" w:sz="0" w:space="0" w:color="auto"/>
                <w:bottom w:val="none" w:sz="0" w:space="0" w:color="auto"/>
                <w:right w:val="none" w:sz="0" w:space="0" w:color="auto"/>
              </w:divBdr>
            </w:div>
            <w:div w:id="2144545056">
              <w:marLeft w:val="0"/>
              <w:marRight w:val="0"/>
              <w:marTop w:val="0"/>
              <w:marBottom w:val="240"/>
              <w:divBdr>
                <w:top w:val="none" w:sz="0" w:space="0" w:color="auto"/>
                <w:left w:val="none" w:sz="0" w:space="0" w:color="auto"/>
                <w:bottom w:val="none" w:sz="0" w:space="0" w:color="auto"/>
                <w:right w:val="none" w:sz="0" w:space="0" w:color="auto"/>
              </w:divBdr>
            </w:div>
            <w:div w:id="1000692357">
              <w:marLeft w:val="0"/>
              <w:marRight w:val="0"/>
              <w:marTop w:val="0"/>
              <w:marBottom w:val="240"/>
              <w:divBdr>
                <w:top w:val="none" w:sz="0" w:space="0" w:color="auto"/>
                <w:left w:val="none" w:sz="0" w:space="0" w:color="auto"/>
                <w:bottom w:val="none" w:sz="0" w:space="0" w:color="auto"/>
                <w:right w:val="none" w:sz="0" w:space="0" w:color="auto"/>
              </w:divBdr>
            </w:div>
            <w:div w:id="1371877559">
              <w:marLeft w:val="0"/>
              <w:marRight w:val="0"/>
              <w:marTop w:val="0"/>
              <w:marBottom w:val="240"/>
              <w:divBdr>
                <w:top w:val="none" w:sz="0" w:space="0" w:color="auto"/>
                <w:left w:val="none" w:sz="0" w:space="0" w:color="auto"/>
                <w:bottom w:val="none" w:sz="0" w:space="0" w:color="auto"/>
                <w:right w:val="none" w:sz="0" w:space="0" w:color="auto"/>
              </w:divBdr>
            </w:div>
            <w:div w:id="1812744022">
              <w:marLeft w:val="0"/>
              <w:marRight w:val="0"/>
              <w:marTop w:val="0"/>
              <w:marBottom w:val="240"/>
              <w:divBdr>
                <w:top w:val="none" w:sz="0" w:space="0" w:color="auto"/>
                <w:left w:val="none" w:sz="0" w:space="0" w:color="auto"/>
                <w:bottom w:val="none" w:sz="0" w:space="0" w:color="auto"/>
                <w:right w:val="none" w:sz="0" w:space="0" w:color="auto"/>
              </w:divBdr>
            </w:div>
            <w:div w:id="1501659035">
              <w:marLeft w:val="0"/>
              <w:marRight w:val="0"/>
              <w:marTop w:val="0"/>
              <w:marBottom w:val="240"/>
              <w:divBdr>
                <w:top w:val="none" w:sz="0" w:space="0" w:color="auto"/>
                <w:left w:val="none" w:sz="0" w:space="0" w:color="auto"/>
                <w:bottom w:val="none" w:sz="0" w:space="0" w:color="auto"/>
                <w:right w:val="none" w:sz="0" w:space="0" w:color="auto"/>
              </w:divBdr>
            </w:div>
            <w:div w:id="252592020">
              <w:marLeft w:val="0"/>
              <w:marRight w:val="0"/>
              <w:marTop w:val="0"/>
              <w:marBottom w:val="240"/>
              <w:divBdr>
                <w:top w:val="none" w:sz="0" w:space="0" w:color="auto"/>
                <w:left w:val="none" w:sz="0" w:space="0" w:color="auto"/>
                <w:bottom w:val="none" w:sz="0" w:space="0" w:color="auto"/>
                <w:right w:val="none" w:sz="0" w:space="0" w:color="auto"/>
              </w:divBdr>
            </w:div>
            <w:div w:id="561864193">
              <w:marLeft w:val="0"/>
              <w:marRight w:val="0"/>
              <w:marTop w:val="0"/>
              <w:marBottom w:val="240"/>
              <w:divBdr>
                <w:top w:val="none" w:sz="0" w:space="0" w:color="auto"/>
                <w:left w:val="none" w:sz="0" w:space="0" w:color="auto"/>
                <w:bottom w:val="none" w:sz="0" w:space="0" w:color="auto"/>
                <w:right w:val="none" w:sz="0" w:space="0" w:color="auto"/>
              </w:divBdr>
            </w:div>
            <w:div w:id="1763991935">
              <w:marLeft w:val="0"/>
              <w:marRight w:val="0"/>
              <w:marTop w:val="0"/>
              <w:marBottom w:val="240"/>
              <w:divBdr>
                <w:top w:val="none" w:sz="0" w:space="0" w:color="auto"/>
                <w:left w:val="none" w:sz="0" w:space="0" w:color="auto"/>
                <w:bottom w:val="none" w:sz="0" w:space="0" w:color="auto"/>
                <w:right w:val="none" w:sz="0" w:space="0" w:color="auto"/>
              </w:divBdr>
            </w:div>
            <w:div w:id="1698654021">
              <w:marLeft w:val="0"/>
              <w:marRight w:val="0"/>
              <w:marTop w:val="0"/>
              <w:marBottom w:val="240"/>
              <w:divBdr>
                <w:top w:val="none" w:sz="0" w:space="0" w:color="auto"/>
                <w:left w:val="none" w:sz="0" w:space="0" w:color="auto"/>
                <w:bottom w:val="none" w:sz="0" w:space="0" w:color="auto"/>
                <w:right w:val="none" w:sz="0" w:space="0" w:color="auto"/>
              </w:divBdr>
            </w:div>
            <w:div w:id="1832061339">
              <w:marLeft w:val="0"/>
              <w:marRight w:val="0"/>
              <w:marTop w:val="0"/>
              <w:marBottom w:val="240"/>
              <w:divBdr>
                <w:top w:val="none" w:sz="0" w:space="0" w:color="auto"/>
                <w:left w:val="none" w:sz="0" w:space="0" w:color="auto"/>
                <w:bottom w:val="none" w:sz="0" w:space="0" w:color="auto"/>
                <w:right w:val="none" w:sz="0" w:space="0" w:color="auto"/>
              </w:divBdr>
            </w:div>
            <w:div w:id="2016498945">
              <w:marLeft w:val="0"/>
              <w:marRight w:val="0"/>
              <w:marTop w:val="0"/>
              <w:marBottom w:val="240"/>
              <w:divBdr>
                <w:top w:val="none" w:sz="0" w:space="0" w:color="auto"/>
                <w:left w:val="none" w:sz="0" w:space="0" w:color="auto"/>
                <w:bottom w:val="none" w:sz="0" w:space="0" w:color="auto"/>
                <w:right w:val="none" w:sz="0" w:space="0" w:color="auto"/>
              </w:divBdr>
            </w:div>
            <w:div w:id="453669707">
              <w:marLeft w:val="0"/>
              <w:marRight w:val="0"/>
              <w:marTop w:val="0"/>
              <w:marBottom w:val="240"/>
              <w:divBdr>
                <w:top w:val="none" w:sz="0" w:space="0" w:color="auto"/>
                <w:left w:val="none" w:sz="0" w:space="0" w:color="auto"/>
                <w:bottom w:val="none" w:sz="0" w:space="0" w:color="auto"/>
                <w:right w:val="none" w:sz="0" w:space="0" w:color="auto"/>
              </w:divBdr>
            </w:div>
            <w:div w:id="1078284552">
              <w:marLeft w:val="0"/>
              <w:marRight w:val="0"/>
              <w:marTop w:val="0"/>
              <w:marBottom w:val="240"/>
              <w:divBdr>
                <w:top w:val="none" w:sz="0" w:space="0" w:color="auto"/>
                <w:left w:val="none" w:sz="0" w:space="0" w:color="auto"/>
                <w:bottom w:val="none" w:sz="0" w:space="0" w:color="auto"/>
                <w:right w:val="none" w:sz="0" w:space="0" w:color="auto"/>
              </w:divBdr>
            </w:div>
            <w:div w:id="889919780">
              <w:marLeft w:val="0"/>
              <w:marRight w:val="0"/>
              <w:marTop w:val="0"/>
              <w:marBottom w:val="240"/>
              <w:divBdr>
                <w:top w:val="none" w:sz="0" w:space="0" w:color="auto"/>
                <w:left w:val="none" w:sz="0" w:space="0" w:color="auto"/>
                <w:bottom w:val="none" w:sz="0" w:space="0" w:color="auto"/>
                <w:right w:val="none" w:sz="0" w:space="0" w:color="auto"/>
              </w:divBdr>
            </w:div>
            <w:div w:id="100801994">
              <w:marLeft w:val="0"/>
              <w:marRight w:val="0"/>
              <w:marTop w:val="0"/>
              <w:marBottom w:val="240"/>
              <w:divBdr>
                <w:top w:val="none" w:sz="0" w:space="0" w:color="auto"/>
                <w:left w:val="none" w:sz="0" w:space="0" w:color="auto"/>
                <w:bottom w:val="none" w:sz="0" w:space="0" w:color="auto"/>
                <w:right w:val="none" w:sz="0" w:space="0" w:color="auto"/>
              </w:divBdr>
            </w:div>
            <w:div w:id="190096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95461">
      <w:bodyDiv w:val="1"/>
      <w:marLeft w:val="0"/>
      <w:marRight w:val="0"/>
      <w:marTop w:val="0"/>
      <w:marBottom w:val="0"/>
      <w:divBdr>
        <w:top w:val="none" w:sz="0" w:space="0" w:color="auto"/>
        <w:left w:val="none" w:sz="0" w:space="0" w:color="auto"/>
        <w:bottom w:val="none" w:sz="0" w:space="0" w:color="auto"/>
        <w:right w:val="none" w:sz="0" w:space="0" w:color="auto"/>
      </w:divBdr>
    </w:div>
    <w:div w:id="1743748005">
      <w:bodyDiv w:val="1"/>
      <w:marLeft w:val="0"/>
      <w:marRight w:val="0"/>
      <w:marTop w:val="0"/>
      <w:marBottom w:val="0"/>
      <w:divBdr>
        <w:top w:val="none" w:sz="0" w:space="0" w:color="auto"/>
        <w:left w:val="none" w:sz="0" w:space="0" w:color="auto"/>
        <w:bottom w:val="none" w:sz="0" w:space="0" w:color="auto"/>
        <w:right w:val="none" w:sz="0" w:space="0" w:color="auto"/>
      </w:divBdr>
    </w:div>
    <w:div w:id="1752004137">
      <w:bodyDiv w:val="1"/>
      <w:marLeft w:val="0"/>
      <w:marRight w:val="0"/>
      <w:marTop w:val="0"/>
      <w:marBottom w:val="0"/>
      <w:divBdr>
        <w:top w:val="none" w:sz="0" w:space="0" w:color="auto"/>
        <w:left w:val="none" w:sz="0" w:space="0" w:color="auto"/>
        <w:bottom w:val="none" w:sz="0" w:space="0" w:color="auto"/>
        <w:right w:val="none" w:sz="0" w:space="0" w:color="auto"/>
      </w:divBdr>
    </w:div>
    <w:div w:id="1753233201">
      <w:bodyDiv w:val="1"/>
      <w:marLeft w:val="0"/>
      <w:marRight w:val="0"/>
      <w:marTop w:val="0"/>
      <w:marBottom w:val="0"/>
      <w:divBdr>
        <w:top w:val="none" w:sz="0" w:space="0" w:color="auto"/>
        <w:left w:val="none" w:sz="0" w:space="0" w:color="auto"/>
        <w:bottom w:val="none" w:sz="0" w:space="0" w:color="auto"/>
        <w:right w:val="none" w:sz="0" w:space="0" w:color="auto"/>
      </w:divBdr>
    </w:div>
    <w:div w:id="1755081501">
      <w:bodyDiv w:val="1"/>
      <w:marLeft w:val="0"/>
      <w:marRight w:val="0"/>
      <w:marTop w:val="0"/>
      <w:marBottom w:val="0"/>
      <w:divBdr>
        <w:top w:val="none" w:sz="0" w:space="0" w:color="auto"/>
        <w:left w:val="none" w:sz="0" w:space="0" w:color="auto"/>
        <w:bottom w:val="none" w:sz="0" w:space="0" w:color="auto"/>
        <w:right w:val="none" w:sz="0" w:space="0" w:color="auto"/>
      </w:divBdr>
      <w:divsChild>
        <w:div w:id="1978298085">
          <w:marLeft w:val="480"/>
          <w:marRight w:val="0"/>
          <w:marTop w:val="0"/>
          <w:marBottom w:val="0"/>
          <w:divBdr>
            <w:top w:val="none" w:sz="0" w:space="0" w:color="auto"/>
            <w:left w:val="none" w:sz="0" w:space="0" w:color="auto"/>
            <w:bottom w:val="none" w:sz="0" w:space="0" w:color="auto"/>
            <w:right w:val="none" w:sz="0" w:space="0" w:color="auto"/>
          </w:divBdr>
          <w:divsChild>
            <w:div w:id="1659384189">
              <w:marLeft w:val="0"/>
              <w:marRight w:val="0"/>
              <w:marTop w:val="0"/>
              <w:marBottom w:val="240"/>
              <w:divBdr>
                <w:top w:val="none" w:sz="0" w:space="0" w:color="auto"/>
                <w:left w:val="none" w:sz="0" w:space="0" w:color="auto"/>
                <w:bottom w:val="none" w:sz="0" w:space="0" w:color="auto"/>
                <w:right w:val="none" w:sz="0" w:space="0" w:color="auto"/>
              </w:divBdr>
            </w:div>
            <w:div w:id="205722750">
              <w:marLeft w:val="0"/>
              <w:marRight w:val="0"/>
              <w:marTop w:val="0"/>
              <w:marBottom w:val="240"/>
              <w:divBdr>
                <w:top w:val="none" w:sz="0" w:space="0" w:color="auto"/>
                <w:left w:val="none" w:sz="0" w:space="0" w:color="auto"/>
                <w:bottom w:val="none" w:sz="0" w:space="0" w:color="auto"/>
                <w:right w:val="none" w:sz="0" w:space="0" w:color="auto"/>
              </w:divBdr>
            </w:div>
            <w:div w:id="968247459">
              <w:marLeft w:val="0"/>
              <w:marRight w:val="0"/>
              <w:marTop w:val="0"/>
              <w:marBottom w:val="240"/>
              <w:divBdr>
                <w:top w:val="none" w:sz="0" w:space="0" w:color="auto"/>
                <w:left w:val="none" w:sz="0" w:space="0" w:color="auto"/>
                <w:bottom w:val="none" w:sz="0" w:space="0" w:color="auto"/>
                <w:right w:val="none" w:sz="0" w:space="0" w:color="auto"/>
              </w:divBdr>
            </w:div>
            <w:div w:id="1134522689">
              <w:marLeft w:val="0"/>
              <w:marRight w:val="0"/>
              <w:marTop w:val="0"/>
              <w:marBottom w:val="240"/>
              <w:divBdr>
                <w:top w:val="none" w:sz="0" w:space="0" w:color="auto"/>
                <w:left w:val="none" w:sz="0" w:space="0" w:color="auto"/>
                <w:bottom w:val="none" w:sz="0" w:space="0" w:color="auto"/>
                <w:right w:val="none" w:sz="0" w:space="0" w:color="auto"/>
              </w:divBdr>
            </w:div>
            <w:div w:id="1851409542">
              <w:marLeft w:val="0"/>
              <w:marRight w:val="0"/>
              <w:marTop w:val="0"/>
              <w:marBottom w:val="240"/>
              <w:divBdr>
                <w:top w:val="none" w:sz="0" w:space="0" w:color="auto"/>
                <w:left w:val="none" w:sz="0" w:space="0" w:color="auto"/>
                <w:bottom w:val="none" w:sz="0" w:space="0" w:color="auto"/>
                <w:right w:val="none" w:sz="0" w:space="0" w:color="auto"/>
              </w:divBdr>
            </w:div>
            <w:div w:id="1776363003">
              <w:marLeft w:val="0"/>
              <w:marRight w:val="0"/>
              <w:marTop w:val="0"/>
              <w:marBottom w:val="240"/>
              <w:divBdr>
                <w:top w:val="none" w:sz="0" w:space="0" w:color="auto"/>
                <w:left w:val="none" w:sz="0" w:space="0" w:color="auto"/>
                <w:bottom w:val="none" w:sz="0" w:space="0" w:color="auto"/>
                <w:right w:val="none" w:sz="0" w:space="0" w:color="auto"/>
              </w:divBdr>
            </w:div>
            <w:div w:id="574704608">
              <w:marLeft w:val="0"/>
              <w:marRight w:val="0"/>
              <w:marTop w:val="0"/>
              <w:marBottom w:val="240"/>
              <w:divBdr>
                <w:top w:val="none" w:sz="0" w:space="0" w:color="auto"/>
                <w:left w:val="none" w:sz="0" w:space="0" w:color="auto"/>
                <w:bottom w:val="none" w:sz="0" w:space="0" w:color="auto"/>
                <w:right w:val="none" w:sz="0" w:space="0" w:color="auto"/>
              </w:divBdr>
            </w:div>
            <w:div w:id="29497915">
              <w:marLeft w:val="0"/>
              <w:marRight w:val="0"/>
              <w:marTop w:val="0"/>
              <w:marBottom w:val="240"/>
              <w:divBdr>
                <w:top w:val="none" w:sz="0" w:space="0" w:color="auto"/>
                <w:left w:val="none" w:sz="0" w:space="0" w:color="auto"/>
                <w:bottom w:val="none" w:sz="0" w:space="0" w:color="auto"/>
                <w:right w:val="none" w:sz="0" w:space="0" w:color="auto"/>
              </w:divBdr>
            </w:div>
            <w:div w:id="1615749641">
              <w:marLeft w:val="0"/>
              <w:marRight w:val="0"/>
              <w:marTop w:val="0"/>
              <w:marBottom w:val="240"/>
              <w:divBdr>
                <w:top w:val="none" w:sz="0" w:space="0" w:color="auto"/>
                <w:left w:val="none" w:sz="0" w:space="0" w:color="auto"/>
                <w:bottom w:val="none" w:sz="0" w:space="0" w:color="auto"/>
                <w:right w:val="none" w:sz="0" w:space="0" w:color="auto"/>
              </w:divBdr>
            </w:div>
            <w:div w:id="439109569">
              <w:marLeft w:val="0"/>
              <w:marRight w:val="0"/>
              <w:marTop w:val="0"/>
              <w:marBottom w:val="240"/>
              <w:divBdr>
                <w:top w:val="none" w:sz="0" w:space="0" w:color="auto"/>
                <w:left w:val="none" w:sz="0" w:space="0" w:color="auto"/>
                <w:bottom w:val="none" w:sz="0" w:space="0" w:color="auto"/>
                <w:right w:val="none" w:sz="0" w:space="0" w:color="auto"/>
              </w:divBdr>
            </w:div>
            <w:div w:id="1704091806">
              <w:marLeft w:val="0"/>
              <w:marRight w:val="0"/>
              <w:marTop w:val="0"/>
              <w:marBottom w:val="240"/>
              <w:divBdr>
                <w:top w:val="none" w:sz="0" w:space="0" w:color="auto"/>
                <w:left w:val="none" w:sz="0" w:space="0" w:color="auto"/>
                <w:bottom w:val="none" w:sz="0" w:space="0" w:color="auto"/>
                <w:right w:val="none" w:sz="0" w:space="0" w:color="auto"/>
              </w:divBdr>
            </w:div>
            <w:div w:id="951983361">
              <w:marLeft w:val="0"/>
              <w:marRight w:val="0"/>
              <w:marTop w:val="0"/>
              <w:marBottom w:val="240"/>
              <w:divBdr>
                <w:top w:val="none" w:sz="0" w:space="0" w:color="auto"/>
                <w:left w:val="none" w:sz="0" w:space="0" w:color="auto"/>
                <w:bottom w:val="none" w:sz="0" w:space="0" w:color="auto"/>
                <w:right w:val="none" w:sz="0" w:space="0" w:color="auto"/>
              </w:divBdr>
            </w:div>
            <w:div w:id="1190527310">
              <w:marLeft w:val="0"/>
              <w:marRight w:val="0"/>
              <w:marTop w:val="0"/>
              <w:marBottom w:val="240"/>
              <w:divBdr>
                <w:top w:val="none" w:sz="0" w:space="0" w:color="auto"/>
                <w:left w:val="none" w:sz="0" w:space="0" w:color="auto"/>
                <w:bottom w:val="none" w:sz="0" w:space="0" w:color="auto"/>
                <w:right w:val="none" w:sz="0" w:space="0" w:color="auto"/>
              </w:divBdr>
            </w:div>
            <w:div w:id="393165049">
              <w:marLeft w:val="0"/>
              <w:marRight w:val="0"/>
              <w:marTop w:val="0"/>
              <w:marBottom w:val="240"/>
              <w:divBdr>
                <w:top w:val="none" w:sz="0" w:space="0" w:color="auto"/>
                <w:left w:val="none" w:sz="0" w:space="0" w:color="auto"/>
                <w:bottom w:val="none" w:sz="0" w:space="0" w:color="auto"/>
                <w:right w:val="none" w:sz="0" w:space="0" w:color="auto"/>
              </w:divBdr>
            </w:div>
            <w:div w:id="1191070710">
              <w:marLeft w:val="0"/>
              <w:marRight w:val="0"/>
              <w:marTop w:val="0"/>
              <w:marBottom w:val="240"/>
              <w:divBdr>
                <w:top w:val="none" w:sz="0" w:space="0" w:color="auto"/>
                <w:left w:val="none" w:sz="0" w:space="0" w:color="auto"/>
                <w:bottom w:val="none" w:sz="0" w:space="0" w:color="auto"/>
                <w:right w:val="none" w:sz="0" w:space="0" w:color="auto"/>
              </w:divBdr>
            </w:div>
            <w:div w:id="887380674">
              <w:marLeft w:val="0"/>
              <w:marRight w:val="0"/>
              <w:marTop w:val="0"/>
              <w:marBottom w:val="240"/>
              <w:divBdr>
                <w:top w:val="none" w:sz="0" w:space="0" w:color="auto"/>
                <w:left w:val="none" w:sz="0" w:space="0" w:color="auto"/>
                <w:bottom w:val="none" w:sz="0" w:space="0" w:color="auto"/>
                <w:right w:val="none" w:sz="0" w:space="0" w:color="auto"/>
              </w:divBdr>
            </w:div>
            <w:div w:id="1527207347">
              <w:marLeft w:val="0"/>
              <w:marRight w:val="0"/>
              <w:marTop w:val="0"/>
              <w:marBottom w:val="240"/>
              <w:divBdr>
                <w:top w:val="none" w:sz="0" w:space="0" w:color="auto"/>
                <w:left w:val="none" w:sz="0" w:space="0" w:color="auto"/>
                <w:bottom w:val="none" w:sz="0" w:space="0" w:color="auto"/>
                <w:right w:val="none" w:sz="0" w:space="0" w:color="auto"/>
              </w:divBdr>
            </w:div>
            <w:div w:id="1365255619">
              <w:marLeft w:val="0"/>
              <w:marRight w:val="0"/>
              <w:marTop w:val="0"/>
              <w:marBottom w:val="240"/>
              <w:divBdr>
                <w:top w:val="none" w:sz="0" w:space="0" w:color="auto"/>
                <w:left w:val="none" w:sz="0" w:space="0" w:color="auto"/>
                <w:bottom w:val="none" w:sz="0" w:space="0" w:color="auto"/>
                <w:right w:val="none" w:sz="0" w:space="0" w:color="auto"/>
              </w:divBdr>
            </w:div>
            <w:div w:id="724987030">
              <w:marLeft w:val="0"/>
              <w:marRight w:val="0"/>
              <w:marTop w:val="0"/>
              <w:marBottom w:val="240"/>
              <w:divBdr>
                <w:top w:val="none" w:sz="0" w:space="0" w:color="auto"/>
                <w:left w:val="none" w:sz="0" w:space="0" w:color="auto"/>
                <w:bottom w:val="none" w:sz="0" w:space="0" w:color="auto"/>
                <w:right w:val="none" w:sz="0" w:space="0" w:color="auto"/>
              </w:divBdr>
            </w:div>
            <w:div w:id="1429157556">
              <w:marLeft w:val="0"/>
              <w:marRight w:val="0"/>
              <w:marTop w:val="0"/>
              <w:marBottom w:val="240"/>
              <w:divBdr>
                <w:top w:val="none" w:sz="0" w:space="0" w:color="auto"/>
                <w:left w:val="none" w:sz="0" w:space="0" w:color="auto"/>
                <w:bottom w:val="none" w:sz="0" w:space="0" w:color="auto"/>
                <w:right w:val="none" w:sz="0" w:space="0" w:color="auto"/>
              </w:divBdr>
            </w:div>
            <w:div w:id="585578237">
              <w:marLeft w:val="0"/>
              <w:marRight w:val="0"/>
              <w:marTop w:val="0"/>
              <w:marBottom w:val="240"/>
              <w:divBdr>
                <w:top w:val="none" w:sz="0" w:space="0" w:color="auto"/>
                <w:left w:val="none" w:sz="0" w:space="0" w:color="auto"/>
                <w:bottom w:val="none" w:sz="0" w:space="0" w:color="auto"/>
                <w:right w:val="none" w:sz="0" w:space="0" w:color="auto"/>
              </w:divBdr>
            </w:div>
            <w:div w:id="507209908">
              <w:marLeft w:val="0"/>
              <w:marRight w:val="0"/>
              <w:marTop w:val="0"/>
              <w:marBottom w:val="240"/>
              <w:divBdr>
                <w:top w:val="none" w:sz="0" w:space="0" w:color="auto"/>
                <w:left w:val="none" w:sz="0" w:space="0" w:color="auto"/>
                <w:bottom w:val="none" w:sz="0" w:space="0" w:color="auto"/>
                <w:right w:val="none" w:sz="0" w:space="0" w:color="auto"/>
              </w:divBdr>
            </w:div>
            <w:div w:id="1993874993">
              <w:marLeft w:val="0"/>
              <w:marRight w:val="0"/>
              <w:marTop w:val="0"/>
              <w:marBottom w:val="240"/>
              <w:divBdr>
                <w:top w:val="none" w:sz="0" w:space="0" w:color="auto"/>
                <w:left w:val="none" w:sz="0" w:space="0" w:color="auto"/>
                <w:bottom w:val="none" w:sz="0" w:space="0" w:color="auto"/>
                <w:right w:val="none" w:sz="0" w:space="0" w:color="auto"/>
              </w:divBdr>
            </w:div>
            <w:div w:id="1365785152">
              <w:marLeft w:val="0"/>
              <w:marRight w:val="0"/>
              <w:marTop w:val="0"/>
              <w:marBottom w:val="240"/>
              <w:divBdr>
                <w:top w:val="none" w:sz="0" w:space="0" w:color="auto"/>
                <w:left w:val="none" w:sz="0" w:space="0" w:color="auto"/>
                <w:bottom w:val="none" w:sz="0" w:space="0" w:color="auto"/>
                <w:right w:val="none" w:sz="0" w:space="0" w:color="auto"/>
              </w:divBdr>
            </w:div>
            <w:div w:id="1198204866">
              <w:marLeft w:val="0"/>
              <w:marRight w:val="0"/>
              <w:marTop w:val="0"/>
              <w:marBottom w:val="240"/>
              <w:divBdr>
                <w:top w:val="none" w:sz="0" w:space="0" w:color="auto"/>
                <w:left w:val="none" w:sz="0" w:space="0" w:color="auto"/>
                <w:bottom w:val="none" w:sz="0" w:space="0" w:color="auto"/>
                <w:right w:val="none" w:sz="0" w:space="0" w:color="auto"/>
              </w:divBdr>
            </w:div>
            <w:div w:id="1138718554">
              <w:marLeft w:val="0"/>
              <w:marRight w:val="0"/>
              <w:marTop w:val="0"/>
              <w:marBottom w:val="240"/>
              <w:divBdr>
                <w:top w:val="none" w:sz="0" w:space="0" w:color="auto"/>
                <w:left w:val="none" w:sz="0" w:space="0" w:color="auto"/>
                <w:bottom w:val="none" w:sz="0" w:space="0" w:color="auto"/>
                <w:right w:val="none" w:sz="0" w:space="0" w:color="auto"/>
              </w:divBdr>
            </w:div>
            <w:div w:id="1383939887">
              <w:marLeft w:val="0"/>
              <w:marRight w:val="0"/>
              <w:marTop w:val="0"/>
              <w:marBottom w:val="240"/>
              <w:divBdr>
                <w:top w:val="none" w:sz="0" w:space="0" w:color="auto"/>
                <w:left w:val="none" w:sz="0" w:space="0" w:color="auto"/>
                <w:bottom w:val="none" w:sz="0" w:space="0" w:color="auto"/>
                <w:right w:val="none" w:sz="0" w:space="0" w:color="auto"/>
              </w:divBdr>
            </w:div>
            <w:div w:id="408310302">
              <w:marLeft w:val="0"/>
              <w:marRight w:val="0"/>
              <w:marTop w:val="0"/>
              <w:marBottom w:val="240"/>
              <w:divBdr>
                <w:top w:val="none" w:sz="0" w:space="0" w:color="auto"/>
                <w:left w:val="none" w:sz="0" w:space="0" w:color="auto"/>
                <w:bottom w:val="none" w:sz="0" w:space="0" w:color="auto"/>
                <w:right w:val="none" w:sz="0" w:space="0" w:color="auto"/>
              </w:divBdr>
            </w:div>
            <w:div w:id="1490367015">
              <w:marLeft w:val="0"/>
              <w:marRight w:val="0"/>
              <w:marTop w:val="0"/>
              <w:marBottom w:val="240"/>
              <w:divBdr>
                <w:top w:val="none" w:sz="0" w:space="0" w:color="auto"/>
                <w:left w:val="none" w:sz="0" w:space="0" w:color="auto"/>
                <w:bottom w:val="none" w:sz="0" w:space="0" w:color="auto"/>
                <w:right w:val="none" w:sz="0" w:space="0" w:color="auto"/>
              </w:divBdr>
            </w:div>
            <w:div w:id="228616066">
              <w:marLeft w:val="0"/>
              <w:marRight w:val="0"/>
              <w:marTop w:val="0"/>
              <w:marBottom w:val="240"/>
              <w:divBdr>
                <w:top w:val="none" w:sz="0" w:space="0" w:color="auto"/>
                <w:left w:val="none" w:sz="0" w:space="0" w:color="auto"/>
                <w:bottom w:val="none" w:sz="0" w:space="0" w:color="auto"/>
                <w:right w:val="none" w:sz="0" w:space="0" w:color="auto"/>
              </w:divBdr>
            </w:div>
            <w:div w:id="357005348">
              <w:marLeft w:val="0"/>
              <w:marRight w:val="0"/>
              <w:marTop w:val="0"/>
              <w:marBottom w:val="240"/>
              <w:divBdr>
                <w:top w:val="none" w:sz="0" w:space="0" w:color="auto"/>
                <w:left w:val="none" w:sz="0" w:space="0" w:color="auto"/>
                <w:bottom w:val="none" w:sz="0" w:space="0" w:color="auto"/>
                <w:right w:val="none" w:sz="0" w:space="0" w:color="auto"/>
              </w:divBdr>
            </w:div>
            <w:div w:id="436174141">
              <w:marLeft w:val="0"/>
              <w:marRight w:val="0"/>
              <w:marTop w:val="0"/>
              <w:marBottom w:val="240"/>
              <w:divBdr>
                <w:top w:val="none" w:sz="0" w:space="0" w:color="auto"/>
                <w:left w:val="none" w:sz="0" w:space="0" w:color="auto"/>
                <w:bottom w:val="none" w:sz="0" w:space="0" w:color="auto"/>
                <w:right w:val="none" w:sz="0" w:space="0" w:color="auto"/>
              </w:divBdr>
            </w:div>
            <w:div w:id="1284311656">
              <w:marLeft w:val="0"/>
              <w:marRight w:val="0"/>
              <w:marTop w:val="0"/>
              <w:marBottom w:val="240"/>
              <w:divBdr>
                <w:top w:val="none" w:sz="0" w:space="0" w:color="auto"/>
                <w:left w:val="none" w:sz="0" w:space="0" w:color="auto"/>
                <w:bottom w:val="none" w:sz="0" w:space="0" w:color="auto"/>
                <w:right w:val="none" w:sz="0" w:space="0" w:color="auto"/>
              </w:divBdr>
            </w:div>
            <w:div w:id="1099136711">
              <w:marLeft w:val="0"/>
              <w:marRight w:val="0"/>
              <w:marTop w:val="0"/>
              <w:marBottom w:val="240"/>
              <w:divBdr>
                <w:top w:val="none" w:sz="0" w:space="0" w:color="auto"/>
                <w:left w:val="none" w:sz="0" w:space="0" w:color="auto"/>
                <w:bottom w:val="none" w:sz="0" w:space="0" w:color="auto"/>
                <w:right w:val="none" w:sz="0" w:space="0" w:color="auto"/>
              </w:divBdr>
            </w:div>
            <w:div w:id="1266962812">
              <w:marLeft w:val="0"/>
              <w:marRight w:val="0"/>
              <w:marTop w:val="0"/>
              <w:marBottom w:val="240"/>
              <w:divBdr>
                <w:top w:val="none" w:sz="0" w:space="0" w:color="auto"/>
                <w:left w:val="none" w:sz="0" w:space="0" w:color="auto"/>
                <w:bottom w:val="none" w:sz="0" w:space="0" w:color="auto"/>
                <w:right w:val="none" w:sz="0" w:space="0" w:color="auto"/>
              </w:divBdr>
            </w:div>
            <w:div w:id="740833918">
              <w:marLeft w:val="0"/>
              <w:marRight w:val="0"/>
              <w:marTop w:val="0"/>
              <w:marBottom w:val="240"/>
              <w:divBdr>
                <w:top w:val="none" w:sz="0" w:space="0" w:color="auto"/>
                <w:left w:val="none" w:sz="0" w:space="0" w:color="auto"/>
                <w:bottom w:val="none" w:sz="0" w:space="0" w:color="auto"/>
                <w:right w:val="none" w:sz="0" w:space="0" w:color="auto"/>
              </w:divBdr>
            </w:div>
            <w:div w:id="483812456">
              <w:marLeft w:val="0"/>
              <w:marRight w:val="0"/>
              <w:marTop w:val="0"/>
              <w:marBottom w:val="240"/>
              <w:divBdr>
                <w:top w:val="none" w:sz="0" w:space="0" w:color="auto"/>
                <w:left w:val="none" w:sz="0" w:space="0" w:color="auto"/>
                <w:bottom w:val="none" w:sz="0" w:space="0" w:color="auto"/>
                <w:right w:val="none" w:sz="0" w:space="0" w:color="auto"/>
              </w:divBdr>
            </w:div>
            <w:div w:id="2112776590">
              <w:marLeft w:val="0"/>
              <w:marRight w:val="0"/>
              <w:marTop w:val="0"/>
              <w:marBottom w:val="240"/>
              <w:divBdr>
                <w:top w:val="none" w:sz="0" w:space="0" w:color="auto"/>
                <w:left w:val="none" w:sz="0" w:space="0" w:color="auto"/>
                <w:bottom w:val="none" w:sz="0" w:space="0" w:color="auto"/>
                <w:right w:val="none" w:sz="0" w:space="0" w:color="auto"/>
              </w:divBdr>
            </w:div>
            <w:div w:id="395318039">
              <w:marLeft w:val="0"/>
              <w:marRight w:val="0"/>
              <w:marTop w:val="0"/>
              <w:marBottom w:val="240"/>
              <w:divBdr>
                <w:top w:val="none" w:sz="0" w:space="0" w:color="auto"/>
                <w:left w:val="none" w:sz="0" w:space="0" w:color="auto"/>
                <w:bottom w:val="none" w:sz="0" w:space="0" w:color="auto"/>
                <w:right w:val="none" w:sz="0" w:space="0" w:color="auto"/>
              </w:divBdr>
            </w:div>
            <w:div w:id="1687365975">
              <w:marLeft w:val="0"/>
              <w:marRight w:val="0"/>
              <w:marTop w:val="0"/>
              <w:marBottom w:val="240"/>
              <w:divBdr>
                <w:top w:val="none" w:sz="0" w:space="0" w:color="auto"/>
                <w:left w:val="none" w:sz="0" w:space="0" w:color="auto"/>
                <w:bottom w:val="none" w:sz="0" w:space="0" w:color="auto"/>
                <w:right w:val="none" w:sz="0" w:space="0" w:color="auto"/>
              </w:divBdr>
            </w:div>
            <w:div w:id="22050787">
              <w:marLeft w:val="0"/>
              <w:marRight w:val="0"/>
              <w:marTop w:val="0"/>
              <w:marBottom w:val="240"/>
              <w:divBdr>
                <w:top w:val="none" w:sz="0" w:space="0" w:color="auto"/>
                <w:left w:val="none" w:sz="0" w:space="0" w:color="auto"/>
                <w:bottom w:val="none" w:sz="0" w:space="0" w:color="auto"/>
                <w:right w:val="none" w:sz="0" w:space="0" w:color="auto"/>
              </w:divBdr>
            </w:div>
            <w:div w:id="1495418245">
              <w:marLeft w:val="0"/>
              <w:marRight w:val="0"/>
              <w:marTop w:val="0"/>
              <w:marBottom w:val="240"/>
              <w:divBdr>
                <w:top w:val="none" w:sz="0" w:space="0" w:color="auto"/>
                <w:left w:val="none" w:sz="0" w:space="0" w:color="auto"/>
                <w:bottom w:val="none" w:sz="0" w:space="0" w:color="auto"/>
                <w:right w:val="none" w:sz="0" w:space="0" w:color="auto"/>
              </w:divBdr>
            </w:div>
            <w:div w:id="706757817">
              <w:marLeft w:val="0"/>
              <w:marRight w:val="0"/>
              <w:marTop w:val="0"/>
              <w:marBottom w:val="240"/>
              <w:divBdr>
                <w:top w:val="none" w:sz="0" w:space="0" w:color="auto"/>
                <w:left w:val="none" w:sz="0" w:space="0" w:color="auto"/>
                <w:bottom w:val="none" w:sz="0" w:space="0" w:color="auto"/>
                <w:right w:val="none" w:sz="0" w:space="0" w:color="auto"/>
              </w:divBdr>
            </w:div>
            <w:div w:id="177738274">
              <w:marLeft w:val="0"/>
              <w:marRight w:val="0"/>
              <w:marTop w:val="0"/>
              <w:marBottom w:val="240"/>
              <w:divBdr>
                <w:top w:val="none" w:sz="0" w:space="0" w:color="auto"/>
                <w:left w:val="none" w:sz="0" w:space="0" w:color="auto"/>
                <w:bottom w:val="none" w:sz="0" w:space="0" w:color="auto"/>
                <w:right w:val="none" w:sz="0" w:space="0" w:color="auto"/>
              </w:divBdr>
            </w:div>
            <w:div w:id="1010109554">
              <w:marLeft w:val="0"/>
              <w:marRight w:val="0"/>
              <w:marTop w:val="0"/>
              <w:marBottom w:val="240"/>
              <w:divBdr>
                <w:top w:val="none" w:sz="0" w:space="0" w:color="auto"/>
                <w:left w:val="none" w:sz="0" w:space="0" w:color="auto"/>
                <w:bottom w:val="none" w:sz="0" w:space="0" w:color="auto"/>
                <w:right w:val="none" w:sz="0" w:space="0" w:color="auto"/>
              </w:divBdr>
            </w:div>
            <w:div w:id="1903904346">
              <w:marLeft w:val="0"/>
              <w:marRight w:val="0"/>
              <w:marTop w:val="0"/>
              <w:marBottom w:val="240"/>
              <w:divBdr>
                <w:top w:val="none" w:sz="0" w:space="0" w:color="auto"/>
                <w:left w:val="none" w:sz="0" w:space="0" w:color="auto"/>
                <w:bottom w:val="none" w:sz="0" w:space="0" w:color="auto"/>
                <w:right w:val="none" w:sz="0" w:space="0" w:color="auto"/>
              </w:divBdr>
            </w:div>
            <w:div w:id="270867796">
              <w:marLeft w:val="0"/>
              <w:marRight w:val="0"/>
              <w:marTop w:val="0"/>
              <w:marBottom w:val="240"/>
              <w:divBdr>
                <w:top w:val="none" w:sz="0" w:space="0" w:color="auto"/>
                <w:left w:val="none" w:sz="0" w:space="0" w:color="auto"/>
                <w:bottom w:val="none" w:sz="0" w:space="0" w:color="auto"/>
                <w:right w:val="none" w:sz="0" w:space="0" w:color="auto"/>
              </w:divBdr>
            </w:div>
            <w:div w:id="671177660">
              <w:marLeft w:val="0"/>
              <w:marRight w:val="0"/>
              <w:marTop w:val="0"/>
              <w:marBottom w:val="240"/>
              <w:divBdr>
                <w:top w:val="none" w:sz="0" w:space="0" w:color="auto"/>
                <w:left w:val="none" w:sz="0" w:space="0" w:color="auto"/>
                <w:bottom w:val="none" w:sz="0" w:space="0" w:color="auto"/>
                <w:right w:val="none" w:sz="0" w:space="0" w:color="auto"/>
              </w:divBdr>
            </w:div>
            <w:div w:id="1267420534">
              <w:marLeft w:val="0"/>
              <w:marRight w:val="0"/>
              <w:marTop w:val="0"/>
              <w:marBottom w:val="240"/>
              <w:divBdr>
                <w:top w:val="none" w:sz="0" w:space="0" w:color="auto"/>
                <w:left w:val="none" w:sz="0" w:space="0" w:color="auto"/>
                <w:bottom w:val="none" w:sz="0" w:space="0" w:color="auto"/>
                <w:right w:val="none" w:sz="0" w:space="0" w:color="auto"/>
              </w:divBdr>
            </w:div>
            <w:div w:id="1170950879">
              <w:marLeft w:val="0"/>
              <w:marRight w:val="0"/>
              <w:marTop w:val="0"/>
              <w:marBottom w:val="240"/>
              <w:divBdr>
                <w:top w:val="none" w:sz="0" w:space="0" w:color="auto"/>
                <w:left w:val="none" w:sz="0" w:space="0" w:color="auto"/>
                <w:bottom w:val="none" w:sz="0" w:space="0" w:color="auto"/>
                <w:right w:val="none" w:sz="0" w:space="0" w:color="auto"/>
              </w:divBdr>
            </w:div>
            <w:div w:id="2056272779">
              <w:marLeft w:val="0"/>
              <w:marRight w:val="0"/>
              <w:marTop w:val="0"/>
              <w:marBottom w:val="240"/>
              <w:divBdr>
                <w:top w:val="none" w:sz="0" w:space="0" w:color="auto"/>
                <w:left w:val="none" w:sz="0" w:space="0" w:color="auto"/>
                <w:bottom w:val="none" w:sz="0" w:space="0" w:color="auto"/>
                <w:right w:val="none" w:sz="0" w:space="0" w:color="auto"/>
              </w:divBdr>
            </w:div>
            <w:div w:id="1542093225">
              <w:marLeft w:val="0"/>
              <w:marRight w:val="0"/>
              <w:marTop w:val="0"/>
              <w:marBottom w:val="240"/>
              <w:divBdr>
                <w:top w:val="none" w:sz="0" w:space="0" w:color="auto"/>
                <w:left w:val="none" w:sz="0" w:space="0" w:color="auto"/>
                <w:bottom w:val="none" w:sz="0" w:space="0" w:color="auto"/>
                <w:right w:val="none" w:sz="0" w:space="0" w:color="auto"/>
              </w:divBdr>
            </w:div>
            <w:div w:id="1743793306">
              <w:marLeft w:val="0"/>
              <w:marRight w:val="0"/>
              <w:marTop w:val="0"/>
              <w:marBottom w:val="240"/>
              <w:divBdr>
                <w:top w:val="none" w:sz="0" w:space="0" w:color="auto"/>
                <w:left w:val="none" w:sz="0" w:space="0" w:color="auto"/>
                <w:bottom w:val="none" w:sz="0" w:space="0" w:color="auto"/>
                <w:right w:val="none" w:sz="0" w:space="0" w:color="auto"/>
              </w:divBdr>
            </w:div>
            <w:div w:id="938635387">
              <w:marLeft w:val="0"/>
              <w:marRight w:val="0"/>
              <w:marTop w:val="0"/>
              <w:marBottom w:val="240"/>
              <w:divBdr>
                <w:top w:val="none" w:sz="0" w:space="0" w:color="auto"/>
                <w:left w:val="none" w:sz="0" w:space="0" w:color="auto"/>
                <w:bottom w:val="none" w:sz="0" w:space="0" w:color="auto"/>
                <w:right w:val="none" w:sz="0" w:space="0" w:color="auto"/>
              </w:divBdr>
            </w:div>
            <w:div w:id="1483623472">
              <w:marLeft w:val="0"/>
              <w:marRight w:val="0"/>
              <w:marTop w:val="0"/>
              <w:marBottom w:val="240"/>
              <w:divBdr>
                <w:top w:val="none" w:sz="0" w:space="0" w:color="auto"/>
                <w:left w:val="none" w:sz="0" w:space="0" w:color="auto"/>
                <w:bottom w:val="none" w:sz="0" w:space="0" w:color="auto"/>
                <w:right w:val="none" w:sz="0" w:space="0" w:color="auto"/>
              </w:divBdr>
            </w:div>
            <w:div w:id="1505165707">
              <w:marLeft w:val="0"/>
              <w:marRight w:val="0"/>
              <w:marTop w:val="0"/>
              <w:marBottom w:val="240"/>
              <w:divBdr>
                <w:top w:val="none" w:sz="0" w:space="0" w:color="auto"/>
                <w:left w:val="none" w:sz="0" w:space="0" w:color="auto"/>
                <w:bottom w:val="none" w:sz="0" w:space="0" w:color="auto"/>
                <w:right w:val="none" w:sz="0" w:space="0" w:color="auto"/>
              </w:divBdr>
            </w:div>
            <w:div w:id="1147093562">
              <w:marLeft w:val="0"/>
              <w:marRight w:val="0"/>
              <w:marTop w:val="0"/>
              <w:marBottom w:val="240"/>
              <w:divBdr>
                <w:top w:val="none" w:sz="0" w:space="0" w:color="auto"/>
                <w:left w:val="none" w:sz="0" w:space="0" w:color="auto"/>
                <w:bottom w:val="none" w:sz="0" w:space="0" w:color="auto"/>
                <w:right w:val="none" w:sz="0" w:space="0" w:color="auto"/>
              </w:divBdr>
            </w:div>
            <w:div w:id="878278423">
              <w:marLeft w:val="0"/>
              <w:marRight w:val="0"/>
              <w:marTop w:val="0"/>
              <w:marBottom w:val="240"/>
              <w:divBdr>
                <w:top w:val="none" w:sz="0" w:space="0" w:color="auto"/>
                <w:left w:val="none" w:sz="0" w:space="0" w:color="auto"/>
                <w:bottom w:val="none" w:sz="0" w:space="0" w:color="auto"/>
                <w:right w:val="none" w:sz="0" w:space="0" w:color="auto"/>
              </w:divBdr>
            </w:div>
            <w:div w:id="1777795510">
              <w:marLeft w:val="0"/>
              <w:marRight w:val="0"/>
              <w:marTop w:val="0"/>
              <w:marBottom w:val="240"/>
              <w:divBdr>
                <w:top w:val="none" w:sz="0" w:space="0" w:color="auto"/>
                <w:left w:val="none" w:sz="0" w:space="0" w:color="auto"/>
                <w:bottom w:val="none" w:sz="0" w:space="0" w:color="auto"/>
                <w:right w:val="none" w:sz="0" w:space="0" w:color="auto"/>
              </w:divBdr>
            </w:div>
            <w:div w:id="432365232">
              <w:marLeft w:val="0"/>
              <w:marRight w:val="0"/>
              <w:marTop w:val="0"/>
              <w:marBottom w:val="240"/>
              <w:divBdr>
                <w:top w:val="none" w:sz="0" w:space="0" w:color="auto"/>
                <w:left w:val="none" w:sz="0" w:space="0" w:color="auto"/>
                <w:bottom w:val="none" w:sz="0" w:space="0" w:color="auto"/>
                <w:right w:val="none" w:sz="0" w:space="0" w:color="auto"/>
              </w:divBdr>
            </w:div>
            <w:div w:id="530537959">
              <w:marLeft w:val="0"/>
              <w:marRight w:val="0"/>
              <w:marTop w:val="0"/>
              <w:marBottom w:val="240"/>
              <w:divBdr>
                <w:top w:val="none" w:sz="0" w:space="0" w:color="auto"/>
                <w:left w:val="none" w:sz="0" w:space="0" w:color="auto"/>
                <w:bottom w:val="none" w:sz="0" w:space="0" w:color="auto"/>
                <w:right w:val="none" w:sz="0" w:space="0" w:color="auto"/>
              </w:divBdr>
            </w:div>
            <w:div w:id="340357210">
              <w:marLeft w:val="0"/>
              <w:marRight w:val="0"/>
              <w:marTop w:val="0"/>
              <w:marBottom w:val="240"/>
              <w:divBdr>
                <w:top w:val="none" w:sz="0" w:space="0" w:color="auto"/>
                <w:left w:val="none" w:sz="0" w:space="0" w:color="auto"/>
                <w:bottom w:val="none" w:sz="0" w:space="0" w:color="auto"/>
                <w:right w:val="none" w:sz="0" w:space="0" w:color="auto"/>
              </w:divBdr>
            </w:div>
            <w:div w:id="1490636336">
              <w:marLeft w:val="0"/>
              <w:marRight w:val="0"/>
              <w:marTop w:val="0"/>
              <w:marBottom w:val="240"/>
              <w:divBdr>
                <w:top w:val="none" w:sz="0" w:space="0" w:color="auto"/>
                <w:left w:val="none" w:sz="0" w:space="0" w:color="auto"/>
                <w:bottom w:val="none" w:sz="0" w:space="0" w:color="auto"/>
                <w:right w:val="none" w:sz="0" w:space="0" w:color="auto"/>
              </w:divBdr>
            </w:div>
            <w:div w:id="586616334">
              <w:marLeft w:val="0"/>
              <w:marRight w:val="0"/>
              <w:marTop w:val="0"/>
              <w:marBottom w:val="240"/>
              <w:divBdr>
                <w:top w:val="none" w:sz="0" w:space="0" w:color="auto"/>
                <w:left w:val="none" w:sz="0" w:space="0" w:color="auto"/>
                <w:bottom w:val="none" w:sz="0" w:space="0" w:color="auto"/>
                <w:right w:val="none" w:sz="0" w:space="0" w:color="auto"/>
              </w:divBdr>
            </w:div>
            <w:div w:id="895823788">
              <w:marLeft w:val="0"/>
              <w:marRight w:val="0"/>
              <w:marTop w:val="0"/>
              <w:marBottom w:val="240"/>
              <w:divBdr>
                <w:top w:val="none" w:sz="0" w:space="0" w:color="auto"/>
                <w:left w:val="none" w:sz="0" w:space="0" w:color="auto"/>
                <w:bottom w:val="none" w:sz="0" w:space="0" w:color="auto"/>
                <w:right w:val="none" w:sz="0" w:space="0" w:color="auto"/>
              </w:divBdr>
            </w:div>
            <w:div w:id="1679454874">
              <w:marLeft w:val="0"/>
              <w:marRight w:val="0"/>
              <w:marTop w:val="0"/>
              <w:marBottom w:val="240"/>
              <w:divBdr>
                <w:top w:val="none" w:sz="0" w:space="0" w:color="auto"/>
                <w:left w:val="none" w:sz="0" w:space="0" w:color="auto"/>
                <w:bottom w:val="none" w:sz="0" w:space="0" w:color="auto"/>
                <w:right w:val="none" w:sz="0" w:space="0" w:color="auto"/>
              </w:divBdr>
            </w:div>
            <w:div w:id="673994055">
              <w:marLeft w:val="0"/>
              <w:marRight w:val="0"/>
              <w:marTop w:val="0"/>
              <w:marBottom w:val="240"/>
              <w:divBdr>
                <w:top w:val="none" w:sz="0" w:space="0" w:color="auto"/>
                <w:left w:val="none" w:sz="0" w:space="0" w:color="auto"/>
                <w:bottom w:val="none" w:sz="0" w:space="0" w:color="auto"/>
                <w:right w:val="none" w:sz="0" w:space="0" w:color="auto"/>
              </w:divBdr>
            </w:div>
            <w:div w:id="898441161">
              <w:marLeft w:val="0"/>
              <w:marRight w:val="0"/>
              <w:marTop w:val="0"/>
              <w:marBottom w:val="240"/>
              <w:divBdr>
                <w:top w:val="none" w:sz="0" w:space="0" w:color="auto"/>
                <w:left w:val="none" w:sz="0" w:space="0" w:color="auto"/>
                <w:bottom w:val="none" w:sz="0" w:space="0" w:color="auto"/>
                <w:right w:val="none" w:sz="0" w:space="0" w:color="auto"/>
              </w:divBdr>
            </w:div>
            <w:div w:id="1988388594">
              <w:marLeft w:val="0"/>
              <w:marRight w:val="0"/>
              <w:marTop w:val="0"/>
              <w:marBottom w:val="240"/>
              <w:divBdr>
                <w:top w:val="none" w:sz="0" w:space="0" w:color="auto"/>
                <w:left w:val="none" w:sz="0" w:space="0" w:color="auto"/>
                <w:bottom w:val="none" w:sz="0" w:space="0" w:color="auto"/>
                <w:right w:val="none" w:sz="0" w:space="0" w:color="auto"/>
              </w:divBdr>
            </w:div>
            <w:div w:id="1828739876">
              <w:marLeft w:val="0"/>
              <w:marRight w:val="0"/>
              <w:marTop w:val="0"/>
              <w:marBottom w:val="240"/>
              <w:divBdr>
                <w:top w:val="none" w:sz="0" w:space="0" w:color="auto"/>
                <w:left w:val="none" w:sz="0" w:space="0" w:color="auto"/>
                <w:bottom w:val="none" w:sz="0" w:space="0" w:color="auto"/>
                <w:right w:val="none" w:sz="0" w:space="0" w:color="auto"/>
              </w:divBdr>
            </w:div>
            <w:div w:id="138084702">
              <w:marLeft w:val="0"/>
              <w:marRight w:val="0"/>
              <w:marTop w:val="0"/>
              <w:marBottom w:val="240"/>
              <w:divBdr>
                <w:top w:val="none" w:sz="0" w:space="0" w:color="auto"/>
                <w:left w:val="none" w:sz="0" w:space="0" w:color="auto"/>
                <w:bottom w:val="none" w:sz="0" w:space="0" w:color="auto"/>
                <w:right w:val="none" w:sz="0" w:space="0" w:color="auto"/>
              </w:divBdr>
            </w:div>
            <w:div w:id="219678920">
              <w:marLeft w:val="0"/>
              <w:marRight w:val="0"/>
              <w:marTop w:val="0"/>
              <w:marBottom w:val="240"/>
              <w:divBdr>
                <w:top w:val="none" w:sz="0" w:space="0" w:color="auto"/>
                <w:left w:val="none" w:sz="0" w:space="0" w:color="auto"/>
                <w:bottom w:val="none" w:sz="0" w:space="0" w:color="auto"/>
                <w:right w:val="none" w:sz="0" w:space="0" w:color="auto"/>
              </w:divBdr>
            </w:div>
            <w:div w:id="1791782821">
              <w:marLeft w:val="0"/>
              <w:marRight w:val="0"/>
              <w:marTop w:val="0"/>
              <w:marBottom w:val="240"/>
              <w:divBdr>
                <w:top w:val="none" w:sz="0" w:space="0" w:color="auto"/>
                <w:left w:val="none" w:sz="0" w:space="0" w:color="auto"/>
                <w:bottom w:val="none" w:sz="0" w:space="0" w:color="auto"/>
                <w:right w:val="none" w:sz="0" w:space="0" w:color="auto"/>
              </w:divBdr>
            </w:div>
            <w:div w:id="901251135">
              <w:marLeft w:val="0"/>
              <w:marRight w:val="0"/>
              <w:marTop w:val="0"/>
              <w:marBottom w:val="240"/>
              <w:divBdr>
                <w:top w:val="none" w:sz="0" w:space="0" w:color="auto"/>
                <w:left w:val="none" w:sz="0" w:space="0" w:color="auto"/>
                <w:bottom w:val="none" w:sz="0" w:space="0" w:color="auto"/>
                <w:right w:val="none" w:sz="0" w:space="0" w:color="auto"/>
              </w:divBdr>
            </w:div>
            <w:div w:id="1823230357">
              <w:marLeft w:val="0"/>
              <w:marRight w:val="0"/>
              <w:marTop w:val="0"/>
              <w:marBottom w:val="240"/>
              <w:divBdr>
                <w:top w:val="none" w:sz="0" w:space="0" w:color="auto"/>
                <w:left w:val="none" w:sz="0" w:space="0" w:color="auto"/>
                <w:bottom w:val="none" w:sz="0" w:space="0" w:color="auto"/>
                <w:right w:val="none" w:sz="0" w:space="0" w:color="auto"/>
              </w:divBdr>
            </w:div>
            <w:div w:id="2028024597">
              <w:marLeft w:val="0"/>
              <w:marRight w:val="0"/>
              <w:marTop w:val="0"/>
              <w:marBottom w:val="240"/>
              <w:divBdr>
                <w:top w:val="none" w:sz="0" w:space="0" w:color="auto"/>
                <w:left w:val="none" w:sz="0" w:space="0" w:color="auto"/>
                <w:bottom w:val="none" w:sz="0" w:space="0" w:color="auto"/>
                <w:right w:val="none" w:sz="0" w:space="0" w:color="auto"/>
              </w:divBdr>
            </w:div>
            <w:div w:id="1355690852">
              <w:marLeft w:val="0"/>
              <w:marRight w:val="0"/>
              <w:marTop w:val="0"/>
              <w:marBottom w:val="240"/>
              <w:divBdr>
                <w:top w:val="none" w:sz="0" w:space="0" w:color="auto"/>
                <w:left w:val="none" w:sz="0" w:space="0" w:color="auto"/>
                <w:bottom w:val="none" w:sz="0" w:space="0" w:color="auto"/>
                <w:right w:val="none" w:sz="0" w:space="0" w:color="auto"/>
              </w:divBdr>
            </w:div>
            <w:div w:id="394164308">
              <w:marLeft w:val="0"/>
              <w:marRight w:val="0"/>
              <w:marTop w:val="0"/>
              <w:marBottom w:val="240"/>
              <w:divBdr>
                <w:top w:val="none" w:sz="0" w:space="0" w:color="auto"/>
                <w:left w:val="none" w:sz="0" w:space="0" w:color="auto"/>
                <w:bottom w:val="none" w:sz="0" w:space="0" w:color="auto"/>
                <w:right w:val="none" w:sz="0" w:space="0" w:color="auto"/>
              </w:divBdr>
            </w:div>
            <w:div w:id="1768427833">
              <w:marLeft w:val="0"/>
              <w:marRight w:val="0"/>
              <w:marTop w:val="0"/>
              <w:marBottom w:val="240"/>
              <w:divBdr>
                <w:top w:val="none" w:sz="0" w:space="0" w:color="auto"/>
                <w:left w:val="none" w:sz="0" w:space="0" w:color="auto"/>
                <w:bottom w:val="none" w:sz="0" w:space="0" w:color="auto"/>
                <w:right w:val="none" w:sz="0" w:space="0" w:color="auto"/>
              </w:divBdr>
            </w:div>
            <w:div w:id="1294018049">
              <w:marLeft w:val="0"/>
              <w:marRight w:val="0"/>
              <w:marTop w:val="0"/>
              <w:marBottom w:val="240"/>
              <w:divBdr>
                <w:top w:val="none" w:sz="0" w:space="0" w:color="auto"/>
                <w:left w:val="none" w:sz="0" w:space="0" w:color="auto"/>
                <w:bottom w:val="none" w:sz="0" w:space="0" w:color="auto"/>
                <w:right w:val="none" w:sz="0" w:space="0" w:color="auto"/>
              </w:divBdr>
            </w:div>
            <w:div w:id="232203190">
              <w:marLeft w:val="0"/>
              <w:marRight w:val="0"/>
              <w:marTop w:val="0"/>
              <w:marBottom w:val="240"/>
              <w:divBdr>
                <w:top w:val="none" w:sz="0" w:space="0" w:color="auto"/>
                <w:left w:val="none" w:sz="0" w:space="0" w:color="auto"/>
                <w:bottom w:val="none" w:sz="0" w:space="0" w:color="auto"/>
                <w:right w:val="none" w:sz="0" w:space="0" w:color="auto"/>
              </w:divBdr>
            </w:div>
            <w:div w:id="86461575">
              <w:marLeft w:val="0"/>
              <w:marRight w:val="0"/>
              <w:marTop w:val="0"/>
              <w:marBottom w:val="240"/>
              <w:divBdr>
                <w:top w:val="none" w:sz="0" w:space="0" w:color="auto"/>
                <w:left w:val="none" w:sz="0" w:space="0" w:color="auto"/>
                <w:bottom w:val="none" w:sz="0" w:space="0" w:color="auto"/>
                <w:right w:val="none" w:sz="0" w:space="0" w:color="auto"/>
              </w:divBdr>
            </w:div>
            <w:div w:id="94373008">
              <w:marLeft w:val="0"/>
              <w:marRight w:val="0"/>
              <w:marTop w:val="0"/>
              <w:marBottom w:val="240"/>
              <w:divBdr>
                <w:top w:val="none" w:sz="0" w:space="0" w:color="auto"/>
                <w:left w:val="none" w:sz="0" w:space="0" w:color="auto"/>
                <w:bottom w:val="none" w:sz="0" w:space="0" w:color="auto"/>
                <w:right w:val="none" w:sz="0" w:space="0" w:color="auto"/>
              </w:divBdr>
            </w:div>
            <w:div w:id="42562245">
              <w:marLeft w:val="0"/>
              <w:marRight w:val="0"/>
              <w:marTop w:val="0"/>
              <w:marBottom w:val="240"/>
              <w:divBdr>
                <w:top w:val="none" w:sz="0" w:space="0" w:color="auto"/>
                <w:left w:val="none" w:sz="0" w:space="0" w:color="auto"/>
                <w:bottom w:val="none" w:sz="0" w:space="0" w:color="auto"/>
                <w:right w:val="none" w:sz="0" w:space="0" w:color="auto"/>
              </w:divBdr>
            </w:div>
            <w:div w:id="509493670">
              <w:marLeft w:val="0"/>
              <w:marRight w:val="0"/>
              <w:marTop w:val="0"/>
              <w:marBottom w:val="240"/>
              <w:divBdr>
                <w:top w:val="none" w:sz="0" w:space="0" w:color="auto"/>
                <w:left w:val="none" w:sz="0" w:space="0" w:color="auto"/>
                <w:bottom w:val="none" w:sz="0" w:space="0" w:color="auto"/>
                <w:right w:val="none" w:sz="0" w:space="0" w:color="auto"/>
              </w:divBdr>
            </w:div>
            <w:div w:id="109908354">
              <w:marLeft w:val="0"/>
              <w:marRight w:val="0"/>
              <w:marTop w:val="0"/>
              <w:marBottom w:val="240"/>
              <w:divBdr>
                <w:top w:val="none" w:sz="0" w:space="0" w:color="auto"/>
                <w:left w:val="none" w:sz="0" w:space="0" w:color="auto"/>
                <w:bottom w:val="none" w:sz="0" w:space="0" w:color="auto"/>
                <w:right w:val="none" w:sz="0" w:space="0" w:color="auto"/>
              </w:divBdr>
            </w:div>
            <w:div w:id="845099164">
              <w:marLeft w:val="0"/>
              <w:marRight w:val="0"/>
              <w:marTop w:val="0"/>
              <w:marBottom w:val="240"/>
              <w:divBdr>
                <w:top w:val="none" w:sz="0" w:space="0" w:color="auto"/>
                <w:left w:val="none" w:sz="0" w:space="0" w:color="auto"/>
                <w:bottom w:val="none" w:sz="0" w:space="0" w:color="auto"/>
                <w:right w:val="none" w:sz="0" w:space="0" w:color="auto"/>
              </w:divBdr>
            </w:div>
            <w:div w:id="1793669145">
              <w:marLeft w:val="0"/>
              <w:marRight w:val="0"/>
              <w:marTop w:val="0"/>
              <w:marBottom w:val="240"/>
              <w:divBdr>
                <w:top w:val="none" w:sz="0" w:space="0" w:color="auto"/>
                <w:left w:val="none" w:sz="0" w:space="0" w:color="auto"/>
                <w:bottom w:val="none" w:sz="0" w:space="0" w:color="auto"/>
                <w:right w:val="none" w:sz="0" w:space="0" w:color="auto"/>
              </w:divBdr>
            </w:div>
            <w:div w:id="562567226">
              <w:marLeft w:val="0"/>
              <w:marRight w:val="0"/>
              <w:marTop w:val="0"/>
              <w:marBottom w:val="240"/>
              <w:divBdr>
                <w:top w:val="none" w:sz="0" w:space="0" w:color="auto"/>
                <w:left w:val="none" w:sz="0" w:space="0" w:color="auto"/>
                <w:bottom w:val="none" w:sz="0" w:space="0" w:color="auto"/>
                <w:right w:val="none" w:sz="0" w:space="0" w:color="auto"/>
              </w:divBdr>
            </w:div>
            <w:div w:id="1868176120">
              <w:marLeft w:val="0"/>
              <w:marRight w:val="0"/>
              <w:marTop w:val="0"/>
              <w:marBottom w:val="240"/>
              <w:divBdr>
                <w:top w:val="none" w:sz="0" w:space="0" w:color="auto"/>
                <w:left w:val="none" w:sz="0" w:space="0" w:color="auto"/>
                <w:bottom w:val="none" w:sz="0" w:space="0" w:color="auto"/>
                <w:right w:val="none" w:sz="0" w:space="0" w:color="auto"/>
              </w:divBdr>
            </w:div>
            <w:div w:id="963970928">
              <w:marLeft w:val="0"/>
              <w:marRight w:val="0"/>
              <w:marTop w:val="0"/>
              <w:marBottom w:val="240"/>
              <w:divBdr>
                <w:top w:val="none" w:sz="0" w:space="0" w:color="auto"/>
                <w:left w:val="none" w:sz="0" w:space="0" w:color="auto"/>
                <w:bottom w:val="none" w:sz="0" w:space="0" w:color="auto"/>
                <w:right w:val="none" w:sz="0" w:space="0" w:color="auto"/>
              </w:divBdr>
            </w:div>
            <w:div w:id="1673992080">
              <w:marLeft w:val="0"/>
              <w:marRight w:val="0"/>
              <w:marTop w:val="0"/>
              <w:marBottom w:val="240"/>
              <w:divBdr>
                <w:top w:val="none" w:sz="0" w:space="0" w:color="auto"/>
                <w:left w:val="none" w:sz="0" w:space="0" w:color="auto"/>
                <w:bottom w:val="none" w:sz="0" w:space="0" w:color="auto"/>
                <w:right w:val="none" w:sz="0" w:space="0" w:color="auto"/>
              </w:divBdr>
            </w:div>
            <w:div w:id="1807352939">
              <w:marLeft w:val="0"/>
              <w:marRight w:val="0"/>
              <w:marTop w:val="0"/>
              <w:marBottom w:val="240"/>
              <w:divBdr>
                <w:top w:val="none" w:sz="0" w:space="0" w:color="auto"/>
                <w:left w:val="none" w:sz="0" w:space="0" w:color="auto"/>
                <w:bottom w:val="none" w:sz="0" w:space="0" w:color="auto"/>
                <w:right w:val="none" w:sz="0" w:space="0" w:color="auto"/>
              </w:divBdr>
            </w:div>
            <w:div w:id="2013795016">
              <w:marLeft w:val="0"/>
              <w:marRight w:val="0"/>
              <w:marTop w:val="0"/>
              <w:marBottom w:val="240"/>
              <w:divBdr>
                <w:top w:val="none" w:sz="0" w:space="0" w:color="auto"/>
                <w:left w:val="none" w:sz="0" w:space="0" w:color="auto"/>
                <w:bottom w:val="none" w:sz="0" w:space="0" w:color="auto"/>
                <w:right w:val="none" w:sz="0" w:space="0" w:color="auto"/>
              </w:divBdr>
            </w:div>
            <w:div w:id="255066863">
              <w:marLeft w:val="0"/>
              <w:marRight w:val="0"/>
              <w:marTop w:val="0"/>
              <w:marBottom w:val="240"/>
              <w:divBdr>
                <w:top w:val="none" w:sz="0" w:space="0" w:color="auto"/>
                <w:left w:val="none" w:sz="0" w:space="0" w:color="auto"/>
                <w:bottom w:val="none" w:sz="0" w:space="0" w:color="auto"/>
                <w:right w:val="none" w:sz="0" w:space="0" w:color="auto"/>
              </w:divBdr>
            </w:div>
            <w:div w:id="535194361">
              <w:marLeft w:val="0"/>
              <w:marRight w:val="0"/>
              <w:marTop w:val="0"/>
              <w:marBottom w:val="240"/>
              <w:divBdr>
                <w:top w:val="none" w:sz="0" w:space="0" w:color="auto"/>
                <w:left w:val="none" w:sz="0" w:space="0" w:color="auto"/>
                <w:bottom w:val="none" w:sz="0" w:space="0" w:color="auto"/>
                <w:right w:val="none" w:sz="0" w:space="0" w:color="auto"/>
              </w:divBdr>
            </w:div>
            <w:div w:id="123736410">
              <w:marLeft w:val="0"/>
              <w:marRight w:val="0"/>
              <w:marTop w:val="0"/>
              <w:marBottom w:val="240"/>
              <w:divBdr>
                <w:top w:val="none" w:sz="0" w:space="0" w:color="auto"/>
                <w:left w:val="none" w:sz="0" w:space="0" w:color="auto"/>
                <w:bottom w:val="none" w:sz="0" w:space="0" w:color="auto"/>
                <w:right w:val="none" w:sz="0" w:space="0" w:color="auto"/>
              </w:divBdr>
            </w:div>
            <w:div w:id="714702122">
              <w:marLeft w:val="0"/>
              <w:marRight w:val="0"/>
              <w:marTop w:val="0"/>
              <w:marBottom w:val="240"/>
              <w:divBdr>
                <w:top w:val="none" w:sz="0" w:space="0" w:color="auto"/>
                <w:left w:val="none" w:sz="0" w:space="0" w:color="auto"/>
                <w:bottom w:val="none" w:sz="0" w:space="0" w:color="auto"/>
                <w:right w:val="none" w:sz="0" w:space="0" w:color="auto"/>
              </w:divBdr>
            </w:div>
            <w:div w:id="1508860866">
              <w:marLeft w:val="0"/>
              <w:marRight w:val="0"/>
              <w:marTop w:val="0"/>
              <w:marBottom w:val="240"/>
              <w:divBdr>
                <w:top w:val="none" w:sz="0" w:space="0" w:color="auto"/>
                <w:left w:val="none" w:sz="0" w:space="0" w:color="auto"/>
                <w:bottom w:val="none" w:sz="0" w:space="0" w:color="auto"/>
                <w:right w:val="none" w:sz="0" w:space="0" w:color="auto"/>
              </w:divBdr>
            </w:div>
            <w:div w:id="748698564">
              <w:marLeft w:val="0"/>
              <w:marRight w:val="0"/>
              <w:marTop w:val="0"/>
              <w:marBottom w:val="240"/>
              <w:divBdr>
                <w:top w:val="none" w:sz="0" w:space="0" w:color="auto"/>
                <w:left w:val="none" w:sz="0" w:space="0" w:color="auto"/>
                <w:bottom w:val="none" w:sz="0" w:space="0" w:color="auto"/>
                <w:right w:val="none" w:sz="0" w:space="0" w:color="auto"/>
              </w:divBdr>
            </w:div>
            <w:div w:id="1980377355">
              <w:marLeft w:val="0"/>
              <w:marRight w:val="0"/>
              <w:marTop w:val="0"/>
              <w:marBottom w:val="240"/>
              <w:divBdr>
                <w:top w:val="none" w:sz="0" w:space="0" w:color="auto"/>
                <w:left w:val="none" w:sz="0" w:space="0" w:color="auto"/>
                <w:bottom w:val="none" w:sz="0" w:space="0" w:color="auto"/>
                <w:right w:val="none" w:sz="0" w:space="0" w:color="auto"/>
              </w:divBdr>
            </w:div>
            <w:div w:id="399836449">
              <w:marLeft w:val="0"/>
              <w:marRight w:val="0"/>
              <w:marTop w:val="0"/>
              <w:marBottom w:val="240"/>
              <w:divBdr>
                <w:top w:val="none" w:sz="0" w:space="0" w:color="auto"/>
                <w:left w:val="none" w:sz="0" w:space="0" w:color="auto"/>
                <w:bottom w:val="none" w:sz="0" w:space="0" w:color="auto"/>
                <w:right w:val="none" w:sz="0" w:space="0" w:color="auto"/>
              </w:divBdr>
            </w:div>
            <w:div w:id="1515655543">
              <w:marLeft w:val="0"/>
              <w:marRight w:val="0"/>
              <w:marTop w:val="0"/>
              <w:marBottom w:val="240"/>
              <w:divBdr>
                <w:top w:val="none" w:sz="0" w:space="0" w:color="auto"/>
                <w:left w:val="none" w:sz="0" w:space="0" w:color="auto"/>
                <w:bottom w:val="none" w:sz="0" w:space="0" w:color="auto"/>
                <w:right w:val="none" w:sz="0" w:space="0" w:color="auto"/>
              </w:divBdr>
            </w:div>
            <w:div w:id="2146118917">
              <w:marLeft w:val="0"/>
              <w:marRight w:val="0"/>
              <w:marTop w:val="0"/>
              <w:marBottom w:val="240"/>
              <w:divBdr>
                <w:top w:val="none" w:sz="0" w:space="0" w:color="auto"/>
                <w:left w:val="none" w:sz="0" w:space="0" w:color="auto"/>
                <w:bottom w:val="none" w:sz="0" w:space="0" w:color="auto"/>
                <w:right w:val="none" w:sz="0" w:space="0" w:color="auto"/>
              </w:divBdr>
            </w:div>
            <w:div w:id="817573688">
              <w:marLeft w:val="0"/>
              <w:marRight w:val="0"/>
              <w:marTop w:val="0"/>
              <w:marBottom w:val="240"/>
              <w:divBdr>
                <w:top w:val="none" w:sz="0" w:space="0" w:color="auto"/>
                <w:left w:val="none" w:sz="0" w:space="0" w:color="auto"/>
                <w:bottom w:val="none" w:sz="0" w:space="0" w:color="auto"/>
                <w:right w:val="none" w:sz="0" w:space="0" w:color="auto"/>
              </w:divBdr>
            </w:div>
            <w:div w:id="454564717">
              <w:marLeft w:val="0"/>
              <w:marRight w:val="0"/>
              <w:marTop w:val="0"/>
              <w:marBottom w:val="240"/>
              <w:divBdr>
                <w:top w:val="none" w:sz="0" w:space="0" w:color="auto"/>
                <w:left w:val="none" w:sz="0" w:space="0" w:color="auto"/>
                <w:bottom w:val="none" w:sz="0" w:space="0" w:color="auto"/>
                <w:right w:val="none" w:sz="0" w:space="0" w:color="auto"/>
              </w:divBdr>
            </w:div>
            <w:div w:id="721632713">
              <w:marLeft w:val="0"/>
              <w:marRight w:val="0"/>
              <w:marTop w:val="0"/>
              <w:marBottom w:val="240"/>
              <w:divBdr>
                <w:top w:val="none" w:sz="0" w:space="0" w:color="auto"/>
                <w:left w:val="none" w:sz="0" w:space="0" w:color="auto"/>
                <w:bottom w:val="none" w:sz="0" w:space="0" w:color="auto"/>
                <w:right w:val="none" w:sz="0" w:space="0" w:color="auto"/>
              </w:divBdr>
            </w:div>
            <w:div w:id="1531608869">
              <w:marLeft w:val="0"/>
              <w:marRight w:val="0"/>
              <w:marTop w:val="0"/>
              <w:marBottom w:val="240"/>
              <w:divBdr>
                <w:top w:val="none" w:sz="0" w:space="0" w:color="auto"/>
                <w:left w:val="none" w:sz="0" w:space="0" w:color="auto"/>
                <w:bottom w:val="none" w:sz="0" w:space="0" w:color="auto"/>
                <w:right w:val="none" w:sz="0" w:space="0" w:color="auto"/>
              </w:divBdr>
            </w:div>
            <w:div w:id="1391685722">
              <w:marLeft w:val="0"/>
              <w:marRight w:val="0"/>
              <w:marTop w:val="0"/>
              <w:marBottom w:val="240"/>
              <w:divBdr>
                <w:top w:val="none" w:sz="0" w:space="0" w:color="auto"/>
                <w:left w:val="none" w:sz="0" w:space="0" w:color="auto"/>
                <w:bottom w:val="none" w:sz="0" w:space="0" w:color="auto"/>
                <w:right w:val="none" w:sz="0" w:space="0" w:color="auto"/>
              </w:divBdr>
            </w:div>
            <w:div w:id="1520705990">
              <w:marLeft w:val="0"/>
              <w:marRight w:val="0"/>
              <w:marTop w:val="0"/>
              <w:marBottom w:val="240"/>
              <w:divBdr>
                <w:top w:val="none" w:sz="0" w:space="0" w:color="auto"/>
                <w:left w:val="none" w:sz="0" w:space="0" w:color="auto"/>
                <w:bottom w:val="none" w:sz="0" w:space="0" w:color="auto"/>
                <w:right w:val="none" w:sz="0" w:space="0" w:color="auto"/>
              </w:divBdr>
            </w:div>
            <w:div w:id="1248729981">
              <w:marLeft w:val="0"/>
              <w:marRight w:val="0"/>
              <w:marTop w:val="0"/>
              <w:marBottom w:val="240"/>
              <w:divBdr>
                <w:top w:val="none" w:sz="0" w:space="0" w:color="auto"/>
                <w:left w:val="none" w:sz="0" w:space="0" w:color="auto"/>
                <w:bottom w:val="none" w:sz="0" w:space="0" w:color="auto"/>
                <w:right w:val="none" w:sz="0" w:space="0" w:color="auto"/>
              </w:divBdr>
            </w:div>
            <w:div w:id="672532083">
              <w:marLeft w:val="0"/>
              <w:marRight w:val="0"/>
              <w:marTop w:val="0"/>
              <w:marBottom w:val="240"/>
              <w:divBdr>
                <w:top w:val="none" w:sz="0" w:space="0" w:color="auto"/>
                <w:left w:val="none" w:sz="0" w:space="0" w:color="auto"/>
                <w:bottom w:val="none" w:sz="0" w:space="0" w:color="auto"/>
                <w:right w:val="none" w:sz="0" w:space="0" w:color="auto"/>
              </w:divBdr>
            </w:div>
            <w:div w:id="1627352464">
              <w:marLeft w:val="0"/>
              <w:marRight w:val="0"/>
              <w:marTop w:val="0"/>
              <w:marBottom w:val="240"/>
              <w:divBdr>
                <w:top w:val="none" w:sz="0" w:space="0" w:color="auto"/>
                <w:left w:val="none" w:sz="0" w:space="0" w:color="auto"/>
                <w:bottom w:val="none" w:sz="0" w:space="0" w:color="auto"/>
                <w:right w:val="none" w:sz="0" w:space="0" w:color="auto"/>
              </w:divBdr>
            </w:div>
            <w:div w:id="1599554894">
              <w:marLeft w:val="0"/>
              <w:marRight w:val="0"/>
              <w:marTop w:val="0"/>
              <w:marBottom w:val="240"/>
              <w:divBdr>
                <w:top w:val="none" w:sz="0" w:space="0" w:color="auto"/>
                <w:left w:val="none" w:sz="0" w:space="0" w:color="auto"/>
                <w:bottom w:val="none" w:sz="0" w:space="0" w:color="auto"/>
                <w:right w:val="none" w:sz="0" w:space="0" w:color="auto"/>
              </w:divBdr>
            </w:div>
            <w:div w:id="1453094369">
              <w:marLeft w:val="0"/>
              <w:marRight w:val="0"/>
              <w:marTop w:val="0"/>
              <w:marBottom w:val="240"/>
              <w:divBdr>
                <w:top w:val="none" w:sz="0" w:space="0" w:color="auto"/>
                <w:left w:val="none" w:sz="0" w:space="0" w:color="auto"/>
                <w:bottom w:val="none" w:sz="0" w:space="0" w:color="auto"/>
                <w:right w:val="none" w:sz="0" w:space="0" w:color="auto"/>
              </w:divBdr>
            </w:div>
            <w:div w:id="1584878058">
              <w:marLeft w:val="0"/>
              <w:marRight w:val="0"/>
              <w:marTop w:val="0"/>
              <w:marBottom w:val="240"/>
              <w:divBdr>
                <w:top w:val="none" w:sz="0" w:space="0" w:color="auto"/>
                <w:left w:val="none" w:sz="0" w:space="0" w:color="auto"/>
                <w:bottom w:val="none" w:sz="0" w:space="0" w:color="auto"/>
                <w:right w:val="none" w:sz="0" w:space="0" w:color="auto"/>
              </w:divBdr>
            </w:div>
            <w:div w:id="523175817">
              <w:marLeft w:val="0"/>
              <w:marRight w:val="0"/>
              <w:marTop w:val="0"/>
              <w:marBottom w:val="240"/>
              <w:divBdr>
                <w:top w:val="none" w:sz="0" w:space="0" w:color="auto"/>
                <w:left w:val="none" w:sz="0" w:space="0" w:color="auto"/>
                <w:bottom w:val="none" w:sz="0" w:space="0" w:color="auto"/>
                <w:right w:val="none" w:sz="0" w:space="0" w:color="auto"/>
              </w:divBdr>
            </w:div>
            <w:div w:id="774521258">
              <w:marLeft w:val="0"/>
              <w:marRight w:val="0"/>
              <w:marTop w:val="0"/>
              <w:marBottom w:val="240"/>
              <w:divBdr>
                <w:top w:val="none" w:sz="0" w:space="0" w:color="auto"/>
                <w:left w:val="none" w:sz="0" w:space="0" w:color="auto"/>
                <w:bottom w:val="none" w:sz="0" w:space="0" w:color="auto"/>
                <w:right w:val="none" w:sz="0" w:space="0" w:color="auto"/>
              </w:divBdr>
            </w:div>
            <w:div w:id="783889116">
              <w:marLeft w:val="0"/>
              <w:marRight w:val="0"/>
              <w:marTop w:val="0"/>
              <w:marBottom w:val="240"/>
              <w:divBdr>
                <w:top w:val="none" w:sz="0" w:space="0" w:color="auto"/>
                <w:left w:val="none" w:sz="0" w:space="0" w:color="auto"/>
                <w:bottom w:val="none" w:sz="0" w:space="0" w:color="auto"/>
                <w:right w:val="none" w:sz="0" w:space="0" w:color="auto"/>
              </w:divBdr>
            </w:div>
            <w:div w:id="989099425">
              <w:marLeft w:val="0"/>
              <w:marRight w:val="0"/>
              <w:marTop w:val="0"/>
              <w:marBottom w:val="240"/>
              <w:divBdr>
                <w:top w:val="none" w:sz="0" w:space="0" w:color="auto"/>
                <w:left w:val="none" w:sz="0" w:space="0" w:color="auto"/>
                <w:bottom w:val="none" w:sz="0" w:space="0" w:color="auto"/>
                <w:right w:val="none" w:sz="0" w:space="0" w:color="auto"/>
              </w:divBdr>
            </w:div>
            <w:div w:id="1537353969">
              <w:marLeft w:val="0"/>
              <w:marRight w:val="0"/>
              <w:marTop w:val="0"/>
              <w:marBottom w:val="240"/>
              <w:divBdr>
                <w:top w:val="none" w:sz="0" w:space="0" w:color="auto"/>
                <w:left w:val="none" w:sz="0" w:space="0" w:color="auto"/>
                <w:bottom w:val="none" w:sz="0" w:space="0" w:color="auto"/>
                <w:right w:val="none" w:sz="0" w:space="0" w:color="auto"/>
              </w:divBdr>
            </w:div>
            <w:div w:id="1273319598">
              <w:marLeft w:val="0"/>
              <w:marRight w:val="0"/>
              <w:marTop w:val="0"/>
              <w:marBottom w:val="240"/>
              <w:divBdr>
                <w:top w:val="none" w:sz="0" w:space="0" w:color="auto"/>
                <w:left w:val="none" w:sz="0" w:space="0" w:color="auto"/>
                <w:bottom w:val="none" w:sz="0" w:space="0" w:color="auto"/>
                <w:right w:val="none" w:sz="0" w:space="0" w:color="auto"/>
              </w:divBdr>
            </w:div>
            <w:div w:id="852186328">
              <w:marLeft w:val="0"/>
              <w:marRight w:val="0"/>
              <w:marTop w:val="0"/>
              <w:marBottom w:val="240"/>
              <w:divBdr>
                <w:top w:val="none" w:sz="0" w:space="0" w:color="auto"/>
                <w:left w:val="none" w:sz="0" w:space="0" w:color="auto"/>
                <w:bottom w:val="none" w:sz="0" w:space="0" w:color="auto"/>
                <w:right w:val="none" w:sz="0" w:space="0" w:color="auto"/>
              </w:divBdr>
            </w:div>
            <w:div w:id="2033921366">
              <w:marLeft w:val="0"/>
              <w:marRight w:val="0"/>
              <w:marTop w:val="0"/>
              <w:marBottom w:val="240"/>
              <w:divBdr>
                <w:top w:val="none" w:sz="0" w:space="0" w:color="auto"/>
                <w:left w:val="none" w:sz="0" w:space="0" w:color="auto"/>
                <w:bottom w:val="none" w:sz="0" w:space="0" w:color="auto"/>
                <w:right w:val="none" w:sz="0" w:space="0" w:color="auto"/>
              </w:divBdr>
            </w:div>
            <w:div w:id="1295910786">
              <w:marLeft w:val="0"/>
              <w:marRight w:val="0"/>
              <w:marTop w:val="0"/>
              <w:marBottom w:val="240"/>
              <w:divBdr>
                <w:top w:val="none" w:sz="0" w:space="0" w:color="auto"/>
                <w:left w:val="none" w:sz="0" w:space="0" w:color="auto"/>
                <w:bottom w:val="none" w:sz="0" w:space="0" w:color="auto"/>
                <w:right w:val="none" w:sz="0" w:space="0" w:color="auto"/>
              </w:divBdr>
            </w:div>
            <w:div w:id="241178891">
              <w:marLeft w:val="0"/>
              <w:marRight w:val="0"/>
              <w:marTop w:val="0"/>
              <w:marBottom w:val="240"/>
              <w:divBdr>
                <w:top w:val="none" w:sz="0" w:space="0" w:color="auto"/>
                <w:left w:val="none" w:sz="0" w:space="0" w:color="auto"/>
                <w:bottom w:val="none" w:sz="0" w:space="0" w:color="auto"/>
                <w:right w:val="none" w:sz="0" w:space="0" w:color="auto"/>
              </w:divBdr>
            </w:div>
            <w:div w:id="1426875487">
              <w:marLeft w:val="0"/>
              <w:marRight w:val="0"/>
              <w:marTop w:val="0"/>
              <w:marBottom w:val="240"/>
              <w:divBdr>
                <w:top w:val="none" w:sz="0" w:space="0" w:color="auto"/>
                <w:left w:val="none" w:sz="0" w:space="0" w:color="auto"/>
                <w:bottom w:val="none" w:sz="0" w:space="0" w:color="auto"/>
                <w:right w:val="none" w:sz="0" w:space="0" w:color="auto"/>
              </w:divBdr>
            </w:div>
            <w:div w:id="1026638588">
              <w:marLeft w:val="0"/>
              <w:marRight w:val="0"/>
              <w:marTop w:val="0"/>
              <w:marBottom w:val="240"/>
              <w:divBdr>
                <w:top w:val="none" w:sz="0" w:space="0" w:color="auto"/>
                <w:left w:val="none" w:sz="0" w:space="0" w:color="auto"/>
                <w:bottom w:val="none" w:sz="0" w:space="0" w:color="auto"/>
                <w:right w:val="none" w:sz="0" w:space="0" w:color="auto"/>
              </w:divBdr>
            </w:div>
            <w:div w:id="1766536580">
              <w:marLeft w:val="0"/>
              <w:marRight w:val="0"/>
              <w:marTop w:val="0"/>
              <w:marBottom w:val="240"/>
              <w:divBdr>
                <w:top w:val="none" w:sz="0" w:space="0" w:color="auto"/>
                <w:left w:val="none" w:sz="0" w:space="0" w:color="auto"/>
                <w:bottom w:val="none" w:sz="0" w:space="0" w:color="auto"/>
                <w:right w:val="none" w:sz="0" w:space="0" w:color="auto"/>
              </w:divBdr>
            </w:div>
            <w:div w:id="558708854">
              <w:marLeft w:val="0"/>
              <w:marRight w:val="0"/>
              <w:marTop w:val="0"/>
              <w:marBottom w:val="240"/>
              <w:divBdr>
                <w:top w:val="none" w:sz="0" w:space="0" w:color="auto"/>
                <w:left w:val="none" w:sz="0" w:space="0" w:color="auto"/>
                <w:bottom w:val="none" w:sz="0" w:space="0" w:color="auto"/>
                <w:right w:val="none" w:sz="0" w:space="0" w:color="auto"/>
              </w:divBdr>
            </w:div>
            <w:div w:id="242224336">
              <w:marLeft w:val="0"/>
              <w:marRight w:val="0"/>
              <w:marTop w:val="0"/>
              <w:marBottom w:val="240"/>
              <w:divBdr>
                <w:top w:val="none" w:sz="0" w:space="0" w:color="auto"/>
                <w:left w:val="none" w:sz="0" w:space="0" w:color="auto"/>
                <w:bottom w:val="none" w:sz="0" w:space="0" w:color="auto"/>
                <w:right w:val="none" w:sz="0" w:space="0" w:color="auto"/>
              </w:divBdr>
            </w:div>
            <w:div w:id="286855263">
              <w:marLeft w:val="0"/>
              <w:marRight w:val="0"/>
              <w:marTop w:val="0"/>
              <w:marBottom w:val="240"/>
              <w:divBdr>
                <w:top w:val="none" w:sz="0" w:space="0" w:color="auto"/>
                <w:left w:val="none" w:sz="0" w:space="0" w:color="auto"/>
                <w:bottom w:val="none" w:sz="0" w:space="0" w:color="auto"/>
                <w:right w:val="none" w:sz="0" w:space="0" w:color="auto"/>
              </w:divBdr>
            </w:div>
            <w:div w:id="380716646">
              <w:marLeft w:val="0"/>
              <w:marRight w:val="0"/>
              <w:marTop w:val="0"/>
              <w:marBottom w:val="240"/>
              <w:divBdr>
                <w:top w:val="none" w:sz="0" w:space="0" w:color="auto"/>
                <w:left w:val="none" w:sz="0" w:space="0" w:color="auto"/>
                <w:bottom w:val="none" w:sz="0" w:space="0" w:color="auto"/>
                <w:right w:val="none" w:sz="0" w:space="0" w:color="auto"/>
              </w:divBdr>
            </w:div>
            <w:div w:id="1493184132">
              <w:marLeft w:val="0"/>
              <w:marRight w:val="0"/>
              <w:marTop w:val="0"/>
              <w:marBottom w:val="240"/>
              <w:divBdr>
                <w:top w:val="none" w:sz="0" w:space="0" w:color="auto"/>
                <w:left w:val="none" w:sz="0" w:space="0" w:color="auto"/>
                <w:bottom w:val="none" w:sz="0" w:space="0" w:color="auto"/>
                <w:right w:val="none" w:sz="0" w:space="0" w:color="auto"/>
              </w:divBdr>
            </w:div>
            <w:div w:id="36853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5885">
      <w:bodyDiv w:val="1"/>
      <w:marLeft w:val="0"/>
      <w:marRight w:val="0"/>
      <w:marTop w:val="0"/>
      <w:marBottom w:val="0"/>
      <w:divBdr>
        <w:top w:val="none" w:sz="0" w:space="0" w:color="auto"/>
        <w:left w:val="none" w:sz="0" w:space="0" w:color="auto"/>
        <w:bottom w:val="none" w:sz="0" w:space="0" w:color="auto"/>
        <w:right w:val="none" w:sz="0" w:space="0" w:color="auto"/>
      </w:divBdr>
    </w:div>
    <w:div w:id="1761365217">
      <w:bodyDiv w:val="1"/>
      <w:marLeft w:val="0"/>
      <w:marRight w:val="0"/>
      <w:marTop w:val="0"/>
      <w:marBottom w:val="0"/>
      <w:divBdr>
        <w:top w:val="none" w:sz="0" w:space="0" w:color="auto"/>
        <w:left w:val="none" w:sz="0" w:space="0" w:color="auto"/>
        <w:bottom w:val="none" w:sz="0" w:space="0" w:color="auto"/>
        <w:right w:val="none" w:sz="0" w:space="0" w:color="auto"/>
      </w:divBdr>
    </w:div>
    <w:div w:id="1771926918">
      <w:bodyDiv w:val="1"/>
      <w:marLeft w:val="0"/>
      <w:marRight w:val="0"/>
      <w:marTop w:val="0"/>
      <w:marBottom w:val="0"/>
      <w:divBdr>
        <w:top w:val="none" w:sz="0" w:space="0" w:color="auto"/>
        <w:left w:val="none" w:sz="0" w:space="0" w:color="auto"/>
        <w:bottom w:val="none" w:sz="0" w:space="0" w:color="auto"/>
        <w:right w:val="none" w:sz="0" w:space="0" w:color="auto"/>
      </w:divBdr>
    </w:div>
    <w:div w:id="1789469307">
      <w:bodyDiv w:val="1"/>
      <w:marLeft w:val="0"/>
      <w:marRight w:val="0"/>
      <w:marTop w:val="0"/>
      <w:marBottom w:val="0"/>
      <w:divBdr>
        <w:top w:val="none" w:sz="0" w:space="0" w:color="auto"/>
        <w:left w:val="none" w:sz="0" w:space="0" w:color="auto"/>
        <w:bottom w:val="none" w:sz="0" w:space="0" w:color="auto"/>
        <w:right w:val="none" w:sz="0" w:space="0" w:color="auto"/>
      </w:divBdr>
    </w:div>
    <w:div w:id="1793131306">
      <w:bodyDiv w:val="1"/>
      <w:marLeft w:val="0"/>
      <w:marRight w:val="0"/>
      <w:marTop w:val="0"/>
      <w:marBottom w:val="0"/>
      <w:divBdr>
        <w:top w:val="none" w:sz="0" w:space="0" w:color="auto"/>
        <w:left w:val="none" w:sz="0" w:space="0" w:color="auto"/>
        <w:bottom w:val="none" w:sz="0" w:space="0" w:color="auto"/>
        <w:right w:val="none" w:sz="0" w:space="0" w:color="auto"/>
      </w:divBdr>
      <w:divsChild>
        <w:div w:id="1611401276">
          <w:marLeft w:val="480"/>
          <w:marRight w:val="0"/>
          <w:marTop w:val="0"/>
          <w:marBottom w:val="0"/>
          <w:divBdr>
            <w:top w:val="none" w:sz="0" w:space="0" w:color="auto"/>
            <w:left w:val="none" w:sz="0" w:space="0" w:color="auto"/>
            <w:bottom w:val="none" w:sz="0" w:space="0" w:color="auto"/>
            <w:right w:val="none" w:sz="0" w:space="0" w:color="auto"/>
          </w:divBdr>
          <w:divsChild>
            <w:div w:id="631209381">
              <w:marLeft w:val="0"/>
              <w:marRight w:val="0"/>
              <w:marTop w:val="0"/>
              <w:marBottom w:val="240"/>
              <w:divBdr>
                <w:top w:val="none" w:sz="0" w:space="0" w:color="auto"/>
                <w:left w:val="none" w:sz="0" w:space="0" w:color="auto"/>
                <w:bottom w:val="none" w:sz="0" w:space="0" w:color="auto"/>
                <w:right w:val="none" w:sz="0" w:space="0" w:color="auto"/>
              </w:divBdr>
            </w:div>
            <w:div w:id="1512254023">
              <w:marLeft w:val="0"/>
              <w:marRight w:val="0"/>
              <w:marTop w:val="0"/>
              <w:marBottom w:val="240"/>
              <w:divBdr>
                <w:top w:val="none" w:sz="0" w:space="0" w:color="auto"/>
                <w:left w:val="none" w:sz="0" w:space="0" w:color="auto"/>
                <w:bottom w:val="none" w:sz="0" w:space="0" w:color="auto"/>
                <w:right w:val="none" w:sz="0" w:space="0" w:color="auto"/>
              </w:divBdr>
            </w:div>
            <w:div w:id="1803885340">
              <w:marLeft w:val="0"/>
              <w:marRight w:val="0"/>
              <w:marTop w:val="0"/>
              <w:marBottom w:val="240"/>
              <w:divBdr>
                <w:top w:val="none" w:sz="0" w:space="0" w:color="auto"/>
                <w:left w:val="none" w:sz="0" w:space="0" w:color="auto"/>
                <w:bottom w:val="none" w:sz="0" w:space="0" w:color="auto"/>
                <w:right w:val="none" w:sz="0" w:space="0" w:color="auto"/>
              </w:divBdr>
            </w:div>
            <w:div w:id="256836121">
              <w:marLeft w:val="0"/>
              <w:marRight w:val="0"/>
              <w:marTop w:val="0"/>
              <w:marBottom w:val="240"/>
              <w:divBdr>
                <w:top w:val="none" w:sz="0" w:space="0" w:color="auto"/>
                <w:left w:val="none" w:sz="0" w:space="0" w:color="auto"/>
                <w:bottom w:val="none" w:sz="0" w:space="0" w:color="auto"/>
                <w:right w:val="none" w:sz="0" w:space="0" w:color="auto"/>
              </w:divBdr>
            </w:div>
            <w:div w:id="1959481591">
              <w:marLeft w:val="0"/>
              <w:marRight w:val="0"/>
              <w:marTop w:val="0"/>
              <w:marBottom w:val="240"/>
              <w:divBdr>
                <w:top w:val="none" w:sz="0" w:space="0" w:color="auto"/>
                <w:left w:val="none" w:sz="0" w:space="0" w:color="auto"/>
                <w:bottom w:val="none" w:sz="0" w:space="0" w:color="auto"/>
                <w:right w:val="none" w:sz="0" w:space="0" w:color="auto"/>
              </w:divBdr>
            </w:div>
            <w:div w:id="820927760">
              <w:marLeft w:val="0"/>
              <w:marRight w:val="0"/>
              <w:marTop w:val="0"/>
              <w:marBottom w:val="240"/>
              <w:divBdr>
                <w:top w:val="none" w:sz="0" w:space="0" w:color="auto"/>
                <w:left w:val="none" w:sz="0" w:space="0" w:color="auto"/>
                <w:bottom w:val="none" w:sz="0" w:space="0" w:color="auto"/>
                <w:right w:val="none" w:sz="0" w:space="0" w:color="auto"/>
              </w:divBdr>
            </w:div>
            <w:div w:id="1423255757">
              <w:marLeft w:val="0"/>
              <w:marRight w:val="0"/>
              <w:marTop w:val="0"/>
              <w:marBottom w:val="240"/>
              <w:divBdr>
                <w:top w:val="none" w:sz="0" w:space="0" w:color="auto"/>
                <w:left w:val="none" w:sz="0" w:space="0" w:color="auto"/>
                <w:bottom w:val="none" w:sz="0" w:space="0" w:color="auto"/>
                <w:right w:val="none" w:sz="0" w:space="0" w:color="auto"/>
              </w:divBdr>
            </w:div>
            <w:div w:id="1633049699">
              <w:marLeft w:val="0"/>
              <w:marRight w:val="0"/>
              <w:marTop w:val="0"/>
              <w:marBottom w:val="240"/>
              <w:divBdr>
                <w:top w:val="none" w:sz="0" w:space="0" w:color="auto"/>
                <w:left w:val="none" w:sz="0" w:space="0" w:color="auto"/>
                <w:bottom w:val="none" w:sz="0" w:space="0" w:color="auto"/>
                <w:right w:val="none" w:sz="0" w:space="0" w:color="auto"/>
              </w:divBdr>
            </w:div>
            <w:div w:id="1620263804">
              <w:marLeft w:val="0"/>
              <w:marRight w:val="0"/>
              <w:marTop w:val="0"/>
              <w:marBottom w:val="240"/>
              <w:divBdr>
                <w:top w:val="none" w:sz="0" w:space="0" w:color="auto"/>
                <w:left w:val="none" w:sz="0" w:space="0" w:color="auto"/>
                <w:bottom w:val="none" w:sz="0" w:space="0" w:color="auto"/>
                <w:right w:val="none" w:sz="0" w:space="0" w:color="auto"/>
              </w:divBdr>
            </w:div>
            <w:div w:id="315570004">
              <w:marLeft w:val="0"/>
              <w:marRight w:val="0"/>
              <w:marTop w:val="0"/>
              <w:marBottom w:val="240"/>
              <w:divBdr>
                <w:top w:val="none" w:sz="0" w:space="0" w:color="auto"/>
                <w:left w:val="none" w:sz="0" w:space="0" w:color="auto"/>
                <w:bottom w:val="none" w:sz="0" w:space="0" w:color="auto"/>
                <w:right w:val="none" w:sz="0" w:space="0" w:color="auto"/>
              </w:divBdr>
            </w:div>
            <w:div w:id="902448515">
              <w:marLeft w:val="0"/>
              <w:marRight w:val="0"/>
              <w:marTop w:val="0"/>
              <w:marBottom w:val="240"/>
              <w:divBdr>
                <w:top w:val="none" w:sz="0" w:space="0" w:color="auto"/>
                <w:left w:val="none" w:sz="0" w:space="0" w:color="auto"/>
                <w:bottom w:val="none" w:sz="0" w:space="0" w:color="auto"/>
                <w:right w:val="none" w:sz="0" w:space="0" w:color="auto"/>
              </w:divBdr>
            </w:div>
            <w:div w:id="1569422052">
              <w:marLeft w:val="0"/>
              <w:marRight w:val="0"/>
              <w:marTop w:val="0"/>
              <w:marBottom w:val="240"/>
              <w:divBdr>
                <w:top w:val="none" w:sz="0" w:space="0" w:color="auto"/>
                <w:left w:val="none" w:sz="0" w:space="0" w:color="auto"/>
                <w:bottom w:val="none" w:sz="0" w:space="0" w:color="auto"/>
                <w:right w:val="none" w:sz="0" w:space="0" w:color="auto"/>
              </w:divBdr>
            </w:div>
            <w:div w:id="626545197">
              <w:marLeft w:val="0"/>
              <w:marRight w:val="0"/>
              <w:marTop w:val="0"/>
              <w:marBottom w:val="240"/>
              <w:divBdr>
                <w:top w:val="none" w:sz="0" w:space="0" w:color="auto"/>
                <w:left w:val="none" w:sz="0" w:space="0" w:color="auto"/>
                <w:bottom w:val="none" w:sz="0" w:space="0" w:color="auto"/>
                <w:right w:val="none" w:sz="0" w:space="0" w:color="auto"/>
              </w:divBdr>
            </w:div>
            <w:div w:id="664942134">
              <w:marLeft w:val="0"/>
              <w:marRight w:val="0"/>
              <w:marTop w:val="0"/>
              <w:marBottom w:val="240"/>
              <w:divBdr>
                <w:top w:val="none" w:sz="0" w:space="0" w:color="auto"/>
                <w:left w:val="none" w:sz="0" w:space="0" w:color="auto"/>
                <w:bottom w:val="none" w:sz="0" w:space="0" w:color="auto"/>
                <w:right w:val="none" w:sz="0" w:space="0" w:color="auto"/>
              </w:divBdr>
            </w:div>
            <w:div w:id="1289311286">
              <w:marLeft w:val="0"/>
              <w:marRight w:val="0"/>
              <w:marTop w:val="0"/>
              <w:marBottom w:val="240"/>
              <w:divBdr>
                <w:top w:val="none" w:sz="0" w:space="0" w:color="auto"/>
                <w:left w:val="none" w:sz="0" w:space="0" w:color="auto"/>
                <w:bottom w:val="none" w:sz="0" w:space="0" w:color="auto"/>
                <w:right w:val="none" w:sz="0" w:space="0" w:color="auto"/>
              </w:divBdr>
            </w:div>
            <w:div w:id="1185291998">
              <w:marLeft w:val="0"/>
              <w:marRight w:val="0"/>
              <w:marTop w:val="0"/>
              <w:marBottom w:val="240"/>
              <w:divBdr>
                <w:top w:val="none" w:sz="0" w:space="0" w:color="auto"/>
                <w:left w:val="none" w:sz="0" w:space="0" w:color="auto"/>
                <w:bottom w:val="none" w:sz="0" w:space="0" w:color="auto"/>
                <w:right w:val="none" w:sz="0" w:space="0" w:color="auto"/>
              </w:divBdr>
            </w:div>
            <w:div w:id="1029993285">
              <w:marLeft w:val="0"/>
              <w:marRight w:val="0"/>
              <w:marTop w:val="0"/>
              <w:marBottom w:val="240"/>
              <w:divBdr>
                <w:top w:val="none" w:sz="0" w:space="0" w:color="auto"/>
                <w:left w:val="none" w:sz="0" w:space="0" w:color="auto"/>
                <w:bottom w:val="none" w:sz="0" w:space="0" w:color="auto"/>
                <w:right w:val="none" w:sz="0" w:space="0" w:color="auto"/>
              </w:divBdr>
            </w:div>
            <w:div w:id="1531143840">
              <w:marLeft w:val="0"/>
              <w:marRight w:val="0"/>
              <w:marTop w:val="0"/>
              <w:marBottom w:val="240"/>
              <w:divBdr>
                <w:top w:val="none" w:sz="0" w:space="0" w:color="auto"/>
                <w:left w:val="none" w:sz="0" w:space="0" w:color="auto"/>
                <w:bottom w:val="none" w:sz="0" w:space="0" w:color="auto"/>
                <w:right w:val="none" w:sz="0" w:space="0" w:color="auto"/>
              </w:divBdr>
            </w:div>
            <w:div w:id="946162137">
              <w:marLeft w:val="0"/>
              <w:marRight w:val="0"/>
              <w:marTop w:val="0"/>
              <w:marBottom w:val="240"/>
              <w:divBdr>
                <w:top w:val="none" w:sz="0" w:space="0" w:color="auto"/>
                <w:left w:val="none" w:sz="0" w:space="0" w:color="auto"/>
                <w:bottom w:val="none" w:sz="0" w:space="0" w:color="auto"/>
                <w:right w:val="none" w:sz="0" w:space="0" w:color="auto"/>
              </w:divBdr>
            </w:div>
            <w:div w:id="803502126">
              <w:marLeft w:val="0"/>
              <w:marRight w:val="0"/>
              <w:marTop w:val="0"/>
              <w:marBottom w:val="240"/>
              <w:divBdr>
                <w:top w:val="none" w:sz="0" w:space="0" w:color="auto"/>
                <w:left w:val="none" w:sz="0" w:space="0" w:color="auto"/>
                <w:bottom w:val="none" w:sz="0" w:space="0" w:color="auto"/>
                <w:right w:val="none" w:sz="0" w:space="0" w:color="auto"/>
              </w:divBdr>
            </w:div>
            <w:div w:id="865093650">
              <w:marLeft w:val="0"/>
              <w:marRight w:val="0"/>
              <w:marTop w:val="0"/>
              <w:marBottom w:val="240"/>
              <w:divBdr>
                <w:top w:val="none" w:sz="0" w:space="0" w:color="auto"/>
                <w:left w:val="none" w:sz="0" w:space="0" w:color="auto"/>
                <w:bottom w:val="none" w:sz="0" w:space="0" w:color="auto"/>
                <w:right w:val="none" w:sz="0" w:space="0" w:color="auto"/>
              </w:divBdr>
            </w:div>
            <w:div w:id="1994066104">
              <w:marLeft w:val="0"/>
              <w:marRight w:val="0"/>
              <w:marTop w:val="0"/>
              <w:marBottom w:val="240"/>
              <w:divBdr>
                <w:top w:val="none" w:sz="0" w:space="0" w:color="auto"/>
                <w:left w:val="none" w:sz="0" w:space="0" w:color="auto"/>
                <w:bottom w:val="none" w:sz="0" w:space="0" w:color="auto"/>
                <w:right w:val="none" w:sz="0" w:space="0" w:color="auto"/>
              </w:divBdr>
            </w:div>
            <w:div w:id="2013485863">
              <w:marLeft w:val="0"/>
              <w:marRight w:val="0"/>
              <w:marTop w:val="0"/>
              <w:marBottom w:val="240"/>
              <w:divBdr>
                <w:top w:val="none" w:sz="0" w:space="0" w:color="auto"/>
                <w:left w:val="none" w:sz="0" w:space="0" w:color="auto"/>
                <w:bottom w:val="none" w:sz="0" w:space="0" w:color="auto"/>
                <w:right w:val="none" w:sz="0" w:space="0" w:color="auto"/>
              </w:divBdr>
            </w:div>
            <w:div w:id="257294649">
              <w:marLeft w:val="0"/>
              <w:marRight w:val="0"/>
              <w:marTop w:val="0"/>
              <w:marBottom w:val="240"/>
              <w:divBdr>
                <w:top w:val="none" w:sz="0" w:space="0" w:color="auto"/>
                <w:left w:val="none" w:sz="0" w:space="0" w:color="auto"/>
                <w:bottom w:val="none" w:sz="0" w:space="0" w:color="auto"/>
                <w:right w:val="none" w:sz="0" w:space="0" w:color="auto"/>
              </w:divBdr>
            </w:div>
            <w:div w:id="48771380">
              <w:marLeft w:val="0"/>
              <w:marRight w:val="0"/>
              <w:marTop w:val="0"/>
              <w:marBottom w:val="240"/>
              <w:divBdr>
                <w:top w:val="none" w:sz="0" w:space="0" w:color="auto"/>
                <w:left w:val="none" w:sz="0" w:space="0" w:color="auto"/>
                <w:bottom w:val="none" w:sz="0" w:space="0" w:color="auto"/>
                <w:right w:val="none" w:sz="0" w:space="0" w:color="auto"/>
              </w:divBdr>
            </w:div>
            <w:div w:id="662244874">
              <w:marLeft w:val="0"/>
              <w:marRight w:val="0"/>
              <w:marTop w:val="0"/>
              <w:marBottom w:val="240"/>
              <w:divBdr>
                <w:top w:val="none" w:sz="0" w:space="0" w:color="auto"/>
                <w:left w:val="none" w:sz="0" w:space="0" w:color="auto"/>
                <w:bottom w:val="none" w:sz="0" w:space="0" w:color="auto"/>
                <w:right w:val="none" w:sz="0" w:space="0" w:color="auto"/>
              </w:divBdr>
            </w:div>
            <w:div w:id="267660392">
              <w:marLeft w:val="0"/>
              <w:marRight w:val="0"/>
              <w:marTop w:val="0"/>
              <w:marBottom w:val="240"/>
              <w:divBdr>
                <w:top w:val="none" w:sz="0" w:space="0" w:color="auto"/>
                <w:left w:val="none" w:sz="0" w:space="0" w:color="auto"/>
                <w:bottom w:val="none" w:sz="0" w:space="0" w:color="auto"/>
                <w:right w:val="none" w:sz="0" w:space="0" w:color="auto"/>
              </w:divBdr>
            </w:div>
            <w:div w:id="783109171">
              <w:marLeft w:val="0"/>
              <w:marRight w:val="0"/>
              <w:marTop w:val="0"/>
              <w:marBottom w:val="240"/>
              <w:divBdr>
                <w:top w:val="none" w:sz="0" w:space="0" w:color="auto"/>
                <w:left w:val="none" w:sz="0" w:space="0" w:color="auto"/>
                <w:bottom w:val="none" w:sz="0" w:space="0" w:color="auto"/>
                <w:right w:val="none" w:sz="0" w:space="0" w:color="auto"/>
              </w:divBdr>
            </w:div>
            <w:div w:id="1849901169">
              <w:marLeft w:val="0"/>
              <w:marRight w:val="0"/>
              <w:marTop w:val="0"/>
              <w:marBottom w:val="240"/>
              <w:divBdr>
                <w:top w:val="none" w:sz="0" w:space="0" w:color="auto"/>
                <w:left w:val="none" w:sz="0" w:space="0" w:color="auto"/>
                <w:bottom w:val="none" w:sz="0" w:space="0" w:color="auto"/>
                <w:right w:val="none" w:sz="0" w:space="0" w:color="auto"/>
              </w:divBdr>
            </w:div>
            <w:div w:id="1209495407">
              <w:marLeft w:val="0"/>
              <w:marRight w:val="0"/>
              <w:marTop w:val="0"/>
              <w:marBottom w:val="240"/>
              <w:divBdr>
                <w:top w:val="none" w:sz="0" w:space="0" w:color="auto"/>
                <w:left w:val="none" w:sz="0" w:space="0" w:color="auto"/>
                <w:bottom w:val="none" w:sz="0" w:space="0" w:color="auto"/>
                <w:right w:val="none" w:sz="0" w:space="0" w:color="auto"/>
              </w:divBdr>
            </w:div>
            <w:div w:id="203759602">
              <w:marLeft w:val="0"/>
              <w:marRight w:val="0"/>
              <w:marTop w:val="0"/>
              <w:marBottom w:val="240"/>
              <w:divBdr>
                <w:top w:val="none" w:sz="0" w:space="0" w:color="auto"/>
                <w:left w:val="none" w:sz="0" w:space="0" w:color="auto"/>
                <w:bottom w:val="none" w:sz="0" w:space="0" w:color="auto"/>
                <w:right w:val="none" w:sz="0" w:space="0" w:color="auto"/>
              </w:divBdr>
            </w:div>
            <w:div w:id="113594817">
              <w:marLeft w:val="0"/>
              <w:marRight w:val="0"/>
              <w:marTop w:val="0"/>
              <w:marBottom w:val="240"/>
              <w:divBdr>
                <w:top w:val="none" w:sz="0" w:space="0" w:color="auto"/>
                <w:left w:val="none" w:sz="0" w:space="0" w:color="auto"/>
                <w:bottom w:val="none" w:sz="0" w:space="0" w:color="auto"/>
                <w:right w:val="none" w:sz="0" w:space="0" w:color="auto"/>
              </w:divBdr>
            </w:div>
            <w:div w:id="1772623799">
              <w:marLeft w:val="0"/>
              <w:marRight w:val="0"/>
              <w:marTop w:val="0"/>
              <w:marBottom w:val="240"/>
              <w:divBdr>
                <w:top w:val="none" w:sz="0" w:space="0" w:color="auto"/>
                <w:left w:val="none" w:sz="0" w:space="0" w:color="auto"/>
                <w:bottom w:val="none" w:sz="0" w:space="0" w:color="auto"/>
                <w:right w:val="none" w:sz="0" w:space="0" w:color="auto"/>
              </w:divBdr>
            </w:div>
            <w:div w:id="1168596685">
              <w:marLeft w:val="0"/>
              <w:marRight w:val="0"/>
              <w:marTop w:val="0"/>
              <w:marBottom w:val="240"/>
              <w:divBdr>
                <w:top w:val="none" w:sz="0" w:space="0" w:color="auto"/>
                <w:left w:val="none" w:sz="0" w:space="0" w:color="auto"/>
                <w:bottom w:val="none" w:sz="0" w:space="0" w:color="auto"/>
                <w:right w:val="none" w:sz="0" w:space="0" w:color="auto"/>
              </w:divBdr>
            </w:div>
            <w:div w:id="76637910">
              <w:marLeft w:val="0"/>
              <w:marRight w:val="0"/>
              <w:marTop w:val="0"/>
              <w:marBottom w:val="240"/>
              <w:divBdr>
                <w:top w:val="none" w:sz="0" w:space="0" w:color="auto"/>
                <w:left w:val="none" w:sz="0" w:space="0" w:color="auto"/>
                <w:bottom w:val="none" w:sz="0" w:space="0" w:color="auto"/>
                <w:right w:val="none" w:sz="0" w:space="0" w:color="auto"/>
              </w:divBdr>
            </w:div>
            <w:div w:id="1011757410">
              <w:marLeft w:val="0"/>
              <w:marRight w:val="0"/>
              <w:marTop w:val="0"/>
              <w:marBottom w:val="240"/>
              <w:divBdr>
                <w:top w:val="none" w:sz="0" w:space="0" w:color="auto"/>
                <w:left w:val="none" w:sz="0" w:space="0" w:color="auto"/>
                <w:bottom w:val="none" w:sz="0" w:space="0" w:color="auto"/>
                <w:right w:val="none" w:sz="0" w:space="0" w:color="auto"/>
              </w:divBdr>
            </w:div>
            <w:div w:id="62727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4521">
      <w:bodyDiv w:val="1"/>
      <w:marLeft w:val="0"/>
      <w:marRight w:val="0"/>
      <w:marTop w:val="0"/>
      <w:marBottom w:val="0"/>
      <w:divBdr>
        <w:top w:val="none" w:sz="0" w:space="0" w:color="auto"/>
        <w:left w:val="none" w:sz="0" w:space="0" w:color="auto"/>
        <w:bottom w:val="none" w:sz="0" w:space="0" w:color="auto"/>
        <w:right w:val="none" w:sz="0" w:space="0" w:color="auto"/>
      </w:divBdr>
      <w:divsChild>
        <w:div w:id="679695362">
          <w:marLeft w:val="480"/>
          <w:marRight w:val="0"/>
          <w:marTop w:val="0"/>
          <w:marBottom w:val="0"/>
          <w:divBdr>
            <w:top w:val="none" w:sz="0" w:space="0" w:color="auto"/>
            <w:left w:val="none" w:sz="0" w:space="0" w:color="auto"/>
            <w:bottom w:val="none" w:sz="0" w:space="0" w:color="auto"/>
            <w:right w:val="none" w:sz="0" w:space="0" w:color="auto"/>
          </w:divBdr>
          <w:divsChild>
            <w:div w:id="1162620069">
              <w:marLeft w:val="0"/>
              <w:marRight w:val="0"/>
              <w:marTop w:val="0"/>
              <w:marBottom w:val="240"/>
              <w:divBdr>
                <w:top w:val="none" w:sz="0" w:space="0" w:color="auto"/>
                <w:left w:val="none" w:sz="0" w:space="0" w:color="auto"/>
                <w:bottom w:val="none" w:sz="0" w:space="0" w:color="auto"/>
                <w:right w:val="none" w:sz="0" w:space="0" w:color="auto"/>
              </w:divBdr>
            </w:div>
            <w:div w:id="990711450">
              <w:marLeft w:val="0"/>
              <w:marRight w:val="0"/>
              <w:marTop w:val="0"/>
              <w:marBottom w:val="240"/>
              <w:divBdr>
                <w:top w:val="none" w:sz="0" w:space="0" w:color="auto"/>
                <w:left w:val="none" w:sz="0" w:space="0" w:color="auto"/>
                <w:bottom w:val="none" w:sz="0" w:space="0" w:color="auto"/>
                <w:right w:val="none" w:sz="0" w:space="0" w:color="auto"/>
              </w:divBdr>
            </w:div>
            <w:div w:id="1222793859">
              <w:marLeft w:val="0"/>
              <w:marRight w:val="0"/>
              <w:marTop w:val="0"/>
              <w:marBottom w:val="240"/>
              <w:divBdr>
                <w:top w:val="none" w:sz="0" w:space="0" w:color="auto"/>
                <w:left w:val="none" w:sz="0" w:space="0" w:color="auto"/>
                <w:bottom w:val="none" w:sz="0" w:space="0" w:color="auto"/>
                <w:right w:val="none" w:sz="0" w:space="0" w:color="auto"/>
              </w:divBdr>
            </w:div>
            <w:div w:id="1722249522">
              <w:marLeft w:val="0"/>
              <w:marRight w:val="0"/>
              <w:marTop w:val="0"/>
              <w:marBottom w:val="240"/>
              <w:divBdr>
                <w:top w:val="none" w:sz="0" w:space="0" w:color="auto"/>
                <w:left w:val="none" w:sz="0" w:space="0" w:color="auto"/>
                <w:bottom w:val="none" w:sz="0" w:space="0" w:color="auto"/>
                <w:right w:val="none" w:sz="0" w:space="0" w:color="auto"/>
              </w:divBdr>
            </w:div>
            <w:div w:id="771364409">
              <w:marLeft w:val="0"/>
              <w:marRight w:val="0"/>
              <w:marTop w:val="0"/>
              <w:marBottom w:val="240"/>
              <w:divBdr>
                <w:top w:val="none" w:sz="0" w:space="0" w:color="auto"/>
                <w:left w:val="none" w:sz="0" w:space="0" w:color="auto"/>
                <w:bottom w:val="none" w:sz="0" w:space="0" w:color="auto"/>
                <w:right w:val="none" w:sz="0" w:space="0" w:color="auto"/>
              </w:divBdr>
            </w:div>
            <w:div w:id="429620358">
              <w:marLeft w:val="0"/>
              <w:marRight w:val="0"/>
              <w:marTop w:val="0"/>
              <w:marBottom w:val="240"/>
              <w:divBdr>
                <w:top w:val="none" w:sz="0" w:space="0" w:color="auto"/>
                <w:left w:val="none" w:sz="0" w:space="0" w:color="auto"/>
                <w:bottom w:val="none" w:sz="0" w:space="0" w:color="auto"/>
                <w:right w:val="none" w:sz="0" w:space="0" w:color="auto"/>
              </w:divBdr>
            </w:div>
            <w:div w:id="1505558889">
              <w:marLeft w:val="0"/>
              <w:marRight w:val="0"/>
              <w:marTop w:val="0"/>
              <w:marBottom w:val="240"/>
              <w:divBdr>
                <w:top w:val="none" w:sz="0" w:space="0" w:color="auto"/>
                <w:left w:val="none" w:sz="0" w:space="0" w:color="auto"/>
                <w:bottom w:val="none" w:sz="0" w:space="0" w:color="auto"/>
                <w:right w:val="none" w:sz="0" w:space="0" w:color="auto"/>
              </w:divBdr>
            </w:div>
            <w:div w:id="599602214">
              <w:marLeft w:val="0"/>
              <w:marRight w:val="0"/>
              <w:marTop w:val="0"/>
              <w:marBottom w:val="240"/>
              <w:divBdr>
                <w:top w:val="none" w:sz="0" w:space="0" w:color="auto"/>
                <w:left w:val="none" w:sz="0" w:space="0" w:color="auto"/>
                <w:bottom w:val="none" w:sz="0" w:space="0" w:color="auto"/>
                <w:right w:val="none" w:sz="0" w:space="0" w:color="auto"/>
              </w:divBdr>
            </w:div>
            <w:div w:id="923610870">
              <w:marLeft w:val="0"/>
              <w:marRight w:val="0"/>
              <w:marTop w:val="0"/>
              <w:marBottom w:val="240"/>
              <w:divBdr>
                <w:top w:val="none" w:sz="0" w:space="0" w:color="auto"/>
                <w:left w:val="none" w:sz="0" w:space="0" w:color="auto"/>
                <w:bottom w:val="none" w:sz="0" w:space="0" w:color="auto"/>
                <w:right w:val="none" w:sz="0" w:space="0" w:color="auto"/>
              </w:divBdr>
            </w:div>
            <w:div w:id="877662814">
              <w:marLeft w:val="0"/>
              <w:marRight w:val="0"/>
              <w:marTop w:val="0"/>
              <w:marBottom w:val="240"/>
              <w:divBdr>
                <w:top w:val="none" w:sz="0" w:space="0" w:color="auto"/>
                <w:left w:val="none" w:sz="0" w:space="0" w:color="auto"/>
                <w:bottom w:val="none" w:sz="0" w:space="0" w:color="auto"/>
                <w:right w:val="none" w:sz="0" w:space="0" w:color="auto"/>
              </w:divBdr>
            </w:div>
            <w:div w:id="645477193">
              <w:marLeft w:val="0"/>
              <w:marRight w:val="0"/>
              <w:marTop w:val="0"/>
              <w:marBottom w:val="240"/>
              <w:divBdr>
                <w:top w:val="none" w:sz="0" w:space="0" w:color="auto"/>
                <w:left w:val="none" w:sz="0" w:space="0" w:color="auto"/>
                <w:bottom w:val="none" w:sz="0" w:space="0" w:color="auto"/>
                <w:right w:val="none" w:sz="0" w:space="0" w:color="auto"/>
              </w:divBdr>
            </w:div>
            <w:div w:id="348146739">
              <w:marLeft w:val="0"/>
              <w:marRight w:val="0"/>
              <w:marTop w:val="0"/>
              <w:marBottom w:val="240"/>
              <w:divBdr>
                <w:top w:val="none" w:sz="0" w:space="0" w:color="auto"/>
                <w:left w:val="none" w:sz="0" w:space="0" w:color="auto"/>
                <w:bottom w:val="none" w:sz="0" w:space="0" w:color="auto"/>
                <w:right w:val="none" w:sz="0" w:space="0" w:color="auto"/>
              </w:divBdr>
            </w:div>
            <w:div w:id="1285382274">
              <w:marLeft w:val="0"/>
              <w:marRight w:val="0"/>
              <w:marTop w:val="0"/>
              <w:marBottom w:val="240"/>
              <w:divBdr>
                <w:top w:val="none" w:sz="0" w:space="0" w:color="auto"/>
                <w:left w:val="none" w:sz="0" w:space="0" w:color="auto"/>
                <w:bottom w:val="none" w:sz="0" w:space="0" w:color="auto"/>
                <w:right w:val="none" w:sz="0" w:space="0" w:color="auto"/>
              </w:divBdr>
            </w:div>
            <w:div w:id="1969696563">
              <w:marLeft w:val="0"/>
              <w:marRight w:val="0"/>
              <w:marTop w:val="0"/>
              <w:marBottom w:val="240"/>
              <w:divBdr>
                <w:top w:val="none" w:sz="0" w:space="0" w:color="auto"/>
                <w:left w:val="none" w:sz="0" w:space="0" w:color="auto"/>
                <w:bottom w:val="none" w:sz="0" w:space="0" w:color="auto"/>
                <w:right w:val="none" w:sz="0" w:space="0" w:color="auto"/>
              </w:divBdr>
            </w:div>
            <w:div w:id="1387491039">
              <w:marLeft w:val="0"/>
              <w:marRight w:val="0"/>
              <w:marTop w:val="0"/>
              <w:marBottom w:val="240"/>
              <w:divBdr>
                <w:top w:val="none" w:sz="0" w:space="0" w:color="auto"/>
                <w:left w:val="none" w:sz="0" w:space="0" w:color="auto"/>
                <w:bottom w:val="none" w:sz="0" w:space="0" w:color="auto"/>
                <w:right w:val="none" w:sz="0" w:space="0" w:color="auto"/>
              </w:divBdr>
            </w:div>
            <w:div w:id="346949901">
              <w:marLeft w:val="0"/>
              <w:marRight w:val="0"/>
              <w:marTop w:val="0"/>
              <w:marBottom w:val="240"/>
              <w:divBdr>
                <w:top w:val="none" w:sz="0" w:space="0" w:color="auto"/>
                <w:left w:val="none" w:sz="0" w:space="0" w:color="auto"/>
                <w:bottom w:val="none" w:sz="0" w:space="0" w:color="auto"/>
                <w:right w:val="none" w:sz="0" w:space="0" w:color="auto"/>
              </w:divBdr>
            </w:div>
            <w:div w:id="819422960">
              <w:marLeft w:val="0"/>
              <w:marRight w:val="0"/>
              <w:marTop w:val="0"/>
              <w:marBottom w:val="240"/>
              <w:divBdr>
                <w:top w:val="none" w:sz="0" w:space="0" w:color="auto"/>
                <w:left w:val="none" w:sz="0" w:space="0" w:color="auto"/>
                <w:bottom w:val="none" w:sz="0" w:space="0" w:color="auto"/>
                <w:right w:val="none" w:sz="0" w:space="0" w:color="auto"/>
              </w:divBdr>
            </w:div>
            <w:div w:id="926570707">
              <w:marLeft w:val="0"/>
              <w:marRight w:val="0"/>
              <w:marTop w:val="0"/>
              <w:marBottom w:val="240"/>
              <w:divBdr>
                <w:top w:val="none" w:sz="0" w:space="0" w:color="auto"/>
                <w:left w:val="none" w:sz="0" w:space="0" w:color="auto"/>
                <w:bottom w:val="none" w:sz="0" w:space="0" w:color="auto"/>
                <w:right w:val="none" w:sz="0" w:space="0" w:color="auto"/>
              </w:divBdr>
            </w:div>
            <w:div w:id="807404952">
              <w:marLeft w:val="0"/>
              <w:marRight w:val="0"/>
              <w:marTop w:val="0"/>
              <w:marBottom w:val="240"/>
              <w:divBdr>
                <w:top w:val="none" w:sz="0" w:space="0" w:color="auto"/>
                <w:left w:val="none" w:sz="0" w:space="0" w:color="auto"/>
                <w:bottom w:val="none" w:sz="0" w:space="0" w:color="auto"/>
                <w:right w:val="none" w:sz="0" w:space="0" w:color="auto"/>
              </w:divBdr>
            </w:div>
            <w:div w:id="331878839">
              <w:marLeft w:val="0"/>
              <w:marRight w:val="0"/>
              <w:marTop w:val="0"/>
              <w:marBottom w:val="240"/>
              <w:divBdr>
                <w:top w:val="none" w:sz="0" w:space="0" w:color="auto"/>
                <w:left w:val="none" w:sz="0" w:space="0" w:color="auto"/>
                <w:bottom w:val="none" w:sz="0" w:space="0" w:color="auto"/>
                <w:right w:val="none" w:sz="0" w:space="0" w:color="auto"/>
              </w:divBdr>
            </w:div>
            <w:div w:id="849757540">
              <w:marLeft w:val="0"/>
              <w:marRight w:val="0"/>
              <w:marTop w:val="0"/>
              <w:marBottom w:val="240"/>
              <w:divBdr>
                <w:top w:val="none" w:sz="0" w:space="0" w:color="auto"/>
                <w:left w:val="none" w:sz="0" w:space="0" w:color="auto"/>
                <w:bottom w:val="none" w:sz="0" w:space="0" w:color="auto"/>
                <w:right w:val="none" w:sz="0" w:space="0" w:color="auto"/>
              </w:divBdr>
            </w:div>
            <w:div w:id="662200073">
              <w:marLeft w:val="0"/>
              <w:marRight w:val="0"/>
              <w:marTop w:val="0"/>
              <w:marBottom w:val="240"/>
              <w:divBdr>
                <w:top w:val="none" w:sz="0" w:space="0" w:color="auto"/>
                <w:left w:val="none" w:sz="0" w:space="0" w:color="auto"/>
                <w:bottom w:val="none" w:sz="0" w:space="0" w:color="auto"/>
                <w:right w:val="none" w:sz="0" w:space="0" w:color="auto"/>
              </w:divBdr>
            </w:div>
            <w:div w:id="2048412852">
              <w:marLeft w:val="0"/>
              <w:marRight w:val="0"/>
              <w:marTop w:val="0"/>
              <w:marBottom w:val="240"/>
              <w:divBdr>
                <w:top w:val="none" w:sz="0" w:space="0" w:color="auto"/>
                <w:left w:val="none" w:sz="0" w:space="0" w:color="auto"/>
                <w:bottom w:val="none" w:sz="0" w:space="0" w:color="auto"/>
                <w:right w:val="none" w:sz="0" w:space="0" w:color="auto"/>
              </w:divBdr>
            </w:div>
            <w:div w:id="1031344945">
              <w:marLeft w:val="0"/>
              <w:marRight w:val="0"/>
              <w:marTop w:val="0"/>
              <w:marBottom w:val="240"/>
              <w:divBdr>
                <w:top w:val="none" w:sz="0" w:space="0" w:color="auto"/>
                <w:left w:val="none" w:sz="0" w:space="0" w:color="auto"/>
                <w:bottom w:val="none" w:sz="0" w:space="0" w:color="auto"/>
                <w:right w:val="none" w:sz="0" w:space="0" w:color="auto"/>
              </w:divBdr>
            </w:div>
            <w:div w:id="1288393284">
              <w:marLeft w:val="0"/>
              <w:marRight w:val="0"/>
              <w:marTop w:val="0"/>
              <w:marBottom w:val="240"/>
              <w:divBdr>
                <w:top w:val="none" w:sz="0" w:space="0" w:color="auto"/>
                <w:left w:val="none" w:sz="0" w:space="0" w:color="auto"/>
                <w:bottom w:val="none" w:sz="0" w:space="0" w:color="auto"/>
                <w:right w:val="none" w:sz="0" w:space="0" w:color="auto"/>
              </w:divBdr>
            </w:div>
            <w:div w:id="512719457">
              <w:marLeft w:val="0"/>
              <w:marRight w:val="0"/>
              <w:marTop w:val="0"/>
              <w:marBottom w:val="240"/>
              <w:divBdr>
                <w:top w:val="none" w:sz="0" w:space="0" w:color="auto"/>
                <w:left w:val="none" w:sz="0" w:space="0" w:color="auto"/>
                <w:bottom w:val="none" w:sz="0" w:space="0" w:color="auto"/>
                <w:right w:val="none" w:sz="0" w:space="0" w:color="auto"/>
              </w:divBdr>
            </w:div>
            <w:div w:id="2118018879">
              <w:marLeft w:val="0"/>
              <w:marRight w:val="0"/>
              <w:marTop w:val="0"/>
              <w:marBottom w:val="240"/>
              <w:divBdr>
                <w:top w:val="none" w:sz="0" w:space="0" w:color="auto"/>
                <w:left w:val="none" w:sz="0" w:space="0" w:color="auto"/>
                <w:bottom w:val="none" w:sz="0" w:space="0" w:color="auto"/>
                <w:right w:val="none" w:sz="0" w:space="0" w:color="auto"/>
              </w:divBdr>
            </w:div>
            <w:div w:id="2028864175">
              <w:marLeft w:val="0"/>
              <w:marRight w:val="0"/>
              <w:marTop w:val="0"/>
              <w:marBottom w:val="240"/>
              <w:divBdr>
                <w:top w:val="none" w:sz="0" w:space="0" w:color="auto"/>
                <w:left w:val="none" w:sz="0" w:space="0" w:color="auto"/>
                <w:bottom w:val="none" w:sz="0" w:space="0" w:color="auto"/>
                <w:right w:val="none" w:sz="0" w:space="0" w:color="auto"/>
              </w:divBdr>
            </w:div>
            <w:div w:id="202140419">
              <w:marLeft w:val="0"/>
              <w:marRight w:val="0"/>
              <w:marTop w:val="0"/>
              <w:marBottom w:val="240"/>
              <w:divBdr>
                <w:top w:val="none" w:sz="0" w:space="0" w:color="auto"/>
                <w:left w:val="none" w:sz="0" w:space="0" w:color="auto"/>
                <w:bottom w:val="none" w:sz="0" w:space="0" w:color="auto"/>
                <w:right w:val="none" w:sz="0" w:space="0" w:color="auto"/>
              </w:divBdr>
            </w:div>
            <w:div w:id="1823348889">
              <w:marLeft w:val="0"/>
              <w:marRight w:val="0"/>
              <w:marTop w:val="0"/>
              <w:marBottom w:val="240"/>
              <w:divBdr>
                <w:top w:val="none" w:sz="0" w:space="0" w:color="auto"/>
                <w:left w:val="none" w:sz="0" w:space="0" w:color="auto"/>
                <w:bottom w:val="none" w:sz="0" w:space="0" w:color="auto"/>
                <w:right w:val="none" w:sz="0" w:space="0" w:color="auto"/>
              </w:divBdr>
            </w:div>
            <w:div w:id="577060055">
              <w:marLeft w:val="0"/>
              <w:marRight w:val="0"/>
              <w:marTop w:val="0"/>
              <w:marBottom w:val="240"/>
              <w:divBdr>
                <w:top w:val="none" w:sz="0" w:space="0" w:color="auto"/>
                <w:left w:val="none" w:sz="0" w:space="0" w:color="auto"/>
                <w:bottom w:val="none" w:sz="0" w:space="0" w:color="auto"/>
                <w:right w:val="none" w:sz="0" w:space="0" w:color="auto"/>
              </w:divBdr>
            </w:div>
            <w:div w:id="602224208">
              <w:marLeft w:val="0"/>
              <w:marRight w:val="0"/>
              <w:marTop w:val="0"/>
              <w:marBottom w:val="240"/>
              <w:divBdr>
                <w:top w:val="none" w:sz="0" w:space="0" w:color="auto"/>
                <w:left w:val="none" w:sz="0" w:space="0" w:color="auto"/>
                <w:bottom w:val="none" w:sz="0" w:space="0" w:color="auto"/>
                <w:right w:val="none" w:sz="0" w:space="0" w:color="auto"/>
              </w:divBdr>
            </w:div>
            <w:div w:id="986739744">
              <w:marLeft w:val="0"/>
              <w:marRight w:val="0"/>
              <w:marTop w:val="0"/>
              <w:marBottom w:val="240"/>
              <w:divBdr>
                <w:top w:val="none" w:sz="0" w:space="0" w:color="auto"/>
                <w:left w:val="none" w:sz="0" w:space="0" w:color="auto"/>
                <w:bottom w:val="none" w:sz="0" w:space="0" w:color="auto"/>
                <w:right w:val="none" w:sz="0" w:space="0" w:color="auto"/>
              </w:divBdr>
            </w:div>
            <w:div w:id="663508029">
              <w:marLeft w:val="0"/>
              <w:marRight w:val="0"/>
              <w:marTop w:val="0"/>
              <w:marBottom w:val="240"/>
              <w:divBdr>
                <w:top w:val="none" w:sz="0" w:space="0" w:color="auto"/>
                <w:left w:val="none" w:sz="0" w:space="0" w:color="auto"/>
                <w:bottom w:val="none" w:sz="0" w:space="0" w:color="auto"/>
                <w:right w:val="none" w:sz="0" w:space="0" w:color="auto"/>
              </w:divBdr>
            </w:div>
            <w:div w:id="1392843732">
              <w:marLeft w:val="0"/>
              <w:marRight w:val="0"/>
              <w:marTop w:val="0"/>
              <w:marBottom w:val="240"/>
              <w:divBdr>
                <w:top w:val="none" w:sz="0" w:space="0" w:color="auto"/>
                <w:left w:val="none" w:sz="0" w:space="0" w:color="auto"/>
                <w:bottom w:val="none" w:sz="0" w:space="0" w:color="auto"/>
                <w:right w:val="none" w:sz="0" w:space="0" w:color="auto"/>
              </w:divBdr>
            </w:div>
            <w:div w:id="768307522">
              <w:marLeft w:val="0"/>
              <w:marRight w:val="0"/>
              <w:marTop w:val="0"/>
              <w:marBottom w:val="240"/>
              <w:divBdr>
                <w:top w:val="none" w:sz="0" w:space="0" w:color="auto"/>
                <w:left w:val="none" w:sz="0" w:space="0" w:color="auto"/>
                <w:bottom w:val="none" w:sz="0" w:space="0" w:color="auto"/>
                <w:right w:val="none" w:sz="0" w:space="0" w:color="auto"/>
              </w:divBdr>
            </w:div>
            <w:div w:id="765997173">
              <w:marLeft w:val="0"/>
              <w:marRight w:val="0"/>
              <w:marTop w:val="0"/>
              <w:marBottom w:val="240"/>
              <w:divBdr>
                <w:top w:val="none" w:sz="0" w:space="0" w:color="auto"/>
                <w:left w:val="none" w:sz="0" w:space="0" w:color="auto"/>
                <w:bottom w:val="none" w:sz="0" w:space="0" w:color="auto"/>
                <w:right w:val="none" w:sz="0" w:space="0" w:color="auto"/>
              </w:divBdr>
            </w:div>
            <w:div w:id="297876206">
              <w:marLeft w:val="0"/>
              <w:marRight w:val="0"/>
              <w:marTop w:val="0"/>
              <w:marBottom w:val="240"/>
              <w:divBdr>
                <w:top w:val="none" w:sz="0" w:space="0" w:color="auto"/>
                <w:left w:val="none" w:sz="0" w:space="0" w:color="auto"/>
                <w:bottom w:val="none" w:sz="0" w:space="0" w:color="auto"/>
                <w:right w:val="none" w:sz="0" w:space="0" w:color="auto"/>
              </w:divBdr>
            </w:div>
            <w:div w:id="1221936492">
              <w:marLeft w:val="0"/>
              <w:marRight w:val="0"/>
              <w:marTop w:val="0"/>
              <w:marBottom w:val="240"/>
              <w:divBdr>
                <w:top w:val="none" w:sz="0" w:space="0" w:color="auto"/>
                <w:left w:val="none" w:sz="0" w:space="0" w:color="auto"/>
                <w:bottom w:val="none" w:sz="0" w:space="0" w:color="auto"/>
                <w:right w:val="none" w:sz="0" w:space="0" w:color="auto"/>
              </w:divBdr>
            </w:div>
            <w:div w:id="1688366802">
              <w:marLeft w:val="0"/>
              <w:marRight w:val="0"/>
              <w:marTop w:val="0"/>
              <w:marBottom w:val="240"/>
              <w:divBdr>
                <w:top w:val="none" w:sz="0" w:space="0" w:color="auto"/>
                <w:left w:val="none" w:sz="0" w:space="0" w:color="auto"/>
                <w:bottom w:val="none" w:sz="0" w:space="0" w:color="auto"/>
                <w:right w:val="none" w:sz="0" w:space="0" w:color="auto"/>
              </w:divBdr>
            </w:div>
            <w:div w:id="73209395">
              <w:marLeft w:val="0"/>
              <w:marRight w:val="0"/>
              <w:marTop w:val="0"/>
              <w:marBottom w:val="240"/>
              <w:divBdr>
                <w:top w:val="none" w:sz="0" w:space="0" w:color="auto"/>
                <w:left w:val="none" w:sz="0" w:space="0" w:color="auto"/>
                <w:bottom w:val="none" w:sz="0" w:space="0" w:color="auto"/>
                <w:right w:val="none" w:sz="0" w:space="0" w:color="auto"/>
              </w:divBdr>
            </w:div>
            <w:div w:id="617875739">
              <w:marLeft w:val="0"/>
              <w:marRight w:val="0"/>
              <w:marTop w:val="0"/>
              <w:marBottom w:val="240"/>
              <w:divBdr>
                <w:top w:val="none" w:sz="0" w:space="0" w:color="auto"/>
                <w:left w:val="none" w:sz="0" w:space="0" w:color="auto"/>
                <w:bottom w:val="none" w:sz="0" w:space="0" w:color="auto"/>
                <w:right w:val="none" w:sz="0" w:space="0" w:color="auto"/>
              </w:divBdr>
            </w:div>
            <w:div w:id="1293176389">
              <w:marLeft w:val="0"/>
              <w:marRight w:val="0"/>
              <w:marTop w:val="0"/>
              <w:marBottom w:val="240"/>
              <w:divBdr>
                <w:top w:val="none" w:sz="0" w:space="0" w:color="auto"/>
                <w:left w:val="none" w:sz="0" w:space="0" w:color="auto"/>
                <w:bottom w:val="none" w:sz="0" w:space="0" w:color="auto"/>
                <w:right w:val="none" w:sz="0" w:space="0" w:color="auto"/>
              </w:divBdr>
            </w:div>
            <w:div w:id="1324818007">
              <w:marLeft w:val="0"/>
              <w:marRight w:val="0"/>
              <w:marTop w:val="0"/>
              <w:marBottom w:val="240"/>
              <w:divBdr>
                <w:top w:val="none" w:sz="0" w:space="0" w:color="auto"/>
                <w:left w:val="none" w:sz="0" w:space="0" w:color="auto"/>
                <w:bottom w:val="none" w:sz="0" w:space="0" w:color="auto"/>
                <w:right w:val="none" w:sz="0" w:space="0" w:color="auto"/>
              </w:divBdr>
            </w:div>
            <w:div w:id="306399379">
              <w:marLeft w:val="0"/>
              <w:marRight w:val="0"/>
              <w:marTop w:val="0"/>
              <w:marBottom w:val="240"/>
              <w:divBdr>
                <w:top w:val="none" w:sz="0" w:space="0" w:color="auto"/>
                <w:left w:val="none" w:sz="0" w:space="0" w:color="auto"/>
                <w:bottom w:val="none" w:sz="0" w:space="0" w:color="auto"/>
                <w:right w:val="none" w:sz="0" w:space="0" w:color="auto"/>
              </w:divBdr>
            </w:div>
            <w:div w:id="1147361916">
              <w:marLeft w:val="0"/>
              <w:marRight w:val="0"/>
              <w:marTop w:val="0"/>
              <w:marBottom w:val="240"/>
              <w:divBdr>
                <w:top w:val="none" w:sz="0" w:space="0" w:color="auto"/>
                <w:left w:val="none" w:sz="0" w:space="0" w:color="auto"/>
                <w:bottom w:val="none" w:sz="0" w:space="0" w:color="auto"/>
                <w:right w:val="none" w:sz="0" w:space="0" w:color="auto"/>
              </w:divBdr>
            </w:div>
            <w:div w:id="1840731867">
              <w:marLeft w:val="0"/>
              <w:marRight w:val="0"/>
              <w:marTop w:val="0"/>
              <w:marBottom w:val="240"/>
              <w:divBdr>
                <w:top w:val="none" w:sz="0" w:space="0" w:color="auto"/>
                <w:left w:val="none" w:sz="0" w:space="0" w:color="auto"/>
                <w:bottom w:val="none" w:sz="0" w:space="0" w:color="auto"/>
                <w:right w:val="none" w:sz="0" w:space="0" w:color="auto"/>
              </w:divBdr>
            </w:div>
            <w:div w:id="993949935">
              <w:marLeft w:val="0"/>
              <w:marRight w:val="0"/>
              <w:marTop w:val="0"/>
              <w:marBottom w:val="240"/>
              <w:divBdr>
                <w:top w:val="none" w:sz="0" w:space="0" w:color="auto"/>
                <w:left w:val="none" w:sz="0" w:space="0" w:color="auto"/>
                <w:bottom w:val="none" w:sz="0" w:space="0" w:color="auto"/>
                <w:right w:val="none" w:sz="0" w:space="0" w:color="auto"/>
              </w:divBdr>
            </w:div>
            <w:div w:id="508370332">
              <w:marLeft w:val="0"/>
              <w:marRight w:val="0"/>
              <w:marTop w:val="0"/>
              <w:marBottom w:val="240"/>
              <w:divBdr>
                <w:top w:val="none" w:sz="0" w:space="0" w:color="auto"/>
                <w:left w:val="none" w:sz="0" w:space="0" w:color="auto"/>
                <w:bottom w:val="none" w:sz="0" w:space="0" w:color="auto"/>
                <w:right w:val="none" w:sz="0" w:space="0" w:color="auto"/>
              </w:divBdr>
            </w:div>
            <w:div w:id="187792595">
              <w:marLeft w:val="0"/>
              <w:marRight w:val="0"/>
              <w:marTop w:val="0"/>
              <w:marBottom w:val="240"/>
              <w:divBdr>
                <w:top w:val="none" w:sz="0" w:space="0" w:color="auto"/>
                <w:left w:val="none" w:sz="0" w:space="0" w:color="auto"/>
                <w:bottom w:val="none" w:sz="0" w:space="0" w:color="auto"/>
                <w:right w:val="none" w:sz="0" w:space="0" w:color="auto"/>
              </w:divBdr>
            </w:div>
            <w:div w:id="1649432744">
              <w:marLeft w:val="0"/>
              <w:marRight w:val="0"/>
              <w:marTop w:val="0"/>
              <w:marBottom w:val="240"/>
              <w:divBdr>
                <w:top w:val="none" w:sz="0" w:space="0" w:color="auto"/>
                <w:left w:val="none" w:sz="0" w:space="0" w:color="auto"/>
                <w:bottom w:val="none" w:sz="0" w:space="0" w:color="auto"/>
                <w:right w:val="none" w:sz="0" w:space="0" w:color="auto"/>
              </w:divBdr>
            </w:div>
            <w:div w:id="1277564389">
              <w:marLeft w:val="0"/>
              <w:marRight w:val="0"/>
              <w:marTop w:val="0"/>
              <w:marBottom w:val="240"/>
              <w:divBdr>
                <w:top w:val="none" w:sz="0" w:space="0" w:color="auto"/>
                <w:left w:val="none" w:sz="0" w:space="0" w:color="auto"/>
                <w:bottom w:val="none" w:sz="0" w:space="0" w:color="auto"/>
                <w:right w:val="none" w:sz="0" w:space="0" w:color="auto"/>
              </w:divBdr>
            </w:div>
            <w:div w:id="294220805">
              <w:marLeft w:val="0"/>
              <w:marRight w:val="0"/>
              <w:marTop w:val="0"/>
              <w:marBottom w:val="240"/>
              <w:divBdr>
                <w:top w:val="none" w:sz="0" w:space="0" w:color="auto"/>
                <w:left w:val="none" w:sz="0" w:space="0" w:color="auto"/>
                <w:bottom w:val="none" w:sz="0" w:space="0" w:color="auto"/>
                <w:right w:val="none" w:sz="0" w:space="0" w:color="auto"/>
              </w:divBdr>
            </w:div>
            <w:div w:id="2122189072">
              <w:marLeft w:val="0"/>
              <w:marRight w:val="0"/>
              <w:marTop w:val="0"/>
              <w:marBottom w:val="240"/>
              <w:divBdr>
                <w:top w:val="none" w:sz="0" w:space="0" w:color="auto"/>
                <w:left w:val="none" w:sz="0" w:space="0" w:color="auto"/>
                <w:bottom w:val="none" w:sz="0" w:space="0" w:color="auto"/>
                <w:right w:val="none" w:sz="0" w:space="0" w:color="auto"/>
              </w:divBdr>
            </w:div>
            <w:div w:id="1026566781">
              <w:marLeft w:val="0"/>
              <w:marRight w:val="0"/>
              <w:marTop w:val="0"/>
              <w:marBottom w:val="240"/>
              <w:divBdr>
                <w:top w:val="none" w:sz="0" w:space="0" w:color="auto"/>
                <w:left w:val="none" w:sz="0" w:space="0" w:color="auto"/>
                <w:bottom w:val="none" w:sz="0" w:space="0" w:color="auto"/>
                <w:right w:val="none" w:sz="0" w:space="0" w:color="auto"/>
              </w:divBdr>
            </w:div>
            <w:div w:id="194121417">
              <w:marLeft w:val="0"/>
              <w:marRight w:val="0"/>
              <w:marTop w:val="0"/>
              <w:marBottom w:val="240"/>
              <w:divBdr>
                <w:top w:val="none" w:sz="0" w:space="0" w:color="auto"/>
                <w:left w:val="none" w:sz="0" w:space="0" w:color="auto"/>
                <w:bottom w:val="none" w:sz="0" w:space="0" w:color="auto"/>
                <w:right w:val="none" w:sz="0" w:space="0" w:color="auto"/>
              </w:divBdr>
            </w:div>
            <w:div w:id="867986641">
              <w:marLeft w:val="0"/>
              <w:marRight w:val="0"/>
              <w:marTop w:val="0"/>
              <w:marBottom w:val="240"/>
              <w:divBdr>
                <w:top w:val="none" w:sz="0" w:space="0" w:color="auto"/>
                <w:left w:val="none" w:sz="0" w:space="0" w:color="auto"/>
                <w:bottom w:val="none" w:sz="0" w:space="0" w:color="auto"/>
                <w:right w:val="none" w:sz="0" w:space="0" w:color="auto"/>
              </w:divBdr>
            </w:div>
            <w:div w:id="759566193">
              <w:marLeft w:val="0"/>
              <w:marRight w:val="0"/>
              <w:marTop w:val="0"/>
              <w:marBottom w:val="240"/>
              <w:divBdr>
                <w:top w:val="none" w:sz="0" w:space="0" w:color="auto"/>
                <w:left w:val="none" w:sz="0" w:space="0" w:color="auto"/>
                <w:bottom w:val="none" w:sz="0" w:space="0" w:color="auto"/>
                <w:right w:val="none" w:sz="0" w:space="0" w:color="auto"/>
              </w:divBdr>
            </w:div>
            <w:div w:id="2047557087">
              <w:marLeft w:val="0"/>
              <w:marRight w:val="0"/>
              <w:marTop w:val="0"/>
              <w:marBottom w:val="240"/>
              <w:divBdr>
                <w:top w:val="none" w:sz="0" w:space="0" w:color="auto"/>
                <w:left w:val="none" w:sz="0" w:space="0" w:color="auto"/>
                <w:bottom w:val="none" w:sz="0" w:space="0" w:color="auto"/>
                <w:right w:val="none" w:sz="0" w:space="0" w:color="auto"/>
              </w:divBdr>
            </w:div>
            <w:div w:id="477769847">
              <w:marLeft w:val="0"/>
              <w:marRight w:val="0"/>
              <w:marTop w:val="0"/>
              <w:marBottom w:val="240"/>
              <w:divBdr>
                <w:top w:val="none" w:sz="0" w:space="0" w:color="auto"/>
                <w:left w:val="none" w:sz="0" w:space="0" w:color="auto"/>
                <w:bottom w:val="none" w:sz="0" w:space="0" w:color="auto"/>
                <w:right w:val="none" w:sz="0" w:space="0" w:color="auto"/>
              </w:divBdr>
            </w:div>
            <w:div w:id="1235428663">
              <w:marLeft w:val="0"/>
              <w:marRight w:val="0"/>
              <w:marTop w:val="0"/>
              <w:marBottom w:val="240"/>
              <w:divBdr>
                <w:top w:val="none" w:sz="0" w:space="0" w:color="auto"/>
                <w:left w:val="none" w:sz="0" w:space="0" w:color="auto"/>
                <w:bottom w:val="none" w:sz="0" w:space="0" w:color="auto"/>
                <w:right w:val="none" w:sz="0" w:space="0" w:color="auto"/>
              </w:divBdr>
            </w:div>
            <w:div w:id="1164933436">
              <w:marLeft w:val="0"/>
              <w:marRight w:val="0"/>
              <w:marTop w:val="0"/>
              <w:marBottom w:val="240"/>
              <w:divBdr>
                <w:top w:val="none" w:sz="0" w:space="0" w:color="auto"/>
                <w:left w:val="none" w:sz="0" w:space="0" w:color="auto"/>
                <w:bottom w:val="none" w:sz="0" w:space="0" w:color="auto"/>
                <w:right w:val="none" w:sz="0" w:space="0" w:color="auto"/>
              </w:divBdr>
            </w:div>
            <w:div w:id="670569544">
              <w:marLeft w:val="0"/>
              <w:marRight w:val="0"/>
              <w:marTop w:val="0"/>
              <w:marBottom w:val="240"/>
              <w:divBdr>
                <w:top w:val="none" w:sz="0" w:space="0" w:color="auto"/>
                <w:left w:val="none" w:sz="0" w:space="0" w:color="auto"/>
                <w:bottom w:val="none" w:sz="0" w:space="0" w:color="auto"/>
                <w:right w:val="none" w:sz="0" w:space="0" w:color="auto"/>
              </w:divBdr>
            </w:div>
            <w:div w:id="373820104">
              <w:marLeft w:val="0"/>
              <w:marRight w:val="0"/>
              <w:marTop w:val="0"/>
              <w:marBottom w:val="240"/>
              <w:divBdr>
                <w:top w:val="none" w:sz="0" w:space="0" w:color="auto"/>
                <w:left w:val="none" w:sz="0" w:space="0" w:color="auto"/>
                <w:bottom w:val="none" w:sz="0" w:space="0" w:color="auto"/>
                <w:right w:val="none" w:sz="0" w:space="0" w:color="auto"/>
              </w:divBdr>
            </w:div>
            <w:div w:id="678849244">
              <w:marLeft w:val="0"/>
              <w:marRight w:val="0"/>
              <w:marTop w:val="0"/>
              <w:marBottom w:val="240"/>
              <w:divBdr>
                <w:top w:val="none" w:sz="0" w:space="0" w:color="auto"/>
                <w:left w:val="none" w:sz="0" w:space="0" w:color="auto"/>
                <w:bottom w:val="none" w:sz="0" w:space="0" w:color="auto"/>
                <w:right w:val="none" w:sz="0" w:space="0" w:color="auto"/>
              </w:divBdr>
            </w:div>
            <w:div w:id="651638621">
              <w:marLeft w:val="0"/>
              <w:marRight w:val="0"/>
              <w:marTop w:val="0"/>
              <w:marBottom w:val="240"/>
              <w:divBdr>
                <w:top w:val="none" w:sz="0" w:space="0" w:color="auto"/>
                <w:left w:val="none" w:sz="0" w:space="0" w:color="auto"/>
                <w:bottom w:val="none" w:sz="0" w:space="0" w:color="auto"/>
                <w:right w:val="none" w:sz="0" w:space="0" w:color="auto"/>
              </w:divBdr>
            </w:div>
            <w:div w:id="2107729330">
              <w:marLeft w:val="0"/>
              <w:marRight w:val="0"/>
              <w:marTop w:val="0"/>
              <w:marBottom w:val="240"/>
              <w:divBdr>
                <w:top w:val="none" w:sz="0" w:space="0" w:color="auto"/>
                <w:left w:val="none" w:sz="0" w:space="0" w:color="auto"/>
                <w:bottom w:val="none" w:sz="0" w:space="0" w:color="auto"/>
                <w:right w:val="none" w:sz="0" w:space="0" w:color="auto"/>
              </w:divBdr>
            </w:div>
            <w:div w:id="278416543">
              <w:marLeft w:val="0"/>
              <w:marRight w:val="0"/>
              <w:marTop w:val="0"/>
              <w:marBottom w:val="240"/>
              <w:divBdr>
                <w:top w:val="none" w:sz="0" w:space="0" w:color="auto"/>
                <w:left w:val="none" w:sz="0" w:space="0" w:color="auto"/>
                <w:bottom w:val="none" w:sz="0" w:space="0" w:color="auto"/>
                <w:right w:val="none" w:sz="0" w:space="0" w:color="auto"/>
              </w:divBdr>
            </w:div>
            <w:div w:id="2115128576">
              <w:marLeft w:val="0"/>
              <w:marRight w:val="0"/>
              <w:marTop w:val="0"/>
              <w:marBottom w:val="240"/>
              <w:divBdr>
                <w:top w:val="none" w:sz="0" w:space="0" w:color="auto"/>
                <w:left w:val="none" w:sz="0" w:space="0" w:color="auto"/>
                <w:bottom w:val="none" w:sz="0" w:space="0" w:color="auto"/>
                <w:right w:val="none" w:sz="0" w:space="0" w:color="auto"/>
              </w:divBdr>
            </w:div>
            <w:div w:id="482239072">
              <w:marLeft w:val="0"/>
              <w:marRight w:val="0"/>
              <w:marTop w:val="0"/>
              <w:marBottom w:val="240"/>
              <w:divBdr>
                <w:top w:val="none" w:sz="0" w:space="0" w:color="auto"/>
                <w:left w:val="none" w:sz="0" w:space="0" w:color="auto"/>
                <w:bottom w:val="none" w:sz="0" w:space="0" w:color="auto"/>
                <w:right w:val="none" w:sz="0" w:space="0" w:color="auto"/>
              </w:divBdr>
            </w:div>
            <w:div w:id="549457722">
              <w:marLeft w:val="0"/>
              <w:marRight w:val="0"/>
              <w:marTop w:val="0"/>
              <w:marBottom w:val="240"/>
              <w:divBdr>
                <w:top w:val="none" w:sz="0" w:space="0" w:color="auto"/>
                <w:left w:val="none" w:sz="0" w:space="0" w:color="auto"/>
                <w:bottom w:val="none" w:sz="0" w:space="0" w:color="auto"/>
                <w:right w:val="none" w:sz="0" w:space="0" w:color="auto"/>
              </w:divBdr>
            </w:div>
            <w:div w:id="538010960">
              <w:marLeft w:val="0"/>
              <w:marRight w:val="0"/>
              <w:marTop w:val="0"/>
              <w:marBottom w:val="240"/>
              <w:divBdr>
                <w:top w:val="none" w:sz="0" w:space="0" w:color="auto"/>
                <w:left w:val="none" w:sz="0" w:space="0" w:color="auto"/>
                <w:bottom w:val="none" w:sz="0" w:space="0" w:color="auto"/>
                <w:right w:val="none" w:sz="0" w:space="0" w:color="auto"/>
              </w:divBdr>
            </w:div>
            <w:div w:id="1176456021">
              <w:marLeft w:val="0"/>
              <w:marRight w:val="0"/>
              <w:marTop w:val="0"/>
              <w:marBottom w:val="240"/>
              <w:divBdr>
                <w:top w:val="none" w:sz="0" w:space="0" w:color="auto"/>
                <w:left w:val="none" w:sz="0" w:space="0" w:color="auto"/>
                <w:bottom w:val="none" w:sz="0" w:space="0" w:color="auto"/>
                <w:right w:val="none" w:sz="0" w:space="0" w:color="auto"/>
              </w:divBdr>
            </w:div>
            <w:div w:id="493909842">
              <w:marLeft w:val="0"/>
              <w:marRight w:val="0"/>
              <w:marTop w:val="0"/>
              <w:marBottom w:val="240"/>
              <w:divBdr>
                <w:top w:val="none" w:sz="0" w:space="0" w:color="auto"/>
                <w:left w:val="none" w:sz="0" w:space="0" w:color="auto"/>
                <w:bottom w:val="none" w:sz="0" w:space="0" w:color="auto"/>
                <w:right w:val="none" w:sz="0" w:space="0" w:color="auto"/>
              </w:divBdr>
            </w:div>
            <w:div w:id="616911642">
              <w:marLeft w:val="0"/>
              <w:marRight w:val="0"/>
              <w:marTop w:val="0"/>
              <w:marBottom w:val="240"/>
              <w:divBdr>
                <w:top w:val="none" w:sz="0" w:space="0" w:color="auto"/>
                <w:left w:val="none" w:sz="0" w:space="0" w:color="auto"/>
                <w:bottom w:val="none" w:sz="0" w:space="0" w:color="auto"/>
                <w:right w:val="none" w:sz="0" w:space="0" w:color="auto"/>
              </w:divBdr>
            </w:div>
            <w:div w:id="846334106">
              <w:marLeft w:val="0"/>
              <w:marRight w:val="0"/>
              <w:marTop w:val="0"/>
              <w:marBottom w:val="240"/>
              <w:divBdr>
                <w:top w:val="none" w:sz="0" w:space="0" w:color="auto"/>
                <w:left w:val="none" w:sz="0" w:space="0" w:color="auto"/>
                <w:bottom w:val="none" w:sz="0" w:space="0" w:color="auto"/>
                <w:right w:val="none" w:sz="0" w:space="0" w:color="auto"/>
              </w:divBdr>
            </w:div>
            <w:div w:id="351879593">
              <w:marLeft w:val="0"/>
              <w:marRight w:val="0"/>
              <w:marTop w:val="0"/>
              <w:marBottom w:val="240"/>
              <w:divBdr>
                <w:top w:val="none" w:sz="0" w:space="0" w:color="auto"/>
                <w:left w:val="none" w:sz="0" w:space="0" w:color="auto"/>
                <w:bottom w:val="none" w:sz="0" w:space="0" w:color="auto"/>
                <w:right w:val="none" w:sz="0" w:space="0" w:color="auto"/>
              </w:divBdr>
            </w:div>
            <w:div w:id="183515995">
              <w:marLeft w:val="0"/>
              <w:marRight w:val="0"/>
              <w:marTop w:val="0"/>
              <w:marBottom w:val="240"/>
              <w:divBdr>
                <w:top w:val="none" w:sz="0" w:space="0" w:color="auto"/>
                <w:left w:val="none" w:sz="0" w:space="0" w:color="auto"/>
                <w:bottom w:val="none" w:sz="0" w:space="0" w:color="auto"/>
                <w:right w:val="none" w:sz="0" w:space="0" w:color="auto"/>
              </w:divBdr>
            </w:div>
            <w:div w:id="465317519">
              <w:marLeft w:val="0"/>
              <w:marRight w:val="0"/>
              <w:marTop w:val="0"/>
              <w:marBottom w:val="240"/>
              <w:divBdr>
                <w:top w:val="none" w:sz="0" w:space="0" w:color="auto"/>
                <w:left w:val="none" w:sz="0" w:space="0" w:color="auto"/>
                <w:bottom w:val="none" w:sz="0" w:space="0" w:color="auto"/>
                <w:right w:val="none" w:sz="0" w:space="0" w:color="auto"/>
              </w:divBdr>
            </w:div>
            <w:div w:id="655260365">
              <w:marLeft w:val="0"/>
              <w:marRight w:val="0"/>
              <w:marTop w:val="0"/>
              <w:marBottom w:val="240"/>
              <w:divBdr>
                <w:top w:val="none" w:sz="0" w:space="0" w:color="auto"/>
                <w:left w:val="none" w:sz="0" w:space="0" w:color="auto"/>
                <w:bottom w:val="none" w:sz="0" w:space="0" w:color="auto"/>
                <w:right w:val="none" w:sz="0" w:space="0" w:color="auto"/>
              </w:divBdr>
            </w:div>
            <w:div w:id="690373415">
              <w:marLeft w:val="0"/>
              <w:marRight w:val="0"/>
              <w:marTop w:val="0"/>
              <w:marBottom w:val="240"/>
              <w:divBdr>
                <w:top w:val="none" w:sz="0" w:space="0" w:color="auto"/>
                <w:left w:val="none" w:sz="0" w:space="0" w:color="auto"/>
                <w:bottom w:val="none" w:sz="0" w:space="0" w:color="auto"/>
                <w:right w:val="none" w:sz="0" w:space="0" w:color="auto"/>
              </w:divBdr>
            </w:div>
            <w:div w:id="1397363296">
              <w:marLeft w:val="0"/>
              <w:marRight w:val="0"/>
              <w:marTop w:val="0"/>
              <w:marBottom w:val="240"/>
              <w:divBdr>
                <w:top w:val="none" w:sz="0" w:space="0" w:color="auto"/>
                <w:left w:val="none" w:sz="0" w:space="0" w:color="auto"/>
                <w:bottom w:val="none" w:sz="0" w:space="0" w:color="auto"/>
                <w:right w:val="none" w:sz="0" w:space="0" w:color="auto"/>
              </w:divBdr>
            </w:div>
            <w:div w:id="63726174">
              <w:marLeft w:val="0"/>
              <w:marRight w:val="0"/>
              <w:marTop w:val="0"/>
              <w:marBottom w:val="240"/>
              <w:divBdr>
                <w:top w:val="none" w:sz="0" w:space="0" w:color="auto"/>
                <w:left w:val="none" w:sz="0" w:space="0" w:color="auto"/>
                <w:bottom w:val="none" w:sz="0" w:space="0" w:color="auto"/>
                <w:right w:val="none" w:sz="0" w:space="0" w:color="auto"/>
              </w:divBdr>
            </w:div>
            <w:div w:id="1265381099">
              <w:marLeft w:val="0"/>
              <w:marRight w:val="0"/>
              <w:marTop w:val="0"/>
              <w:marBottom w:val="240"/>
              <w:divBdr>
                <w:top w:val="none" w:sz="0" w:space="0" w:color="auto"/>
                <w:left w:val="none" w:sz="0" w:space="0" w:color="auto"/>
                <w:bottom w:val="none" w:sz="0" w:space="0" w:color="auto"/>
                <w:right w:val="none" w:sz="0" w:space="0" w:color="auto"/>
              </w:divBdr>
            </w:div>
            <w:div w:id="2071878162">
              <w:marLeft w:val="0"/>
              <w:marRight w:val="0"/>
              <w:marTop w:val="0"/>
              <w:marBottom w:val="240"/>
              <w:divBdr>
                <w:top w:val="none" w:sz="0" w:space="0" w:color="auto"/>
                <w:left w:val="none" w:sz="0" w:space="0" w:color="auto"/>
                <w:bottom w:val="none" w:sz="0" w:space="0" w:color="auto"/>
                <w:right w:val="none" w:sz="0" w:space="0" w:color="auto"/>
              </w:divBdr>
            </w:div>
            <w:div w:id="283777483">
              <w:marLeft w:val="0"/>
              <w:marRight w:val="0"/>
              <w:marTop w:val="0"/>
              <w:marBottom w:val="240"/>
              <w:divBdr>
                <w:top w:val="none" w:sz="0" w:space="0" w:color="auto"/>
                <w:left w:val="none" w:sz="0" w:space="0" w:color="auto"/>
                <w:bottom w:val="none" w:sz="0" w:space="0" w:color="auto"/>
                <w:right w:val="none" w:sz="0" w:space="0" w:color="auto"/>
              </w:divBdr>
            </w:div>
            <w:div w:id="457259598">
              <w:marLeft w:val="0"/>
              <w:marRight w:val="0"/>
              <w:marTop w:val="0"/>
              <w:marBottom w:val="240"/>
              <w:divBdr>
                <w:top w:val="none" w:sz="0" w:space="0" w:color="auto"/>
                <w:left w:val="none" w:sz="0" w:space="0" w:color="auto"/>
                <w:bottom w:val="none" w:sz="0" w:space="0" w:color="auto"/>
                <w:right w:val="none" w:sz="0" w:space="0" w:color="auto"/>
              </w:divBdr>
            </w:div>
            <w:div w:id="1526555372">
              <w:marLeft w:val="0"/>
              <w:marRight w:val="0"/>
              <w:marTop w:val="0"/>
              <w:marBottom w:val="240"/>
              <w:divBdr>
                <w:top w:val="none" w:sz="0" w:space="0" w:color="auto"/>
                <w:left w:val="none" w:sz="0" w:space="0" w:color="auto"/>
                <w:bottom w:val="none" w:sz="0" w:space="0" w:color="auto"/>
                <w:right w:val="none" w:sz="0" w:space="0" w:color="auto"/>
              </w:divBdr>
            </w:div>
            <w:div w:id="570047749">
              <w:marLeft w:val="0"/>
              <w:marRight w:val="0"/>
              <w:marTop w:val="0"/>
              <w:marBottom w:val="240"/>
              <w:divBdr>
                <w:top w:val="none" w:sz="0" w:space="0" w:color="auto"/>
                <w:left w:val="none" w:sz="0" w:space="0" w:color="auto"/>
                <w:bottom w:val="none" w:sz="0" w:space="0" w:color="auto"/>
                <w:right w:val="none" w:sz="0" w:space="0" w:color="auto"/>
              </w:divBdr>
            </w:div>
            <w:div w:id="2142067591">
              <w:marLeft w:val="0"/>
              <w:marRight w:val="0"/>
              <w:marTop w:val="0"/>
              <w:marBottom w:val="240"/>
              <w:divBdr>
                <w:top w:val="none" w:sz="0" w:space="0" w:color="auto"/>
                <w:left w:val="none" w:sz="0" w:space="0" w:color="auto"/>
                <w:bottom w:val="none" w:sz="0" w:space="0" w:color="auto"/>
                <w:right w:val="none" w:sz="0" w:space="0" w:color="auto"/>
              </w:divBdr>
            </w:div>
            <w:div w:id="1643266293">
              <w:marLeft w:val="0"/>
              <w:marRight w:val="0"/>
              <w:marTop w:val="0"/>
              <w:marBottom w:val="240"/>
              <w:divBdr>
                <w:top w:val="none" w:sz="0" w:space="0" w:color="auto"/>
                <w:left w:val="none" w:sz="0" w:space="0" w:color="auto"/>
                <w:bottom w:val="none" w:sz="0" w:space="0" w:color="auto"/>
                <w:right w:val="none" w:sz="0" w:space="0" w:color="auto"/>
              </w:divBdr>
            </w:div>
            <w:div w:id="367728000">
              <w:marLeft w:val="0"/>
              <w:marRight w:val="0"/>
              <w:marTop w:val="0"/>
              <w:marBottom w:val="240"/>
              <w:divBdr>
                <w:top w:val="none" w:sz="0" w:space="0" w:color="auto"/>
                <w:left w:val="none" w:sz="0" w:space="0" w:color="auto"/>
                <w:bottom w:val="none" w:sz="0" w:space="0" w:color="auto"/>
                <w:right w:val="none" w:sz="0" w:space="0" w:color="auto"/>
              </w:divBdr>
            </w:div>
            <w:div w:id="1671912065">
              <w:marLeft w:val="0"/>
              <w:marRight w:val="0"/>
              <w:marTop w:val="0"/>
              <w:marBottom w:val="240"/>
              <w:divBdr>
                <w:top w:val="none" w:sz="0" w:space="0" w:color="auto"/>
                <w:left w:val="none" w:sz="0" w:space="0" w:color="auto"/>
                <w:bottom w:val="none" w:sz="0" w:space="0" w:color="auto"/>
                <w:right w:val="none" w:sz="0" w:space="0" w:color="auto"/>
              </w:divBdr>
            </w:div>
            <w:div w:id="736825379">
              <w:marLeft w:val="0"/>
              <w:marRight w:val="0"/>
              <w:marTop w:val="0"/>
              <w:marBottom w:val="240"/>
              <w:divBdr>
                <w:top w:val="none" w:sz="0" w:space="0" w:color="auto"/>
                <w:left w:val="none" w:sz="0" w:space="0" w:color="auto"/>
                <w:bottom w:val="none" w:sz="0" w:space="0" w:color="auto"/>
                <w:right w:val="none" w:sz="0" w:space="0" w:color="auto"/>
              </w:divBdr>
            </w:div>
            <w:div w:id="190414338">
              <w:marLeft w:val="0"/>
              <w:marRight w:val="0"/>
              <w:marTop w:val="0"/>
              <w:marBottom w:val="240"/>
              <w:divBdr>
                <w:top w:val="none" w:sz="0" w:space="0" w:color="auto"/>
                <w:left w:val="none" w:sz="0" w:space="0" w:color="auto"/>
                <w:bottom w:val="none" w:sz="0" w:space="0" w:color="auto"/>
                <w:right w:val="none" w:sz="0" w:space="0" w:color="auto"/>
              </w:divBdr>
            </w:div>
            <w:div w:id="977346701">
              <w:marLeft w:val="0"/>
              <w:marRight w:val="0"/>
              <w:marTop w:val="0"/>
              <w:marBottom w:val="240"/>
              <w:divBdr>
                <w:top w:val="none" w:sz="0" w:space="0" w:color="auto"/>
                <w:left w:val="none" w:sz="0" w:space="0" w:color="auto"/>
                <w:bottom w:val="none" w:sz="0" w:space="0" w:color="auto"/>
                <w:right w:val="none" w:sz="0" w:space="0" w:color="auto"/>
              </w:divBdr>
            </w:div>
            <w:div w:id="1618640775">
              <w:marLeft w:val="0"/>
              <w:marRight w:val="0"/>
              <w:marTop w:val="0"/>
              <w:marBottom w:val="240"/>
              <w:divBdr>
                <w:top w:val="none" w:sz="0" w:space="0" w:color="auto"/>
                <w:left w:val="none" w:sz="0" w:space="0" w:color="auto"/>
                <w:bottom w:val="none" w:sz="0" w:space="0" w:color="auto"/>
                <w:right w:val="none" w:sz="0" w:space="0" w:color="auto"/>
              </w:divBdr>
            </w:div>
            <w:div w:id="276983593">
              <w:marLeft w:val="0"/>
              <w:marRight w:val="0"/>
              <w:marTop w:val="0"/>
              <w:marBottom w:val="240"/>
              <w:divBdr>
                <w:top w:val="none" w:sz="0" w:space="0" w:color="auto"/>
                <w:left w:val="none" w:sz="0" w:space="0" w:color="auto"/>
                <w:bottom w:val="none" w:sz="0" w:space="0" w:color="auto"/>
                <w:right w:val="none" w:sz="0" w:space="0" w:color="auto"/>
              </w:divBdr>
            </w:div>
            <w:div w:id="461269782">
              <w:marLeft w:val="0"/>
              <w:marRight w:val="0"/>
              <w:marTop w:val="0"/>
              <w:marBottom w:val="240"/>
              <w:divBdr>
                <w:top w:val="none" w:sz="0" w:space="0" w:color="auto"/>
                <w:left w:val="none" w:sz="0" w:space="0" w:color="auto"/>
                <w:bottom w:val="none" w:sz="0" w:space="0" w:color="auto"/>
                <w:right w:val="none" w:sz="0" w:space="0" w:color="auto"/>
              </w:divBdr>
            </w:div>
            <w:div w:id="1081291418">
              <w:marLeft w:val="0"/>
              <w:marRight w:val="0"/>
              <w:marTop w:val="0"/>
              <w:marBottom w:val="240"/>
              <w:divBdr>
                <w:top w:val="none" w:sz="0" w:space="0" w:color="auto"/>
                <w:left w:val="none" w:sz="0" w:space="0" w:color="auto"/>
                <w:bottom w:val="none" w:sz="0" w:space="0" w:color="auto"/>
                <w:right w:val="none" w:sz="0" w:space="0" w:color="auto"/>
              </w:divBdr>
            </w:div>
            <w:div w:id="1244798908">
              <w:marLeft w:val="0"/>
              <w:marRight w:val="0"/>
              <w:marTop w:val="0"/>
              <w:marBottom w:val="240"/>
              <w:divBdr>
                <w:top w:val="none" w:sz="0" w:space="0" w:color="auto"/>
                <w:left w:val="none" w:sz="0" w:space="0" w:color="auto"/>
                <w:bottom w:val="none" w:sz="0" w:space="0" w:color="auto"/>
                <w:right w:val="none" w:sz="0" w:space="0" w:color="auto"/>
              </w:divBdr>
            </w:div>
            <w:div w:id="103503441">
              <w:marLeft w:val="0"/>
              <w:marRight w:val="0"/>
              <w:marTop w:val="0"/>
              <w:marBottom w:val="240"/>
              <w:divBdr>
                <w:top w:val="none" w:sz="0" w:space="0" w:color="auto"/>
                <w:left w:val="none" w:sz="0" w:space="0" w:color="auto"/>
                <w:bottom w:val="none" w:sz="0" w:space="0" w:color="auto"/>
                <w:right w:val="none" w:sz="0" w:space="0" w:color="auto"/>
              </w:divBdr>
            </w:div>
            <w:div w:id="2126344884">
              <w:marLeft w:val="0"/>
              <w:marRight w:val="0"/>
              <w:marTop w:val="0"/>
              <w:marBottom w:val="240"/>
              <w:divBdr>
                <w:top w:val="none" w:sz="0" w:space="0" w:color="auto"/>
                <w:left w:val="none" w:sz="0" w:space="0" w:color="auto"/>
                <w:bottom w:val="none" w:sz="0" w:space="0" w:color="auto"/>
                <w:right w:val="none" w:sz="0" w:space="0" w:color="auto"/>
              </w:divBdr>
            </w:div>
            <w:div w:id="7610022">
              <w:marLeft w:val="0"/>
              <w:marRight w:val="0"/>
              <w:marTop w:val="0"/>
              <w:marBottom w:val="240"/>
              <w:divBdr>
                <w:top w:val="none" w:sz="0" w:space="0" w:color="auto"/>
                <w:left w:val="none" w:sz="0" w:space="0" w:color="auto"/>
                <w:bottom w:val="none" w:sz="0" w:space="0" w:color="auto"/>
                <w:right w:val="none" w:sz="0" w:space="0" w:color="auto"/>
              </w:divBdr>
            </w:div>
            <w:div w:id="1292441743">
              <w:marLeft w:val="0"/>
              <w:marRight w:val="0"/>
              <w:marTop w:val="0"/>
              <w:marBottom w:val="240"/>
              <w:divBdr>
                <w:top w:val="none" w:sz="0" w:space="0" w:color="auto"/>
                <w:left w:val="none" w:sz="0" w:space="0" w:color="auto"/>
                <w:bottom w:val="none" w:sz="0" w:space="0" w:color="auto"/>
                <w:right w:val="none" w:sz="0" w:space="0" w:color="auto"/>
              </w:divBdr>
            </w:div>
            <w:div w:id="907152680">
              <w:marLeft w:val="0"/>
              <w:marRight w:val="0"/>
              <w:marTop w:val="0"/>
              <w:marBottom w:val="240"/>
              <w:divBdr>
                <w:top w:val="none" w:sz="0" w:space="0" w:color="auto"/>
                <w:left w:val="none" w:sz="0" w:space="0" w:color="auto"/>
                <w:bottom w:val="none" w:sz="0" w:space="0" w:color="auto"/>
                <w:right w:val="none" w:sz="0" w:space="0" w:color="auto"/>
              </w:divBdr>
            </w:div>
            <w:div w:id="1425758732">
              <w:marLeft w:val="0"/>
              <w:marRight w:val="0"/>
              <w:marTop w:val="0"/>
              <w:marBottom w:val="240"/>
              <w:divBdr>
                <w:top w:val="none" w:sz="0" w:space="0" w:color="auto"/>
                <w:left w:val="none" w:sz="0" w:space="0" w:color="auto"/>
                <w:bottom w:val="none" w:sz="0" w:space="0" w:color="auto"/>
                <w:right w:val="none" w:sz="0" w:space="0" w:color="auto"/>
              </w:divBdr>
            </w:div>
            <w:div w:id="352610619">
              <w:marLeft w:val="0"/>
              <w:marRight w:val="0"/>
              <w:marTop w:val="0"/>
              <w:marBottom w:val="240"/>
              <w:divBdr>
                <w:top w:val="none" w:sz="0" w:space="0" w:color="auto"/>
                <w:left w:val="none" w:sz="0" w:space="0" w:color="auto"/>
                <w:bottom w:val="none" w:sz="0" w:space="0" w:color="auto"/>
                <w:right w:val="none" w:sz="0" w:space="0" w:color="auto"/>
              </w:divBdr>
            </w:div>
            <w:div w:id="776944952">
              <w:marLeft w:val="0"/>
              <w:marRight w:val="0"/>
              <w:marTop w:val="0"/>
              <w:marBottom w:val="240"/>
              <w:divBdr>
                <w:top w:val="none" w:sz="0" w:space="0" w:color="auto"/>
                <w:left w:val="none" w:sz="0" w:space="0" w:color="auto"/>
                <w:bottom w:val="none" w:sz="0" w:space="0" w:color="auto"/>
                <w:right w:val="none" w:sz="0" w:space="0" w:color="auto"/>
              </w:divBdr>
            </w:div>
            <w:div w:id="376123239">
              <w:marLeft w:val="0"/>
              <w:marRight w:val="0"/>
              <w:marTop w:val="0"/>
              <w:marBottom w:val="240"/>
              <w:divBdr>
                <w:top w:val="none" w:sz="0" w:space="0" w:color="auto"/>
                <w:left w:val="none" w:sz="0" w:space="0" w:color="auto"/>
                <w:bottom w:val="none" w:sz="0" w:space="0" w:color="auto"/>
                <w:right w:val="none" w:sz="0" w:space="0" w:color="auto"/>
              </w:divBdr>
            </w:div>
            <w:div w:id="276760519">
              <w:marLeft w:val="0"/>
              <w:marRight w:val="0"/>
              <w:marTop w:val="0"/>
              <w:marBottom w:val="240"/>
              <w:divBdr>
                <w:top w:val="none" w:sz="0" w:space="0" w:color="auto"/>
                <w:left w:val="none" w:sz="0" w:space="0" w:color="auto"/>
                <w:bottom w:val="none" w:sz="0" w:space="0" w:color="auto"/>
                <w:right w:val="none" w:sz="0" w:space="0" w:color="auto"/>
              </w:divBdr>
            </w:div>
            <w:div w:id="1434665578">
              <w:marLeft w:val="0"/>
              <w:marRight w:val="0"/>
              <w:marTop w:val="0"/>
              <w:marBottom w:val="240"/>
              <w:divBdr>
                <w:top w:val="none" w:sz="0" w:space="0" w:color="auto"/>
                <w:left w:val="none" w:sz="0" w:space="0" w:color="auto"/>
                <w:bottom w:val="none" w:sz="0" w:space="0" w:color="auto"/>
                <w:right w:val="none" w:sz="0" w:space="0" w:color="auto"/>
              </w:divBdr>
            </w:div>
            <w:div w:id="1866558850">
              <w:marLeft w:val="0"/>
              <w:marRight w:val="0"/>
              <w:marTop w:val="0"/>
              <w:marBottom w:val="240"/>
              <w:divBdr>
                <w:top w:val="none" w:sz="0" w:space="0" w:color="auto"/>
                <w:left w:val="none" w:sz="0" w:space="0" w:color="auto"/>
                <w:bottom w:val="none" w:sz="0" w:space="0" w:color="auto"/>
                <w:right w:val="none" w:sz="0" w:space="0" w:color="auto"/>
              </w:divBdr>
            </w:div>
            <w:div w:id="787704655">
              <w:marLeft w:val="0"/>
              <w:marRight w:val="0"/>
              <w:marTop w:val="0"/>
              <w:marBottom w:val="240"/>
              <w:divBdr>
                <w:top w:val="none" w:sz="0" w:space="0" w:color="auto"/>
                <w:left w:val="none" w:sz="0" w:space="0" w:color="auto"/>
                <w:bottom w:val="none" w:sz="0" w:space="0" w:color="auto"/>
                <w:right w:val="none" w:sz="0" w:space="0" w:color="auto"/>
              </w:divBdr>
            </w:div>
            <w:div w:id="1314873388">
              <w:marLeft w:val="0"/>
              <w:marRight w:val="0"/>
              <w:marTop w:val="0"/>
              <w:marBottom w:val="240"/>
              <w:divBdr>
                <w:top w:val="none" w:sz="0" w:space="0" w:color="auto"/>
                <w:left w:val="none" w:sz="0" w:space="0" w:color="auto"/>
                <w:bottom w:val="none" w:sz="0" w:space="0" w:color="auto"/>
                <w:right w:val="none" w:sz="0" w:space="0" w:color="auto"/>
              </w:divBdr>
            </w:div>
            <w:div w:id="378943560">
              <w:marLeft w:val="0"/>
              <w:marRight w:val="0"/>
              <w:marTop w:val="0"/>
              <w:marBottom w:val="240"/>
              <w:divBdr>
                <w:top w:val="none" w:sz="0" w:space="0" w:color="auto"/>
                <w:left w:val="none" w:sz="0" w:space="0" w:color="auto"/>
                <w:bottom w:val="none" w:sz="0" w:space="0" w:color="auto"/>
                <w:right w:val="none" w:sz="0" w:space="0" w:color="auto"/>
              </w:divBdr>
            </w:div>
            <w:div w:id="112677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848297">
      <w:bodyDiv w:val="1"/>
      <w:marLeft w:val="0"/>
      <w:marRight w:val="0"/>
      <w:marTop w:val="0"/>
      <w:marBottom w:val="0"/>
      <w:divBdr>
        <w:top w:val="none" w:sz="0" w:space="0" w:color="auto"/>
        <w:left w:val="none" w:sz="0" w:space="0" w:color="auto"/>
        <w:bottom w:val="none" w:sz="0" w:space="0" w:color="auto"/>
        <w:right w:val="none" w:sz="0" w:space="0" w:color="auto"/>
      </w:divBdr>
    </w:div>
    <w:div w:id="1815676881">
      <w:bodyDiv w:val="1"/>
      <w:marLeft w:val="0"/>
      <w:marRight w:val="0"/>
      <w:marTop w:val="0"/>
      <w:marBottom w:val="0"/>
      <w:divBdr>
        <w:top w:val="none" w:sz="0" w:space="0" w:color="auto"/>
        <w:left w:val="none" w:sz="0" w:space="0" w:color="auto"/>
        <w:bottom w:val="none" w:sz="0" w:space="0" w:color="auto"/>
        <w:right w:val="none" w:sz="0" w:space="0" w:color="auto"/>
      </w:divBdr>
    </w:div>
    <w:div w:id="1816752711">
      <w:bodyDiv w:val="1"/>
      <w:marLeft w:val="0"/>
      <w:marRight w:val="0"/>
      <w:marTop w:val="0"/>
      <w:marBottom w:val="0"/>
      <w:divBdr>
        <w:top w:val="none" w:sz="0" w:space="0" w:color="auto"/>
        <w:left w:val="none" w:sz="0" w:space="0" w:color="auto"/>
        <w:bottom w:val="none" w:sz="0" w:space="0" w:color="auto"/>
        <w:right w:val="none" w:sz="0" w:space="0" w:color="auto"/>
      </w:divBdr>
    </w:div>
    <w:div w:id="1819566720">
      <w:bodyDiv w:val="1"/>
      <w:marLeft w:val="0"/>
      <w:marRight w:val="0"/>
      <w:marTop w:val="0"/>
      <w:marBottom w:val="0"/>
      <w:divBdr>
        <w:top w:val="none" w:sz="0" w:space="0" w:color="auto"/>
        <w:left w:val="none" w:sz="0" w:space="0" w:color="auto"/>
        <w:bottom w:val="none" w:sz="0" w:space="0" w:color="auto"/>
        <w:right w:val="none" w:sz="0" w:space="0" w:color="auto"/>
      </w:divBdr>
    </w:div>
    <w:div w:id="1827431512">
      <w:bodyDiv w:val="1"/>
      <w:marLeft w:val="0"/>
      <w:marRight w:val="0"/>
      <w:marTop w:val="0"/>
      <w:marBottom w:val="0"/>
      <w:divBdr>
        <w:top w:val="none" w:sz="0" w:space="0" w:color="auto"/>
        <w:left w:val="none" w:sz="0" w:space="0" w:color="auto"/>
        <w:bottom w:val="none" w:sz="0" w:space="0" w:color="auto"/>
        <w:right w:val="none" w:sz="0" w:space="0" w:color="auto"/>
      </w:divBdr>
    </w:div>
    <w:div w:id="1828394471">
      <w:bodyDiv w:val="1"/>
      <w:marLeft w:val="0"/>
      <w:marRight w:val="0"/>
      <w:marTop w:val="0"/>
      <w:marBottom w:val="0"/>
      <w:divBdr>
        <w:top w:val="none" w:sz="0" w:space="0" w:color="auto"/>
        <w:left w:val="none" w:sz="0" w:space="0" w:color="auto"/>
        <w:bottom w:val="none" w:sz="0" w:space="0" w:color="auto"/>
        <w:right w:val="none" w:sz="0" w:space="0" w:color="auto"/>
      </w:divBdr>
    </w:div>
    <w:div w:id="1836412949">
      <w:bodyDiv w:val="1"/>
      <w:marLeft w:val="0"/>
      <w:marRight w:val="0"/>
      <w:marTop w:val="0"/>
      <w:marBottom w:val="0"/>
      <w:divBdr>
        <w:top w:val="none" w:sz="0" w:space="0" w:color="auto"/>
        <w:left w:val="none" w:sz="0" w:space="0" w:color="auto"/>
        <w:bottom w:val="none" w:sz="0" w:space="0" w:color="auto"/>
        <w:right w:val="none" w:sz="0" w:space="0" w:color="auto"/>
      </w:divBdr>
    </w:div>
    <w:div w:id="1846050065">
      <w:bodyDiv w:val="1"/>
      <w:marLeft w:val="0"/>
      <w:marRight w:val="0"/>
      <w:marTop w:val="0"/>
      <w:marBottom w:val="0"/>
      <w:divBdr>
        <w:top w:val="none" w:sz="0" w:space="0" w:color="auto"/>
        <w:left w:val="none" w:sz="0" w:space="0" w:color="auto"/>
        <w:bottom w:val="none" w:sz="0" w:space="0" w:color="auto"/>
        <w:right w:val="none" w:sz="0" w:space="0" w:color="auto"/>
      </w:divBdr>
    </w:div>
    <w:div w:id="1849711173">
      <w:bodyDiv w:val="1"/>
      <w:marLeft w:val="0"/>
      <w:marRight w:val="0"/>
      <w:marTop w:val="0"/>
      <w:marBottom w:val="0"/>
      <w:divBdr>
        <w:top w:val="none" w:sz="0" w:space="0" w:color="auto"/>
        <w:left w:val="none" w:sz="0" w:space="0" w:color="auto"/>
        <w:bottom w:val="none" w:sz="0" w:space="0" w:color="auto"/>
        <w:right w:val="none" w:sz="0" w:space="0" w:color="auto"/>
      </w:divBdr>
      <w:divsChild>
        <w:div w:id="1751468660">
          <w:marLeft w:val="480"/>
          <w:marRight w:val="0"/>
          <w:marTop w:val="0"/>
          <w:marBottom w:val="0"/>
          <w:divBdr>
            <w:top w:val="none" w:sz="0" w:space="0" w:color="auto"/>
            <w:left w:val="none" w:sz="0" w:space="0" w:color="auto"/>
            <w:bottom w:val="none" w:sz="0" w:space="0" w:color="auto"/>
            <w:right w:val="none" w:sz="0" w:space="0" w:color="auto"/>
          </w:divBdr>
          <w:divsChild>
            <w:div w:id="2001424052">
              <w:marLeft w:val="0"/>
              <w:marRight w:val="0"/>
              <w:marTop w:val="0"/>
              <w:marBottom w:val="240"/>
              <w:divBdr>
                <w:top w:val="none" w:sz="0" w:space="0" w:color="auto"/>
                <w:left w:val="none" w:sz="0" w:space="0" w:color="auto"/>
                <w:bottom w:val="none" w:sz="0" w:space="0" w:color="auto"/>
                <w:right w:val="none" w:sz="0" w:space="0" w:color="auto"/>
              </w:divBdr>
            </w:div>
            <w:div w:id="1831214254">
              <w:marLeft w:val="0"/>
              <w:marRight w:val="0"/>
              <w:marTop w:val="0"/>
              <w:marBottom w:val="240"/>
              <w:divBdr>
                <w:top w:val="none" w:sz="0" w:space="0" w:color="auto"/>
                <w:left w:val="none" w:sz="0" w:space="0" w:color="auto"/>
                <w:bottom w:val="none" w:sz="0" w:space="0" w:color="auto"/>
                <w:right w:val="none" w:sz="0" w:space="0" w:color="auto"/>
              </w:divBdr>
            </w:div>
            <w:div w:id="1534608860">
              <w:marLeft w:val="0"/>
              <w:marRight w:val="0"/>
              <w:marTop w:val="0"/>
              <w:marBottom w:val="240"/>
              <w:divBdr>
                <w:top w:val="none" w:sz="0" w:space="0" w:color="auto"/>
                <w:left w:val="none" w:sz="0" w:space="0" w:color="auto"/>
                <w:bottom w:val="none" w:sz="0" w:space="0" w:color="auto"/>
                <w:right w:val="none" w:sz="0" w:space="0" w:color="auto"/>
              </w:divBdr>
            </w:div>
            <w:div w:id="816457395">
              <w:marLeft w:val="0"/>
              <w:marRight w:val="0"/>
              <w:marTop w:val="0"/>
              <w:marBottom w:val="240"/>
              <w:divBdr>
                <w:top w:val="none" w:sz="0" w:space="0" w:color="auto"/>
                <w:left w:val="none" w:sz="0" w:space="0" w:color="auto"/>
                <w:bottom w:val="none" w:sz="0" w:space="0" w:color="auto"/>
                <w:right w:val="none" w:sz="0" w:space="0" w:color="auto"/>
              </w:divBdr>
            </w:div>
            <w:div w:id="737241589">
              <w:marLeft w:val="0"/>
              <w:marRight w:val="0"/>
              <w:marTop w:val="0"/>
              <w:marBottom w:val="240"/>
              <w:divBdr>
                <w:top w:val="none" w:sz="0" w:space="0" w:color="auto"/>
                <w:left w:val="none" w:sz="0" w:space="0" w:color="auto"/>
                <w:bottom w:val="none" w:sz="0" w:space="0" w:color="auto"/>
                <w:right w:val="none" w:sz="0" w:space="0" w:color="auto"/>
              </w:divBdr>
            </w:div>
            <w:div w:id="1916083409">
              <w:marLeft w:val="0"/>
              <w:marRight w:val="0"/>
              <w:marTop w:val="0"/>
              <w:marBottom w:val="240"/>
              <w:divBdr>
                <w:top w:val="none" w:sz="0" w:space="0" w:color="auto"/>
                <w:left w:val="none" w:sz="0" w:space="0" w:color="auto"/>
                <w:bottom w:val="none" w:sz="0" w:space="0" w:color="auto"/>
                <w:right w:val="none" w:sz="0" w:space="0" w:color="auto"/>
              </w:divBdr>
            </w:div>
            <w:div w:id="155456731">
              <w:marLeft w:val="0"/>
              <w:marRight w:val="0"/>
              <w:marTop w:val="0"/>
              <w:marBottom w:val="240"/>
              <w:divBdr>
                <w:top w:val="none" w:sz="0" w:space="0" w:color="auto"/>
                <w:left w:val="none" w:sz="0" w:space="0" w:color="auto"/>
                <w:bottom w:val="none" w:sz="0" w:space="0" w:color="auto"/>
                <w:right w:val="none" w:sz="0" w:space="0" w:color="auto"/>
              </w:divBdr>
            </w:div>
            <w:div w:id="739251634">
              <w:marLeft w:val="0"/>
              <w:marRight w:val="0"/>
              <w:marTop w:val="0"/>
              <w:marBottom w:val="240"/>
              <w:divBdr>
                <w:top w:val="none" w:sz="0" w:space="0" w:color="auto"/>
                <w:left w:val="none" w:sz="0" w:space="0" w:color="auto"/>
                <w:bottom w:val="none" w:sz="0" w:space="0" w:color="auto"/>
                <w:right w:val="none" w:sz="0" w:space="0" w:color="auto"/>
              </w:divBdr>
            </w:div>
            <w:div w:id="1630747848">
              <w:marLeft w:val="0"/>
              <w:marRight w:val="0"/>
              <w:marTop w:val="0"/>
              <w:marBottom w:val="240"/>
              <w:divBdr>
                <w:top w:val="none" w:sz="0" w:space="0" w:color="auto"/>
                <w:left w:val="none" w:sz="0" w:space="0" w:color="auto"/>
                <w:bottom w:val="none" w:sz="0" w:space="0" w:color="auto"/>
                <w:right w:val="none" w:sz="0" w:space="0" w:color="auto"/>
              </w:divBdr>
            </w:div>
            <w:div w:id="1309171798">
              <w:marLeft w:val="0"/>
              <w:marRight w:val="0"/>
              <w:marTop w:val="0"/>
              <w:marBottom w:val="240"/>
              <w:divBdr>
                <w:top w:val="none" w:sz="0" w:space="0" w:color="auto"/>
                <w:left w:val="none" w:sz="0" w:space="0" w:color="auto"/>
                <w:bottom w:val="none" w:sz="0" w:space="0" w:color="auto"/>
                <w:right w:val="none" w:sz="0" w:space="0" w:color="auto"/>
              </w:divBdr>
            </w:div>
            <w:div w:id="1437218235">
              <w:marLeft w:val="0"/>
              <w:marRight w:val="0"/>
              <w:marTop w:val="0"/>
              <w:marBottom w:val="240"/>
              <w:divBdr>
                <w:top w:val="none" w:sz="0" w:space="0" w:color="auto"/>
                <w:left w:val="none" w:sz="0" w:space="0" w:color="auto"/>
                <w:bottom w:val="none" w:sz="0" w:space="0" w:color="auto"/>
                <w:right w:val="none" w:sz="0" w:space="0" w:color="auto"/>
              </w:divBdr>
            </w:div>
            <w:div w:id="1618490556">
              <w:marLeft w:val="0"/>
              <w:marRight w:val="0"/>
              <w:marTop w:val="0"/>
              <w:marBottom w:val="240"/>
              <w:divBdr>
                <w:top w:val="none" w:sz="0" w:space="0" w:color="auto"/>
                <w:left w:val="none" w:sz="0" w:space="0" w:color="auto"/>
                <w:bottom w:val="none" w:sz="0" w:space="0" w:color="auto"/>
                <w:right w:val="none" w:sz="0" w:space="0" w:color="auto"/>
              </w:divBdr>
            </w:div>
            <w:div w:id="569929912">
              <w:marLeft w:val="0"/>
              <w:marRight w:val="0"/>
              <w:marTop w:val="0"/>
              <w:marBottom w:val="240"/>
              <w:divBdr>
                <w:top w:val="none" w:sz="0" w:space="0" w:color="auto"/>
                <w:left w:val="none" w:sz="0" w:space="0" w:color="auto"/>
                <w:bottom w:val="none" w:sz="0" w:space="0" w:color="auto"/>
                <w:right w:val="none" w:sz="0" w:space="0" w:color="auto"/>
              </w:divBdr>
            </w:div>
            <w:div w:id="1982072963">
              <w:marLeft w:val="0"/>
              <w:marRight w:val="0"/>
              <w:marTop w:val="0"/>
              <w:marBottom w:val="240"/>
              <w:divBdr>
                <w:top w:val="none" w:sz="0" w:space="0" w:color="auto"/>
                <w:left w:val="none" w:sz="0" w:space="0" w:color="auto"/>
                <w:bottom w:val="none" w:sz="0" w:space="0" w:color="auto"/>
                <w:right w:val="none" w:sz="0" w:space="0" w:color="auto"/>
              </w:divBdr>
            </w:div>
            <w:div w:id="102112328">
              <w:marLeft w:val="0"/>
              <w:marRight w:val="0"/>
              <w:marTop w:val="0"/>
              <w:marBottom w:val="240"/>
              <w:divBdr>
                <w:top w:val="none" w:sz="0" w:space="0" w:color="auto"/>
                <w:left w:val="none" w:sz="0" w:space="0" w:color="auto"/>
                <w:bottom w:val="none" w:sz="0" w:space="0" w:color="auto"/>
                <w:right w:val="none" w:sz="0" w:space="0" w:color="auto"/>
              </w:divBdr>
            </w:div>
            <w:div w:id="142351451">
              <w:marLeft w:val="0"/>
              <w:marRight w:val="0"/>
              <w:marTop w:val="0"/>
              <w:marBottom w:val="240"/>
              <w:divBdr>
                <w:top w:val="none" w:sz="0" w:space="0" w:color="auto"/>
                <w:left w:val="none" w:sz="0" w:space="0" w:color="auto"/>
                <w:bottom w:val="none" w:sz="0" w:space="0" w:color="auto"/>
                <w:right w:val="none" w:sz="0" w:space="0" w:color="auto"/>
              </w:divBdr>
            </w:div>
            <w:div w:id="1824466868">
              <w:marLeft w:val="0"/>
              <w:marRight w:val="0"/>
              <w:marTop w:val="0"/>
              <w:marBottom w:val="240"/>
              <w:divBdr>
                <w:top w:val="none" w:sz="0" w:space="0" w:color="auto"/>
                <w:left w:val="none" w:sz="0" w:space="0" w:color="auto"/>
                <w:bottom w:val="none" w:sz="0" w:space="0" w:color="auto"/>
                <w:right w:val="none" w:sz="0" w:space="0" w:color="auto"/>
              </w:divBdr>
            </w:div>
            <w:div w:id="806628823">
              <w:marLeft w:val="0"/>
              <w:marRight w:val="0"/>
              <w:marTop w:val="0"/>
              <w:marBottom w:val="240"/>
              <w:divBdr>
                <w:top w:val="none" w:sz="0" w:space="0" w:color="auto"/>
                <w:left w:val="none" w:sz="0" w:space="0" w:color="auto"/>
                <w:bottom w:val="none" w:sz="0" w:space="0" w:color="auto"/>
                <w:right w:val="none" w:sz="0" w:space="0" w:color="auto"/>
              </w:divBdr>
            </w:div>
            <w:div w:id="968710498">
              <w:marLeft w:val="0"/>
              <w:marRight w:val="0"/>
              <w:marTop w:val="0"/>
              <w:marBottom w:val="240"/>
              <w:divBdr>
                <w:top w:val="none" w:sz="0" w:space="0" w:color="auto"/>
                <w:left w:val="none" w:sz="0" w:space="0" w:color="auto"/>
                <w:bottom w:val="none" w:sz="0" w:space="0" w:color="auto"/>
                <w:right w:val="none" w:sz="0" w:space="0" w:color="auto"/>
              </w:divBdr>
            </w:div>
            <w:div w:id="928347429">
              <w:marLeft w:val="0"/>
              <w:marRight w:val="0"/>
              <w:marTop w:val="0"/>
              <w:marBottom w:val="240"/>
              <w:divBdr>
                <w:top w:val="none" w:sz="0" w:space="0" w:color="auto"/>
                <w:left w:val="none" w:sz="0" w:space="0" w:color="auto"/>
                <w:bottom w:val="none" w:sz="0" w:space="0" w:color="auto"/>
                <w:right w:val="none" w:sz="0" w:space="0" w:color="auto"/>
              </w:divBdr>
            </w:div>
            <w:div w:id="1042168790">
              <w:marLeft w:val="0"/>
              <w:marRight w:val="0"/>
              <w:marTop w:val="0"/>
              <w:marBottom w:val="240"/>
              <w:divBdr>
                <w:top w:val="none" w:sz="0" w:space="0" w:color="auto"/>
                <w:left w:val="none" w:sz="0" w:space="0" w:color="auto"/>
                <w:bottom w:val="none" w:sz="0" w:space="0" w:color="auto"/>
                <w:right w:val="none" w:sz="0" w:space="0" w:color="auto"/>
              </w:divBdr>
            </w:div>
            <w:div w:id="236912745">
              <w:marLeft w:val="0"/>
              <w:marRight w:val="0"/>
              <w:marTop w:val="0"/>
              <w:marBottom w:val="240"/>
              <w:divBdr>
                <w:top w:val="none" w:sz="0" w:space="0" w:color="auto"/>
                <w:left w:val="none" w:sz="0" w:space="0" w:color="auto"/>
                <w:bottom w:val="none" w:sz="0" w:space="0" w:color="auto"/>
                <w:right w:val="none" w:sz="0" w:space="0" w:color="auto"/>
              </w:divBdr>
            </w:div>
            <w:div w:id="869220432">
              <w:marLeft w:val="0"/>
              <w:marRight w:val="0"/>
              <w:marTop w:val="0"/>
              <w:marBottom w:val="240"/>
              <w:divBdr>
                <w:top w:val="none" w:sz="0" w:space="0" w:color="auto"/>
                <w:left w:val="none" w:sz="0" w:space="0" w:color="auto"/>
                <w:bottom w:val="none" w:sz="0" w:space="0" w:color="auto"/>
                <w:right w:val="none" w:sz="0" w:space="0" w:color="auto"/>
              </w:divBdr>
            </w:div>
            <w:div w:id="1736854089">
              <w:marLeft w:val="0"/>
              <w:marRight w:val="0"/>
              <w:marTop w:val="0"/>
              <w:marBottom w:val="240"/>
              <w:divBdr>
                <w:top w:val="none" w:sz="0" w:space="0" w:color="auto"/>
                <w:left w:val="none" w:sz="0" w:space="0" w:color="auto"/>
                <w:bottom w:val="none" w:sz="0" w:space="0" w:color="auto"/>
                <w:right w:val="none" w:sz="0" w:space="0" w:color="auto"/>
              </w:divBdr>
            </w:div>
            <w:div w:id="2029216684">
              <w:marLeft w:val="0"/>
              <w:marRight w:val="0"/>
              <w:marTop w:val="0"/>
              <w:marBottom w:val="240"/>
              <w:divBdr>
                <w:top w:val="none" w:sz="0" w:space="0" w:color="auto"/>
                <w:left w:val="none" w:sz="0" w:space="0" w:color="auto"/>
                <w:bottom w:val="none" w:sz="0" w:space="0" w:color="auto"/>
                <w:right w:val="none" w:sz="0" w:space="0" w:color="auto"/>
              </w:divBdr>
            </w:div>
            <w:div w:id="1645352454">
              <w:marLeft w:val="0"/>
              <w:marRight w:val="0"/>
              <w:marTop w:val="0"/>
              <w:marBottom w:val="240"/>
              <w:divBdr>
                <w:top w:val="none" w:sz="0" w:space="0" w:color="auto"/>
                <w:left w:val="none" w:sz="0" w:space="0" w:color="auto"/>
                <w:bottom w:val="none" w:sz="0" w:space="0" w:color="auto"/>
                <w:right w:val="none" w:sz="0" w:space="0" w:color="auto"/>
              </w:divBdr>
            </w:div>
            <w:div w:id="1889488469">
              <w:marLeft w:val="0"/>
              <w:marRight w:val="0"/>
              <w:marTop w:val="0"/>
              <w:marBottom w:val="240"/>
              <w:divBdr>
                <w:top w:val="none" w:sz="0" w:space="0" w:color="auto"/>
                <w:left w:val="none" w:sz="0" w:space="0" w:color="auto"/>
                <w:bottom w:val="none" w:sz="0" w:space="0" w:color="auto"/>
                <w:right w:val="none" w:sz="0" w:space="0" w:color="auto"/>
              </w:divBdr>
            </w:div>
            <w:div w:id="575825475">
              <w:marLeft w:val="0"/>
              <w:marRight w:val="0"/>
              <w:marTop w:val="0"/>
              <w:marBottom w:val="240"/>
              <w:divBdr>
                <w:top w:val="none" w:sz="0" w:space="0" w:color="auto"/>
                <w:left w:val="none" w:sz="0" w:space="0" w:color="auto"/>
                <w:bottom w:val="none" w:sz="0" w:space="0" w:color="auto"/>
                <w:right w:val="none" w:sz="0" w:space="0" w:color="auto"/>
              </w:divBdr>
            </w:div>
            <w:div w:id="860436697">
              <w:marLeft w:val="0"/>
              <w:marRight w:val="0"/>
              <w:marTop w:val="0"/>
              <w:marBottom w:val="240"/>
              <w:divBdr>
                <w:top w:val="none" w:sz="0" w:space="0" w:color="auto"/>
                <w:left w:val="none" w:sz="0" w:space="0" w:color="auto"/>
                <w:bottom w:val="none" w:sz="0" w:space="0" w:color="auto"/>
                <w:right w:val="none" w:sz="0" w:space="0" w:color="auto"/>
              </w:divBdr>
            </w:div>
            <w:div w:id="1845624949">
              <w:marLeft w:val="0"/>
              <w:marRight w:val="0"/>
              <w:marTop w:val="0"/>
              <w:marBottom w:val="240"/>
              <w:divBdr>
                <w:top w:val="none" w:sz="0" w:space="0" w:color="auto"/>
                <w:left w:val="none" w:sz="0" w:space="0" w:color="auto"/>
                <w:bottom w:val="none" w:sz="0" w:space="0" w:color="auto"/>
                <w:right w:val="none" w:sz="0" w:space="0" w:color="auto"/>
              </w:divBdr>
            </w:div>
            <w:div w:id="190269381">
              <w:marLeft w:val="0"/>
              <w:marRight w:val="0"/>
              <w:marTop w:val="0"/>
              <w:marBottom w:val="240"/>
              <w:divBdr>
                <w:top w:val="none" w:sz="0" w:space="0" w:color="auto"/>
                <w:left w:val="none" w:sz="0" w:space="0" w:color="auto"/>
                <w:bottom w:val="none" w:sz="0" w:space="0" w:color="auto"/>
                <w:right w:val="none" w:sz="0" w:space="0" w:color="auto"/>
              </w:divBdr>
            </w:div>
            <w:div w:id="1762407813">
              <w:marLeft w:val="0"/>
              <w:marRight w:val="0"/>
              <w:marTop w:val="0"/>
              <w:marBottom w:val="240"/>
              <w:divBdr>
                <w:top w:val="none" w:sz="0" w:space="0" w:color="auto"/>
                <w:left w:val="none" w:sz="0" w:space="0" w:color="auto"/>
                <w:bottom w:val="none" w:sz="0" w:space="0" w:color="auto"/>
                <w:right w:val="none" w:sz="0" w:space="0" w:color="auto"/>
              </w:divBdr>
            </w:div>
            <w:div w:id="1267470529">
              <w:marLeft w:val="0"/>
              <w:marRight w:val="0"/>
              <w:marTop w:val="0"/>
              <w:marBottom w:val="240"/>
              <w:divBdr>
                <w:top w:val="none" w:sz="0" w:space="0" w:color="auto"/>
                <w:left w:val="none" w:sz="0" w:space="0" w:color="auto"/>
                <w:bottom w:val="none" w:sz="0" w:space="0" w:color="auto"/>
                <w:right w:val="none" w:sz="0" w:space="0" w:color="auto"/>
              </w:divBdr>
            </w:div>
            <w:div w:id="928121656">
              <w:marLeft w:val="0"/>
              <w:marRight w:val="0"/>
              <w:marTop w:val="0"/>
              <w:marBottom w:val="240"/>
              <w:divBdr>
                <w:top w:val="none" w:sz="0" w:space="0" w:color="auto"/>
                <w:left w:val="none" w:sz="0" w:space="0" w:color="auto"/>
                <w:bottom w:val="none" w:sz="0" w:space="0" w:color="auto"/>
                <w:right w:val="none" w:sz="0" w:space="0" w:color="auto"/>
              </w:divBdr>
            </w:div>
            <w:div w:id="108596269">
              <w:marLeft w:val="0"/>
              <w:marRight w:val="0"/>
              <w:marTop w:val="0"/>
              <w:marBottom w:val="240"/>
              <w:divBdr>
                <w:top w:val="none" w:sz="0" w:space="0" w:color="auto"/>
                <w:left w:val="none" w:sz="0" w:space="0" w:color="auto"/>
                <w:bottom w:val="none" w:sz="0" w:space="0" w:color="auto"/>
                <w:right w:val="none" w:sz="0" w:space="0" w:color="auto"/>
              </w:divBdr>
            </w:div>
            <w:div w:id="430904749">
              <w:marLeft w:val="0"/>
              <w:marRight w:val="0"/>
              <w:marTop w:val="0"/>
              <w:marBottom w:val="240"/>
              <w:divBdr>
                <w:top w:val="none" w:sz="0" w:space="0" w:color="auto"/>
                <w:left w:val="none" w:sz="0" w:space="0" w:color="auto"/>
                <w:bottom w:val="none" w:sz="0" w:space="0" w:color="auto"/>
                <w:right w:val="none" w:sz="0" w:space="0" w:color="auto"/>
              </w:divBdr>
            </w:div>
            <w:div w:id="4180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877491">
      <w:bodyDiv w:val="1"/>
      <w:marLeft w:val="0"/>
      <w:marRight w:val="0"/>
      <w:marTop w:val="0"/>
      <w:marBottom w:val="0"/>
      <w:divBdr>
        <w:top w:val="none" w:sz="0" w:space="0" w:color="auto"/>
        <w:left w:val="none" w:sz="0" w:space="0" w:color="auto"/>
        <w:bottom w:val="none" w:sz="0" w:space="0" w:color="auto"/>
        <w:right w:val="none" w:sz="0" w:space="0" w:color="auto"/>
      </w:divBdr>
    </w:div>
    <w:div w:id="1869559254">
      <w:bodyDiv w:val="1"/>
      <w:marLeft w:val="0"/>
      <w:marRight w:val="0"/>
      <w:marTop w:val="0"/>
      <w:marBottom w:val="0"/>
      <w:divBdr>
        <w:top w:val="none" w:sz="0" w:space="0" w:color="auto"/>
        <w:left w:val="none" w:sz="0" w:space="0" w:color="auto"/>
        <w:bottom w:val="none" w:sz="0" w:space="0" w:color="auto"/>
        <w:right w:val="none" w:sz="0" w:space="0" w:color="auto"/>
      </w:divBdr>
      <w:divsChild>
        <w:div w:id="943345128">
          <w:marLeft w:val="480"/>
          <w:marRight w:val="0"/>
          <w:marTop w:val="0"/>
          <w:marBottom w:val="0"/>
          <w:divBdr>
            <w:top w:val="none" w:sz="0" w:space="0" w:color="auto"/>
            <w:left w:val="none" w:sz="0" w:space="0" w:color="auto"/>
            <w:bottom w:val="none" w:sz="0" w:space="0" w:color="auto"/>
            <w:right w:val="none" w:sz="0" w:space="0" w:color="auto"/>
          </w:divBdr>
          <w:divsChild>
            <w:div w:id="309209703">
              <w:marLeft w:val="0"/>
              <w:marRight w:val="0"/>
              <w:marTop w:val="0"/>
              <w:marBottom w:val="240"/>
              <w:divBdr>
                <w:top w:val="none" w:sz="0" w:space="0" w:color="auto"/>
                <w:left w:val="none" w:sz="0" w:space="0" w:color="auto"/>
                <w:bottom w:val="none" w:sz="0" w:space="0" w:color="auto"/>
                <w:right w:val="none" w:sz="0" w:space="0" w:color="auto"/>
              </w:divBdr>
            </w:div>
            <w:div w:id="1494106834">
              <w:marLeft w:val="0"/>
              <w:marRight w:val="0"/>
              <w:marTop w:val="0"/>
              <w:marBottom w:val="240"/>
              <w:divBdr>
                <w:top w:val="none" w:sz="0" w:space="0" w:color="auto"/>
                <w:left w:val="none" w:sz="0" w:space="0" w:color="auto"/>
                <w:bottom w:val="none" w:sz="0" w:space="0" w:color="auto"/>
                <w:right w:val="none" w:sz="0" w:space="0" w:color="auto"/>
              </w:divBdr>
            </w:div>
            <w:div w:id="375473687">
              <w:marLeft w:val="0"/>
              <w:marRight w:val="0"/>
              <w:marTop w:val="0"/>
              <w:marBottom w:val="240"/>
              <w:divBdr>
                <w:top w:val="none" w:sz="0" w:space="0" w:color="auto"/>
                <w:left w:val="none" w:sz="0" w:space="0" w:color="auto"/>
                <w:bottom w:val="none" w:sz="0" w:space="0" w:color="auto"/>
                <w:right w:val="none" w:sz="0" w:space="0" w:color="auto"/>
              </w:divBdr>
            </w:div>
            <w:div w:id="34894746">
              <w:marLeft w:val="0"/>
              <w:marRight w:val="0"/>
              <w:marTop w:val="0"/>
              <w:marBottom w:val="240"/>
              <w:divBdr>
                <w:top w:val="none" w:sz="0" w:space="0" w:color="auto"/>
                <w:left w:val="none" w:sz="0" w:space="0" w:color="auto"/>
                <w:bottom w:val="none" w:sz="0" w:space="0" w:color="auto"/>
                <w:right w:val="none" w:sz="0" w:space="0" w:color="auto"/>
              </w:divBdr>
            </w:div>
            <w:div w:id="2031292023">
              <w:marLeft w:val="0"/>
              <w:marRight w:val="0"/>
              <w:marTop w:val="0"/>
              <w:marBottom w:val="240"/>
              <w:divBdr>
                <w:top w:val="none" w:sz="0" w:space="0" w:color="auto"/>
                <w:left w:val="none" w:sz="0" w:space="0" w:color="auto"/>
                <w:bottom w:val="none" w:sz="0" w:space="0" w:color="auto"/>
                <w:right w:val="none" w:sz="0" w:space="0" w:color="auto"/>
              </w:divBdr>
            </w:div>
            <w:div w:id="1967084975">
              <w:marLeft w:val="0"/>
              <w:marRight w:val="0"/>
              <w:marTop w:val="0"/>
              <w:marBottom w:val="240"/>
              <w:divBdr>
                <w:top w:val="none" w:sz="0" w:space="0" w:color="auto"/>
                <w:left w:val="none" w:sz="0" w:space="0" w:color="auto"/>
                <w:bottom w:val="none" w:sz="0" w:space="0" w:color="auto"/>
                <w:right w:val="none" w:sz="0" w:space="0" w:color="auto"/>
              </w:divBdr>
            </w:div>
            <w:div w:id="999767660">
              <w:marLeft w:val="0"/>
              <w:marRight w:val="0"/>
              <w:marTop w:val="0"/>
              <w:marBottom w:val="240"/>
              <w:divBdr>
                <w:top w:val="none" w:sz="0" w:space="0" w:color="auto"/>
                <w:left w:val="none" w:sz="0" w:space="0" w:color="auto"/>
                <w:bottom w:val="none" w:sz="0" w:space="0" w:color="auto"/>
                <w:right w:val="none" w:sz="0" w:space="0" w:color="auto"/>
              </w:divBdr>
            </w:div>
            <w:div w:id="1115252828">
              <w:marLeft w:val="0"/>
              <w:marRight w:val="0"/>
              <w:marTop w:val="0"/>
              <w:marBottom w:val="240"/>
              <w:divBdr>
                <w:top w:val="none" w:sz="0" w:space="0" w:color="auto"/>
                <w:left w:val="none" w:sz="0" w:space="0" w:color="auto"/>
                <w:bottom w:val="none" w:sz="0" w:space="0" w:color="auto"/>
                <w:right w:val="none" w:sz="0" w:space="0" w:color="auto"/>
              </w:divBdr>
            </w:div>
            <w:div w:id="1236431126">
              <w:marLeft w:val="0"/>
              <w:marRight w:val="0"/>
              <w:marTop w:val="0"/>
              <w:marBottom w:val="240"/>
              <w:divBdr>
                <w:top w:val="none" w:sz="0" w:space="0" w:color="auto"/>
                <w:left w:val="none" w:sz="0" w:space="0" w:color="auto"/>
                <w:bottom w:val="none" w:sz="0" w:space="0" w:color="auto"/>
                <w:right w:val="none" w:sz="0" w:space="0" w:color="auto"/>
              </w:divBdr>
            </w:div>
            <w:div w:id="317736613">
              <w:marLeft w:val="0"/>
              <w:marRight w:val="0"/>
              <w:marTop w:val="0"/>
              <w:marBottom w:val="240"/>
              <w:divBdr>
                <w:top w:val="none" w:sz="0" w:space="0" w:color="auto"/>
                <w:left w:val="none" w:sz="0" w:space="0" w:color="auto"/>
                <w:bottom w:val="none" w:sz="0" w:space="0" w:color="auto"/>
                <w:right w:val="none" w:sz="0" w:space="0" w:color="auto"/>
              </w:divBdr>
            </w:div>
            <w:div w:id="839663670">
              <w:marLeft w:val="0"/>
              <w:marRight w:val="0"/>
              <w:marTop w:val="0"/>
              <w:marBottom w:val="240"/>
              <w:divBdr>
                <w:top w:val="none" w:sz="0" w:space="0" w:color="auto"/>
                <w:left w:val="none" w:sz="0" w:space="0" w:color="auto"/>
                <w:bottom w:val="none" w:sz="0" w:space="0" w:color="auto"/>
                <w:right w:val="none" w:sz="0" w:space="0" w:color="auto"/>
              </w:divBdr>
            </w:div>
            <w:div w:id="1762868037">
              <w:marLeft w:val="0"/>
              <w:marRight w:val="0"/>
              <w:marTop w:val="0"/>
              <w:marBottom w:val="240"/>
              <w:divBdr>
                <w:top w:val="none" w:sz="0" w:space="0" w:color="auto"/>
                <w:left w:val="none" w:sz="0" w:space="0" w:color="auto"/>
                <w:bottom w:val="none" w:sz="0" w:space="0" w:color="auto"/>
                <w:right w:val="none" w:sz="0" w:space="0" w:color="auto"/>
              </w:divBdr>
            </w:div>
            <w:div w:id="1461026802">
              <w:marLeft w:val="0"/>
              <w:marRight w:val="0"/>
              <w:marTop w:val="0"/>
              <w:marBottom w:val="240"/>
              <w:divBdr>
                <w:top w:val="none" w:sz="0" w:space="0" w:color="auto"/>
                <w:left w:val="none" w:sz="0" w:space="0" w:color="auto"/>
                <w:bottom w:val="none" w:sz="0" w:space="0" w:color="auto"/>
                <w:right w:val="none" w:sz="0" w:space="0" w:color="auto"/>
              </w:divBdr>
            </w:div>
            <w:div w:id="314988869">
              <w:marLeft w:val="0"/>
              <w:marRight w:val="0"/>
              <w:marTop w:val="0"/>
              <w:marBottom w:val="240"/>
              <w:divBdr>
                <w:top w:val="none" w:sz="0" w:space="0" w:color="auto"/>
                <w:left w:val="none" w:sz="0" w:space="0" w:color="auto"/>
                <w:bottom w:val="none" w:sz="0" w:space="0" w:color="auto"/>
                <w:right w:val="none" w:sz="0" w:space="0" w:color="auto"/>
              </w:divBdr>
            </w:div>
            <w:div w:id="1455444604">
              <w:marLeft w:val="0"/>
              <w:marRight w:val="0"/>
              <w:marTop w:val="0"/>
              <w:marBottom w:val="240"/>
              <w:divBdr>
                <w:top w:val="none" w:sz="0" w:space="0" w:color="auto"/>
                <w:left w:val="none" w:sz="0" w:space="0" w:color="auto"/>
                <w:bottom w:val="none" w:sz="0" w:space="0" w:color="auto"/>
                <w:right w:val="none" w:sz="0" w:space="0" w:color="auto"/>
              </w:divBdr>
            </w:div>
            <w:div w:id="209389553">
              <w:marLeft w:val="0"/>
              <w:marRight w:val="0"/>
              <w:marTop w:val="0"/>
              <w:marBottom w:val="240"/>
              <w:divBdr>
                <w:top w:val="none" w:sz="0" w:space="0" w:color="auto"/>
                <w:left w:val="none" w:sz="0" w:space="0" w:color="auto"/>
                <w:bottom w:val="none" w:sz="0" w:space="0" w:color="auto"/>
                <w:right w:val="none" w:sz="0" w:space="0" w:color="auto"/>
              </w:divBdr>
            </w:div>
            <w:div w:id="1079400925">
              <w:marLeft w:val="0"/>
              <w:marRight w:val="0"/>
              <w:marTop w:val="0"/>
              <w:marBottom w:val="240"/>
              <w:divBdr>
                <w:top w:val="none" w:sz="0" w:space="0" w:color="auto"/>
                <w:left w:val="none" w:sz="0" w:space="0" w:color="auto"/>
                <w:bottom w:val="none" w:sz="0" w:space="0" w:color="auto"/>
                <w:right w:val="none" w:sz="0" w:space="0" w:color="auto"/>
              </w:divBdr>
            </w:div>
            <w:div w:id="516894311">
              <w:marLeft w:val="0"/>
              <w:marRight w:val="0"/>
              <w:marTop w:val="0"/>
              <w:marBottom w:val="240"/>
              <w:divBdr>
                <w:top w:val="none" w:sz="0" w:space="0" w:color="auto"/>
                <w:left w:val="none" w:sz="0" w:space="0" w:color="auto"/>
                <w:bottom w:val="none" w:sz="0" w:space="0" w:color="auto"/>
                <w:right w:val="none" w:sz="0" w:space="0" w:color="auto"/>
              </w:divBdr>
            </w:div>
            <w:div w:id="1183975942">
              <w:marLeft w:val="0"/>
              <w:marRight w:val="0"/>
              <w:marTop w:val="0"/>
              <w:marBottom w:val="240"/>
              <w:divBdr>
                <w:top w:val="none" w:sz="0" w:space="0" w:color="auto"/>
                <w:left w:val="none" w:sz="0" w:space="0" w:color="auto"/>
                <w:bottom w:val="none" w:sz="0" w:space="0" w:color="auto"/>
                <w:right w:val="none" w:sz="0" w:space="0" w:color="auto"/>
              </w:divBdr>
            </w:div>
            <w:div w:id="460076091">
              <w:marLeft w:val="0"/>
              <w:marRight w:val="0"/>
              <w:marTop w:val="0"/>
              <w:marBottom w:val="240"/>
              <w:divBdr>
                <w:top w:val="none" w:sz="0" w:space="0" w:color="auto"/>
                <w:left w:val="none" w:sz="0" w:space="0" w:color="auto"/>
                <w:bottom w:val="none" w:sz="0" w:space="0" w:color="auto"/>
                <w:right w:val="none" w:sz="0" w:space="0" w:color="auto"/>
              </w:divBdr>
            </w:div>
            <w:div w:id="1476797567">
              <w:marLeft w:val="0"/>
              <w:marRight w:val="0"/>
              <w:marTop w:val="0"/>
              <w:marBottom w:val="240"/>
              <w:divBdr>
                <w:top w:val="none" w:sz="0" w:space="0" w:color="auto"/>
                <w:left w:val="none" w:sz="0" w:space="0" w:color="auto"/>
                <w:bottom w:val="none" w:sz="0" w:space="0" w:color="auto"/>
                <w:right w:val="none" w:sz="0" w:space="0" w:color="auto"/>
              </w:divBdr>
            </w:div>
            <w:div w:id="764425551">
              <w:marLeft w:val="0"/>
              <w:marRight w:val="0"/>
              <w:marTop w:val="0"/>
              <w:marBottom w:val="240"/>
              <w:divBdr>
                <w:top w:val="none" w:sz="0" w:space="0" w:color="auto"/>
                <w:left w:val="none" w:sz="0" w:space="0" w:color="auto"/>
                <w:bottom w:val="none" w:sz="0" w:space="0" w:color="auto"/>
                <w:right w:val="none" w:sz="0" w:space="0" w:color="auto"/>
              </w:divBdr>
            </w:div>
            <w:div w:id="1056198377">
              <w:marLeft w:val="0"/>
              <w:marRight w:val="0"/>
              <w:marTop w:val="0"/>
              <w:marBottom w:val="240"/>
              <w:divBdr>
                <w:top w:val="none" w:sz="0" w:space="0" w:color="auto"/>
                <w:left w:val="none" w:sz="0" w:space="0" w:color="auto"/>
                <w:bottom w:val="none" w:sz="0" w:space="0" w:color="auto"/>
                <w:right w:val="none" w:sz="0" w:space="0" w:color="auto"/>
              </w:divBdr>
            </w:div>
            <w:div w:id="1482963018">
              <w:marLeft w:val="0"/>
              <w:marRight w:val="0"/>
              <w:marTop w:val="0"/>
              <w:marBottom w:val="240"/>
              <w:divBdr>
                <w:top w:val="none" w:sz="0" w:space="0" w:color="auto"/>
                <w:left w:val="none" w:sz="0" w:space="0" w:color="auto"/>
                <w:bottom w:val="none" w:sz="0" w:space="0" w:color="auto"/>
                <w:right w:val="none" w:sz="0" w:space="0" w:color="auto"/>
              </w:divBdr>
            </w:div>
            <w:div w:id="384961068">
              <w:marLeft w:val="0"/>
              <w:marRight w:val="0"/>
              <w:marTop w:val="0"/>
              <w:marBottom w:val="240"/>
              <w:divBdr>
                <w:top w:val="none" w:sz="0" w:space="0" w:color="auto"/>
                <w:left w:val="none" w:sz="0" w:space="0" w:color="auto"/>
                <w:bottom w:val="none" w:sz="0" w:space="0" w:color="auto"/>
                <w:right w:val="none" w:sz="0" w:space="0" w:color="auto"/>
              </w:divBdr>
            </w:div>
            <w:div w:id="1049260774">
              <w:marLeft w:val="0"/>
              <w:marRight w:val="0"/>
              <w:marTop w:val="0"/>
              <w:marBottom w:val="240"/>
              <w:divBdr>
                <w:top w:val="none" w:sz="0" w:space="0" w:color="auto"/>
                <w:left w:val="none" w:sz="0" w:space="0" w:color="auto"/>
                <w:bottom w:val="none" w:sz="0" w:space="0" w:color="auto"/>
                <w:right w:val="none" w:sz="0" w:space="0" w:color="auto"/>
              </w:divBdr>
            </w:div>
            <w:div w:id="514534625">
              <w:marLeft w:val="0"/>
              <w:marRight w:val="0"/>
              <w:marTop w:val="0"/>
              <w:marBottom w:val="240"/>
              <w:divBdr>
                <w:top w:val="none" w:sz="0" w:space="0" w:color="auto"/>
                <w:left w:val="none" w:sz="0" w:space="0" w:color="auto"/>
                <w:bottom w:val="none" w:sz="0" w:space="0" w:color="auto"/>
                <w:right w:val="none" w:sz="0" w:space="0" w:color="auto"/>
              </w:divBdr>
            </w:div>
            <w:div w:id="1342780473">
              <w:marLeft w:val="0"/>
              <w:marRight w:val="0"/>
              <w:marTop w:val="0"/>
              <w:marBottom w:val="240"/>
              <w:divBdr>
                <w:top w:val="none" w:sz="0" w:space="0" w:color="auto"/>
                <w:left w:val="none" w:sz="0" w:space="0" w:color="auto"/>
                <w:bottom w:val="none" w:sz="0" w:space="0" w:color="auto"/>
                <w:right w:val="none" w:sz="0" w:space="0" w:color="auto"/>
              </w:divBdr>
            </w:div>
            <w:div w:id="157355936">
              <w:marLeft w:val="0"/>
              <w:marRight w:val="0"/>
              <w:marTop w:val="0"/>
              <w:marBottom w:val="240"/>
              <w:divBdr>
                <w:top w:val="none" w:sz="0" w:space="0" w:color="auto"/>
                <w:left w:val="none" w:sz="0" w:space="0" w:color="auto"/>
                <w:bottom w:val="none" w:sz="0" w:space="0" w:color="auto"/>
                <w:right w:val="none" w:sz="0" w:space="0" w:color="auto"/>
              </w:divBdr>
            </w:div>
            <w:div w:id="1759904993">
              <w:marLeft w:val="0"/>
              <w:marRight w:val="0"/>
              <w:marTop w:val="0"/>
              <w:marBottom w:val="240"/>
              <w:divBdr>
                <w:top w:val="none" w:sz="0" w:space="0" w:color="auto"/>
                <w:left w:val="none" w:sz="0" w:space="0" w:color="auto"/>
                <w:bottom w:val="none" w:sz="0" w:space="0" w:color="auto"/>
                <w:right w:val="none" w:sz="0" w:space="0" w:color="auto"/>
              </w:divBdr>
            </w:div>
            <w:div w:id="788934527">
              <w:marLeft w:val="0"/>
              <w:marRight w:val="0"/>
              <w:marTop w:val="0"/>
              <w:marBottom w:val="240"/>
              <w:divBdr>
                <w:top w:val="none" w:sz="0" w:space="0" w:color="auto"/>
                <w:left w:val="none" w:sz="0" w:space="0" w:color="auto"/>
                <w:bottom w:val="none" w:sz="0" w:space="0" w:color="auto"/>
                <w:right w:val="none" w:sz="0" w:space="0" w:color="auto"/>
              </w:divBdr>
            </w:div>
            <w:div w:id="726731205">
              <w:marLeft w:val="0"/>
              <w:marRight w:val="0"/>
              <w:marTop w:val="0"/>
              <w:marBottom w:val="240"/>
              <w:divBdr>
                <w:top w:val="none" w:sz="0" w:space="0" w:color="auto"/>
                <w:left w:val="none" w:sz="0" w:space="0" w:color="auto"/>
                <w:bottom w:val="none" w:sz="0" w:space="0" w:color="auto"/>
                <w:right w:val="none" w:sz="0" w:space="0" w:color="auto"/>
              </w:divBdr>
            </w:div>
            <w:div w:id="1183592943">
              <w:marLeft w:val="0"/>
              <w:marRight w:val="0"/>
              <w:marTop w:val="0"/>
              <w:marBottom w:val="240"/>
              <w:divBdr>
                <w:top w:val="none" w:sz="0" w:space="0" w:color="auto"/>
                <w:left w:val="none" w:sz="0" w:space="0" w:color="auto"/>
                <w:bottom w:val="none" w:sz="0" w:space="0" w:color="auto"/>
                <w:right w:val="none" w:sz="0" w:space="0" w:color="auto"/>
              </w:divBdr>
            </w:div>
            <w:div w:id="943881215">
              <w:marLeft w:val="0"/>
              <w:marRight w:val="0"/>
              <w:marTop w:val="0"/>
              <w:marBottom w:val="240"/>
              <w:divBdr>
                <w:top w:val="none" w:sz="0" w:space="0" w:color="auto"/>
                <w:left w:val="none" w:sz="0" w:space="0" w:color="auto"/>
                <w:bottom w:val="none" w:sz="0" w:space="0" w:color="auto"/>
                <w:right w:val="none" w:sz="0" w:space="0" w:color="auto"/>
              </w:divBdr>
            </w:div>
            <w:div w:id="192891578">
              <w:marLeft w:val="0"/>
              <w:marRight w:val="0"/>
              <w:marTop w:val="0"/>
              <w:marBottom w:val="240"/>
              <w:divBdr>
                <w:top w:val="none" w:sz="0" w:space="0" w:color="auto"/>
                <w:left w:val="none" w:sz="0" w:space="0" w:color="auto"/>
                <w:bottom w:val="none" w:sz="0" w:space="0" w:color="auto"/>
                <w:right w:val="none" w:sz="0" w:space="0" w:color="auto"/>
              </w:divBdr>
            </w:div>
            <w:div w:id="1769423260">
              <w:marLeft w:val="0"/>
              <w:marRight w:val="0"/>
              <w:marTop w:val="0"/>
              <w:marBottom w:val="240"/>
              <w:divBdr>
                <w:top w:val="none" w:sz="0" w:space="0" w:color="auto"/>
                <w:left w:val="none" w:sz="0" w:space="0" w:color="auto"/>
                <w:bottom w:val="none" w:sz="0" w:space="0" w:color="auto"/>
                <w:right w:val="none" w:sz="0" w:space="0" w:color="auto"/>
              </w:divBdr>
            </w:div>
            <w:div w:id="202987059">
              <w:marLeft w:val="0"/>
              <w:marRight w:val="0"/>
              <w:marTop w:val="0"/>
              <w:marBottom w:val="240"/>
              <w:divBdr>
                <w:top w:val="none" w:sz="0" w:space="0" w:color="auto"/>
                <w:left w:val="none" w:sz="0" w:space="0" w:color="auto"/>
                <w:bottom w:val="none" w:sz="0" w:space="0" w:color="auto"/>
                <w:right w:val="none" w:sz="0" w:space="0" w:color="auto"/>
              </w:divBdr>
            </w:div>
            <w:div w:id="256711840">
              <w:marLeft w:val="0"/>
              <w:marRight w:val="0"/>
              <w:marTop w:val="0"/>
              <w:marBottom w:val="240"/>
              <w:divBdr>
                <w:top w:val="none" w:sz="0" w:space="0" w:color="auto"/>
                <w:left w:val="none" w:sz="0" w:space="0" w:color="auto"/>
                <w:bottom w:val="none" w:sz="0" w:space="0" w:color="auto"/>
                <w:right w:val="none" w:sz="0" w:space="0" w:color="auto"/>
              </w:divBdr>
            </w:div>
            <w:div w:id="1215772530">
              <w:marLeft w:val="0"/>
              <w:marRight w:val="0"/>
              <w:marTop w:val="0"/>
              <w:marBottom w:val="240"/>
              <w:divBdr>
                <w:top w:val="none" w:sz="0" w:space="0" w:color="auto"/>
                <w:left w:val="none" w:sz="0" w:space="0" w:color="auto"/>
                <w:bottom w:val="none" w:sz="0" w:space="0" w:color="auto"/>
                <w:right w:val="none" w:sz="0" w:space="0" w:color="auto"/>
              </w:divBdr>
            </w:div>
            <w:div w:id="651056286">
              <w:marLeft w:val="0"/>
              <w:marRight w:val="0"/>
              <w:marTop w:val="0"/>
              <w:marBottom w:val="240"/>
              <w:divBdr>
                <w:top w:val="none" w:sz="0" w:space="0" w:color="auto"/>
                <w:left w:val="none" w:sz="0" w:space="0" w:color="auto"/>
                <w:bottom w:val="none" w:sz="0" w:space="0" w:color="auto"/>
                <w:right w:val="none" w:sz="0" w:space="0" w:color="auto"/>
              </w:divBdr>
            </w:div>
            <w:div w:id="1461148871">
              <w:marLeft w:val="0"/>
              <w:marRight w:val="0"/>
              <w:marTop w:val="0"/>
              <w:marBottom w:val="240"/>
              <w:divBdr>
                <w:top w:val="none" w:sz="0" w:space="0" w:color="auto"/>
                <w:left w:val="none" w:sz="0" w:space="0" w:color="auto"/>
                <w:bottom w:val="none" w:sz="0" w:space="0" w:color="auto"/>
                <w:right w:val="none" w:sz="0" w:space="0" w:color="auto"/>
              </w:divBdr>
            </w:div>
            <w:div w:id="1833791418">
              <w:marLeft w:val="0"/>
              <w:marRight w:val="0"/>
              <w:marTop w:val="0"/>
              <w:marBottom w:val="240"/>
              <w:divBdr>
                <w:top w:val="none" w:sz="0" w:space="0" w:color="auto"/>
                <w:left w:val="none" w:sz="0" w:space="0" w:color="auto"/>
                <w:bottom w:val="none" w:sz="0" w:space="0" w:color="auto"/>
                <w:right w:val="none" w:sz="0" w:space="0" w:color="auto"/>
              </w:divBdr>
            </w:div>
            <w:div w:id="1232499900">
              <w:marLeft w:val="0"/>
              <w:marRight w:val="0"/>
              <w:marTop w:val="0"/>
              <w:marBottom w:val="240"/>
              <w:divBdr>
                <w:top w:val="none" w:sz="0" w:space="0" w:color="auto"/>
                <w:left w:val="none" w:sz="0" w:space="0" w:color="auto"/>
                <w:bottom w:val="none" w:sz="0" w:space="0" w:color="auto"/>
                <w:right w:val="none" w:sz="0" w:space="0" w:color="auto"/>
              </w:divBdr>
            </w:div>
            <w:div w:id="2024088281">
              <w:marLeft w:val="0"/>
              <w:marRight w:val="0"/>
              <w:marTop w:val="0"/>
              <w:marBottom w:val="240"/>
              <w:divBdr>
                <w:top w:val="none" w:sz="0" w:space="0" w:color="auto"/>
                <w:left w:val="none" w:sz="0" w:space="0" w:color="auto"/>
                <w:bottom w:val="none" w:sz="0" w:space="0" w:color="auto"/>
                <w:right w:val="none" w:sz="0" w:space="0" w:color="auto"/>
              </w:divBdr>
            </w:div>
            <w:div w:id="1579437808">
              <w:marLeft w:val="0"/>
              <w:marRight w:val="0"/>
              <w:marTop w:val="0"/>
              <w:marBottom w:val="240"/>
              <w:divBdr>
                <w:top w:val="none" w:sz="0" w:space="0" w:color="auto"/>
                <w:left w:val="none" w:sz="0" w:space="0" w:color="auto"/>
                <w:bottom w:val="none" w:sz="0" w:space="0" w:color="auto"/>
                <w:right w:val="none" w:sz="0" w:space="0" w:color="auto"/>
              </w:divBdr>
            </w:div>
            <w:div w:id="1617250461">
              <w:marLeft w:val="0"/>
              <w:marRight w:val="0"/>
              <w:marTop w:val="0"/>
              <w:marBottom w:val="240"/>
              <w:divBdr>
                <w:top w:val="none" w:sz="0" w:space="0" w:color="auto"/>
                <w:left w:val="none" w:sz="0" w:space="0" w:color="auto"/>
                <w:bottom w:val="none" w:sz="0" w:space="0" w:color="auto"/>
                <w:right w:val="none" w:sz="0" w:space="0" w:color="auto"/>
              </w:divBdr>
            </w:div>
            <w:div w:id="1392651520">
              <w:marLeft w:val="0"/>
              <w:marRight w:val="0"/>
              <w:marTop w:val="0"/>
              <w:marBottom w:val="240"/>
              <w:divBdr>
                <w:top w:val="none" w:sz="0" w:space="0" w:color="auto"/>
                <w:left w:val="none" w:sz="0" w:space="0" w:color="auto"/>
                <w:bottom w:val="none" w:sz="0" w:space="0" w:color="auto"/>
                <w:right w:val="none" w:sz="0" w:space="0" w:color="auto"/>
              </w:divBdr>
            </w:div>
            <w:div w:id="1676571557">
              <w:marLeft w:val="0"/>
              <w:marRight w:val="0"/>
              <w:marTop w:val="0"/>
              <w:marBottom w:val="240"/>
              <w:divBdr>
                <w:top w:val="none" w:sz="0" w:space="0" w:color="auto"/>
                <w:left w:val="none" w:sz="0" w:space="0" w:color="auto"/>
                <w:bottom w:val="none" w:sz="0" w:space="0" w:color="auto"/>
                <w:right w:val="none" w:sz="0" w:space="0" w:color="auto"/>
              </w:divBdr>
            </w:div>
            <w:div w:id="833224978">
              <w:marLeft w:val="0"/>
              <w:marRight w:val="0"/>
              <w:marTop w:val="0"/>
              <w:marBottom w:val="240"/>
              <w:divBdr>
                <w:top w:val="none" w:sz="0" w:space="0" w:color="auto"/>
                <w:left w:val="none" w:sz="0" w:space="0" w:color="auto"/>
                <w:bottom w:val="none" w:sz="0" w:space="0" w:color="auto"/>
                <w:right w:val="none" w:sz="0" w:space="0" w:color="auto"/>
              </w:divBdr>
            </w:div>
            <w:div w:id="318509127">
              <w:marLeft w:val="0"/>
              <w:marRight w:val="0"/>
              <w:marTop w:val="0"/>
              <w:marBottom w:val="240"/>
              <w:divBdr>
                <w:top w:val="none" w:sz="0" w:space="0" w:color="auto"/>
                <w:left w:val="none" w:sz="0" w:space="0" w:color="auto"/>
                <w:bottom w:val="none" w:sz="0" w:space="0" w:color="auto"/>
                <w:right w:val="none" w:sz="0" w:space="0" w:color="auto"/>
              </w:divBdr>
            </w:div>
            <w:div w:id="1844515807">
              <w:marLeft w:val="0"/>
              <w:marRight w:val="0"/>
              <w:marTop w:val="0"/>
              <w:marBottom w:val="240"/>
              <w:divBdr>
                <w:top w:val="none" w:sz="0" w:space="0" w:color="auto"/>
                <w:left w:val="none" w:sz="0" w:space="0" w:color="auto"/>
                <w:bottom w:val="none" w:sz="0" w:space="0" w:color="auto"/>
                <w:right w:val="none" w:sz="0" w:space="0" w:color="auto"/>
              </w:divBdr>
            </w:div>
            <w:div w:id="1750809326">
              <w:marLeft w:val="0"/>
              <w:marRight w:val="0"/>
              <w:marTop w:val="0"/>
              <w:marBottom w:val="240"/>
              <w:divBdr>
                <w:top w:val="none" w:sz="0" w:space="0" w:color="auto"/>
                <w:left w:val="none" w:sz="0" w:space="0" w:color="auto"/>
                <w:bottom w:val="none" w:sz="0" w:space="0" w:color="auto"/>
                <w:right w:val="none" w:sz="0" w:space="0" w:color="auto"/>
              </w:divBdr>
            </w:div>
            <w:div w:id="1346402362">
              <w:marLeft w:val="0"/>
              <w:marRight w:val="0"/>
              <w:marTop w:val="0"/>
              <w:marBottom w:val="240"/>
              <w:divBdr>
                <w:top w:val="none" w:sz="0" w:space="0" w:color="auto"/>
                <w:left w:val="none" w:sz="0" w:space="0" w:color="auto"/>
                <w:bottom w:val="none" w:sz="0" w:space="0" w:color="auto"/>
                <w:right w:val="none" w:sz="0" w:space="0" w:color="auto"/>
              </w:divBdr>
            </w:div>
            <w:div w:id="1880438539">
              <w:marLeft w:val="0"/>
              <w:marRight w:val="0"/>
              <w:marTop w:val="0"/>
              <w:marBottom w:val="240"/>
              <w:divBdr>
                <w:top w:val="none" w:sz="0" w:space="0" w:color="auto"/>
                <w:left w:val="none" w:sz="0" w:space="0" w:color="auto"/>
                <w:bottom w:val="none" w:sz="0" w:space="0" w:color="auto"/>
                <w:right w:val="none" w:sz="0" w:space="0" w:color="auto"/>
              </w:divBdr>
            </w:div>
            <w:div w:id="814219443">
              <w:marLeft w:val="0"/>
              <w:marRight w:val="0"/>
              <w:marTop w:val="0"/>
              <w:marBottom w:val="240"/>
              <w:divBdr>
                <w:top w:val="none" w:sz="0" w:space="0" w:color="auto"/>
                <w:left w:val="none" w:sz="0" w:space="0" w:color="auto"/>
                <w:bottom w:val="none" w:sz="0" w:space="0" w:color="auto"/>
                <w:right w:val="none" w:sz="0" w:space="0" w:color="auto"/>
              </w:divBdr>
            </w:div>
            <w:div w:id="1323193289">
              <w:marLeft w:val="0"/>
              <w:marRight w:val="0"/>
              <w:marTop w:val="0"/>
              <w:marBottom w:val="240"/>
              <w:divBdr>
                <w:top w:val="none" w:sz="0" w:space="0" w:color="auto"/>
                <w:left w:val="none" w:sz="0" w:space="0" w:color="auto"/>
                <w:bottom w:val="none" w:sz="0" w:space="0" w:color="auto"/>
                <w:right w:val="none" w:sz="0" w:space="0" w:color="auto"/>
              </w:divBdr>
            </w:div>
            <w:div w:id="1603957878">
              <w:marLeft w:val="0"/>
              <w:marRight w:val="0"/>
              <w:marTop w:val="0"/>
              <w:marBottom w:val="240"/>
              <w:divBdr>
                <w:top w:val="none" w:sz="0" w:space="0" w:color="auto"/>
                <w:left w:val="none" w:sz="0" w:space="0" w:color="auto"/>
                <w:bottom w:val="none" w:sz="0" w:space="0" w:color="auto"/>
                <w:right w:val="none" w:sz="0" w:space="0" w:color="auto"/>
              </w:divBdr>
            </w:div>
            <w:div w:id="1986811177">
              <w:marLeft w:val="0"/>
              <w:marRight w:val="0"/>
              <w:marTop w:val="0"/>
              <w:marBottom w:val="240"/>
              <w:divBdr>
                <w:top w:val="none" w:sz="0" w:space="0" w:color="auto"/>
                <w:left w:val="none" w:sz="0" w:space="0" w:color="auto"/>
                <w:bottom w:val="none" w:sz="0" w:space="0" w:color="auto"/>
                <w:right w:val="none" w:sz="0" w:space="0" w:color="auto"/>
              </w:divBdr>
            </w:div>
            <w:div w:id="859706643">
              <w:marLeft w:val="0"/>
              <w:marRight w:val="0"/>
              <w:marTop w:val="0"/>
              <w:marBottom w:val="240"/>
              <w:divBdr>
                <w:top w:val="none" w:sz="0" w:space="0" w:color="auto"/>
                <w:left w:val="none" w:sz="0" w:space="0" w:color="auto"/>
                <w:bottom w:val="none" w:sz="0" w:space="0" w:color="auto"/>
                <w:right w:val="none" w:sz="0" w:space="0" w:color="auto"/>
              </w:divBdr>
            </w:div>
            <w:div w:id="2002615665">
              <w:marLeft w:val="0"/>
              <w:marRight w:val="0"/>
              <w:marTop w:val="0"/>
              <w:marBottom w:val="240"/>
              <w:divBdr>
                <w:top w:val="none" w:sz="0" w:space="0" w:color="auto"/>
                <w:left w:val="none" w:sz="0" w:space="0" w:color="auto"/>
                <w:bottom w:val="none" w:sz="0" w:space="0" w:color="auto"/>
                <w:right w:val="none" w:sz="0" w:space="0" w:color="auto"/>
              </w:divBdr>
            </w:div>
            <w:div w:id="2108387252">
              <w:marLeft w:val="0"/>
              <w:marRight w:val="0"/>
              <w:marTop w:val="0"/>
              <w:marBottom w:val="240"/>
              <w:divBdr>
                <w:top w:val="none" w:sz="0" w:space="0" w:color="auto"/>
                <w:left w:val="none" w:sz="0" w:space="0" w:color="auto"/>
                <w:bottom w:val="none" w:sz="0" w:space="0" w:color="auto"/>
                <w:right w:val="none" w:sz="0" w:space="0" w:color="auto"/>
              </w:divBdr>
            </w:div>
            <w:div w:id="1669552095">
              <w:marLeft w:val="0"/>
              <w:marRight w:val="0"/>
              <w:marTop w:val="0"/>
              <w:marBottom w:val="240"/>
              <w:divBdr>
                <w:top w:val="none" w:sz="0" w:space="0" w:color="auto"/>
                <w:left w:val="none" w:sz="0" w:space="0" w:color="auto"/>
                <w:bottom w:val="none" w:sz="0" w:space="0" w:color="auto"/>
                <w:right w:val="none" w:sz="0" w:space="0" w:color="auto"/>
              </w:divBdr>
            </w:div>
            <w:div w:id="448159327">
              <w:marLeft w:val="0"/>
              <w:marRight w:val="0"/>
              <w:marTop w:val="0"/>
              <w:marBottom w:val="240"/>
              <w:divBdr>
                <w:top w:val="none" w:sz="0" w:space="0" w:color="auto"/>
                <w:left w:val="none" w:sz="0" w:space="0" w:color="auto"/>
                <w:bottom w:val="none" w:sz="0" w:space="0" w:color="auto"/>
                <w:right w:val="none" w:sz="0" w:space="0" w:color="auto"/>
              </w:divBdr>
            </w:div>
            <w:div w:id="89206898">
              <w:marLeft w:val="0"/>
              <w:marRight w:val="0"/>
              <w:marTop w:val="0"/>
              <w:marBottom w:val="240"/>
              <w:divBdr>
                <w:top w:val="none" w:sz="0" w:space="0" w:color="auto"/>
                <w:left w:val="none" w:sz="0" w:space="0" w:color="auto"/>
                <w:bottom w:val="none" w:sz="0" w:space="0" w:color="auto"/>
                <w:right w:val="none" w:sz="0" w:space="0" w:color="auto"/>
              </w:divBdr>
            </w:div>
            <w:div w:id="161049104">
              <w:marLeft w:val="0"/>
              <w:marRight w:val="0"/>
              <w:marTop w:val="0"/>
              <w:marBottom w:val="240"/>
              <w:divBdr>
                <w:top w:val="none" w:sz="0" w:space="0" w:color="auto"/>
                <w:left w:val="none" w:sz="0" w:space="0" w:color="auto"/>
                <w:bottom w:val="none" w:sz="0" w:space="0" w:color="auto"/>
                <w:right w:val="none" w:sz="0" w:space="0" w:color="auto"/>
              </w:divBdr>
            </w:div>
            <w:div w:id="328213133">
              <w:marLeft w:val="0"/>
              <w:marRight w:val="0"/>
              <w:marTop w:val="0"/>
              <w:marBottom w:val="240"/>
              <w:divBdr>
                <w:top w:val="none" w:sz="0" w:space="0" w:color="auto"/>
                <w:left w:val="none" w:sz="0" w:space="0" w:color="auto"/>
                <w:bottom w:val="none" w:sz="0" w:space="0" w:color="auto"/>
                <w:right w:val="none" w:sz="0" w:space="0" w:color="auto"/>
              </w:divBdr>
            </w:div>
            <w:div w:id="2076781119">
              <w:marLeft w:val="0"/>
              <w:marRight w:val="0"/>
              <w:marTop w:val="0"/>
              <w:marBottom w:val="240"/>
              <w:divBdr>
                <w:top w:val="none" w:sz="0" w:space="0" w:color="auto"/>
                <w:left w:val="none" w:sz="0" w:space="0" w:color="auto"/>
                <w:bottom w:val="none" w:sz="0" w:space="0" w:color="auto"/>
                <w:right w:val="none" w:sz="0" w:space="0" w:color="auto"/>
              </w:divBdr>
            </w:div>
            <w:div w:id="1487555596">
              <w:marLeft w:val="0"/>
              <w:marRight w:val="0"/>
              <w:marTop w:val="0"/>
              <w:marBottom w:val="240"/>
              <w:divBdr>
                <w:top w:val="none" w:sz="0" w:space="0" w:color="auto"/>
                <w:left w:val="none" w:sz="0" w:space="0" w:color="auto"/>
                <w:bottom w:val="none" w:sz="0" w:space="0" w:color="auto"/>
                <w:right w:val="none" w:sz="0" w:space="0" w:color="auto"/>
              </w:divBdr>
            </w:div>
            <w:div w:id="336885074">
              <w:marLeft w:val="0"/>
              <w:marRight w:val="0"/>
              <w:marTop w:val="0"/>
              <w:marBottom w:val="240"/>
              <w:divBdr>
                <w:top w:val="none" w:sz="0" w:space="0" w:color="auto"/>
                <w:left w:val="none" w:sz="0" w:space="0" w:color="auto"/>
                <w:bottom w:val="none" w:sz="0" w:space="0" w:color="auto"/>
                <w:right w:val="none" w:sz="0" w:space="0" w:color="auto"/>
              </w:divBdr>
            </w:div>
            <w:div w:id="47535466">
              <w:marLeft w:val="0"/>
              <w:marRight w:val="0"/>
              <w:marTop w:val="0"/>
              <w:marBottom w:val="240"/>
              <w:divBdr>
                <w:top w:val="none" w:sz="0" w:space="0" w:color="auto"/>
                <w:left w:val="none" w:sz="0" w:space="0" w:color="auto"/>
                <w:bottom w:val="none" w:sz="0" w:space="0" w:color="auto"/>
                <w:right w:val="none" w:sz="0" w:space="0" w:color="auto"/>
              </w:divBdr>
            </w:div>
            <w:div w:id="1638997659">
              <w:marLeft w:val="0"/>
              <w:marRight w:val="0"/>
              <w:marTop w:val="0"/>
              <w:marBottom w:val="240"/>
              <w:divBdr>
                <w:top w:val="none" w:sz="0" w:space="0" w:color="auto"/>
                <w:left w:val="none" w:sz="0" w:space="0" w:color="auto"/>
                <w:bottom w:val="none" w:sz="0" w:space="0" w:color="auto"/>
                <w:right w:val="none" w:sz="0" w:space="0" w:color="auto"/>
              </w:divBdr>
            </w:div>
            <w:div w:id="634674417">
              <w:marLeft w:val="0"/>
              <w:marRight w:val="0"/>
              <w:marTop w:val="0"/>
              <w:marBottom w:val="240"/>
              <w:divBdr>
                <w:top w:val="none" w:sz="0" w:space="0" w:color="auto"/>
                <w:left w:val="none" w:sz="0" w:space="0" w:color="auto"/>
                <w:bottom w:val="none" w:sz="0" w:space="0" w:color="auto"/>
                <w:right w:val="none" w:sz="0" w:space="0" w:color="auto"/>
              </w:divBdr>
            </w:div>
            <w:div w:id="945310774">
              <w:marLeft w:val="0"/>
              <w:marRight w:val="0"/>
              <w:marTop w:val="0"/>
              <w:marBottom w:val="240"/>
              <w:divBdr>
                <w:top w:val="none" w:sz="0" w:space="0" w:color="auto"/>
                <w:left w:val="none" w:sz="0" w:space="0" w:color="auto"/>
                <w:bottom w:val="none" w:sz="0" w:space="0" w:color="auto"/>
                <w:right w:val="none" w:sz="0" w:space="0" w:color="auto"/>
              </w:divBdr>
            </w:div>
            <w:div w:id="1370836330">
              <w:marLeft w:val="0"/>
              <w:marRight w:val="0"/>
              <w:marTop w:val="0"/>
              <w:marBottom w:val="240"/>
              <w:divBdr>
                <w:top w:val="none" w:sz="0" w:space="0" w:color="auto"/>
                <w:left w:val="none" w:sz="0" w:space="0" w:color="auto"/>
                <w:bottom w:val="none" w:sz="0" w:space="0" w:color="auto"/>
                <w:right w:val="none" w:sz="0" w:space="0" w:color="auto"/>
              </w:divBdr>
            </w:div>
            <w:div w:id="64501544">
              <w:marLeft w:val="0"/>
              <w:marRight w:val="0"/>
              <w:marTop w:val="0"/>
              <w:marBottom w:val="240"/>
              <w:divBdr>
                <w:top w:val="none" w:sz="0" w:space="0" w:color="auto"/>
                <w:left w:val="none" w:sz="0" w:space="0" w:color="auto"/>
                <w:bottom w:val="none" w:sz="0" w:space="0" w:color="auto"/>
                <w:right w:val="none" w:sz="0" w:space="0" w:color="auto"/>
              </w:divBdr>
            </w:div>
            <w:div w:id="193737867">
              <w:marLeft w:val="0"/>
              <w:marRight w:val="0"/>
              <w:marTop w:val="0"/>
              <w:marBottom w:val="240"/>
              <w:divBdr>
                <w:top w:val="none" w:sz="0" w:space="0" w:color="auto"/>
                <w:left w:val="none" w:sz="0" w:space="0" w:color="auto"/>
                <w:bottom w:val="none" w:sz="0" w:space="0" w:color="auto"/>
                <w:right w:val="none" w:sz="0" w:space="0" w:color="auto"/>
              </w:divBdr>
            </w:div>
            <w:div w:id="1508985496">
              <w:marLeft w:val="0"/>
              <w:marRight w:val="0"/>
              <w:marTop w:val="0"/>
              <w:marBottom w:val="240"/>
              <w:divBdr>
                <w:top w:val="none" w:sz="0" w:space="0" w:color="auto"/>
                <w:left w:val="none" w:sz="0" w:space="0" w:color="auto"/>
                <w:bottom w:val="none" w:sz="0" w:space="0" w:color="auto"/>
                <w:right w:val="none" w:sz="0" w:space="0" w:color="auto"/>
              </w:divBdr>
            </w:div>
            <w:div w:id="1090276461">
              <w:marLeft w:val="0"/>
              <w:marRight w:val="0"/>
              <w:marTop w:val="0"/>
              <w:marBottom w:val="240"/>
              <w:divBdr>
                <w:top w:val="none" w:sz="0" w:space="0" w:color="auto"/>
                <w:left w:val="none" w:sz="0" w:space="0" w:color="auto"/>
                <w:bottom w:val="none" w:sz="0" w:space="0" w:color="auto"/>
                <w:right w:val="none" w:sz="0" w:space="0" w:color="auto"/>
              </w:divBdr>
            </w:div>
            <w:div w:id="445851400">
              <w:marLeft w:val="0"/>
              <w:marRight w:val="0"/>
              <w:marTop w:val="0"/>
              <w:marBottom w:val="240"/>
              <w:divBdr>
                <w:top w:val="none" w:sz="0" w:space="0" w:color="auto"/>
                <w:left w:val="none" w:sz="0" w:space="0" w:color="auto"/>
                <w:bottom w:val="none" w:sz="0" w:space="0" w:color="auto"/>
                <w:right w:val="none" w:sz="0" w:space="0" w:color="auto"/>
              </w:divBdr>
            </w:div>
            <w:div w:id="1774278119">
              <w:marLeft w:val="0"/>
              <w:marRight w:val="0"/>
              <w:marTop w:val="0"/>
              <w:marBottom w:val="240"/>
              <w:divBdr>
                <w:top w:val="none" w:sz="0" w:space="0" w:color="auto"/>
                <w:left w:val="none" w:sz="0" w:space="0" w:color="auto"/>
                <w:bottom w:val="none" w:sz="0" w:space="0" w:color="auto"/>
                <w:right w:val="none" w:sz="0" w:space="0" w:color="auto"/>
              </w:divBdr>
            </w:div>
            <w:div w:id="473524682">
              <w:marLeft w:val="0"/>
              <w:marRight w:val="0"/>
              <w:marTop w:val="0"/>
              <w:marBottom w:val="240"/>
              <w:divBdr>
                <w:top w:val="none" w:sz="0" w:space="0" w:color="auto"/>
                <w:left w:val="none" w:sz="0" w:space="0" w:color="auto"/>
                <w:bottom w:val="none" w:sz="0" w:space="0" w:color="auto"/>
                <w:right w:val="none" w:sz="0" w:space="0" w:color="auto"/>
              </w:divBdr>
            </w:div>
            <w:div w:id="176383432">
              <w:marLeft w:val="0"/>
              <w:marRight w:val="0"/>
              <w:marTop w:val="0"/>
              <w:marBottom w:val="240"/>
              <w:divBdr>
                <w:top w:val="none" w:sz="0" w:space="0" w:color="auto"/>
                <w:left w:val="none" w:sz="0" w:space="0" w:color="auto"/>
                <w:bottom w:val="none" w:sz="0" w:space="0" w:color="auto"/>
                <w:right w:val="none" w:sz="0" w:space="0" w:color="auto"/>
              </w:divBdr>
            </w:div>
            <w:div w:id="1633825027">
              <w:marLeft w:val="0"/>
              <w:marRight w:val="0"/>
              <w:marTop w:val="0"/>
              <w:marBottom w:val="240"/>
              <w:divBdr>
                <w:top w:val="none" w:sz="0" w:space="0" w:color="auto"/>
                <w:left w:val="none" w:sz="0" w:space="0" w:color="auto"/>
                <w:bottom w:val="none" w:sz="0" w:space="0" w:color="auto"/>
                <w:right w:val="none" w:sz="0" w:space="0" w:color="auto"/>
              </w:divBdr>
            </w:div>
            <w:div w:id="1670905949">
              <w:marLeft w:val="0"/>
              <w:marRight w:val="0"/>
              <w:marTop w:val="0"/>
              <w:marBottom w:val="240"/>
              <w:divBdr>
                <w:top w:val="none" w:sz="0" w:space="0" w:color="auto"/>
                <w:left w:val="none" w:sz="0" w:space="0" w:color="auto"/>
                <w:bottom w:val="none" w:sz="0" w:space="0" w:color="auto"/>
                <w:right w:val="none" w:sz="0" w:space="0" w:color="auto"/>
              </w:divBdr>
            </w:div>
            <w:div w:id="2039768140">
              <w:marLeft w:val="0"/>
              <w:marRight w:val="0"/>
              <w:marTop w:val="0"/>
              <w:marBottom w:val="240"/>
              <w:divBdr>
                <w:top w:val="none" w:sz="0" w:space="0" w:color="auto"/>
                <w:left w:val="none" w:sz="0" w:space="0" w:color="auto"/>
                <w:bottom w:val="none" w:sz="0" w:space="0" w:color="auto"/>
                <w:right w:val="none" w:sz="0" w:space="0" w:color="auto"/>
              </w:divBdr>
            </w:div>
            <w:div w:id="1276641793">
              <w:marLeft w:val="0"/>
              <w:marRight w:val="0"/>
              <w:marTop w:val="0"/>
              <w:marBottom w:val="240"/>
              <w:divBdr>
                <w:top w:val="none" w:sz="0" w:space="0" w:color="auto"/>
                <w:left w:val="none" w:sz="0" w:space="0" w:color="auto"/>
                <w:bottom w:val="none" w:sz="0" w:space="0" w:color="auto"/>
                <w:right w:val="none" w:sz="0" w:space="0" w:color="auto"/>
              </w:divBdr>
            </w:div>
            <w:div w:id="2071071996">
              <w:marLeft w:val="0"/>
              <w:marRight w:val="0"/>
              <w:marTop w:val="0"/>
              <w:marBottom w:val="240"/>
              <w:divBdr>
                <w:top w:val="none" w:sz="0" w:space="0" w:color="auto"/>
                <w:left w:val="none" w:sz="0" w:space="0" w:color="auto"/>
                <w:bottom w:val="none" w:sz="0" w:space="0" w:color="auto"/>
                <w:right w:val="none" w:sz="0" w:space="0" w:color="auto"/>
              </w:divBdr>
            </w:div>
            <w:div w:id="826671426">
              <w:marLeft w:val="0"/>
              <w:marRight w:val="0"/>
              <w:marTop w:val="0"/>
              <w:marBottom w:val="240"/>
              <w:divBdr>
                <w:top w:val="none" w:sz="0" w:space="0" w:color="auto"/>
                <w:left w:val="none" w:sz="0" w:space="0" w:color="auto"/>
                <w:bottom w:val="none" w:sz="0" w:space="0" w:color="auto"/>
                <w:right w:val="none" w:sz="0" w:space="0" w:color="auto"/>
              </w:divBdr>
            </w:div>
            <w:div w:id="1263369831">
              <w:marLeft w:val="0"/>
              <w:marRight w:val="0"/>
              <w:marTop w:val="0"/>
              <w:marBottom w:val="240"/>
              <w:divBdr>
                <w:top w:val="none" w:sz="0" w:space="0" w:color="auto"/>
                <w:left w:val="none" w:sz="0" w:space="0" w:color="auto"/>
                <w:bottom w:val="none" w:sz="0" w:space="0" w:color="auto"/>
                <w:right w:val="none" w:sz="0" w:space="0" w:color="auto"/>
              </w:divBdr>
            </w:div>
            <w:div w:id="1438794794">
              <w:marLeft w:val="0"/>
              <w:marRight w:val="0"/>
              <w:marTop w:val="0"/>
              <w:marBottom w:val="240"/>
              <w:divBdr>
                <w:top w:val="none" w:sz="0" w:space="0" w:color="auto"/>
                <w:left w:val="none" w:sz="0" w:space="0" w:color="auto"/>
                <w:bottom w:val="none" w:sz="0" w:space="0" w:color="auto"/>
                <w:right w:val="none" w:sz="0" w:space="0" w:color="auto"/>
              </w:divBdr>
            </w:div>
            <w:div w:id="330452019">
              <w:marLeft w:val="0"/>
              <w:marRight w:val="0"/>
              <w:marTop w:val="0"/>
              <w:marBottom w:val="240"/>
              <w:divBdr>
                <w:top w:val="none" w:sz="0" w:space="0" w:color="auto"/>
                <w:left w:val="none" w:sz="0" w:space="0" w:color="auto"/>
                <w:bottom w:val="none" w:sz="0" w:space="0" w:color="auto"/>
                <w:right w:val="none" w:sz="0" w:space="0" w:color="auto"/>
              </w:divBdr>
            </w:div>
            <w:div w:id="1871913366">
              <w:marLeft w:val="0"/>
              <w:marRight w:val="0"/>
              <w:marTop w:val="0"/>
              <w:marBottom w:val="240"/>
              <w:divBdr>
                <w:top w:val="none" w:sz="0" w:space="0" w:color="auto"/>
                <w:left w:val="none" w:sz="0" w:space="0" w:color="auto"/>
                <w:bottom w:val="none" w:sz="0" w:space="0" w:color="auto"/>
                <w:right w:val="none" w:sz="0" w:space="0" w:color="auto"/>
              </w:divBdr>
            </w:div>
            <w:div w:id="396175077">
              <w:marLeft w:val="0"/>
              <w:marRight w:val="0"/>
              <w:marTop w:val="0"/>
              <w:marBottom w:val="240"/>
              <w:divBdr>
                <w:top w:val="none" w:sz="0" w:space="0" w:color="auto"/>
                <w:left w:val="none" w:sz="0" w:space="0" w:color="auto"/>
                <w:bottom w:val="none" w:sz="0" w:space="0" w:color="auto"/>
                <w:right w:val="none" w:sz="0" w:space="0" w:color="auto"/>
              </w:divBdr>
            </w:div>
            <w:div w:id="906301410">
              <w:marLeft w:val="0"/>
              <w:marRight w:val="0"/>
              <w:marTop w:val="0"/>
              <w:marBottom w:val="240"/>
              <w:divBdr>
                <w:top w:val="none" w:sz="0" w:space="0" w:color="auto"/>
                <w:left w:val="none" w:sz="0" w:space="0" w:color="auto"/>
                <w:bottom w:val="none" w:sz="0" w:space="0" w:color="auto"/>
                <w:right w:val="none" w:sz="0" w:space="0" w:color="auto"/>
              </w:divBdr>
            </w:div>
            <w:div w:id="1575242473">
              <w:marLeft w:val="0"/>
              <w:marRight w:val="0"/>
              <w:marTop w:val="0"/>
              <w:marBottom w:val="240"/>
              <w:divBdr>
                <w:top w:val="none" w:sz="0" w:space="0" w:color="auto"/>
                <w:left w:val="none" w:sz="0" w:space="0" w:color="auto"/>
                <w:bottom w:val="none" w:sz="0" w:space="0" w:color="auto"/>
                <w:right w:val="none" w:sz="0" w:space="0" w:color="auto"/>
              </w:divBdr>
            </w:div>
            <w:div w:id="2074886199">
              <w:marLeft w:val="0"/>
              <w:marRight w:val="0"/>
              <w:marTop w:val="0"/>
              <w:marBottom w:val="240"/>
              <w:divBdr>
                <w:top w:val="none" w:sz="0" w:space="0" w:color="auto"/>
                <w:left w:val="none" w:sz="0" w:space="0" w:color="auto"/>
                <w:bottom w:val="none" w:sz="0" w:space="0" w:color="auto"/>
                <w:right w:val="none" w:sz="0" w:space="0" w:color="auto"/>
              </w:divBdr>
            </w:div>
            <w:div w:id="727339071">
              <w:marLeft w:val="0"/>
              <w:marRight w:val="0"/>
              <w:marTop w:val="0"/>
              <w:marBottom w:val="240"/>
              <w:divBdr>
                <w:top w:val="none" w:sz="0" w:space="0" w:color="auto"/>
                <w:left w:val="none" w:sz="0" w:space="0" w:color="auto"/>
                <w:bottom w:val="none" w:sz="0" w:space="0" w:color="auto"/>
                <w:right w:val="none" w:sz="0" w:space="0" w:color="auto"/>
              </w:divBdr>
            </w:div>
            <w:div w:id="499346083">
              <w:marLeft w:val="0"/>
              <w:marRight w:val="0"/>
              <w:marTop w:val="0"/>
              <w:marBottom w:val="240"/>
              <w:divBdr>
                <w:top w:val="none" w:sz="0" w:space="0" w:color="auto"/>
                <w:left w:val="none" w:sz="0" w:space="0" w:color="auto"/>
                <w:bottom w:val="none" w:sz="0" w:space="0" w:color="auto"/>
                <w:right w:val="none" w:sz="0" w:space="0" w:color="auto"/>
              </w:divBdr>
            </w:div>
            <w:div w:id="303893323">
              <w:marLeft w:val="0"/>
              <w:marRight w:val="0"/>
              <w:marTop w:val="0"/>
              <w:marBottom w:val="240"/>
              <w:divBdr>
                <w:top w:val="none" w:sz="0" w:space="0" w:color="auto"/>
                <w:left w:val="none" w:sz="0" w:space="0" w:color="auto"/>
                <w:bottom w:val="none" w:sz="0" w:space="0" w:color="auto"/>
                <w:right w:val="none" w:sz="0" w:space="0" w:color="auto"/>
              </w:divBdr>
            </w:div>
            <w:div w:id="1124538073">
              <w:marLeft w:val="0"/>
              <w:marRight w:val="0"/>
              <w:marTop w:val="0"/>
              <w:marBottom w:val="240"/>
              <w:divBdr>
                <w:top w:val="none" w:sz="0" w:space="0" w:color="auto"/>
                <w:left w:val="none" w:sz="0" w:space="0" w:color="auto"/>
                <w:bottom w:val="none" w:sz="0" w:space="0" w:color="auto"/>
                <w:right w:val="none" w:sz="0" w:space="0" w:color="auto"/>
              </w:divBdr>
            </w:div>
            <w:div w:id="154759912">
              <w:marLeft w:val="0"/>
              <w:marRight w:val="0"/>
              <w:marTop w:val="0"/>
              <w:marBottom w:val="240"/>
              <w:divBdr>
                <w:top w:val="none" w:sz="0" w:space="0" w:color="auto"/>
                <w:left w:val="none" w:sz="0" w:space="0" w:color="auto"/>
                <w:bottom w:val="none" w:sz="0" w:space="0" w:color="auto"/>
                <w:right w:val="none" w:sz="0" w:space="0" w:color="auto"/>
              </w:divBdr>
            </w:div>
            <w:div w:id="1574854126">
              <w:marLeft w:val="0"/>
              <w:marRight w:val="0"/>
              <w:marTop w:val="0"/>
              <w:marBottom w:val="240"/>
              <w:divBdr>
                <w:top w:val="none" w:sz="0" w:space="0" w:color="auto"/>
                <w:left w:val="none" w:sz="0" w:space="0" w:color="auto"/>
                <w:bottom w:val="none" w:sz="0" w:space="0" w:color="auto"/>
                <w:right w:val="none" w:sz="0" w:space="0" w:color="auto"/>
              </w:divBdr>
            </w:div>
            <w:div w:id="186138954">
              <w:marLeft w:val="0"/>
              <w:marRight w:val="0"/>
              <w:marTop w:val="0"/>
              <w:marBottom w:val="240"/>
              <w:divBdr>
                <w:top w:val="none" w:sz="0" w:space="0" w:color="auto"/>
                <w:left w:val="none" w:sz="0" w:space="0" w:color="auto"/>
                <w:bottom w:val="none" w:sz="0" w:space="0" w:color="auto"/>
                <w:right w:val="none" w:sz="0" w:space="0" w:color="auto"/>
              </w:divBdr>
            </w:div>
            <w:div w:id="1054280575">
              <w:marLeft w:val="0"/>
              <w:marRight w:val="0"/>
              <w:marTop w:val="0"/>
              <w:marBottom w:val="240"/>
              <w:divBdr>
                <w:top w:val="none" w:sz="0" w:space="0" w:color="auto"/>
                <w:left w:val="none" w:sz="0" w:space="0" w:color="auto"/>
                <w:bottom w:val="none" w:sz="0" w:space="0" w:color="auto"/>
                <w:right w:val="none" w:sz="0" w:space="0" w:color="auto"/>
              </w:divBdr>
            </w:div>
            <w:div w:id="299267206">
              <w:marLeft w:val="0"/>
              <w:marRight w:val="0"/>
              <w:marTop w:val="0"/>
              <w:marBottom w:val="240"/>
              <w:divBdr>
                <w:top w:val="none" w:sz="0" w:space="0" w:color="auto"/>
                <w:left w:val="none" w:sz="0" w:space="0" w:color="auto"/>
                <w:bottom w:val="none" w:sz="0" w:space="0" w:color="auto"/>
                <w:right w:val="none" w:sz="0" w:space="0" w:color="auto"/>
              </w:divBdr>
            </w:div>
            <w:div w:id="1598827547">
              <w:marLeft w:val="0"/>
              <w:marRight w:val="0"/>
              <w:marTop w:val="0"/>
              <w:marBottom w:val="240"/>
              <w:divBdr>
                <w:top w:val="none" w:sz="0" w:space="0" w:color="auto"/>
                <w:left w:val="none" w:sz="0" w:space="0" w:color="auto"/>
                <w:bottom w:val="none" w:sz="0" w:space="0" w:color="auto"/>
                <w:right w:val="none" w:sz="0" w:space="0" w:color="auto"/>
              </w:divBdr>
            </w:div>
            <w:div w:id="363873253">
              <w:marLeft w:val="0"/>
              <w:marRight w:val="0"/>
              <w:marTop w:val="0"/>
              <w:marBottom w:val="240"/>
              <w:divBdr>
                <w:top w:val="none" w:sz="0" w:space="0" w:color="auto"/>
                <w:left w:val="none" w:sz="0" w:space="0" w:color="auto"/>
                <w:bottom w:val="none" w:sz="0" w:space="0" w:color="auto"/>
                <w:right w:val="none" w:sz="0" w:space="0" w:color="auto"/>
              </w:divBdr>
            </w:div>
            <w:div w:id="1127239059">
              <w:marLeft w:val="0"/>
              <w:marRight w:val="0"/>
              <w:marTop w:val="0"/>
              <w:marBottom w:val="240"/>
              <w:divBdr>
                <w:top w:val="none" w:sz="0" w:space="0" w:color="auto"/>
                <w:left w:val="none" w:sz="0" w:space="0" w:color="auto"/>
                <w:bottom w:val="none" w:sz="0" w:space="0" w:color="auto"/>
                <w:right w:val="none" w:sz="0" w:space="0" w:color="auto"/>
              </w:divBdr>
            </w:div>
            <w:div w:id="305083936">
              <w:marLeft w:val="0"/>
              <w:marRight w:val="0"/>
              <w:marTop w:val="0"/>
              <w:marBottom w:val="240"/>
              <w:divBdr>
                <w:top w:val="none" w:sz="0" w:space="0" w:color="auto"/>
                <w:left w:val="none" w:sz="0" w:space="0" w:color="auto"/>
                <w:bottom w:val="none" w:sz="0" w:space="0" w:color="auto"/>
                <w:right w:val="none" w:sz="0" w:space="0" w:color="auto"/>
              </w:divBdr>
            </w:div>
            <w:div w:id="2068068948">
              <w:marLeft w:val="0"/>
              <w:marRight w:val="0"/>
              <w:marTop w:val="0"/>
              <w:marBottom w:val="240"/>
              <w:divBdr>
                <w:top w:val="none" w:sz="0" w:space="0" w:color="auto"/>
                <w:left w:val="none" w:sz="0" w:space="0" w:color="auto"/>
                <w:bottom w:val="none" w:sz="0" w:space="0" w:color="auto"/>
                <w:right w:val="none" w:sz="0" w:space="0" w:color="auto"/>
              </w:divBdr>
            </w:div>
            <w:div w:id="1165903244">
              <w:marLeft w:val="0"/>
              <w:marRight w:val="0"/>
              <w:marTop w:val="0"/>
              <w:marBottom w:val="240"/>
              <w:divBdr>
                <w:top w:val="none" w:sz="0" w:space="0" w:color="auto"/>
                <w:left w:val="none" w:sz="0" w:space="0" w:color="auto"/>
                <w:bottom w:val="none" w:sz="0" w:space="0" w:color="auto"/>
                <w:right w:val="none" w:sz="0" w:space="0" w:color="auto"/>
              </w:divBdr>
            </w:div>
            <w:div w:id="775172721">
              <w:marLeft w:val="0"/>
              <w:marRight w:val="0"/>
              <w:marTop w:val="0"/>
              <w:marBottom w:val="240"/>
              <w:divBdr>
                <w:top w:val="none" w:sz="0" w:space="0" w:color="auto"/>
                <w:left w:val="none" w:sz="0" w:space="0" w:color="auto"/>
                <w:bottom w:val="none" w:sz="0" w:space="0" w:color="auto"/>
                <w:right w:val="none" w:sz="0" w:space="0" w:color="auto"/>
              </w:divBdr>
            </w:div>
            <w:div w:id="820921539">
              <w:marLeft w:val="0"/>
              <w:marRight w:val="0"/>
              <w:marTop w:val="0"/>
              <w:marBottom w:val="240"/>
              <w:divBdr>
                <w:top w:val="none" w:sz="0" w:space="0" w:color="auto"/>
                <w:left w:val="none" w:sz="0" w:space="0" w:color="auto"/>
                <w:bottom w:val="none" w:sz="0" w:space="0" w:color="auto"/>
                <w:right w:val="none" w:sz="0" w:space="0" w:color="auto"/>
              </w:divBdr>
            </w:div>
            <w:div w:id="90514533">
              <w:marLeft w:val="0"/>
              <w:marRight w:val="0"/>
              <w:marTop w:val="0"/>
              <w:marBottom w:val="240"/>
              <w:divBdr>
                <w:top w:val="none" w:sz="0" w:space="0" w:color="auto"/>
                <w:left w:val="none" w:sz="0" w:space="0" w:color="auto"/>
                <w:bottom w:val="none" w:sz="0" w:space="0" w:color="auto"/>
                <w:right w:val="none" w:sz="0" w:space="0" w:color="auto"/>
              </w:divBdr>
            </w:div>
            <w:div w:id="1242518811">
              <w:marLeft w:val="0"/>
              <w:marRight w:val="0"/>
              <w:marTop w:val="0"/>
              <w:marBottom w:val="240"/>
              <w:divBdr>
                <w:top w:val="none" w:sz="0" w:space="0" w:color="auto"/>
                <w:left w:val="none" w:sz="0" w:space="0" w:color="auto"/>
                <w:bottom w:val="none" w:sz="0" w:space="0" w:color="auto"/>
                <w:right w:val="none" w:sz="0" w:space="0" w:color="auto"/>
              </w:divBdr>
            </w:div>
            <w:div w:id="478494589">
              <w:marLeft w:val="0"/>
              <w:marRight w:val="0"/>
              <w:marTop w:val="0"/>
              <w:marBottom w:val="240"/>
              <w:divBdr>
                <w:top w:val="none" w:sz="0" w:space="0" w:color="auto"/>
                <w:left w:val="none" w:sz="0" w:space="0" w:color="auto"/>
                <w:bottom w:val="none" w:sz="0" w:space="0" w:color="auto"/>
                <w:right w:val="none" w:sz="0" w:space="0" w:color="auto"/>
              </w:divBdr>
            </w:div>
            <w:div w:id="1040127664">
              <w:marLeft w:val="0"/>
              <w:marRight w:val="0"/>
              <w:marTop w:val="0"/>
              <w:marBottom w:val="240"/>
              <w:divBdr>
                <w:top w:val="none" w:sz="0" w:space="0" w:color="auto"/>
                <w:left w:val="none" w:sz="0" w:space="0" w:color="auto"/>
                <w:bottom w:val="none" w:sz="0" w:space="0" w:color="auto"/>
                <w:right w:val="none" w:sz="0" w:space="0" w:color="auto"/>
              </w:divBdr>
            </w:div>
            <w:div w:id="2012104579">
              <w:marLeft w:val="0"/>
              <w:marRight w:val="0"/>
              <w:marTop w:val="0"/>
              <w:marBottom w:val="240"/>
              <w:divBdr>
                <w:top w:val="none" w:sz="0" w:space="0" w:color="auto"/>
                <w:left w:val="none" w:sz="0" w:space="0" w:color="auto"/>
                <w:bottom w:val="none" w:sz="0" w:space="0" w:color="auto"/>
                <w:right w:val="none" w:sz="0" w:space="0" w:color="auto"/>
              </w:divBdr>
            </w:div>
            <w:div w:id="39409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559988">
      <w:bodyDiv w:val="1"/>
      <w:marLeft w:val="0"/>
      <w:marRight w:val="0"/>
      <w:marTop w:val="0"/>
      <w:marBottom w:val="0"/>
      <w:divBdr>
        <w:top w:val="none" w:sz="0" w:space="0" w:color="auto"/>
        <w:left w:val="none" w:sz="0" w:space="0" w:color="auto"/>
        <w:bottom w:val="none" w:sz="0" w:space="0" w:color="auto"/>
        <w:right w:val="none" w:sz="0" w:space="0" w:color="auto"/>
      </w:divBdr>
    </w:div>
    <w:div w:id="1873109008">
      <w:bodyDiv w:val="1"/>
      <w:marLeft w:val="0"/>
      <w:marRight w:val="0"/>
      <w:marTop w:val="0"/>
      <w:marBottom w:val="0"/>
      <w:divBdr>
        <w:top w:val="none" w:sz="0" w:space="0" w:color="auto"/>
        <w:left w:val="none" w:sz="0" w:space="0" w:color="auto"/>
        <w:bottom w:val="none" w:sz="0" w:space="0" w:color="auto"/>
        <w:right w:val="none" w:sz="0" w:space="0" w:color="auto"/>
      </w:divBdr>
      <w:divsChild>
        <w:div w:id="306906178">
          <w:marLeft w:val="480"/>
          <w:marRight w:val="0"/>
          <w:marTop w:val="0"/>
          <w:marBottom w:val="0"/>
          <w:divBdr>
            <w:top w:val="none" w:sz="0" w:space="0" w:color="auto"/>
            <w:left w:val="none" w:sz="0" w:space="0" w:color="auto"/>
            <w:bottom w:val="none" w:sz="0" w:space="0" w:color="auto"/>
            <w:right w:val="none" w:sz="0" w:space="0" w:color="auto"/>
          </w:divBdr>
          <w:divsChild>
            <w:div w:id="1292788704">
              <w:marLeft w:val="0"/>
              <w:marRight w:val="0"/>
              <w:marTop w:val="0"/>
              <w:marBottom w:val="240"/>
              <w:divBdr>
                <w:top w:val="none" w:sz="0" w:space="0" w:color="auto"/>
                <w:left w:val="none" w:sz="0" w:space="0" w:color="auto"/>
                <w:bottom w:val="none" w:sz="0" w:space="0" w:color="auto"/>
                <w:right w:val="none" w:sz="0" w:space="0" w:color="auto"/>
              </w:divBdr>
            </w:div>
            <w:div w:id="547255941">
              <w:marLeft w:val="0"/>
              <w:marRight w:val="0"/>
              <w:marTop w:val="0"/>
              <w:marBottom w:val="240"/>
              <w:divBdr>
                <w:top w:val="none" w:sz="0" w:space="0" w:color="auto"/>
                <w:left w:val="none" w:sz="0" w:space="0" w:color="auto"/>
                <w:bottom w:val="none" w:sz="0" w:space="0" w:color="auto"/>
                <w:right w:val="none" w:sz="0" w:space="0" w:color="auto"/>
              </w:divBdr>
            </w:div>
            <w:div w:id="2117361105">
              <w:marLeft w:val="0"/>
              <w:marRight w:val="0"/>
              <w:marTop w:val="0"/>
              <w:marBottom w:val="240"/>
              <w:divBdr>
                <w:top w:val="none" w:sz="0" w:space="0" w:color="auto"/>
                <w:left w:val="none" w:sz="0" w:space="0" w:color="auto"/>
                <w:bottom w:val="none" w:sz="0" w:space="0" w:color="auto"/>
                <w:right w:val="none" w:sz="0" w:space="0" w:color="auto"/>
              </w:divBdr>
            </w:div>
            <w:div w:id="1275819143">
              <w:marLeft w:val="0"/>
              <w:marRight w:val="0"/>
              <w:marTop w:val="0"/>
              <w:marBottom w:val="240"/>
              <w:divBdr>
                <w:top w:val="none" w:sz="0" w:space="0" w:color="auto"/>
                <w:left w:val="none" w:sz="0" w:space="0" w:color="auto"/>
                <w:bottom w:val="none" w:sz="0" w:space="0" w:color="auto"/>
                <w:right w:val="none" w:sz="0" w:space="0" w:color="auto"/>
              </w:divBdr>
            </w:div>
            <w:div w:id="164055136">
              <w:marLeft w:val="0"/>
              <w:marRight w:val="0"/>
              <w:marTop w:val="0"/>
              <w:marBottom w:val="240"/>
              <w:divBdr>
                <w:top w:val="none" w:sz="0" w:space="0" w:color="auto"/>
                <w:left w:val="none" w:sz="0" w:space="0" w:color="auto"/>
                <w:bottom w:val="none" w:sz="0" w:space="0" w:color="auto"/>
                <w:right w:val="none" w:sz="0" w:space="0" w:color="auto"/>
              </w:divBdr>
            </w:div>
            <w:div w:id="958494509">
              <w:marLeft w:val="0"/>
              <w:marRight w:val="0"/>
              <w:marTop w:val="0"/>
              <w:marBottom w:val="240"/>
              <w:divBdr>
                <w:top w:val="none" w:sz="0" w:space="0" w:color="auto"/>
                <w:left w:val="none" w:sz="0" w:space="0" w:color="auto"/>
                <w:bottom w:val="none" w:sz="0" w:space="0" w:color="auto"/>
                <w:right w:val="none" w:sz="0" w:space="0" w:color="auto"/>
              </w:divBdr>
            </w:div>
            <w:div w:id="409276753">
              <w:marLeft w:val="0"/>
              <w:marRight w:val="0"/>
              <w:marTop w:val="0"/>
              <w:marBottom w:val="240"/>
              <w:divBdr>
                <w:top w:val="none" w:sz="0" w:space="0" w:color="auto"/>
                <w:left w:val="none" w:sz="0" w:space="0" w:color="auto"/>
                <w:bottom w:val="none" w:sz="0" w:space="0" w:color="auto"/>
                <w:right w:val="none" w:sz="0" w:space="0" w:color="auto"/>
              </w:divBdr>
            </w:div>
            <w:div w:id="1355619718">
              <w:marLeft w:val="0"/>
              <w:marRight w:val="0"/>
              <w:marTop w:val="0"/>
              <w:marBottom w:val="240"/>
              <w:divBdr>
                <w:top w:val="none" w:sz="0" w:space="0" w:color="auto"/>
                <w:left w:val="none" w:sz="0" w:space="0" w:color="auto"/>
                <w:bottom w:val="none" w:sz="0" w:space="0" w:color="auto"/>
                <w:right w:val="none" w:sz="0" w:space="0" w:color="auto"/>
              </w:divBdr>
            </w:div>
            <w:div w:id="919800899">
              <w:marLeft w:val="0"/>
              <w:marRight w:val="0"/>
              <w:marTop w:val="0"/>
              <w:marBottom w:val="240"/>
              <w:divBdr>
                <w:top w:val="none" w:sz="0" w:space="0" w:color="auto"/>
                <w:left w:val="none" w:sz="0" w:space="0" w:color="auto"/>
                <w:bottom w:val="none" w:sz="0" w:space="0" w:color="auto"/>
                <w:right w:val="none" w:sz="0" w:space="0" w:color="auto"/>
              </w:divBdr>
            </w:div>
            <w:div w:id="1790393838">
              <w:marLeft w:val="0"/>
              <w:marRight w:val="0"/>
              <w:marTop w:val="0"/>
              <w:marBottom w:val="240"/>
              <w:divBdr>
                <w:top w:val="none" w:sz="0" w:space="0" w:color="auto"/>
                <w:left w:val="none" w:sz="0" w:space="0" w:color="auto"/>
                <w:bottom w:val="none" w:sz="0" w:space="0" w:color="auto"/>
                <w:right w:val="none" w:sz="0" w:space="0" w:color="auto"/>
              </w:divBdr>
            </w:div>
            <w:div w:id="2036269372">
              <w:marLeft w:val="0"/>
              <w:marRight w:val="0"/>
              <w:marTop w:val="0"/>
              <w:marBottom w:val="240"/>
              <w:divBdr>
                <w:top w:val="none" w:sz="0" w:space="0" w:color="auto"/>
                <w:left w:val="none" w:sz="0" w:space="0" w:color="auto"/>
                <w:bottom w:val="none" w:sz="0" w:space="0" w:color="auto"/>
                <w:right w:val="none" w:sz="0" w:space="0" w:color="auto"/>
              </w:divBdr>
            </w:div>
            <w:div w:id="1559585035">
              <w:marLeft w:val="0"/>
              <w:marRight w:val="0"/>
              <w:marTop w:val="0"/>
              <w:marBottom w:val="240"/>
              <w:divBdr>
                <w:top w:val="none" w:sz="0" w:space="0" w:color="auto"/>
                <w:left w:val="none" w:sz="0" w:space="0" w:color="auto"/>
                <w:bottom w:val="none" w:sz="0" w:space="0" w:color="auto"/>
                <w:right w:val="none" w:sz="0" w:space="0" w:color="auto"/>
              </w:divBdr>
            </w:div>
            <w:div w:id="19282257">
              <w:marLeft w:val="0"/>
              <w:marRight w:val="0"/>
              <w:marTop w:val="0"/>
              <w:marBottom w:val="240"/>
              <w:divBdr>
                <w:top w:val="none" w:sz="0" w:space="0" w:color="auto"/>
                <w:left w:val="none" w:sz="0" w:space="0" w:color="auto"/>
                <w:bottom w:val="none" w:sz="0" w:space="0" w:color="auto"/>
                <w:right w:val="none" w:sz="0" w:space="0" w:color="auto"/>
              </w:divBdr>
            </w:div>
            <w:div w:id="2002929349">
              <w:marLeft w:val="0"/>
              <w:marRight w:val="0"/>
              <w:marTop w:val="0"/>
              <w:marBottom w:val="240"/>
              <w:divBdr>
                <w:top w:val="none" w:sz="0" w:space="0" w:color="auto"/>
                <w:left w:val="none" w:sz="0" w:space="0" w:color="auto"/>
                <w:bottom w:val="none" w:sz="0" w:space="0" w:color="auto"/>
                <w:right w:val="none" w:sz="0" w:space="0" w:color="auto"/>
              </w:divBdr>
            </w:div>
            <w:div w:id="314529303">
              <w:marLeft w:val="0"/>
              <w:marRight w:val="0"/>
              <w:marTop w:val="0"/>
              <w:marBottom w:val="240"/>
              <w:divBdr>
                <w:top w:val="none" w:sz="0" w:space="0" w:color="auto"/>
                <w:left w:val="none" w:sz="0" w:space="0" w:color="auto"/>
                <w:bottom w:val="none" w:sz="0" w:space="0" w:color="auto"/>
                <w:right w:val="none" w:sz="0" w:space="0" w:color="auto"/>
              </w:divBdr>
            </w:div>
            <w:div w:id="1227494450">
              <w:marLeft w:val="0"/>
              <w:marRight w:val="0"/>
              <w:marTop w:val="0"/>
              <w:marBottom w:val="240"/>
              <w:divBdr>
                <w:top w:val="none" w:sz="0" w:space="0" w:color="auto"/>
                <w:left w:val="none" w:sz="0" w:space="0" w:color="auto"/>
                <w:bottom w:val="none" w:sz="0" w:space="0" w:color="auto"/>
                <w:right w:val="none" w:sz="0" w:space="0" w:color="auto"/>
              </w:divBdr>
            </w:div>
            <w:div w:id="1399549647">
              <w:marLeft w:val="0"/>
              <w:marRight w:val="0"/>
              <w:marTop w:val="0"/>
              <w:marBottom w:val="240"/>
              <w:divBdr>
                <w:top w:val="none" w:sz="0" w:space="0" w:color="auto"/>
                <w:left w:val="none" w:sz="0" w:space="0" w:color="auto"/>
                <w:bottom w:val="none" w:sz="0" w:space="0" w:color="auto"/>
                <w:right w:val="none" w:sz="0" w:space="0" w:color="auto"/>
              </w:divBdr>
            </w:div>
            <w:div w:id="884565066">
              <w:marLeft w:val="0"/>
              <w:marRight w:val="0"/>
              <w:marTop w:val="0"/>
              <w:marBottom w:val="240"/>
              <w:divBdr>
                <w:top w:val="none" w:sz="0" w:space="0" w:color="auto"/>
                <w:left w:val="none" w:sz="0" w:space="0" w:color="auto"/>
                <w:bottom w:val="none" w:sz="0" w:space="0" w:color="auto"/>
                <w:right w:val="none" w:sz="0" w:space="0" w:color="auto"/>
              </w:divBdr>
            </w:div>
            <w:div w:id="30499353">
              <w:marLeft w:val="0"/>
              <w:marRight w:val="0"/>
              <w:marTop w:val="0"/>
              <w:marBottom w:val="240"/>
              <w:divBdr>
                <w:top w:val="none" w:sz="0" w:space="0" w:color="auto"/>
                <w:left w:val="none" w:sz="0" w:space="0" w:color="auto"/>
                <w:bottom w:val="none" w:sz="0" w:space="0" w:color="auto"/>
                <w:right w:val="none" w:sz="0" w:space="0" w:color="auto"/>
              </w:divBdr>
            </w:div>
            <w:div w:id="188106470">
              <w:marLeft w:val="0"/>
              <w:marRight w:val="0"/>
              <w:marTop w:val="0"/>
              <w:marBottom w:val="240"/>
              <w:divBdr>
                <w:top w:val="none" w:sz="0" w:space="0" w:color="auto"/>
                <w:left w:val="none" w:sz="0" w:space="0" w:color="auto"/>
                <w:bottom w:val="none" w:sz="0" w:space="0" w:color="auto"/>
                <w:right w:val="none" w:sz="0" w:space="0" w:color="auto"/>
              </w:divBdr>
            </w:div>
            <w:div w:id="133840463">
              <w:marLeft w:val="0"/>
              <w:marRight w:val="0"/>
              <w:marTop w:val="0"/>
              <w:marBottom w:val="240"/>
              <w:divBdr>
                <w:top w:val="none" w:sz="0" w:space="0" w:color="auto"/>
                <w:left w:val="none" w:sz="0" w:space="0" w:color="auto"/>
                <w:bottom w:val="none" w:sz="0" w:space="0" w:color="auto"/>
                <w:right w:val="none" w:sz="0" w:space="0" w:color="auto"/>
              </w:divBdr>
            </w:div>
            <w:div w:id="1787197254">
              <w:marLeft w:val="0"/>
              <w:marRight w:val="0"/>
              <w:marTop w:val="0"/>
              <w:marBottom w:val="240"/>
              <w:divBdr>
                <w:top w:val="none" w:sz="0" w:space="0" w:color="auto"/>
                <w:left w:val="none" w:sz="0" w:space="0" w:color="auto"/>
                <w:bottom w:val="none" w:sz="0" w:space="0" w:color="auto"/>
                <w:right w:val="none" w:sz="0" w:space="0" w:color="auto"/>
              </w:divBdr>
            </w:div>
            <w:div w:id="1371101964">
              <w:marLeft w:val="0"/>
              <w:marRight w:val="0"/>
              <w:marTop w:val="0"/>
              <w:marBottom w:val="240"/>
              <w:divBdr>
                <w:top w:val="none" w:sz="0" w:space="0" w:color="auto"/>
                <w:left w:val="none" w:sz="0" w:space="0" w:color="auto"/>
                <w:bottom w:val="none" w:sz="0" w:space="0" w:color="auto"/>
                <w:right w:val="none" w:sz="0" w:space="0" w:color="auto"/>
              </w:divBdr>
            </w:div>
            <w:div w:id="2083528385">
              <w:marLeft w:val="0"/>
              <w:marRight w:val="0"/>
              <w:marTop w:val="0"/>
              <w:marBottom w:val="240"/>
              <w:divBdr>
                <w:top w:val="none" w:sz="0" w:space="0" w:color="auto"/>
                <w:left w:val="none" w:sz="0" w:space="0" w:color="auto"/>
                <w:bottom w:val="none" w:sz="0" w:space="0" w:color="auto"/>
                <w:right w:val="none" w:sz="0" w:space="0" w:color="auto"/>
              </w:divBdr>
            </w:div>
            <w:div w:id="1721704806">
              <w:marLeft w:val="0"/>
              <w:marRight w:val="0"/>
              <w:marTop w:val="0"/>
              <w:marBottom w:val="240"/>
              <w:divBdr>
                <w:top w:val="none" w:sz="0" w:space="0" w:color="auto"/>
                <w:left w:val="none" w:sz="0" w:space="0" w:color="auto"/>
                <w:bottom w:val="none" w:sz="0" w:space="0" w:color="auto"/>
                <w:right w:val="none" w:sz="0" w:space="0" w:color="auto"/>
              </w:divBdr>
            </w:div>
            <w:div w:id="1474054666">
              <w:marLeft w:val="0"/>
              <w:marRight w:val="0"/>
              <w:marTop w:val="0"/>
              <w:marBottom w:val="240"/>
              <w:divBdr>
                <w:top w:val="none" w:sz="0" w:space="0" w:color="auto"/>
                <w:left w:val="none" w:sz="0" w:space="0" w:color="auto"/>
                <w:bottom w:val="none" w:sz="0" w:space="0" w:color="auto"/>
                <w:right w:val="none" w:sz="0" w:space="0" w:color="auto"/>
              </w:divBdr>
            </w:div>
            <w:div w:id="125205089">
              <w:marLeft w:val="0"/>
              <w:marRight w:val="0"/>
              <w:marTop w:val="0"/>
              <w:marBottom w:val="240"/>
              <w:divBdr>
                <w:top w:val="none" w:sz="0" w:space="0" w:color="auto"/>
                <w:left w:val="none" w:sz="0" w:space="0" w:color="auto"/>
                <w:bottom w:val="none" w:sz="0" w:space="0" w:color="auto"/>
                <w:right w:val="none" w:sz="0" w:space="0" w:color="auto"/>
              </w:divBdr>
            </w:div>
            <w:div w:id="2085108474">
              <w:marLeft w:val="0"/>
              <w:marRight w:val="0"/>
              <w:marTop w:val="0"/>
              <w:marBottom w:val="240"/>
              <w:divBdr>
                <w:top w:val="none" w:sz="0" w:space="0" w:color="auto"/>
                <w:left w:val="none" w:sz="0" w:space="0" w:color="auto"/>
                <w:bottom w:val="none" w:sz="0" w:space="0" w:color="auto"/>
                <w:right w:val="none" w:sz="0" w:space="0" w:color="auto"/>
              </w:divBdr>
            </w:div>
            <w:div w:id="355616695">
              <w:marLeft w:val="0"/>
              <w:marRight w:val="0"/>
              <w:marTop w:val="0"/>
              <w:marBottom w:val="240"/>
              <w:divBdr>
                <w:top w:val="none" w:sz="0" w:space="0" w:color="auto"/>
                <w:left w:val="none" w:sz="0" w:space="0" w:color="auto"/>
                <w:bottom w:val="none" w:sz="0" w:space="0" w:color="auto"/>
                <w:right w:val="none" w:sz="0" w:space="0" w:color="auto"/>
              </w:divBdr>
            </w:div>
            <w:div w:id="1107848199">
              <w:marLeft w:val="0"/>
              <w:marRight w:val="0"/>
              <w:marTop w:val="0"/>
              <w:marBottom w:val="240"/>
              <w:divBdr>
                <w:top w:val="none" w:sz="0" w:space="0" w:color="auto"/>
                <w:left w:val="none" w:sz="0" w:space="0" w:color="auto"/>
                <w:bottom w:val="none" w:sz="0" w:space="0" w:color="auto"/>
                <w:right w:val="none" w:sz="0" w:space="0" w:color="auto"/>
              </w:divBdr>
            </w:div>
            <w:div w:id="1892381280">
              <w:marLeft w:val="0"/>
              <w:marRight w:val="0"/>
              <w:marTop w:val="0"/>
              <w:marBottom w:val="240"/>
              <w:divBdr>
                <w:top w:val="none" w:sz="0" w:space="0" w:color="auto"/>
                <w:left w:val="none" w:sz="0" w:space="0" w:color="auto"/>
                <w:bottom w:val="none" w:sz="0" w:space="0" w:color="auto"/>
                <w:right w:val="none" w:sz="0" w:space="0" w:color="auto"/>
              </w:divBdr>
            </w:div>
            <w:div w:id="1933079901">
              <w:marLeft w:val="0"/>
              <w:marRight w:val="0"/>
              <w:marTop w:val="0"/>
              <w:marBottom w:val="240"/>
              <w:divBdr>
                <w:top w:val="none" w:sz="0" w:space="0" w:color="auto"/>
                <w:left w:val="none" w:sz="0" w:space="0" w:color="auto"/>
                <w:bottom w:val="none" w:sz="0" w:space="0" w:color="auto"/>
                <w:right w:val="none" w:sz="0" w:space="0" w:color="auto"/>
              </w:divBdr>
            </w:div>
            <w:div w:id="293490646">
              <w:marLeft w:val="0"/>
              <w:marRight w:val="0"/>
              <w:marTop w:val="0"/>
              <w:marBottom w:val="240"/>
              <w:divBdr>
                <w:top w:val="none" w:sz="0" w:space="0" w:color="auto"/>
                <w:left w:val="none" w:sz="0" w:space="0" w:color="auto"/>
                <w:bottom w:val="none" w:sz="0" w:space="0" w:color="auto"/>
                <w:right w:val="none" w:sz="0" w:space="0" w:color="auto"/>
              </w:divBdr>
            </w:div>
            <w:div w:id="1711152260">
              <w:marLeft w:val="0"/>
              <w:marRight w:val="0"/>
              <w:marTop w:val="0"/>
              <w:marBottom w:val="240"/>
              <w:divBdr>
                <w:top w:val="none" w:sz="0" w:space="0" w:color="auto"/>
                <w:left w:val="none" w:sz="0" w:space="0" w:color="auto"/>
                <w:bottom w:val="none" w:sz="0" w:space="0" w:color="auto"/>
                <w:right w:val="none" w:sz="0" w:space="0" w:color="auto"/>
              </w:divBdr>
            </w:div>
            <w:div w:id="377362278">
              <w:marLeft w:val="0"/>
              <w:marRight w:val="0"/>
              <w:marTop w:val="0"/>
              <w:marBottom w:val="240"/>
              <w:divBdr>
                <w:top w:val="none" w:sz="0" w:space="0" w:color="auto"/>
                <w:left w:val="none" w:sz="0" w:space="0" w:color="auto"/>
                <w:bottom w:val="none" w:sz="0" w:space="0" w:color="auto"/>
                <w:right w:val="none" w:sz="0" w:space="0" w:color="auto"/>
              </w:divBdr>
            </w:div>
            <w:div w:id="1038965688">
              <w:marLeft w:val="0"/>
              <w:marRight w:val="0"/>
              <w:marTop w:val="0"/>
              <w:marBottom w:val="240"/>
              <w:divBdr>
                <w:top w:val="none" w:sz="0" w:space="0" w:color="auto"/>
                <w:left w:val="none" w:sz="0" w:space="0" w:color="auto"/>
                <w:bottom w:val="none" w:sz="0" w:space="0" w:color="auto"/>
                <w:right w:val="none" w:sz="0" w:space="0" w:color="auto"/>
              </w:divBdr>
            </w:div>
            <w:div w:id="1091052083">
              <w:marLeft w:val="0"/>
              <w:marRight w:val="0"/>
              <w:marTop w:val="0"/>
              <w:marBottom w:val="240"/>
              <w:divBdr>
                <w:top w:val="none" w:sz="0" w:space="0" w:color="auto"/>
                <w:left w:val="none" w:sz="0" w:space="0" w:color="auto"/>
                <w:bottom w:val="none" w:sz="0" w:space="0" w:color="auto"/>
                <w:right w:val="none" w:sz="0" w:space="0" w:color="auto"/>
              </w:divBdr>
            </w:div>
            <w:div w:id="540745095">
              <w:marLeft w:val="0"/>
              <w:marRight w:val="0"/>
              <w:marTop w:val="0"/>
              <w:marBottom w:val="240"/>
              <w:divBdr>
                <w:top w:val="none" w:sz="0" w:space="0" w:color="auto"/>
                <w:left w:val="none" w:sz="0" w:space="0" w:color="auto"/>
                <w:bottom w:val="none" w:sz="0" w:space="0" w:color="auto"/>
                <w:right w:val="none" w:sz="0" w:space="0" w:color="auto"/>
              </w:divBdr>
            </w:div>
            <w:div w:id="1190606190">
              <w:marLeft w:val="0"/>
              <w:marRight w:val="0"/>
              <w:marTop w:val="0"/>
              <w:marBottom w:val="240"/>
              <w:divBdr>
                <w:top w:val="none" w:sz="0" w:space="0" w:color="auto"/>
                <w:left w:val="none" w:sz="0" w:space="0" w:color="auto"/>
                <w:bottom w:val="none" w:sz="0" w:space="0" w:color="auto"/>
                <w:right w:val="none" w:sz="0" w:space="0" w:color="auto"/>
              </w:divBdr>
            </w:div>
            <w:div w:id="1239826309">
              <w:marLeft w:val="0"/>
              <w:marRight w:val="0"/>
              <w:marTop w:val="0"/>
              <w:marBottom w:val="240"/>
              <w:divBdr>
                <w:top w:val="none" w:sz="0" w:space="0" w:color="auto"/>
                <w:left w:val="none" w:sz="0" w:space="0" w:color="auto"/>
                <w:bottom w:val="none" w:sz="0" w:space="0" w:color="auto"/>
                <w:right w:val="none" w:sz="0" w:space="0" w:color="auto"/>
              </w:divBdr>
            </w:div>
            <w:div w:id="1794328777">
              <w:marLeft w:val="0"/>
              <w:marRight w:val="0"/>
              <w:marTop w:val="0"/>
              <w:marBottom w:val="240"/>
              <w:divBdr>
                <w:top w:val="none" w:sz="0" w:space="0" w:color="auto"/>
                <w:left w:val="none" w:sz="0" w:space="0" w:color="auto"/>
                <w:bottom w:val="none" w:sz="0" w:space="0" w:color="auto"/>
                <w:right w:val="none" w:sz="0" w:space="0" w:color="auto"/>
              </w:divBdr>
            </w:div>
            <w:div w:id="1696300335">
              <w:marLeft w:val="0"/>
              <w:marRight w:val="0"/>
              <w:marTop w:val="0"/>
              <w:marBottom w:val="240"/>
              <w:divBdr>
                <w:top w:val="none" w:sz="0" w:space="0" w:color="auto"/>
                <w:left w:val="none" w:sz="0" w:space="0" w:color="auto"/>
                <w:bottom w:val="none" w:sz="0" w:space="0" w:color="auto"/>
                <w:right w:val="none" w:sz="0" w:space="0" w:color="auto"/>
              </w:divBdr>
            </w:div>
            <w:div w:id="469514268">
              <w:marLeft w:val="0"/>
              <w:marRight w:val="0"/>
              <w:marTop w:val="0"/>
              <w:marBottom w:val="240"/>
              <w:divBdr>
                <w:top w:val="none" w:sz="0" w:space="0" w:color="auto"/>
                <w:left w:val="none" w:sz="0" w:space="0" w:color="auto"/>
                <w:bottom w:val="none" w:sz="0" w:space="0" w:color="auto"/>
                <w:right w:val="none" w:sz="0" w:space="0" w:color="auto"/>
              </w:divBdr>
            </w:div>
            <w:div w:id="890654269">
              <w:marLeft w:val="0"/>
              <w:marRight w:val="0"/>
              <w:marTop w:val="0"/>
              <w:marBottom w:val="240"/>
              <w:divBdr>
                <w:top w:val="none" w:sz="0" w:space="0" w:color="auto"/>
                <w:left w:val="none" w:sz="0" w:space="0" w:color="auto"/>
                <w:bottom w:val="none" w:sz="0" w:space="0" w:color="auto"/>
                <w:right w:val="none" w:sz="0" w:space="0" w:color="auto"/>
              </w:divBdr>
            </w:div>
            <w:div w:id="357464296">
              <w:marLeft w:val="0"/>
              <w:marRight w:val="0"/>
              <w:marTop w:val="0"/>
              <w:marBottom w:val="240"/>
              <w:divBdr>
                <w:top w:val="none" w:sz="0" w:space="0" w:color="auto"/>
                <w:left w:val="none" w:sz="0" w:space="0" w:color="auto"/>
                <w:bottom w:val="none" w:sz="0" w:space="0" w:color="auto"/>
                <w:right w:val="none" w:sz="0" w:space="0" w:color="auto"/>
              </w:divBdr>
            </w:div>
            <w:div w:id="337659786">
              <w:marLeft w:val="0"/>
              <w:marRight w:val="0"/>
              <w:marTop w:val="0"/>
              <w:marBottom w:val="240"/>
              <w:divBdr>
                <w:top w:val="none" w:sz="0" w:space="0" w:color="auto"/>
                <w:left w:val="none" w:sz="0" w:space="0" w:color="auto"/>
                <w:bottom w:val="none" w:sz="0" w:space="0" w:color="auto"/>
                <w:right w:val="none" w:sz="0" w:space="0" w:color="auto"/>
              </w:divBdr>
            </w:div>
            <w:div w:id="259991356">
              <w:marLeft w:val="0"/>
              <w:marRight w:val="0"/>
              <w:marTop w:val="0"/>
              <w:marBottom w:val="240"/>
              <w:divBdr>
                <w:top w:val="none" w:sz="0" w:space="0" w:color="auto"/>
                <w:left w:val="none" w:sz="0" w:space="0" w:color="auto"/>
                <w:bottom w:val="none" w:sz="0" w:space="0" w:color="auto"/>
                <w:right w:val="none" w:sz="0" w:space="0" w:color="auto"/>
              </w:divBdr>
            </w:div>
            <w:div w:id="922910083">
              <w:marLeft w:val="0"/>
              <w:marRight w:val="0"/>
              <w:marTop w:val="0"/>
              <w:marBottom w:val="240"/>
              <w:divBdr>
                <w:top w:val="none" w:sz="0" w:space="0" w:color="auto"/>
                <w:left w:val="none" w:sz="0" w:space="0" w:color="auto"/>
                <w:bottom w:val="none" w:sz="0" w:space="0" w:color="auto"/>
                <w:right w:val="none" w:sz="0" w:space="0" w:color="auto"/>
              </w:divBdr>
            </w:div>
            <w:div w:id="716204547">
              <w:marLeft w:val="0"/>
              <w:marRight w:val="0"/>
              <w:marTop w:val="0"/>
              <w:marBottom w:val="240"/>
              <w:divBdr>
                <w:top w:val="none" w:sz="0" w:space="0" w:color="auto"/>
                <w:left w:val="none" w:sz="0" w:space="0" w:color="auto"/>
                <w:bottom w:val="none" w:sz="0" w:space="0" w:color="auto"/>
                <w:right w:val="none" w:sz="0" w:space="0" w:color="auto"/>
              </w:divBdr>
            </w:div>
            <w:div w:id="738552691">
              <w:marLeft w:val="0"/>
              <w:marRight w:val="0"/>
              <w:marTop w:val="0"/>
              <w:marBottom w:val="240"/>
              <w:divBdr>
                <w:top w:val="none" w:sz="0" w:space="0" w:color="auto"/>
                <w:left w:val="none" w:sz="0" w:space="0" w:color="auto"/>
                <w:bottom w:val="none" w:sz="0" w:space="0" w:color="auto"/>
                <w:right w:val="none" w:sz="0" w:space="0" w:color="auto"/>
              </w:divBdr>
            </w:div>
            <w:div w:id="827944975">
              <w:marLeft w:val="0"/>
              <w:marRight w:val="0"/>
              <w:marTop w:val="0"/>
              <w:marBottom w:val="240"/>
              <w:divBdr>
                <w:top w:val="none" w:sz="0" w:space="0" w:color="auto"/>
                <w:left w:val="none" w:sz="0" w:space="0" w:color="auto"/>
                <w:bottom w:val="none" w:sz="0" w:space="0" w:color="auto"/>
                <w:right w:val="none" w:sz="0" w:space="0" w:color="auto"/>
              </w:divBdr>
            </w:div>
            <w:div w:id="478306749">
              <w:marLeft w:val="0"/>
              <w:marRight w:val="0"/>
              <w:marTop w:val="0"/>
              <w:marBottom w:val="240"/>
              <w:divBdr>
                <w:top w:val="none" w:sz="0" w:space="0" w:color="auto"/>
                <w:left w:val="none" w:sz="0" w:space="0" w:color="auto"/>
                <w:bottom w:val="none" w:sz="0" w:space="0" w:color="auto"/>
                <w:right w:val="none" w:sz="0" w:space="0" w:color="auto"/>
              </w:divBdr>
            </w:div>
            <w:div w:id="1028407059">
              <w:marLeft w:val="0"/>
              <w:marRight w:val="0"/>
              <w:marTop w:val="0"/>
              <w:marBottom w:val="240"/>
              <w:divBdr>
                <w:top w:val="none" w:sz="0" w:space="0" w:color="auto"/>
                <w:left w:val="none" w:sz="0" w:space="0" w:color="auto"/>
                <w:bottom w:val="none" w:sz="0" w:space="0" w:color="auto"/>
                <w:right w:val="none" w:sz="0" w:space="0" w:color="auto"/>
              </w:divBdr>
            </w:div>
            <w:div w:id="1393652117">
              <w:marLeft w:val="0"/>
              <w:marRight w:val="0"/>
              <w:marTop w:val="0"/>
              <w:marBottom w:val="240"/>
              <w:divBdr>
                <w:top w:val="none" w:sz="0" w:space="0" w:color="auto"/>
                <w:left w:val="none" w:sz="0" w:space="0" w:color="auto"/>
                <w:bottom w:val="none" w:sz="0" w:space="0" w:color="auto"/>
                <w:right w:val="none" w:sz="0" w:space="0" w:color="auto"/>
              </w:divBdr>
            </w:div>
            <w:div w:id="426583258">
              <w:marLeft w:val="0"/>
              <w:marRight w:val="0"/>
              <w:marTop w:val="0"/>
              <w:marBottom w:val="240"/>
              <w:divBdr>
                <w:top w:val="none" w:sz="0" w:space="0" w:color="auto"/>
                <w:left w:val="none" w:sz="0" w:space="0" w:color="auto"/>
                <w:bottom w:val="none" w:sz="0" w:space="0" w:color="auto"/>
                <w:right w:val="none" w:sz="0" w:space="0" w:color="auto"/>
              </w:divBdr>
            </w:div>
            <w:div w:id="1390298196">
              <w:marLeft w:val="0"/>
              <w:marRight w:val="0"/>
              <w:marTop w:val="0"/>
              <w:marBottom w:val="240"/>
              <w:divBdr>
                <w:top w:val="none" w:sz="0" w:space="0" w:color="auto"/>
                <w:left w:val="none" w:sz="0" w:space="0" w:color="auto"/>
                <w:bottom w:val="none" w:sz="0" w:space="0" w:color="auto"/>
                <w:right w:val="none" w:sz="0" w:space="0" w:color="auto"/>
              </w:divBdr>
            </w:div>
            <w:div w:id="1990283905">
              <w:marLeft w:val="0"/>
              <w:marRight w:val="0"/>
              <w:marTop w:val="0"/>
              <w:marBottom w:val="240"/>
              <w:divBdr>
                <w:top w:val="none" w:sz="0" w:space="0" w:color="auto"/>
                <w:left w:val="none" w:sz="0" w:space="0" w:color="auto"/>
                <w:bottom w:val="none" w:sz="0" w:space="0" w:color="auto"/>
                <w:right w:val="none" w:sz="0" w:space="0" w:color="auto"/>
              </w:divBdr>
            </w:div>
            <w:div w:id="1150101426">
              <w:marLeft w:val="0"/>
              <w:marRight w:val="0"/>
              <w:marTop w:val="0"/>
              <w:marBottom w:val="240"/>
              <w:divBdr>
                <w:top w:val="none" w:sz="0" w:space="0" w:color="auto"/>
                <w:left w:val="none" w:sz="0" w:space="0" w:color="auto"/>
                <w:bottom w:val="none" w:sz="0" w:space="0" w:color="auto"/>
                <w:right w:val="none" w:sz="0" w:space="0" w:color="auto"/>
              </w:divBdr>
            </w:div>
            <w:div w:id="2075199112">
              <w:marLeft w:val="0"/>
              <w:marRight w:val="0"/>
              <w:marTop w:val="0"/>
              <w:marBottom w:val="240"/>
              <w:divBdr>
                <w:top w:val="none" w:sz="0" w:space="0" w:color="auto"/>
                <w:left w:val="none" w:sz="0" w:space="0" w:color="auto"/>
                <w:bottom w:val="none" w:sz="0" w:space="0" w:color="auto"/>
                <w:right w:val="none" w:sz="0" w:space="0" w:color="auto"/>
              </w:divBdr>
            </w:div>
            <w:div w:id="447168409">
              <w:marLeft w:val="0"/>
              <w:marRight w:val="0"/>
              <w:marTop w:val="0"/>
              <w:marBottom w:val="240"/>
              <w:divBdr>
                <w:top w:val="none" w:sz="0" w:space="0" w:color="auto"/>
                <w:left w:val="none" w:sz="0" w:space="0" w:color="auto"/>
                <w:bottom w:val="none" w:sz="0" w:space="0" w:color="auto"/>
                <w:right w:val="none" w:sz="0" w:space="0" w:color="auto"/>
              </w:divBdr>
            </w:div>
            <w:div w:id="1494106485">
              <w:marLeft w:val="0"/>
              <w:marRight w:val="0"/>
              <w:marTop w:val="0"/>
              <w:marBottom w:val="240"/>
              <w:divBdr>
                <w:top w:val="none" w:sz="0" w:space="0" w:color="auto"/>
                <w:left w:val="none" w:sz="0" w:space="0" w:color="auto"/>
                <w:bottom w:val="none" w:sz="0" w:space="0" w:color="auto"/>
                <w:right w:val="none" w:sz="0" w:space="0" w:color="auto"/>
              </w:divBdr>
            </w:div>
            <w:div w:id="1187713982">
              <w:marLeft w:val="0"/>
              <w:marRight w:val="0"/>
              <w:marTop w:val="0"/>
              <w:marBottom w:val="240"/>
              <w:divBdr>
                <w:top w:val="none" w:sz="0" w:space="0" w:color="auto"/>
                <w:left w:val="none" w:sz="0" w:space="0" w:color="auto"/>
                <w:bottom w:val="none" w:sz="0" w:space="0" w:color="auto"/>
                <w:right w:val="none" w:sz="0" w:space="0" w:color="auto"/>
              </w:divBdr>
            </w:div>
            <w:div w:id="1940019297">
              <w:marLeft w:val="0"/>
              <w:marRight w:val="0"/>
              <w:marTop w:val="0"/>
              <w:marBottom w:val="240"/>
              <w:divBdr>
                <w:top w:val="none" w:sz="0" w:space="0" w:color="auto"/>
                <w:left w:val="none" w:sz="0" w:space="0" w:color="auto"/>
                <w:bottom w:val="none" w:sz="0" w:space="0" w:color="auto"/>
                <w:right w:val="none" w:sz="0" w:space="0" w:color="auto"/>
              </w:divBdr>
            </w:div>
            <w:div w:id="634142041">
              <w:marLeft w:val="0"/>
              <w:marRight w:val="0"/>
              <w:marTop w:val="0"/>
              <w:marBottom w:val="240"/>
              <w:divBdr>
                <w:top w:val="none" w:sz="0" w:space="0" w:color="auto"/>
                <w:left w:val="none" w:sz="0" w:space="0" w:color="auto"/>
                <w:bottom w:val="none" w:sz="0" w:space="0" w:color="auto"/>
                <w:right w:val="none" w:sz="0" w:space="0" w:color="auto"/>
              </w:divBdr>
            </w:div>
            <w:div w:id="209079539">
              <w:marLeft w:val="0"/>
              <w:marRight w:val="0"/>
              <w:marTop w:val="0"/>
              <w:marBottom w:val="240"/>
              <w:divBdr>
                <w:top w:val="none" w:sz="0" w:space="0" w:color="auto"/>
                <w:left w:val="none" w:sz="0" w:space="0" w:color="auto"/>
                <w:bottom w:val="none" w:sz="0" w:space="0" w:color="auto"/>
                <w:right w:val="none" w:sz="0" w:space="0" w:color="auto"/>
              </w:divBdr>
            </w:div>
            <w:div w:id="915676161">
              <w:marLeft w:val="0"/>
              <w:marRight w:val="0"/>
              <w:marTop w:val="0"/>
              <w:marBottom w:val="240"/>
              <w:divBdr>
                <w:top w:val="none" w:sz="0" w:space="0" w:color="auto"/>
                <w:left w:val="none" w:sz="0" w:space="0" w:color="auto"/>
                <w:bottom w:val="none" w:sz="0" w:space="0" w:color="auto"/>
                <w:right w:val="none" w:sz="0" w:space="0" w:color="auto"/>
              </w:divBdr>
            </w:div>
            <w:div w:id="1710376575">
              <w:marLeft w:val="0"/>
              <w:marRight w:val="0"/>
              <w:marTop w:val="0"/>
              <w:marBottom w:val="240"/>
              <w:divBdr>
                <w:top w:val="none" w:sz="0" w:space="0" w:color="auto"/>
                <w:left w:val="none" w:sz="0" w:space="0" w:color="auto"/>
                <w:bottom w:val="none" w:sz="0" w:space="0" w:color="auto"/>
                <w:right w:val="none" w:sz="0" w:space="0" w:color="auto"/>
              </w:divBdr>
            </w:div>
            <w:div w:id="296381163">
              <w:marLeft w:val="0"/>
              <w:marRight w:val="0"/>
              <w:marTop w:val="0"/>
              <w:marBottom w:val="240"/>
              <w:divBdr>
                <w:top w:val="none" w:sz="0" w:space="0" w:color="auto"/>
                <w:left w:val="none" w:sz="0" w:space="0" w:color="auto"/>
                <w:bottom w:val="none" w:sz="0" w:space="0" w:color="auto"/>
                <w:right w:val="none" w:sz="0" w:space="0" w:color="auto"/>
              </w:divBdr>
            </w:div>
            <w:div w:id="1861580008">
              <w:marLeft w:val="0"/>
              <w:marRight w:val="0"/>
              <w:marTop w:val="0"/>
              <w:marBottom w:val="240"/>
              <w:divBdr>
                <w:top w:val="none" w:sz="0" w:space="0" w:color="auto"/>
                <w:left w:val="none" w:sz="0" w:space="0" w:color="auto"/>
                <w:bottom w:val="none" w:sz="0" w:space="0" w:color="auto"/>
                <w:right w:val="none" w:sz="0" w:space="0" w:color="auto"/>
              </w:divBdr>
            </w:div>
            <w:div w:id="158272115">
              <w:marLeft w:val="0"/>
              <w:marRight w:val="0"/>
              <w:marTop w:val="0"/>
              <w:marBottom w:val="240"/>
              <w:divBdr>
                <w:top w:val="none" w:sz="0" w:space="0" w:color="auto"/>
                <w:left w:val="none" w:sz="0" w:space="0" w:color="auto"/>
                <w:bottom w:val="none" w:sz="0" w:space="0" w:color="auto"/>
                <w:right w:val="none" w:sz="0" w:space="0" w:color="auto"/>
              </w:divBdr>
            </w:div>
            <w:div w:id="1702246493">
              <w:marLeft w:val="0"/>
              <w:marRight w:val="0"/>
              <w:marTop w:val="0"/>
              <w:marBottom w:val="240"/>
              <w:divBdr>
                <w:top w:val="none" w:sz="0" w:space="0" w:color="auto"/>
                <w:left w:val="none" w:sz="0" w:space="0" w:color="auto"/>
                <w:bottom w:val="none" w:sz="0" w:space="0" w:color="auto"/>
                <w:right w:val="none" w:sz="0" w:space="0" w:color="auto"/>
              </w:divBdr>
            </w:div>
            <w:div w:id="1470391519">
              <w:marLeft w:val="0"/>
              <w:marRight w:val="0"/>
              <w:marTop w:val="0"/>
              <w:marBottom w:val="240"/>
              <w:divBdr>
                <w:top w:val="none" w:sz="0" w:space="0" w:color="auto"/>
                <w:left w:val="none" w:sz="0" w:space="0" w:color="auto"/>
                <w:bottom w:val="none" w:sz="0" w:space="0" w:color="auto"/>
                <w:right w:val="none" w:sz="0" w:space="0" w:color="auto"/>
              </w:divBdr>
            </w:div>
            <w:div w:id="1649167975">
              <w:marLeft w:val="0"/>
              <w:marRight w:val="0"/>
              <w:marTop w:val="0"/>
              <w:marBottom w:val="240"/>
              <w:divBdr>
                <w:top w:val="none" w:sz="0" w:space="0" w:color="auto"/>
                <w:left w:val="none" w:sz="0" w:space="0" w:color="auto"/>
                <w:bottom w:val="none" w:sz="0" w:space="0" w:color="auto"/>
                <w:right w:val="none" w:sz="0" w:space="0" w:color="auto"/>
              </w:divBdr>
            </w:div>
            <w:div w:id="1407262127">
              <w:marLeft w:val="0"/>
              <w:marRight w:val="0"/>
              <w:marTop w:val="0"/>
              <w:marBottom w:val="240"/>
              <w:divBdr>
                <w:top w:val="none" w:sz="0" w:space="0" w:color="auto"/>
                <w:left w:val="none" w:sz="0" w:space="0" w:color="auto"/>
                <w:bottom w:val="none" w:sz="0" w:space="0" w:color="auto"/>
                <w:right w:val="none" w:sz="0" w:space="0" w:color="auto"/>
              </w:divBdr>
            </w:div>
            <w:div w:id="1252738367">
              <w:marLeft w:val="0"/>
              <w:marRight w:val="0"/>
              <w:marTop w:val="0"/>
              <w:marBottom w:val="240"/>
              <w:divBdr>
                <w:top w:val="none" w:sz="0" w:space="0" w:color="auto"/>
                <w:left w:val="none" w:sz="0" w:space="0" w:color="auto"/>
                <w:bottom w:val="none" w:sz="0" w:space="0" w:color="auto"/>
                <w:right w:val="none" w:sz="0" w:space="0" w:color="auto"/>
              </w:divBdr>
            </w:div>
            <w:div w:id="768768622">
              <w:marLeft w:val="0"/>
              <w:marRight w:val="0"/>
              <w:marTop w:val="0"/>
              <w:marBottom w:val="240"/>
              <w:divBdr>
                <w:top w:val="none" w:sz="0" w:space="0" w:color="auto"/>
                <w:left w:val="none" w:sz="0" w:space="0" w:color="auto"/>
                <w:bottom w:val="none" w:sz="0" w:space="0" w:color="auto"/>
                <w:right w:val="none" w:sz="0" w:space="0" w:color="auto"/>
              </w:divBdr>
            </w:div>
            <w:div w:id="1988394495">
              <w:marLeft w:val="0"/>
              <w:marRight w:val="0"/>
              <w:marTop w:val="0"/>
              <w:marBottom w:val="240"/>
              <w:divBdr>
                <w:top w:val="none" w:sz="0" w:space="0" w:color="auto"/>
                <w:left w:val="none" w:sz="0" w:space="0" w:color="auto"/>
                <w:bottom w:val="none" w:sz="0" w:space="0" w:color="auto"/>
                <w:right w:val="none" w:sz="0" w:space="0" w:color="auto"/>
              </w:divBdr>
            </w:div>
            <w:div w:id="1613899924">
              <w:marLeft w:val="0"/>
              <w:marRight w:val="0"/>
              <w:marTop w:val="0"/>
              <w:marBottom w:val="240"/>
              <w:divBdr>
                <w:top w:val="none" w:sz="0" w:space="0" w:color="auto"/>
                <w:left w:val="none" w:sz="0" w:space="0" w:color="auto"/>
                <w:bottom w:val="none" w:sz="0" w:space="0" w:color="auto"/>
                <w:right w:val="none" w:sz="0" w:space="0" w:color="auto"/>
              </w:divBdr>
            </w:div>
            <w:div w:id="1339887938">
              <w:marLeft w:val="0"/>
              <w:marRight w:val="0"/>
              <w:marTop w:val="0"/>
              <w:marBottom w:val="240"/>
              <w:divBdr>
                <w:top w:val="none" w:sz="0" w:space="0" w:color="auto"/>
                <w:left w:val="none" w:sz="0" w:space="0" w:color="auto"/>
                <w:bottom w:val="none" w:sz="0" w:space="0" w:color="auto"/>
                <w:right w:val="none" w:sz="0" w:space="0" w:color="auto"/>
              </w:divBdr>
            </w:div>
            <w:div w:id="558173049">
              <w:marLeft w:val="0"/>
              <w:marRight w:val="0"/>
              <w:marTop w:val="0"/>
              <w:marBottom w:val="240"/>
              <w:divBdr>
                <w:top w:val="none" w:sz="0" w:space="0" w:color="auto"/>
                <w:left w:val="none" w:sz="0" w:space="0" w:color="auto"/>
                <w:bottom w:val="none" w:sz="0" w:space="0" w:color="auto"/>
                <w:right w:val="none" w:sz="0" w:space="0" w:color="auto"/>
              </w:divBdr>
            </w:div>
            <w:div w:id="429664783">
              <w:marLeft w:val="0"/>
              <w:marRight w:val="0"/>
              <w:marTop w:val="0"/>
              <w:marBottom w:val="240"/>
              <w:divBdr>
                <w:top w:val="none" w:sz="0" w:space="0" w:color="auto"/>
                <w:left w:val="none" w:sz="0" w:space="0" w:color="auto"/>
                <w:bottom w:val="none" w:sz="0" w:space="0" w:color="auto"/>
                <w:right w:val="none" w:sz="0" w:space="0" w:color="auto"/>
              </w:divBdr>
            </w:div>
            <w:div w:id="293293042">
              <w:marLeft w:val="0"/>
              <w:marRight w:val="0"/>
              <w:marTop w:val="0"/>
              <w:marBottom w:val="240"/>
              <w:divBdr>
                <w:top w:val="none" w:sz="0" w:space="0" w:color="auto"/>
                <w:left w:val="none" w:sz="0" w:space="0" w:color="auto"/>
                <w:bottom w:val="none" w:sz="0" w:space="0" w:color="auto"/>
                <w:right w:val="none" w:sz="0" w:space="0" w:color="auto"/>
              </w:divBdr>
            </w:div>
            <w:div w:id="867177584">
              <w:marLeft w:val="0"/>
              <w:marRight w:val="0"/>
              <w:marTop w:val="0"/>
              <w:marBottom w:val="240"/>
              <w:divBdr>
                <w:top w:val="none" w:sz="0" w:space="0" w:color="auto"/>
                <w:left w:val="none" w:sz="0" w:space="0" w:color="auto"/>
                <w:bottom w:val="none" w:sz="0" w:space="0" w:color="auto"/>
                <w:right w:val="none" w:sz="0" w:space="0" w:color="auto"/>
              </w:divBdr>
            </w:div>
            <w:div w:id="761805078">
              <w:marLeft w:val="0"/>
              <w:marRight w:val="0"/>
              <w:marTop w:val="0"/>
              <w:marBottom w:val="240"/>
              <w:divBdr>
                <w:top w:val="none" w:sz="0" w:space="0" w:color="auto"/>
                <w:left w:val="none" w:sz="0" w:space="0" w:color="auto"/>
                <w:bottom w:val="none" w:sz="0" w:space="0" w:color="auto"/>
                <w:right w:val="none" w:sz="0" w:space="0" w:color="auto"/>
              </w:divBdr>
            </w:div>
            <w:div w:id="755325338">
              <w:marLeft w:val="0"/>
              <w:marRight w:val="0"/>
              <w:marTop w:val="0"/>
              <w:marBottom w:val="240"/>
              <w:divBdr>
                <w:top w:val="none" w:sz="0" w:space="0" w:color="auto"/>
                <w:left w:val="none" w:sz="0" w:space="0" w:color="auto"/>
                <w:bottom w:val="none" w:sz="0" w:space="0" w:color="auto"/>
                <w:right w:val="none" w:sz="0" w:space="0" w:color="auto"/>
              </w:divBdr>
            </w:div>
            <w:div w:id="2127239380">
              <w:marLeft w:val="0"/>
              <w:marRight w:val="0"/>
              <w:marTop w:val="0"/>
              <w:marBottom w:val="240"/>
              <w:divBdr>
                <w:top w:val="none" w:sz="0" w:space="0" w:color="auto"/>
                <w:left w:val="none" w:sz="0" w:space="0" w:color="auto"/>
                <w:bottom w:val="none" w:sz="0" w:space="0" w:color="auto"/>
                <w:right w:val="none" w:sz="0" w:space="0" w:color="auto"/>
              </w:divBdr>
            </w:div>
            <w:div w:id="463545504">
              <w:marLeft w:val="0"/>
              <w:marRight w:val="0"/>
              <w:marTop w:val="0"/>
              <w:marBottom w:val="240"/>
              <w:divBdr>
                <w:top w:val="none" w:sz="0" w:space="0" w:color="auto"/>
                <w:left w:val="none" w:sz="0" w:space="0" w:color="auto"/>
                <w:bottom w:val="none" w:sz="0" w:space="0" w:color="auto"/>
                <w:right w:val="none" w:sz="0" w:space="0" w:color="auto"/>
              </w:divBdr>
            </w:div>
            <w:div w:id="582376213">
              <w:marLeft w:val="0"/>
              <w:marRight w:val="0"/>
              <w:marTop w:val="0"/>
              <w:marBottom w:val="240"/>
              <w:divBdr>
                <w:top w:val="none" w:sz="0" w:space="0" w:color="auto"/>
                <w:left w:val="none" w:sz="0" w:space="0" w:color="auto"/>
                <w:bottom w:val="none" w:sz="0" w:space="0" w:color="auto"/>
                <w:right w:val="none" w:sz="0" w:space="0" w:color="auto"/>
              </w:divBdr>
            </w:div>
            <w:div w:id="1304119239">
              <w:marLeft w:val="0"/>
              <w:marRight w:val="0"/>
              <w:marTop w:val="0"/>
              <w:marBottom w:val="240"/>
              <w:divBdr>
                <w:top w:val="none" w:sz="0" w:space="0" w:color="auto"/>
                <w:left w:val="none" w:sz="0" w:space="0" w:color="auto"/>
                <w:bottom w:val="none" w:sz="0" w:space="0" w:color="auto"/>
                <w:right w:val="none" w:sz="0" w:space="0" w:color="auto"/>
              </w:divBdr>
            </w:div>
            <w:div w:id="832181959">
              <w:marLeft w:val="0"/>
              <w:marRight w:val="0"/>
              <w:marTop w:val="0"/>
              <w:marBottom w:val="240"/>
              <w:divBdr>
                <w:top w:val="none" w:sz="0" w:space="0" w:color="auto"/>
                <w:left w:val="none" w:sz="0" w:space="0" w:color="auto"/>
                <w:bottom w:val="none" w:sz="0" w:space="0" w:color="auto"/>
                <w:right w:val="none" w:sz="0" w:space="0" w:color="auto"/>
              </w:divBdr>
            </w:div>
            <w:div w:id="1302730465">
              <w:marLeft w:val="0"/>
              <w:marRight w:val="0"/>
              <w:marTop w:val="0"/>
              <w:marBottom w:val="240"/>
              <w:divBdr>
                <w:top w:val="none" w:sz="0" w:space="0" w:color="auto"/>
                <w:left w:val="none" w:sz="0" w:space="0" w:color="auto"/>
                <w:bottom w:val="none" w:sz="0" w:space="0" w:color="auto"/>
                <w:right w:val="none" w:sz="0" w:space="0" w:color="auto"/>
              </w:divBdr>
            </w:div>
            <w:div w:id="1082530511">
              <w:marLeft w:val="0"/>
              <w:marRight w:val="0"/>
              <w:marTop w:val="0"/>
              <w:marBottom w:val="240"/>
              <w:divBdr>
                <w:top w:val="none" w:sz="0" w:space="0" w:color="auto"/>
                <w:left w:val="none" w:sz="0" w:space="0" w:color="auto"/>
                <w:bottom w:val="none" w:sz="0" w:space="0" w:color="auto"/>
                <w:right w:val="none" w:sz="0" w:space="0" w:color="auto"/>
              </w:divBdr>
            </w:div>
            <w:div w:id="286393534">
              <w:marLeft w:val="0"/>
              <w:marRight w:val="0"/>
              <w:marTop w:val="0"/>
              <w:marBottom w:val="240"/>
              <w:divBdr>
                <w:top w:val="none" w:sz="0" w:space="0" w:color="auto"/>
                <w:left w:val="none" w:sz="0" w:space="0" w:color="auto"/>
                <w:bottom w:val="none" w:sz="0" w:space="0" w:color="auto"/>
                <w:right w:val="none" w:sz="0" w:space="0" w:color="auto"/>
              </w:divBdr>
            </w:div>
            <w:div w:id="1901091537">
              <w:marLeft w:val="0"/>
              <w:marRight w:val="0"/>
              <w:marTop w:val="0"/>
              <w:marBottom w:val="240"/>
              <w:divBdr>
                <w:top w:val="none" w:sz="0" w:space="0" w:color="auto"/>
                <w:left w:val="none" w:sz="0" w:space="0" w:color="auto"/>
                <w:bottom w:val="none" w:sz="0" w:space="0" w:color="auto"/>
                <w:right w:val="none" w:sz="0" w:space="0" w:color="auto"/>
              </w:divBdr>
            </w:div>
            <w:div w:id="726563746">
              <w:marLeft w:val="0"/>
              <w:marRight w:val="0"/>
              <w:marTop w:val="0"/>
              <w:marBottom w:val="240"/>
              <w:divBdr>
                <w:top w:val="none" w:sz="0" w:space="0" w:color="auto"/>
                <w:left w:val="none" w:sz="0" w:space="0" w:color="auto"/>
                <w:bottom w:val="none" w:sz="0" w:space="0" w:color="auto"/>
                <w:right w:val="none" w:sz="0" w:space="0" w:color="auto"/>
              </w:divBdr>
            </w:div>
            <w:div w:id="345207319">
              <w:marLeft w:val="0"/>
              <w:marRight w:val="0"/>
              <w:marTop w:val="0"/>
              <w:marBottom w:val="240"/>
              <w:divBdr>
                <w:top w:val="none" w:sz="0" w:space="0" w:color="auto"/>
                <w:left w:val="none" w:sz="0" w:space="0" w:color="auto"/>
                <w:bottom w:val="none" w:sz="0" w:space="0" w:color="auto"/>
                <w:right w:val="none" w:sz="0" w:space="0" w:color="auto"/>
              </w:divBdr>
            </w:div>
            <w:div w:id="1941453185">
              <w:marLeft w:val="0"/>
              <w:marRight w:val="0"/>
              <w:marTop w:val="0"/>
              <w:marBottom w:val="240"/>
              <w:divBdr>
                <w:top w:val="none" w:sz="0" w:space="0" w:color="auto"/>
                <w:left w:val="none" w:sz="0" w:space="0" w:color="auto"/>
                <w:bottom w:val="none" w:sz="0" w:space="0" w:color="auto"/>
                <w:right w:val="none" w:sz="0" w:space="0" w:color="auto"/>
              </w:divBdr>
            </w:div>
            <w:div w:id="774138014">
              <w:marLeft w:val="0"/>
              <w:marRight w:val="0"/>
              <w:marTop w:val="0"/>
              <w:marBottom w:val="240"/>
              <w:divBdr>
                <w:top w:val="none" w:sz="0" w:space="0" w:color="auto"/>
                <w:left w:val="none" w:sz="0" w:space="0" w:color="auto"/>
                <w:bottom w:val="none" w:sz="0" w:space="0" w:color="auto"/>
                <w:right w:val="none" w:sz="0" w:space="0" w:color="auto"/>
              </w:divBdr>
            </w:div>
            <w:div w:id="623733169">
              <w:marLeft w:val="0"/>
              <w:marRight w:val="0"/>
              <w:marTop w:val="0"/>
              <w:marBottom w:val="240"/>
              <w:divBdr>
                <w:top w:val="none" w:sz="0" w:space="0" w:color="auto"/>
                <w:left w:val="none" w:sz="0" w:space="0" w:color="auto"/>
                <w:bottom w:val="none" w:sz="0" w:space="0" w:color="auto"/>
                <w:right w:val="none" w:sz="0" w:space="0" w:color="auto"/>
              </w:divBdr>
            </w:div>
            <w:div w:id="1710378502">
              <w:marLeft w:val="0"/>
              <w:marRight w:val="0"/>
              <w:marTop w:val="0"/>
              <w:marBottom w:val="240"/>
              <w:divBdr>
                <w:top w:val="none" w:sz="0" w:space="0" w:color="auto"/>
                <w:left w:val="none" w:sz="0" w:space="0" w:color="auto"/>
                <w:bottom w:val="none" w:sz="0" w:space="0" w:color="auto"/>
                <w:right w:val="none" w:sz="0" w:space="0" w:color="auto"/>
              </w:divBdr>
            </w:div>
            <w:div w:id="1766339079">
              <w:marLeft w:val="0"/>
              <w:marRight w:val="0"/>
              <w:marTop w:val="0"/>
              <w:marBottom w:val="240"/>
              <w:divBdr>
                <w:top w:val="none" w:sz="0" w:space="0" w:color="auto"/>
                <w:left w:val="none" w:sz="0" w:space="0" w:color="auto"/>
                <w:bottom w:val="none" w:sz="0" w:space="0" w:color="auto"/>
                <w:right w:val="none" w:sz="0" w:space="0" w:color="auto"/>
              </w:divBdr>
            </w:div>
            <w:div w:id="1527791721">
              <w:marLeft w:val="0"/>
              <w:marRight w:val="0"/>
              <w:marTop w:val="0"/>
              <w:marBottom w:val="240"/>
              <w:divBdr>
                <w:top w:val="none" w:sz="0" w:space="0" w:color="auto"/>
                <w:left w:val="none" w:sz="0" w:space="0" w:color="auto"/>
                <w:bottom w:val="none" w:sz="0" w:space="0" w:color="auto"/>
                <w:right w:val="none" w:sz="0" w:space="0" w:color="auto"/>
              </w:divBdr>
            </w:div>
            <w:div w:id="142083966">
              <w:marLeft w:val="0"/>
              <w:marRight w:val="0"/>
              <w:marTop w:val="0"/>
              <w:marBottom w:val="240"/>
              <w:divBdr>
                <w:top w:val="none" w:sz="0" w:space="0" w:color="auto"/>
                <w:left w:val="none" w:sz="0" w:space="0" w:color="auto"/>
                <w:bottom w:val="none" w:sz="0" w:space="0" w:color="auto"/>
                <w:right w:val="none" w:sz="0" w:space="0" w:color="auto"/>
              </w:divBdr>
            </w:div>
            <w:div w:id="110130913">
              <w:marLeft w:val="0"/>
              <w:marRight w:val="0"/>
              <w:marTop w:val="0"/>
              <w:marBottom w:val="240"/>
              <w:divBdr>
                <w:top w:val="none" w:sz="0" w:space="0" w:color="auto"/>
                <w:left w:val="none" w:sz="0" w:space="0" w:color="auto"/>
                <w:bottom w:val="none" w:sz="0" w:space="0" w:color="auto"/>
                <w:right w:val="none" w:sz="0" w:space="0" w:color="auto"/>
              </w:divBdr>
            </w:div>
            <w:div w:id="1115440767">
              <w:marLeft w:val="0"/>
              <w:marRight w:val="0"/>
              <w:marTop w:val="0"/>
              <w:marBottom w:val="240"/>
              <w:divBdr>
                <w:top w:val="none" w:sz="0" w:space="0" w:color="auto"/>
                <w:left w:val="none" w:sz="0" w:space="0" w:color="auto"/>
                <w:bottom w:val="none" w:sz="0" w:space="0" w:color="auto"/>
                <w:right w:val="none" w:sz="0" w:space="0" w:color="auto"/>
              </w:divBdr>
            </w:div>
            <w:div w:id="176817438">
              <w:marLeft w:val="0"/>
              <w:marRight w:val="0"/>
              <w:marTop w:val="0"/>
              <w:marBottom w:val="240"/>
              <w:divBdr>
                <w:top w:val="none" w:sz="0" w:space="0" w:color="auto"/>
                <w:left w:val="none" w:sz="0" w:space="0" w:color="auto"/>
                <w:bottom w:val="none" w:sz="0" w:space="0" w:color="auto"/>
                <w:right w:val="none" w:sz="0" w:space="0" w:color="auto"/>
              </w:divBdr>
            </w:div>
            <w:div w:id="1450049855">
              <w:marLeft w:val="0"/>
              <w:marRight w:val="0"/>
              <w:marTop w:val="0"/>
              <w:marBottom w:val="240"/>
              <w:divBdr>
                <w:top w:val="none" w:sz="0" w:space="0" w:color="auto"/>
                <w:left w:val="none" w:sz="0" w:space="0" w:color="auto"/>
                <w:bottom w:val="none" w:sz="0" w:space="0" w:color="auto"/>
                <w:right w:val="none" w:sz="0" w:space="0" w:color="auto"/>
              </w:divBdr>
            </w:div>
            <w:div w:id="1375152028">
              <w:marLeft w:val="0"/>
              <w:marRight w:val="0"/>
              <w:marTop w:val="0"/>
              <w:marBottom w:val="240"/>
              <w:divBdr>
                <w:top w:val="none" w:sz="0" w:space="0" w:color="auto"/>
                <w:left w:val="none" w:sz="0" w:space="0" w:color="auto"/>
                <w:bottom w:val="none" w:sz="0" w:space="0" w:color="auto"/>
                <w:right w:val="none" w:sz="0" w:space="0" w:color="auto"/>
              </w:divBdr>
            </w:div>
            <w:div w:id="530149763">
              <w:marLeft w:val="0"/>
              <w:marRight w:val="0"/>
              <w:marTop w:val="0"/>
              <w:marBottom w:val="240"/>
              <w:divBdr>
                <w:top w:val="none" w:sz="0" w:space="0" w:color="auto"/>
                <w:left w:val="none" w:sz="0" w:space="0" w:color="auto"/>
                <w:bottom w:val="none" w:sz="0" w:space="0" w:color="auto"/>
                <w:right w:val="none" w:sz="0" w:space="0" w:color="auto"/>
              </w:divBdr>
            </w:div>
            <w:div w:id="1637031953">
              <w:marLeft w:val="0"/>
              <w:marRight w:val="0"/>
              <w:marTop w:val="0"/>
              <w:marBottom w:val="240"/>
              <w:divBdr>
                <w:top w:val="none" w:sz="0" w:space="0" w:color="auto"/>
                <w:left w:val="none" w:sz="0" w:space="0" w:color="auto"/>
                <w:bottom w:val="none" w:sz="0" w:space="0" w:color="auto"/>
                <w:right w:val="none" w:sz="0" w:space="0" w:color="auto"/>
              </w:divBdr>
            </w:div>
            <w:div w:id="1055201917">
              <w:marLeft w:val="0"/>
              <w:marRight w:val="0"/>
              <w:marTop w:val="0"/>
              <w:marBottom w:val="240"/>
              <w:divBdr>
                <w:top w:val="none" w:sz="0" w:space="0" w:color="auto"/>
                <w:left w:val="none" w:sz="0" w:space="0" w:color="auto"/>
                <w:bottom w:val="none" w:sz="0" w:space="0" w:color="auto"/>
                <w:right w:val="none" w:sz="0" w:space="0" w:color="auto"/>
              </w:divBdr>
            </w:div>
            <w:div w:id="1038816420">
              <w:marLeft w:val="0"/>
              <w:marRight w:val="0"/>
              <w:marTop w:val="0"/>
              <w:marBottom w:val="240"/>
              <w:divBdr>
                <w:top w:val="none" w:sz="0" w:space="0" w:color="auto"/>
                <w:left w:val="none" w:sz="0" w:space="0" w:color="auto"/>
                <w:bottom w:val="none" w:sz="0" w:space="0" w:color="auto"/>
                <w:right w:val="none" w:sz="0" w:space="0" w:color="auto"/>
              </w:divBdr>
            </w:div>
            <w:div w:id="1964655538">
              <w:marLeft w:val="0"/>
              <w:marRight w:val="0"/>
              <w:marTop w:val="0"/>
              <w:marBottom w:val="240"/>
              <w:divBdr>
                <w:top w:val="none" w:sz="0" w:space="0" w:color="auto"/>
                <w:left w:val="none" w:sz="0" w:space="0" w:color="auto"/>
                <w:bottom w:val="none" w:sz="0" w:space="0" w:color="auto"/>
                <w:right w:val="none" w:sz="0" w:space="0" w:color="auto"/>
              </w:divBdr>
            </w:div>
            <w:div w:id="486046387">
              <w:marLeft w:val="0"/>
              <w:marRight w:val="0"/>
              <w:marTop w:val="0"/>
              <w:marBottom w:val="240"/>
              <w:divBdr>
                <w:top w:val="none" w:sz="0" w:space="0" w:color="auto"/>
                <w:left w:val="none" w:sz="0" w:space="0" w:color="auto"/>
                <w:bottom w:val="none" w:sz="0" w:space="0" w:color="auto"/>
                <w:right w:val="none" w:sz="0" w:space="0" w:color="auto"/>
              </w:divBdr>
            </w:div>
            <w:div w:id="1205630236">
              <w:marLeft w:val="0"/>
              <w:marRight w:val="0"/>
              <w:marTop w:val="0"/>
              <w:marBottom w:val="240"/>
              <w:divBdr>
                <w:top w:val="none" w:sz="0" w:space="0" w:color="auto"/>
                <w:left w:val="none" w:sz="0" w:space="0" w:color="auto"/>
                <w:bottom w:val="none" w:sz="0" w:space="0" w:color="auto"/>
                <w:right w:val="none" w:sz="0" w:space="0" w:color="auto"/>
              </w:divBdr>
            </w:div>
            <w:div w:id="1723866218">
              <w:marLeft w:val="0"/>
              <w:marRight w:val="0"/>
              <w:marTop w:val="0"/>
              <w:marBottom w:val="240"/>
              <w:divBdr>
                <w:top w:val="none" w:sz="0" w:space="0" w:color="auto"/>
                <w:left w:val="none" w:sz="0" w:space="0" w:color="auto"/>
                <w:bottom w:val="none" w:sz="0" w:space="0" w:color="auto"/>
                <w:right w:val="none" w:sz="0" w:space="0" w:color="auto"/>
              </w:divBdr>
            </w:div>
            <w:div w:id="318269773">
              <w:marLeft w:val="0"/>
              <w:marRight w:val="0"/>
              <w:marTop w:val="0"/>
              <w:marBottom w:val="240"/>
              <w:divBdr>
                <w:top w:val="none" w:sz="0" w:space="0" w:color="auto"/>
                <w:left w:val="none" w:sz="0" w:space="0" w:color="auto"/>
                <w:bottom w:val="none" w:sz="0" w:space="0" w:color="auto"/>
                <w:right w:val="none" w:sz="0" w:space="0" w:color="auto"/>
              </w:divBdr>
            </w:div>
            <w:div w:id="1236739075">
              <w:marLeft w:val="0"/>
              <w:marRight w:val="0"/>
              <w:marTop w:val="0"/>
              <w:marBottom w:val="240"/>
              <w:divBdr>
                <w:top w:val="none" w:sz="0" w:space="0" w:color="auto"/>
                <w:left w:val="none" w:sz="0" w:space="0" w:color="auto"/>
                <w:bottom w:val="none" w:sz="0" w:space="0" w:color="auto"/>
                <w:right w:val="none" w:sz="0" w:space="0" w:color="auto"/>
              </w:divBdr>
            </w:div>
            <w:div w:id="43444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31250">
      <w:bodyDiv w:val="1"/>
      <w:marLeft w:val="0"/>
      <w:marRight w:val="0"/>
      <w:marTop w:val="0"/>
      <w:marBottom w:val="0"/>
      <w:divBdr>
        <w:top w:val="none" w:sz="0" w:space="0" w:color="auto"/>
        <w:left w:val="none" w:sz="0" w:space="0" w:color="auto"/>
        <w:bottom w:val="none" w:sz="0" w:space="0" w:color="auto"/>
        <w:right w:val="none" w:sz="0" w:space="0" w:color="auto"/>
      </w:divBdr>
    </w:div>
    <w:div w:id="1877230110">
      <w:bodyDiv w:val="1"/>
      <w:marLeft w:val="0"/>
      <w:marRight w:val="0"/>
      <w:marTop w:val="0"/>
      <w:marBottom w:val="0"/>
      <w:divBdr>
        <w:top w:val="none" w:sz="0" w:space="0" w:color="auto"/>
        <w:left w:val="none" w:sz="0" w:space="0" w:color="auto"/>
        <w:bottom w:val="none" w:sz="0" w:space="0" w:color="auto"/>
        <w:right w:val="none" w:sz="0" w:space="0" w:color="auto"/>
      </w:divBdr>
    </w:div>
    <w:div w:id="1891920306">
      <w:bodyDiv w:val="1"/>
      <w:marLeft w:val="0"/>
      <w:marRight w:val="0"/>
      <w:marTop w:val="0"/>
      <w:marBottom w:val="0"/>
      <w:divBdr>
        <w:top w:val="none" w:sz="0" w:space="0" w:color="auto"/>
        <w:left w:val="none" w:sz="0" w:space="0" w:color="auto"/>
        <w:bottom w:val="none" w:sz="0" w:space="0" w:color="auto"/>
        <w:right w:val="none" w:sz="0" w:space="0" w:color="auto"/>
      </w:divBdr>
    </w:div>
    <w:div w:id="1896355839">
      <w:bodyDiv w:val="1"/>
      <w:marLeft w:val="0"/>
      <w:marRight w:val="0"/>
      <w:marTop w:val="0"/>
      <w:marBottom w:val="0"/>
      <w:divBdr>
        <w:top w:val="none" w:sz="0" w:space="0" w:color="auto"/>
        <w:left w:val="none" w:sz="0" w:space="0" w:color="auto"/>
        <w:bottom w:val="none" w:sz="0" w:space="0" w:color="auto"/>
        <w:right w:val="none" w:sz="0" w:space="0" w:color="auto"/>
      </w:divBdr>
    </w:div>
    <w:div w:id="1897012117">
      <w:bodyDiv w:val="1"/>
      <w:marLeft w:val="0"/>
      <w:marRight w:val="0"/>
      <w:marTop w:val="0"/>
      <w:marBottom w:val="0"/>
      <w:divBdr>
        <w:top w:val="none" w:sz="0" w:space="0" w:color="auto"/>
        <w:left w:val="none" w:sz="0" w:space="0" w:color="auto"/>
        <w:bottom w:val="none" w:sz="0" w:space="0" w:color="auto"/>
        <w:right w:val="none" w:sz="0" w:space="0" w:color="auto"/>
      </w:divBdr>
    </w:div>
    <w:div w:id="1910994925">
      <w:bodyDiv w:val="1"/>
      <w:marLeft w:val="0"/>
      <w:marRight w:val="0"/>
      <w:marTop w:val="0"/>
      <w:marBottom w:val="0"/>
      <w:divBdr>
        <w:top w:val="none" w:sz="0" w:space="0" w:color="auto"/>
        <w:left w:val="none" w:sz="0" w:space="0" w:color="auto"/>
        <w:bottom w:val="none" w:sz="0" w:space="0" w:color="auto"/>
        <w:right w:val="none" w:sz="0" w:space="0" w:color="auto"/>
      </w:divBdr>
    </w:div>
    <w:div w:id="1911769374">
      <w:bodyDiv w:val="1"/>
      <w:marLeft w:val="0"/>
      <w:marRight w:val="0"/>
      <w:marTop w:val="0"/>
      <w:marBottom w:val="0"/>
      <w:divBdr>
        <w:top w:val="none" w:sz="0" w:space="0" w:color="auto"/>
        <w:left w:val="none" w:sz="0" w:space="0" w:color="auto"/>
        <w:bottom w:val="none" w:sz="0" w:space="0" w:color="auto"/>
        <w:right w:val="none" w:sz="0" w:space="0" w:color="auto"/>
      </w:divBdr>
    </w:div>
    <w:div w:id="1929458942">
      <w:bodyDiv w:val="1"/>
      <w:marLeft w:val="0"/>
      <w:marRight w:val="0"/>
      <w:marTop w:val="0"/>
      <w:marBottom w:val="0"/>
      <w:divBdr>
        <w:top w:val="none" w:sz="0" w:space="0" w:color="auto"/>
        <w:left w:val="none" w:sz="0" w:space="0" w:color="auto"/>
        <w:bottom w:val="none" w:sz="0" w:space="0" w:color="auto"/>
        <w:right w:val="none" w:sz="0" w:space="0" w:color="auto"/>
      </w:divBdr>
    </w:div>
    <w:div w:id="1932086974">
      <w:bodyDiv w:val="1"/>
      <w:marLeft w:val="0"/>
      <w:marRight w:val="0"/>
      <w:marTop w:val="0"/>
      <w:marBottom w:val="0"/>
      <w:divBdr>
        <w:top w:val="none" w:sz="0" w:space="0" w:color="auto"/>
        <w:left w:val="none" w:sz="0" w:space="0" w:color="auto"/>
        <w:bottom w:val="none" w:sz="0" w:space="0" w:color="auto"/>
        <w:right w:val="none" w:sz="0" w:space="0" w:color="auto"/>
      </w:divBdr>
    </w:div>
    <w:div w:id="1956405700">
      <w:bodyDiv w:val="1"/>
      <w:marLeft w:val="0"/>
      <w:marRight w:val="0"/>
      <w:marTop w:val="0"/>
      <w:marBottom w:val="0"/>
      <w:divBdr>
        <w:top w:val="none" w:sz="0" w:space="0" w:color="auto"/>
        <w:left w:val="none" w:sz="0" w:space="0" w:color="auto"/>
        <w:bottom w:val="none" w:sz="0" w:space="0" w:color="auto"/>
        <w:right w:val="none" w:sz="0" w:space="0" w:color="auto"/>
      </w:divBdr>
    </w:div>
    <w:div w:id="1971282756">
      <w:bodyDiv w:val="1"/>
      <w:marLeft w:val="0"/>
      <w:marRight w:val="0"/>
      <w:marTop w:val="0"/>
      <w:marBottom w:val="0"/>
      <w:divBdr>
        <w:top w:val="none" w:sz="0" w:space="0" w:color="auto"/>
        <w:left w:val="none" w:sz="0" w:space="0" w:color="auto"/>
        <w:bottom w:val="none" w:sz="0" w:space="0" w:color="auto"/>
        <w:right w:val="none" w:sz="0" w:space="0" w:color="auto"/>
      </w:divBdr>
    </w:div>
    <w:div w:id="1976910546">
      <w:bodyDiv w:val="1"/>
      <w:marLeft w:val="0"/>
      <w:marRight w:val="0"/>
      <w:marTop w:val="0"/>
      <w:marBottom w:val="0"/>
      <w:divBdr>
        <w:top w:val="none" w:sz="0" w:space="0" w:color="auto"/>
        <w:left w:val="none" w:sz="0" w:space="0" w:color="auto"/>
        <w:bottom w:val="none" w:sz="0" w:space="0" w:color="auto"/>
        <w:right w:val="none" w:sz="0" w:space="0" w:color="auto"/>
      </w:divBdr>
    </w:div>
    <w:div w:id="1990160555">
      <w:bodyDiv w:val="1"/>
      <w:marLeft w:val="0"/>
      <w:marRight w:val="0"/>
      <w:marTop w:val="0"/>
      <w:marBottom w:val="0"/>
      <w:divBdr>
        <w:top w:val="none" w:sz="0" w:space="0" w:color="auto"/>
        <w:left w:val="none" w:sz="0" w:space="0" w:color="auto"/>
        <w:bottom w:val="none" w:sz="0" w:space="0" w:color="auto"/>
        <w:right w:val="none" w:sz="0" w:space="0" w:color="auto"/>
      </w:divBdr>
      <w:divsChild>
        <w:div w:id="457798023">
          <w:marLeft w:val="480"/>
          <w:marRight w:val="0"/>
          <w:marTop w:val="0"/>
          <w:marBottom w:val="0"/>
          <w:divBdr>
            <w:top w:val="none" w:sz="0" w:space="0" w:color="auto"/>
            <w:left w:val="none" w:sz="0" w:space="0" w:color="auto"/>
            <w:bottom w:val="none" w:sz="0" w:space="0" w:color="auto"/>
            <w:right w:val="none" w:sz="0" w:space="0" w:color="auto"/>
          </w:divBdr>
          <w:divsChild>
            <w:div w:id="479813952">
              <w:marLeft w:val="0"/>
              <w:marRight w:val="0"/>
              <w:marTop w:val="0"/>
              <w:marBottom w:val="240"/>
              <w:divBdr>
                <w:top w:val="none" w:sz="0" w:space="0" w:color="auto"/>
                <w:left w:val="none" w:sz="0" w:space="0" w:color="auto"/>
                <w:bottom w:val="none" w:sz="0" w:space="0" w:color="auto"/>
                <w:right w:val="none" w:sz="0" w:space="0" w:color="auto"/>
              </w:divBdr>
            </w:div>
            <w:div w:id="91048018">
              <w:marLeft w:val="0"/>
              <w:marRight w:val="0"/>
              <w:marTop w:val="0"/>
              <w:marBottom w:val="240"/>
              <w:divBdr>
                <w:top w:val="none" w:sz="0" w:space="0" w:color="auto"/>
                <w:left w:val="none" w:sz="0" w:space="0" w:color="auto"/>
                <w:bottom w:val="none" w:sz="0" w:space="0" w:color="auto"/>
                <w:right w:val="none" w:sz="0" w:space="0" w:color="auto"/>
              </w:divBdr>
            </w:div>
            <w:div w:id="392508930">
              <w:marLeft w:val="0"/>
              <w:marRight w:val="0"/>
              <w:marTop w:val="0"/>
              <w:marBottom w:val="240"/>
              <w:divBdr>
                <w:top w:val="none" w:sz="0" w:space="0" w:color="auto"/>
                <w:left w:val="none" w:sz="0" w:space="0" w:color="auto"/>
                <w:bottom w:val="none" w:sz="0" w:space="0" w:color="auto"/>
                <w:right w:val="none" w:sz="0" w:space="0" w:color="auto"/>
              </w:divBdr>
            </w:div>
            <w:div w:id="358707352">
              <w:marLeft w:val="0"/>
              <w:marRight w:val="0"/>
              <w:marTop w:val="0"/>
              <w:marBottom w:val="240"/>
              <w:divBdr>
                <w:top w:val="none" w:sz="0" w:space="0" w:color="auto"/>
                <w:left w:val="none" w:sz="0" w:space="0" w:color="auto"/>
                <w:bottom w:val="none" w:sz="0" w:space="0" w:color="auto"/>
                <w:right w:val="none" w:sz="0" w:space="0" w:color="auto"/>
              </w:divBdr>
            </w:div>
            <w:div w:id="653527533">
              <w:marLeft w:val="0"/>
              <w:marRight w:val="0"/>
              <w:marTop w:val="0"/>
              <w:marBottom w:val="240"/>
              <w:divBdr>
                <w:top w:val="none" w:sz="0" w:space="0" w:color="auto"/>
                <w:left w:val="none" w:sz="0" w:space="0" w:color="auto"/>
                <w:bottom w:val="none" w:sz="0" w:space="0" w:color="auto"/>
                <w:right w:val="none" w:sz="0" w:space="0" w:color="auto"/>
              </w:divBdr>
            </w:div>
            <w:div w:id="1672175156">
              <w:marLeft w:val="0"/>
              <w:marRight w:val="0"/>
              <w:marTop w:val="0"/>
              <w:marBottom w:val="240"/>
              <w:divBdr>
                <w:top w:val="none" w:sz="0" w:space="0" w:color="auto"/>
                <w:left w:val="none" w:sz="0" w:space="0" w:color="auto"/>
                <w:bottom w:val="none" w:sz="0" w:space="0" w:color="auto"/>
                <w:right w:val="none" w:sz="0" w:space="0" w:color="auto"/>
              </w:divBdr>
            </w:div>
            <w:div w:id="396100494">
              <w:marLeft w:val="0"/>
              <w:marRight w:val="0"/>
              <w:marTop w:val="0"/>
              <w:marBottom w:val="240"/>
              <w:divBdr>
                <w:top w:val="none" w:sz="0" w:space="0" w:color="auto"/>
                <w:left w:val="none" w:sz="0" w:space="0" w:color="auto"/>
                <w:bottom w:val="none" w:sz="0" w:space="0" w:color="auto"/>
                <w:right w:val="none" w:sz="0" w:space="0" w:color="auto"/>
              </w:divBdr>
            </w:div>
            <w:div w:id="1508400207">
              <w:marLeft w:val="0"/>
              <w:marRight w:val="0"/>
              <w:marTop w:val="0"/>
              <w:marBottom w:val="240"/>
              <w:divBdr>
                <w:top w:val="none" w:sz="0" w:space="0" w:color="auto"/>
                <w:left w:val="none" w:sz="0" w:space="0" w:color="auto"/>
                <w:bottom w:val="none" w:sz="0" w:space="0" w:color="auto"/>
                <w:right w:val="none" w:sz="0" w:space="0" w:color="auto"/>
              </w:divBdr>
            </w:div>
            <w:div w:id="1540162479">
              <w:marLeft w:val="0"/>
              <w:marRight w:val="0"/>
              <w:marTop w:val="0"/>
              <w:marBottom w:val="240"/>
              <w:divBdr>
                <w:top w:val="none" w:sz="0" w:space="0" w:color="auto"/>
                <w:left w:val="none" w:sz="0" w:space="0" w:color="auto"/>
                <w:bottom w:val="none" w:sz="0" w:space="0" w:color="auto"/>
                <w:right w:val="none" w:sz="0" w:space="0" w:color="auto"/>
              </w:divBdr>
            </w:div>
            <w:div w:id="1816948419">
              <w:marLeft w:val="0"/>
              <w:marRight w:val="0"/>
              <w:marTop w:val="0"/>
              <w:marBottom w:val="240"/>
              <w:divBdr>
                <w:top w:val="none" w:sz="0" w:space="0" w:color="auto"/>
                <w:left w:val="none" w:sz="0" w:space="0" w:color="auto"/>
                <w:bottom w:val="none" w:sz="0" w:space="0" w:color="auto"/>
                <w:right w:val="none" w:sz="0" w:space="0" w:color="auto"/>
              </w:divBdr>
            </w:div>
            <w:div w:id="1736780842">
              <w:marLeft w:val="0"/>
              <w:marRight w:val="0"/>
              <w:marTop w:val="0"/>
              <w:marBottom w:val="240"/>
              <w:divBdr>
                <w:top w:val="none" w:sz="0" w:space="0" w:color="auto"/>
                <w:left w:val="none" w:sz="0" w:space="0" w:color="auto"/>
                <w:bottom w:val="none" w:sz="0" w:space="0" w:color="auto"/>
                <w:right w:val="none" w:sz="0" w:space="0" w:color="auto"/>
              </w:divBdr>
            </w:div>
            <w:div w:id="1281451512">
              <w:marLeft w:val="0"/>
              <w:marRight w:val="0"/>
              <w:marTop w:val="0"/>
              <w:marBottom w:val="240"/>
              <w:divBdr>
                <w:top w:val="none" w:sz="0" w:space="0" w:color="auto"/>
                <w:left w:val="none" w:sz="0" w:space="0" w:color="auto"/>
                <w:bottom w:val="none" w:sz="0" w:space="0" w:color="auto"/>
                <w:right w:val="none" w:sz="0" w:space="0" w:color="auto"/>
              </w:divBdr>
            </w:div>
            <w:div w:id="336809381">
              <w:marLeft w:val="0"/>
              <w:marRight w:val="0"/>
              <w:marTop w:val="0"/>
              <w:marBottom w:val="240"/>
              <w:divBdr>
                <w:top w:val="none" w:sz="0" w:space="0" w:color="auto"/>
                <w:left w:val="none" w:sz="0" w:space="0" w:color="auto"/>
                <w:bottom w:val="none" w:sz="0" w:space="0" w:color="auto"/>
                <w:right w:val="none" w:sz="0" w:space="0" w:color="auto"/>
              </w:divBdr>
            </w:div>
            <w:div w:id="1267156448">
              <w:marLeft w:val="0"/>
              <w:marRight w:val="0"/>
              <w:marTop w:val="0"/>
              <w:marBottom w:val="240"/>
              <w:divBdr>
                <w:top w:val="none" w:sz="0" w:space="0" w:color="auto"/>
                <w:left w:val="none" w:sz="0" w:space="0" w:color="auto"/>
                <w:bottom w:val="none" w:sz="0" w:space="0" w:color="auto"/>
                <w:right w:val="none" w:sz="0" w:space="0" w:color="auto"/>
              </w:divBdr>
            </w:div>
            <w:div w:id="1124615874">
              <w:marLeft w:val="0"/>
              <w:marRight w:val="0"/>
              <w:marTop w:val="0"/>
              <w:marBottom w:val="240"/>
              <w:divBdr>
                <w:top w:val="none" w:sz="0" w:space="0" w:color="auto"/>
                <w:left w:val="none" w:sz="0" w:space="0" w:color="auto"/>
                <w:bottom w:val="none" w:sz="0" w:space="0" w:color="auto"/>
                <w:right w:val="none" w:sz="0" w:space="0" w:color="auto"/>
              </w:divBdr>
            </w:div>
            <w:div w:id="245502220">
              <w:marLeft w:val="0"/>
              <w:marRight w:val="0"/>
              <w:marTop w:val="0"/>
              <w:marBottom w:val="240"/>
              <w:divBdr>
                <w:top w:val="none" w:sz="0" w:space="0" w:color="auto"/>
                <w:left w:val="none" w:sz="0" w:space="0" w:color="auto"/>
                <w:bottom w:val="none" w:sz="0" w:space="0" w:color="auto"/>
                <w:right w:val="none" w:sz="0" w:space="0" w:color="auto"/>
              </w:divBdr>
            </w:div>
            <w:div w:id="417792364">
              <w:marLeft w:val="0"/>
              <w:marRight w:val="0"/>
              <w:marTop w:val="0"/>
              <w:marBottom w:val="240"/>
              <w:divBdr>
                <w:top w:val="none" w:sz="0" w:space="0" w:color="auto"/>
                <w:left w:val="none" w:sz="0" w:space="0" w:color="auto"/>
                <w:bottom w:val="none" w:sz="0" w:space="0" w:color="auto"/>
                <w:right w:val="none" w:sz="0" w:space="0" w:color="auto"/>
              </w:divBdr>
            </w:div>
            <w:div w:id="564492125">
              <w:marLeft w:val="0"/>
              <w:marRight w:val="0"/>
              <w:marTop w:val="0"/>
              <w:marBottom w:val="240"/>
              <w:divBdr>
                <w:top w:val="none" w:sz="0" w:space="0" w:color="auto"/>
                <w:left w:val="none" w:sz="0" w:space="0" w:color="auto"/>
                <w:bottom w:val="none" w:sz="0" w:space="0" w:color="auto"/>
                <w:right w:val="none" w:sz="0" w:space="0" w:color="auto"/>
              </w:divBdr>
            </w:div>
            <w:div w:id="1746758717">
              <w:marLeft w:val="0"/>
              <w:marRight w:val="0"/>
              <w:marTop w:val="0"/>
              <w:marBottom w:val="240"/>
              <w:divBdr>
                <w:top w:val="none" w:sz="0" w:space="0" w:color="auto"/>
                <w:left w:val="none" w:sz="0" w:space="0" w:color="auto"/>
                <w:bottom w:val="none" w:sz="0" w:space="0" w:color="auto"/>
                <w:right w:val="none" w:sz="0" w:space="0" w:color="auto"/>
              </w:divBdr>
            </w:div>
            <w:div w:id="243148031">
              <w:marLeft w:val="0"/>
              <w:marRight w:val="0"/>
              <w:marTop w:val="0"/>
              <w:marBottom w:val="240"/>
              <w:divBdr>
                <w:top w:val="none" w:sz="0" w:space="0" w:color="auto"/>
                <w:left w:val="none" w:sz="0" w:space="0" w:color="auto"/>
                <w:bottom w:val="none" w:sz="0" w:space="0" w:color="auto"/>
                <w:right w:val="none" w:sz="0" w:space="0" w:color="auto"/>
              </w:divBdr>
            </w:div>
            <w:div w:id="1646811058">
              <w:marLeft w:val="0"/>
              <w:marRight w:val="0"/>
              <w:marTop w:val="0"/>
              <w:marBottom w:val="240"/>
              <w:divBdr>
                <w:top w:val="none" w:sz="0" w:space="0" w:color="auto"/>
                <w:left w:val="none" w:sz="0" w:space="0" w:color="auto"/>
                <w:bottom w:val="none" w:sz="0" w:space="0" w:color="auto"/>
                <w:right w:val="none" w:sz="0" w:space="0" w:color="auto"/>
              </w:divBdr>
            </w:div>
            <w:div w:id="1921790641">
              <w:marLeft w:val="0"/>
              <w:marRight w:val="0"/>
              <w:marTop w:val="0"/>
              <w:marBottom w:val="240"/>
              <w:divBdr>
                <w:top w:val="none" w:sz="0" w:space="0" w:color="auto"/>
                <w:left w:val="none" w:sz="0" w:space="0" w:color="auto"/>
                <w:bottom w:val="none" w:sz="0" w:space="0" w:color="auto"/>
                <w:right w:val="none" w:sz="0" w:space="0" w:color="auto"/>
              </w:divBdr>
            </w:div>
            <w:div w:id="1099524765">
              <w:marLeft w:val="0"/>
              <w:marRight w:val="0"/>
              <w:marTop w:val="0"/>
              <w:marBottom w:val="240"/>
              <w:divBdr>
                <w:top w:val="none" w:sz="0" w:space="0" w:color="auto"/>
                <w:left w:val="none" w:sz="0" w:space="0" w:color="auto"/>
                <w:bottom w:val="none" w:sz="0" w:space="0" w:color="auto"/>
                <w:right w:val="none" w:sz="0" w:space="0" w:color="auto"/>
              </w:divBdr>
            </w:div>
            <w:div w:id="1000356322">
              <w:marLeft w:val="0"/>
              <w:marRight w:val="0"/>
              <w:marTop w:val="0"/>
              <w:marBottom w:val="240"/>
              <w:divBdr>
                <w:top w:val="none" w:sz="0" w:space="0" w:color="auto"/>
                <w:left w:val="none" w:sz="0" w:space="0" w:color="auto"/>
                <w:bottom w:val="none" w:sz="0" w:space="0" w:color="auto"/>
                <w:right w:val="none" w:sz="0" w:space="0" w:color="auto"/>
              </w:divBdr>
            </w:div>
            <w:div w:id="516115442">
              <w:marLeft w:val="0"/>
              <w:marRight w:val="0"/>
              <w:marTop w:val="0"/>
              <w:marBottom w:val="240"/>
              <w:divBdr>
                <w:top w:val="none" w:sz="0" w:space="0" w:color="auto"/>
                <w:left w:val="none" w:sz="0" w:space="0" w:color="auto"/>
                <w:bottom w:val="none" w:sz="0" w:space="0" w:color="auto"/>
                <w:right w:val="none" w:sz="0" w:space="0" w:color="auto"/>
              </w:divBdr>
            </w:div>
            <w:div w:id="645663173">
              <w:marLeft w:val="0"/>
              <w:marRight w:val="0"/>
              <w:marTop w:val="0"/>
              <w:marBottom w:val="240"/>
              <w:divBdr>
                <w:top w:val="none" w:sz="0" w:space="0" w:color="auto"/>
                <w:left w:val="none" w:sz="0" w:space="0" w:color="auto"/>
                <w:bottom w:val="none" w:sz="0" w:space="0" w:color="auto"/>
                <w:right w:val="none" w:sz="0" w:space="0" w:color="auto"/>
              </w:divBdr>
            </w:div>
            <w:div w:id="1345739938">
              <w:marLeft w:val="0"/>
              <w:marRight w:val="0"/>
              <w:marTop w:val="0"/>
              <w:marBottom w:val="240"/>
              <w:divBdr>
                <w:top w:val="none" w:sz="0" w:space="0" w:color="auto"/>
                <w:left w:val="none" w:sz="0" w:space="0" w:color="auto"/>
                <w:bottom w:val="none" w:sz="0" w:space="0" w:color="auto"/>
                <w:right w:val="none" w:sz="0" w:space="0" w:color="auto"/>
              </w:divBdr>
            </w:div>
            <w:div w:id="1563714318">
              <w:marLeft w:val="0"/>
              <w:marRight w:val="0"/>
              <w:marTop w:val="0"/>
              <w:marBottom w:val="240"/>
              <w:divBdr>
                <w:top w:val="none" w:sz="0" w:space="0" w:color="auto"/>
                <w:left w:val="none" w:sz="0" w:space="0" w:color="auto"/>
                <w:bottom w:val="none" w:sz="0" w:space="0" w:color="auto"/>
                <w:right w:val="none" w:sz="0" w:space="0" w:color="auto"/>
              </w:divBdr>
            </w:div>
            <w:div w:id="591545094">
              <w:marLeft w:val="0"/>
              <w:marRight w:val="0"/>
              <w:marTop w:val="0"/>
              <w:marBottom w:val="240"/>
              <w:divBdr>
                <w:top w:val="none" w:sz="0" w:space="0" w:color="auto"/>
                <w:left w:val="none" w:sz="0" w:space="0" w:color="auto"/>
                <w:bottom w:val="none" w:sz="0" w:space="0" w:color="auto"/>
                <w:right w:val="none" w:sz="0" w:space="0" w:color="auto"/>
              </w:divBdr>
            </w:div>
            <w:div w:id="1712340483">
              <w:marLeft w:val="0"/>
              <w:marRight w:val="0"/>
              <w:marTop w:val="0"/>
              <w:marBottom w:val="240"/>
              <w:divBdr>
                <w:top w:val="none" w:sz="0" w:space="0" w:color="auto"/>
                <w:left w:val="none" w:sz="0" w:space="0" w:color="auto"/>
                <w:bottom w:val="none" w:sz="0" w:space="0" w:color="auto"/>
                <w:right w:val="none" w:sz="0" w:space="0" w:color="auto"/>
              </w:divBdr>
            </w:div>
            <w:div w:id="11147436">
              <w:marLeft w:val="0"/>
              <w:marRight w:val="0"/>
              <w:marTop w:val="0"/>
              <w:marBottom w:val="240"/>
              <w:divBdr>
                <w:top w:val="none" w:sz="0" w:space="0" w:color="auto"/>
                <w:left w:val="none" w:sz="0" w:space="0" w:color="auto"/>
                <w:bottom w:val="none" w:sz="0" w:space="0" w:color="auto"/>
                <w:right w:val="none" w:sz="0" w:space="0" w:color="auto"/>
              </w:divBdr>
            </w:div>
            <w:div w:id="268657705">
              <w:marLeft w:val="0"/>
              <w:marRight w:val="0"/>
              <w:marTop w:val="0"/>
              <w:marBottom w:val="240"/>
              <w:divBdr>
                <w:top w:val="none" w:sz="0" w:space="0" w:color="auto"/>
                <w:left w:val="none" w:sz="0" w:space="0" w:color="auto"/>
                <w:bottom w:val="none" w:sz="0" w:space="0" w:color="auto"/>
                <w:right w:val="none" w:sz="0" w:space="0" w:color="auto"/>
              </w:divBdr>
            </w:div>
            <w:div w:id="729425939">
              <w:marLeft w:val="0"/>
              <w:marRight w:val="0"/>
              <w:marTop w:val="0"/>
              <w:marBottom w:val="240"/>
              <w:divBdr>
                <w:top w:val="none" w:sz="0" w:space="0" w:color="auto"/>
                <w:left w:val="none" w:sz="0" w:space="0" w:color="auto"/>
                <w:bottom w:val="none" w:sz="0" w:space="0" w:color="auto"/>
                <w:right w:val="none" w:sz="0" w:space="0" w:color="auto"/>
              </w:divBdr>
            </w:div>
            <w:div w:id="1811508488">
              <w:marLeft w:val="0"/>
              <w:marRight w:val="0"/>
              <w:marTop w:val="0"/>
              <w:marBottom w:val="240"/>
              <w:divBdr>
                <w:top w:val="none" w:sz="0" w:space="0" w:color="auto"/>
                <w:left w:val="none" w:sz="0" w:space="0" w:color="auto"/>
                <w:bottom w:val="none" w:sz="0" w:space="0" w:color="auto"/>
                <w:right w:val="none" w:sz="0" w:space="0" w:color="auto"/>
              </w:divBdr>
            </w:div>
            <w:div w:id="1795757274">
              <w:marLeft w:val="0"/>
              <w:marRight w:val="0"/>
              <w:marTop w:val="0"/>
              <w:marBottom w:val="240"/>
              <w:divBdr>
                <w:top w:val="none" w:sz="0" w:space="0" w:color="auto"/>
                <w:left w:val="none" w:sz="0" w:space="0" w:color="auto"/>
                <w:bottom w:val="none" w:sz="0" w:space="0" w:color="auto"/>
                <w:right w:val="none" w:sz="0" w:space="0" w:color="auto"/>
              </w:divBdr>
            </w:div>
            <w:div w:id="1821076202">
              <w:marLeft w:val="0"/>
              <w:marRight w:val="0"/>
              <w:marTop w:val="0"/>
              <w:marBottom w:val="240"/>
              <w:divBdr>
                <w:top w:val="none" w:sz="0" w:space="0" w:color="auto"/>
                <w:left w:val="none" w:sz="0" w:space="0" w:color="auto"/>
                <w:bottom w:val="none" w:sz="0" w:space="0" w:color="auto"/>
                <w:right w:val="none" w:sz="0" w:space="0" w:color="auto"/>
              </w:divBdr>
            </w:div>
            <w:div w:id="1242644032">
              <w:marLeft w:val="0"/>
              <w:marRight w:val="0"/>
              <w:marTop w:val="0"/>
              <w:marBottom w:val="240"/>
              <w:divBdr>
                <w:top w:val="none" w:sz="0" w:space="0" w:color="auto"/>
                <w:left w:val="none" w:sz="0" w:space="0" w:color="auto"/>
                <w:bottom w:val="none" w:sz="0" w:space="0" w:color="auto"/>
                <w:right w:val="none" w:sz="0" w:space="0" w:color="auto"/>
              </w:divBdr>
            </w:div>
            <w:div w:id="842355245">
              <w:marLeft w:val="0"/>
              <w:marRight w:val="0"/>
              <w:marTop w:val="0"/>
              <w:marBottom w:val="240"/>
              <w:divBdr>
                <w:top w:val="none" w:sz="0" w:space="0" w:color="auto"/>
                <w:left w:val="none" w:sz="0" w:space="0" w:color="auto"/>
                <w:bottom w:val="none" w:sz="0" w:space="0" w:color="auto"/>
                <w:right w:val="none" w:sz="0" w:space="0" w:color="auto"/>
              </w:divBdr>
            </w:div>
            <w:div w:id="617416474">
              <w:marLeft w:val="0"/>
              <w:marRight w:val="0"/>
              <w:marTop w:val="0"/>
              <w:marBottom w:val="240"/>
              <w:divBdr>
                <w:top w:val="none" w:sz="0" w:space="0" w:color="auto"/>
                <w:left w:val="none" w:sz="0" w:space="0" w:color="auto"/>
                <w:bottom w:val="none" w:sz="0" w:space="0" w:color="auto"/>
                <w:right w:val="none" w:sz="0" w:space="0" w:color="auto"/>
              </w:divBdr>
            </w:div>
            <w:div w:id="1976567452">
              <w:marLeft w:val="0"/>
              <w:marRight w:val="0"/>
              <w:marTop w:val="0"/>
              <w:marBottom w:val="240"/>
              <w:divBdr>
                <w:top w:val="none" w:sz="0" w:space="0" w:color="auto"/>
                <w:left w:val="none" w:sz="0" w:space="0" w:color="auto"/>
                <w:bottom w:val="none" w:sz="0" w:space="0" w:color="auto"/>
                <w:right w:val="none" w:sz="0" w:space="0" w:color="auto"/>
              </w:divBdr>
            </w:div>
            <w:div w:id="316224533">
              <w:marLeft w:val="0"/>
              <w:marRight w:val="0"/>
              <w:marTop w:val="0"/>
              <w:marBottom w:val="240"/>
              <w:divBdr>
                <w:top w:val="none" w:sz="0" w:space="0" w:color="auto"/>
                <w:left w:val="none" w:sz="0" w:space="0" w:color="auto"/>
                <w:bottom w:val="none" w:sz="0" w:space="0" w:color="auto"/>
                <w:right w:val="none" w:sz="0" w:space="0" w:color="auto"/>
              </w:divBdr>
            </w:div>
            <w:div w:id="507604176">
              <w:marLeft w:val="0"/>
              <w:marRight w:val="0"/>
              <w:marTop w:val="0"/>
              <w:marBottom w:val="240"/>
              <w:divBdr>
                <w:top w:val="none" w:sz="0" w:space="0" w:color="auto"/>
                <w:left w:val="none" w:sz="0" w:space="0" w:color="auto"/>
                <w:bottom w:val="none" w:sz="0" w:space="0" w:color="auto"/>
                <w:right w:val="none" w:sz="0" w:space="0" w:color="auto"/>
              </w:divBdr>
            </w:div>
            <w:div w:id="557939233">
              <w:marLeft w:val="0"/>
              <w:marRight w:val="0"/>
              <w:marTop w:val="0"/>
              <w:marBottom w:val="240"/>
              <w:divBdr>
                <w:top w:val="none" w:sz="0" w:space="0" w:color="auto"/>
                <w:left w:val="none" w:sz="0" w:space="0" w:color="auto"/>
                <w:bottom w:val="none" w:sz="0" w:space="0" w:color="auto"/>
                <w:right w:val="none" w:sz="0" w:space="0" w:color="auto"/>
              </w:divBdr>
            </w:div>
            <w:div w:id="1604268515">
              <w:marLeft w:val="0"/>
              <w:marRight w:val="0"/>
              <w:marTop w:val="0"/>
              <w:marBottom w:val="240"/>
              <w:divBdr>
                <w:top w:val="none" w:sz="0" w:space="0" w:color="auto"/>
                <w:left w:val="none" w:sz="0" w:space="0" w:color="auto"/>
                <w:bottom w:val="none" w:sz="0" w:space="0" w:color="auto"/>
                <w:right w:val="none" w:sz="0" w:space="0" w:color="auto"/>
              </w:divBdr>
            </w:div>
            <w:div w:id="1454904780">
              <w:marLeft w:val="0"/>
              <w:marRight w:val="0"/>
              <w:marTop w:val="0"/>
              <w:marBottom w:val="240"/>
              <w:divBdr>
                <w:top w:val="none" w:sz="0" w:space="0" w:color="auto"/>
                <w:left w:val="none" w:sz="0" w:space="0" w:color="auto"/>
                <w:bottom w:val="none" w:sz="0" w:space="0" w:color="auto"/>
                <w:right w:val="none" w:sz="0" w:space="0" w:color="auto"/>
              </w:divBdr>
            </w:div>
            <w:div w:id="929386781">
              <w:marLeft w:val="0"/>
              <w:marRight w:val="0"/>
              <w:marTop w:val="0"/>
              <w:marBottom w:val="240"/>
              <w:divBdr>
                <w:top w:val="none" w:sz="0" w:space="0" w:color="auto"/>
                <w:left w:val="none" w:sz="0" w:space="0" w:color="auto"/>
                <w:bottom w:val="none" w:sz="0" w:space="0" w:color="auto"/>
                <w:right w:val="none" w:sz="0" w:space="0" w:color="auto"/>
              </w:divBdr>
            </w:div>
            <w:div w:id="1615289811">
              <w:marLeft w:val="0"/>
              <w:marRight w:val="0"/>
              <w:marTop w:val="0"/>
              <w:marBottom w:val="240"/>
              <w:divBdr>
                <w:top w:val="none" w:sz="0" w:space="0" w:color="auto"/>
                <w:left w:val="none" w:sz="0" w:space="0" w:color="auto"/>
                <w:bottom w:val="none" w:sz="0" w:space="0" w:color="auto"/>
                <w:right w:val="none" w:sz="0" w:space="0" w:color="auto"/>
              </w:divBdr>
            </w:div>
            <w:div w:id="211381279">
              <w:marLeft w:val="0"/>
              <w:marRight w:val="0"/>
              <w:marTop w:val="0"/>
              <w:marBottom w:val="240"/>
              <w:divBdr>
                <w:top w:val="none" w:sz="0" w:space="0" w:color="auto"/>
                <w:left w:val="none" w:sz="0" w:space="0" w:color="auto"/>
                <w:bottom w:val="none" w:sz="0" w:space="0" w:color="auto"/>
                <w:right w:val="none" w:sz="0" w:space="0" w:color="auto"/>
              </w:divBdr>
            </w:div>
            <w:div w:id="69932254">
              <w:marLeft w:val="0"/>
              <w:marRight w:val="0"/>
              <w:marTop w:val="0"/>
              <w:marBottom w:val="240"/>
              <w:divBdr>
                <w:top w:val="none" w:sz="0" w:space="0" w:color="auto"/>
                <w:left w:val="none" w:sz="0" w:space="0" w:color="auto"/>
                <w:bottom w:val="none" w:sz="0" w:space="0" w:color="auto"/>
                <w:right w:val="none" w:sz="0" w:space="0" w:color="auto"/>
              </w:divBdr>
            </w:div>
            <w:div w:id="182716376">
              <w:marLeft w:val="0"/>
              <w:marRight w:val="0"/>
              <w:marTop w:val="0"/>
              <w:marBottom w:val="240"/>
              <w:divBdr>
                <w:top w:val="none" w:sz="0" w:space="0" w:color="auto"/>
                <w:left w:val="none" w:sz="0" w:space="0" w:color="auto"/>
                <w:bottom w:val="none" w:sz="0" w:space="0" w:color="auto"/>
                <w:right w:val="none" w:sz="0" w:space="0" w:color="auto"/>
              </w:divBdr>
            </w:div>
            <w:div w:id="1641500073">
              <w:marLeft w:val="0"/>
              <w:marRight w:val="0"/>
              <w:marTop w:val="0"/>
              <w:marBottom w:val="240"/>
              <w:divBdr>
                <w:top w:val="none" w:sz="0" w:space="0" w:color="auto"/>
                <w:left w:val="none" w:sz="0" w:space="0" w:color="auto"/>
                <w:bottom w:val="none" w:sz="0" w:space="0" w:color="auto"/>
                <w:right w:val="none" w:sz="0" w:space="0" w:color="auto"/>
              </w:divBdr>
            </w:div>
            <w:div w:id="1804425694">
              <w:marLeft w:val="0"/>
              <w:marRight w:val="0"/>
              <w:marTop w:val="0"/>
              <w:marBottom w:val="240"/>
              <w:divBdr>
                <w:top w:val="none" w:sz="0" w:space="0" w:color="auto"/>
                <w:left w:val="none" w:sz="0" w:space="0" w:color="auto"/>
                <w:bottom w:val="none" w:sz="0" w:space="0" w:color="auto"/>
                <w:right w:val="none" w:sz="0" w:space="0" w:color="auto"/>
              </w:divBdr>
            </w:div>
            <w:div w:id="1141925788">
              <w:marLeft w:val="0"/>
              <w:marRight w:val="0"/>
              <w:marTop w:val="0"/>
              <w:marBottom w:val="240"/>
              <w:divBdr>
                <w:top w:val="none" w:sz="0" w:space="0" w:color="auto"/>
                <w:left w:val="none" w:sz="0" w:space="0" w:color="auto"/>
                <w:bottom w:val="none" w:sz="0" w:space="0" w:color="auto"/>
                <w:right w:val="none" w:sz="0" w:space="0" w:color="auto"/>
              </w:divBdr>
            </w:div>
            <w:div w:id="1877891202">
              <w:marLeft w:val="0"/>
              <w:marRight w:val="0"/>
              <w:marTop w:val="0"/>
              <w:marBottom w:val="240"/>
              <w:divBdr>
                <w:top w:val="none" w:sz="0" w:space="0" w:color="auto"/>
                <w:left w:val="none" w:sz="0" w:space="0" w:color="auto"/>
                <w:bottom w:val="none" w:sz="0" w:space="0" w:color="auto"/>
                <w:right w:val="none" w:sz="0" w:space="0" w:color="auto"/>
              </w:divBdr>
            </w:div>
            <w:div w:id="601642227">
              <w:marLeft w:val="0"/>
              <w:marRight w:val="0"/>
              <w:marTop w:val="0"/>
              <w:marBottom w:val="240"/>
              <w:divBdr>
                <w:top w:val="none" w:sz="0" w:space="0" w:color="auto"/>
                <w:left w:val="none" w:sz="0" w:space="0" w:color="auto"/>
                <w:bottom w:val="none" w:sz="0" w:space="0" w:color="auto"/>
                <w:right w:val="none" w:sz="0" w:space="0" w:color="auto"/>
              </w:divBdr>
            </w:div>
            <w:div w:id="474955228">
              <w:marLeft w:val="0"/>
              <w:marRight w:val="0"/>
              <w:marTop w:val="0"/>
              <w:marBottom w:val="240"/>
              <w:divBdr>
                <w:top w:val="none" w:sz="0" w:space="0" w:color="auto"/>
                <w:left w:val="none" w:sz="0" w:space="0" w:color="auto"/>
                <w:bottom w:val="none" w:sz="0" w:space="0" w:color="auto"/>
                <w:right w:val="none" w:sz="0" w:space="0" w:color="auto"/>
              </w:divBdr>
            </w:div>
            <w:div w:id="881943920">
              <w:marLeft w:val="0"/>
              <w:marRight w:val="0"/>
              <w:marTop w:val="0"/>
              <w:marBottom w:val="240"/>
              <w:divBdr>
                <w:top w:val="none" w:sz="0" w:space="0" w:color="auto"/>
                <w:left w:val="none" w:sz="0" w:space="0" w:color="auto"/>
                <w:bottom w:val="none" w:sz="0" w:space="0" w:color="auto"/>
                <w:right w:val="none" w:sz="0" w:space="0" w:color="auto"/>
              </w:divBdr>
            </w:div>
            <w:div w:id="433718840">
              <w:marLeft w:val="0"/>
              <w:marRight w:val="0"/>
              <w:marTop w:val="0"/>
              <w:marBottom w:val="240"/>
              <w:divBdr>
                <w:top w:val="none" w:sz="0" w:space="0" w:color="auto"/>
                <w:left w:val="none" w:sz="0" w:space="0" w:color="auto"/>
                <w:bottom w:val="none" w:sz="0" w:space="0" w:color="auto"/>
                <w:right w:val="none" w:sz="0" w:space="0" w:color="auto"/>
              </w:divBdr>
            </w:div>
            <w:div w:id="183447298">
              <w:marLeft w:val="0"/>
              <w:marRight w:val="0"/>
              <w:marTop w:val="0"/>
              <w:marBottom w:val="240"/>
              <w:divBdr>
                <w:top w:val="none" w:sz="0" w:space="0" w:color="auto"/>
                <w:left w:val="none" w:sz="0" w:space="0" w:color="auto"/>
                <w:bottom w:val="none" w:sz="0" w:space="0" w:color="auto"/>
                <w:right w:val="none" w:sz="0" w:space="0" w:color="auto"/>
              </w:divBdr>
            </w:div>
            <w:div w:id="139462961">
              <w:marLeft w:val="0"/>
              <w:marRight w:val="0"/>
              <w:marTop w:val="0"/>
              <w:marBottom w:val="240"/>
              <w:divBdr>
                <w:top w:val="none" w:sz="0" w:space="0" w:color="auto"/>
                <w:left w:val="none" w:sz="0" w:space="0" w:color="auto"/>
                <w:bottom w:val="none" w:sz="0" w:space="0" w:color="auto"/>
                <w:right w:val="none" w:sz="0" w:space="0" w:color="auto"/>
              </w:divBdr>
            </w:div>
            <w:div w:id="860238316">
              <w:marLeft w:val="0"/>
              <w:marRight w:val="0"/>
              <w:marTop w:val="0"/>
              <w:marBottom w:val="240"/>
              <w:divBdr>
                <w:top w:val="none" w:sz="0" w:space="0" w:color="auto"/>
                <w:left w:val="none" w:sz="0" w:space="0" w:color="auto"/>
                <w:bottom w:val="none" w:sz="0" w:space="0" w:color="auto"/>
                <w:right w:val="none" w:sz="0" w:space="0" w:color="auto"/>
              </w:divBdr>
            </w:div>
            <w:div w:id="945314160">
              <w:marLeft w:val="0"/>
              <w:marRight w:val="0"/>
              <w:marTop w:val="0"/>
              <w:marBottom w:val="240"/>
              <w:divBdr>
                <w:top w:val="none" w:sz="0" w:space="0" w:color="auto"/>
                <w:left w:val="none" w:sz="0" w:space="0" w:color="auto"/>
                <w:bottom w:val="none" w:sz="0" w:space="0" w:color="auto"/>
                <w:right w:val="none" w:sz="0" w:space="0" w:color="auto"/>
              </w:divBdr>
            </w:div>
            <w:div w:id="993338124">
              <w:marLeft w:val="0"/>
              <w:marRight w:val="0"/>
              <w:marTop w:val="0"/>
              <w:marBottom w:val="240"/>
              <w:divBdr>
                <w:top w:val="none" w:sz="0" w:space="0" w:color="auto"/>
                <w:left w:val="none" w:sz="0" w:space="0" w:color="auto"/>
                <w:bottom w:val="none" w:sz="0" w:space="0" w:color="auto"/>
                <w:right w:val="none" w:sz="0" w:space="0" w:color="auto"/>
              </w:divBdr>
            </w:div>
            <w:div w:id="185751887">
              <w:marLeft w:val="0"/>
              <w:marRight w:val="0"/>
              <w:marTop w:val="0"/>
              <w:marBottom w:val="240"/>
              <w:divBdr>
                <w:top w:val="none" w:sz="0" w:space="0" w:color="auto"/>
                <w:left w:val="none" w:sz="0" w:space="0" w:color="auto"/>
                <w:bottom w:val="none" w:sz="0" w:space="0" w:color="auto"/>
                <w:right w:val="none" w:sz="0" w:space="0" w:color="auto"/>
              </w:divBdr>
            </w:div>
            <w:div w:id="1633173418">
              <w:marLeft w:val="0"/>
              <w:marRight w:val="0"/>
              <w:marTop w:val="0"/>
              <w:marBottom w:val="240"/>
              <w:divBdr>
                <w:top w:val="none" w:sz="0" w:space="0" w:color="auto"/>
                <w:left w:val="none" w:sz="0" w:space="0" w:color="auto"/>
                <w:bottom w:val="none" w:sz="0" w:space="0" w:color="auto"/>
                <w:right w:val="none" w:sz="0" w:space="0" w:color="auto"/>
              </w:divBdr>
            </w:div>
            <w:div w:id="1709644170">
              <w:marLeft w:val="0"/>
              <w:marRight w:val="0"/>
              <w:marTop w:val="0"/>
              <w:marBottom w:val="240"/>
              <w:divBdr>
                <w:top w:val="none" w:sz="0" w:space="0" w:color="auto"/>
                <w:left w:val="none" w:sz="0" w:space="0" w:color="auto"/>
                <w:bottom w:val="none" w:sz="0" w:space="0" w:color="auto"/>
                <w:right w:val="none" w:sz="0" w:space="0" w:color="auto"/>
              </w:divBdr>
            </w:div>
            <w:div w:id="1699237798">
              <w:marLeft w:val="0"/>
              <w:marRight w:val="0"/>
              <w:marTop w:val="0"/>
              <w:marBottom w:val="240"/>
              <w:divBdr>
                <w:top w:val="none" w:sz="0" w:space="0" w:color="auto"/>
                <w:left w:val="none" w:sz="0" w:space="0" w:color="auto"/>
                <w:bottom w:val="none" w:sz="0" w:space="0" w:color="auto"/>
                <w:right w:val="none" w:sz="0" w:space="0" w:color="auto"/>
              </w:divBdr>
            </w:div>
            <w:div w:id="1031883416">
              <w:marLeft w:val="0"/>
              <w:marRight w:val="0"/>
              <w:marTop w:val="0"/>
              <w:marBottom w:val="240"/>
              <w:divBdr>
                <w:top w:val="none" w:sz="0" w:space="0" w:color="auto"/>
                <w:left w:val="none" w:sz="0" w:space="0" w:color="auto"/>
                <w:bottom w:val="none" w:sz="0" w:space="0" w:color="auto"/>
                <w:right w:val="none" w:sz="0" w:space="0" w:color="auto"/>
              </w:divBdr>
            </w:div>
            <w:div w:id="1285575637">
              <w:marLeft w:val="0"/>
              <w:marRight w:val="0"/>
              <w:marTop w:val="0"/>
              <w:marBottom w:val="240"/>
              <w:divBdr>
                <w:top w:val="none" w:sz="0" w:space="0" w:color="auto"/>
                <w:left w:val="none" w:sz="0" w:space="0" w:color="auto"/>
                <w:bottom w:val="none" w:sz="0" w:space="0" w:color="auto"/>
                <w:right w:val="none" w:sz="0" w:space="0" w:color="auto"/>
              </w:divBdr>
            </w:div>
            <w:div w:id="858470421">
              <w:marLeft w:val="0"/>
              <w:marRight w:val="0"/>
              <w:marTop w:val="0"/>
              <w:marBottom w:val="240"/>
              <w:divBdr>
                <w:top w:val="none" w:sz="0" w:space="0" w:color="auto"/>
                <w:left w:val="none" w:sz="0" w:space="0" w:color="auto"/>
                <w:bottom w:val="none" w:sz="0" w:space="0" w:color="auto"/>
                <w:right w:val="none" w:sz="0" w:space="0" w:color="auto"/>
              </w:divBdr>
            </w:div>
            <w:div w:id="566958560">
              <w:marLeft w:val="0"/>
              <w:marRight w:val="0"/>
              <w:marTop w:val="0"/>
              <w:marBottom w:val="240"/>
              <w:divBdr>
                <w:top w:val="none" w:sz="0" w:space="0" w:color="auto"/>
                <w:left w:val="none" w:sz="0" w:space="0" w:color="auto"/>
                <w:bottom w:val="none" w:sz="0" w:space="0" w:color="auto"/>
                <w:right w:val="none" w:sz="0" w:space="0" w:color="auto"/>
              </w:divBdr>
            </w:div>
            <w:div w:id="693843484">
              <w:marLeft w:val="0"/>
              <w:marRight w:val="0"/>
              <w:marTop w:val="0"/>
              <w:marBottom w:val="240"/>
              <w:divBdr>
                <w:top w:val="none" w:sz="0" w:space="0" w:color="auto"/>
                <w:left w:val="none" w:sz="0" w:space="0" w:color="auto"/>
                <w:bottom w:val="none" w:sz="0" w:space="0" w:color="auto"/>
                <w:right w:val="none" w:sz="0" w:space="0" w:color="auto"/>
              </w:divBdr>
            </w:div>
            <w:div w:id="1535802549">
              <w:marLeft w:val="0"/>
              <w:marRight w:val="0"/>
              <w:marTop w:val="0"/>
              <w:marBottom w:val="240"/>
              <w:divBdr>
                <w:top w:val="none" w:sz="0" w:space="0" w:color="auto"/>
                <w:left w:val="none" w:sz="0" w:space="0" w:color="auto"/>
                <w:bottom w:val="none" w:sz="0" w:space="0" w:color="auto"/>
                <w:right w:val="none" w:sz="0" w:space="0" w:color="auto"/>
              </w:divBdr>
            </w:div>
            <w:div w:id="1728920362">
              <w:marLeft w:val="0"/>
              <w:marRight w:val="0"/>
              <w:marTop w:val="0"/>
              <w:marBottom w:val="240"/>
              <w:divBdr>
                <w:top w:val="none" w:sz="0" w:space="0" w:color="auto"/>
                <w:left w:val="none" w:sz="0" w:space="0" w:color="auto"/>
                <w:bottom w:val="none" w:sz="0" w:space="0" w:color="auto"/>
                <w:right w:val="none" w:sz="0" w:space="0" w:color="auto"/>
              </w:divBdr>
            </w:div>
            <w:div w:id="1614481015">
              <w:marLeft w:val="0"/>
              <w:marRight w:val="0"/>
              <w:marTop w:val="0"/>
              <w:marBottom w:val="240"/>
              <w:divBdr>
                <w:top w:val="none" w:sz="0" w:space="0" w:color="auto"/>
                <w:left w:val="none" w:sz="0" w:space="0" w:color="auto"/>
                <w:bottom w:val="none" w:sz="0" w:space="0" w:color="auto"/>
                <w:right w:val="none" w:sz="0" w:space="0" w:color="auto"/>
              </w:divBdr>
            </w:div>
            <w:div w:id="35929191">
              <w:marLeft w:val="0"/>
              <w:marRight w:val="0"/>
              <w:marTop w:val="0"/>
              <w:marBottom w:val="240"/>
              <w:divBdr>
                <w:top w:val="none" w:sz="0" w:space="0" w:color="auto"/>
                <w:left w:val="none" w:sz="0" w:space="0" w:color="auto"/>
                <w:bottom w:val="none" w:sz="0" w:space="0" w:color="auto"/>
                <w:right w:val="none" w:sz="0" w:space="0" w:color="auto"/>
              </w:divBdr>
            </w:div>
            <w:div w:id="1583104816">
              <w:marLeft w:val="0"/>
              <w:marRight w:val="0"/>
              <w:marTop w:val="0"/>
              <w:marBottom w:val="240"/>
              <w:divBdr>
                <w:top w:val="none" w:sz="0" w:space="0" w:color="auto"/>
                <w:left w:val="none" w:sz="0" w:space="0" w:color="auto"/>
                <w:bottom w:val="none" w:sz="0" w:space="0" w:color="auto"/>
                <w:right w:val="none" w:sz="0" w:space="0" w:color="auto"/>
              </w:divBdr>
            </w:div>
            <w:div w:id="605387383">
              <w:marLeft w:val="0"/>
              <w:marRight w:val="0"/>
              <w:marTop w:val="0"/>
              <w:marBottom w:val="240"/>
              <w:divBdr>
                <w:top w:val="none" w:sz="0" w:space="0" w:color="auto"/>
                <w:left w:val="none" w:sz="0" w:space="0" w:color="auto"/>
                <w:bottom w:val="none" w:sz="0" w:space="0" w:color="auto"/>
                <w:right w:val="none" w:sz="0" w:space="0" w:color="auto"/>
              </w:divBdr>
            </w:div>
            <w:div w:id="1634216116">
              <w:marLeft w:val="0"/>
              <w:marRight w:val="0"/>
              <w:marTop w:val="0"/>
              <w:marBottom w:val="240"/>
              <w:divBdr>
                <w:top w:val="none" w:sz="0" w:space="0" w:color="auto"/>
                <w:left w:val="none" w:sz="0" w:space="0" w:color="auto"/>
                <w:bottom w:val="none" w:sz="0" w:space="0" w:color="auto"/>
                <w:right w:val="none" w:sz="0" w:space="0" w:color="auto"/>
              </w:divBdr>
            </w:div>
            <w:div w:id="627593515">
              <w:marLeft w:val="0"/>
              <w:marRight w:val="0"/>
              <w:marTop w:val="0"/>
              <w:marBottom w:val="240"/>
              <w:divBdr>
                <w:top w:val="none" w:sz="0" w:space="0" w:color="auto"/>
                <w:left w:val="none" w:sz="0" w:space="0" w:color="auto"/>
                <w:bottom w:val="none" w:sz="0" w:space="0" w:color="auto"/>
                <w:right w:val="none" w:sz="0" w:space="0" w:color="auto"/>
              </w:divBdr>
            </w:div>
            <w:div w:id="182745644">
              <w:marLeft w:val="0"/>
              <w:marRight w:val="0"/>
              <w:marTop w:val="0"/>
              <w:marBottom w:val="240"/>
              <w:divBdr>
                <w:top w:val="none" w:sz="0" w:space="0" w:color="auto"/>
                <w:left w:val="none" w:sz="0" w:space="0" w:color="auto"/>
                <w:bottom w:val="none" w:sz="0" w:space="0" w:color="auto"/>
                <w:right w:val="none" w:sz="0" w:space="0" w:color="auto"/>
              </w:divBdr>
            </w:div>
            <w:div w:id="391737583">
              <w:marLeft w:val="0"/>
              <w:marRight w:val="0"/>
              <w:marTop w:val="0"/>
              <w:marBottom w:val="240"/>
              <w:divBdr>
                <w:top w:val="none" w:sz="0" w:space="0" w:color="auto"/>
                <w:left w:val="none" w:sz="0" w:space="0" w:color="auto"/>
                <w:bottom w:val="none" w:sz="0" w:space="0" w:color="auto"/>
                <w:right w:val="none" w:sz="0" w:space="0" w:color="auto"/>
              </w:divBdr>
            </w:div>
            <w:div w:id="549998752">
              <w:marLeft w:val="0"/>
              <w:marRight w:val="0"/>
              <w:marTop w:val="0"/>
              <w:marBottom w:val="240"/>
              <w:divBdr>
                <w:top w:val="none" w:sz="0" w:space="0" w:color="auto"/>
                <w:left w:val="none" w:sz="0" w:space="0" w:color="auto"/>
                <w:bottom w:val="none" w:sz="0" w:space="0" w:color="auto"/>
                <w:right w:val="none" w:sz="0" w:space="0" w:color="auto"/>
              </w:divBdr>
            </w:div>
            <w:div w:id="1001588120">
              <w:marLeft w:val="0"/>
              <w:marRight w:val="0"/>
              <w:marTop w:val="0"/>
              <w:marBottom w:val="240"/>
              <w:divBdr>
                <w:top w:val="none" w:sz="0" w:space="0" w:color="auto"/>
                <w:left w:val="none" w:sz="0" w:space="0" w:color="auto"/>
                <w:bottom w:val="none" w:sz="0" w:space="0" w:color="auto"/>
                <w:right w:val="none" w:sz="0" w:space="0" w:color="auto"/>
              </w:divBdr>
            </w:div>
            <w:div w:id="426462259">
              <w:marLeft w:val="0"/>
              <w:marRight w:val="0"/>
              <w:marTop w:val="0"/>
              <w:marBottom w:val="240"/>
              <w:divBdr>
                <w:top w:val="none" w:sz="0" w:space="0" w:color="auto"/>
                <w:left w:val="none" w:sz="0" w:space="0" w:color="auto"/>
                <w:bottom w:val="none" w:sz="0" w:space="0" w:color="auto"/>
                <w:right w:val="none" w:sz="0" w:space="0" w:color="auto"/>
              </w:divBdr>
            </w:div>
            <w:div w:id="1380394342">
              <w:marLeft w:val="0"/>
              <w:marRight w:val="0"/>
              <w:marTop w:val="0"/>
              <w:marBottom w:val="240"/>
              <w:divBdr>
                <w:top w:val="none" w:sz="0" w:space="0" w:color="auto"/>
                <w:left w:val="none" w:sz="0" w:space="0" w:color="auto"/>
                <w:bottom w:val="none" w:sz="0" w:space="0" w:color="auto"/>
                <w:right w:val="none" w:sz="0" w:space="0" w:color="auto"/>
              </w:divBdr>
            </w:div>
            <w:div w:id="1458715110">
              <w:marLeft w:val="0"/>
              <w:marRight w:val="0"/>
              <w:marTop w:val="0"/>
              <w:marBottom w:val="240"/>
              <w:divBdr>
                <w:top w:val="none" w:sz="0" w:space="0" w:color="auto"/>
                <w:left w:val="none" w:sz="0" w:space="0" w:color="auto"/>
                <w:bottom w:val="none" w:sz="0" w:space="0" w:color="auto"/>
                <w:right w:val="none" w:sz="0" w:space="0" w:color="auto"/>
              </w:divBdr>
            </w:div>
            <w:div w:id="1357266759">
              <w:marLeft w:val="0"/>
              <w:marRight w:val="0"/>
              <w:marTop w:val="0"/>
              <w:marBottom w:val="240"/>
              <w:divBdr>
                <w:top w:val="none" w:sz="0" w:space="0" w:color="auto"/>
                <w:left w:val="none" w:sz="0" w:space="0" w:color="auto"/>
                <w:bottom w:val="none" w:sz="0" w:space="0" w:color="auto"/>
                <w:right w:val="none" w:sz="0" w:space="0" w:color="auto"/>
              </w:divBdr>
            </w:div>
            <w:div w:id="442310431">
              <w:marLeft w:val="0"/>
              <w:marRight w:val="0"/>
              <w:marTop w:val="0"/>
              <w:marBottom w:val="240"/>
              <w:divBdr>
                <w:top w:val="none" w:sz="0" w:space="0" w:color="auto"/>
                <w:left w:val="none" w:sz="0" w:space="0" w:color="auto"/>
                <w:bottom w:val="none" w:sz="0" w:space="0" w:color="auto"/>
                <w:right w:val="none" w:sz="0" w:space="0" w:color="auto"/>
              </w:divBdr>
            </w:div>
            <w:div w:id="2026903830">
              <w:marLeft w:val="0"/>
              <w:marRight w:val="0"/>
              <w:marTop w:val="0"/>
              <w:marBottom w:val="240"/>
              <w:divBdr>
                <w:top w:val="none" w:sz="0" w:space="0" w:color="auto"/>
                <w:left w:val="none" w:sz="0" w:space="0" w:color="auto"/>
                <w:bottom w:val="none" w:sz="0" w:space="0" w:color="auto"/>
                <w:right w:val="none" w:sz="0" w:space="0" w:color="auto"/>
              </w:divBdr>
            </w:div>
            <w:div w:id="1812402197">
              <w:marLeft w:val="0"/>
              <w:marRight w:val="0"/>
              <w:marTop w:val="0"/>
              <w:marBottom w:val="240"/>
              <w:divBdr>
                <w:top w:val="none" w:sz="0" w:space="0" w:color="auto"/>
                <w:left w:val="none" w:sz="0" w:space="0" w:color="auto"/>
                <w:bottom w:val="none" w:sz="0" w:space="0" w:color="auto"/>
                <w:right w:val="none" w:sz="0" w:space="0" w:color="auto"/>
              </w:divBdr>
            </w:div>
            <w:div w:id="242570611">
              <w:marLeft w:val="0"/>
              <w:marRight w:val="0"/>
              <w:marTop w:val="0"/>
              <w:marBottom w:val="240"/>
              <w:divBdr>
                <w:top w:val="none" w:sz="0" w:space="0" w:color="auto"/>
                <w:left w:val="none" w:sz="0" w:space="0" w:color="auto"/>
                <w:bottom w:val="none" w:sz="0" w:space="0" w:color="auto"/>
                <w:right w:val="none" w:sz="0" w:space="0" w:color="auto"/>
              </w:divBdr>
            </w:div>
            <w:div w:id="903947955">
              <w:marLeft w:val="0"/>
              <w:marRight w:val="0"/>
              <w:marTop w:val="0"/>
              <w:marBottom w:val="240"/>
              <w:divBdr>
                <w:top w:val="none" w:sz="0" w:space="0" w:color="auto"/>
                <w:left w:val="none" w:sz="0" w:space="0" w:color="auto"/>
                <w:bottom w:val="none" w:sz="0" w:space="0" w:color="auto"/>
                <w:right w:val="none" w:sz="0" w:space="0" w:color="auto"/>
              </w:divBdr>
            </w:div>
            <w:div w:id="1190492126">
              <w:marLeft w:val="0"/>
              <w:marRight w:val="0"/>
              <w:marTop w:val="0"/>
              <w:marBottom w:val="240"/>
              <w:divBdr>
                <w:top w:val="none" w:sz="0" w:space="0" w:color="auto"/>
                <w:left w:val="none" w:sz="0" w:space="0" w:color="auto"/>
                <w:bottom w:val="none" w:sz="0" w:space="0" w:color="auto"/>
                <w:right w:val="none" w:sz="0" w:space="0" w:color="auto"/>
              </w:divBdr>
            </w:div>
            <w:div w:id="579755457">
              <w:marLeft w:val="0"/>
              <w:marRight w:val="0"/>
              <w:marTop w:val="0"/>
              <w:marBottom w:val="240"/>
              <w:divBdr>
                <w:top w:val="none" w:sz="0" w:space="0" w:color="auto"/>
                <w:left w:val="none" w:sz="0" w:space="0" w:color="auto"/>
                <w:bottom w:val="none" w:sz="0" w:space="0" w:color="auto"/>
                <w:right w:val="none" w:sz="0" w:space="0" w:color="auto"/>
              </w:divBdr>
            </w:div>
            <w:div w:id="1278369180">
              <w:marLeft w:val="0"/>
              <w:marRight w:val="0"/>
              <w:marTop w:val="0"/>
              <w:marBottom w:val="240"/>
              <w:divBdr>
                <w:top w:val="none" w:sz="0" w:space="0" w:color="auto"/>
                <w:left w:val="none" w:sz="0" w:space="0" w:color="auto"/>
                <w:bottom w:val="none" w:sz="0" w:space="0" w:color="auto"/>
                <w:right w:val="none" w:sz="0" w:space="0" w:color="auto"/>
              </w:divBdr>
            </w:div>
            <w:div w:id="1334190198">
              <w:marLeft w:val="0"/>
              <w:marRight w:val="0"/>
              <w:marTop w:val="0"/>
              <w:marBottom w:val="240"/>
              <w:divBdr>
                <w:top w:val="none" w:sz="0" w:space="0" w:color="auto"/>
                <w:left w:val="none" w:sz="0" w:space="0" w:color="auto"/>
                <w:bottom w:val="none" w:sz="0" w:space="0" w:color="auto"/>
                <w:right w:val="none" w:sz="0" w:space="0" w:color="auto"/>
              </w:divBdr>
            </w:div>
            <w:div w:id="1830708579">
              <w:marLeft w:val="0"/>
              <w:marRight w:val="0"/>
              <w:marTop w:val="0"/>
              <w:marBottom w:val="240"/>
              <w:divBdr>
                <w:top w:val="none" w:sz="0" w:space="0" w:color="auto"/>
                <w:left w:val="none" w:sz="0" w:space="0" w:color="auto"/>
                <w:bottom w:val="none" w:sz="0" w:space="0" w:color="auto"/>
                <w:right w:val="none" w:sz="0" w:space="0" w:color="auto"/>
              </w:divBdr>
            </w:div>
            <w:div w:id="653338323">
              <w:marLeft w:val="0"/>
              <w:marRight w:val="0"/>
              <w:marTop w:val="0"/>
              <w:marBottom w:val="240"/>
              <w:divBdr>
                <w:top w:val="none" w:sz="0" w:space="0" w:color="auto"/>
                <w:left w:val="none" w:sz="0" w:space="0" w:color="auto"/>
                <w:bottom w:val="none" w:sz="0" w:space="0" w:color="auto"/>
                <w:right w:val="none" w:sz="0" w:space="0" w:color="auto"/>
              </w:divBdr>
            </w:div>
            <w:div w:id="2072725199">
              <w:marLeft w:val="0"/>
              <w:marRight w:val="0"/>
              <w:marTop w:val="0"/>
              <w:marBottom w:val="240"/>
              <w:divBdr>
                <w:top w:val="none" w:sz="0" w:space="0" w:color="auto"/>
                <w:left w:val="none" w:sz="0" w:space="0" w:color="auto"/>
                <w:bottom w:val="none" w:sz="0" w:space="0" w:color="auto"/>
                <w:right w:val="none" w:sz="0" w:space="0" w:color="auto"/>
              </w:divBdr>
            </w:div>
            <w:div w:id="2112897961">
              <w:marLeft w:val="0"/>
              <w:marRight w:val="0"/>
              <w:marTop w:val="0"/>
              <w:marBottom w:val="240"/>
              <w:divBdr>
                <w:top w:val="none" w:sz="0" w:space="0" w:color="auto"/>
                <w:left w:val="none" w:sz="0" w:space="0" w:color="auto"/>
                <w:bottom w:val="none" w:sz="0" w:space="0" w:color="auto"/>
                <w:right w:val="none" w:sz="0" w:space="0" w:color="auto"/>
              </w:divBdr>
            </w:div>
            <w:div w:id="914775871">
              <w:marLeft w:val="0"/>
              <w:marRight w:val="0"/>
              <w:marTop w:val="0"/>
              <w:marBottom w:val="240"/>
              <w:divBdr>
                <w:top w:val="none" w:sz="0" w:space="0" w:color="auto"/>
                <w:left w:val="none" w:sz="0" w:space="0" w:color="auto"/>
                <w:bottom w:val="none" w:sz="0" w:space="0" w:color="auto"/>
                <w:right w:val="none" w:sz="0" w:space="0" w:color="auto"/>
              </w:divBdr>
            </w:div>
            <w:div w:id="332298763">
              <w:marLeft w:val="0"/>
              <w:marRight w:val="0"/>
              <w:marTop w:val="0"/>
              <w:marBottom w:val="240"/>
              <w:divBdr>
                <w:top w:val="none" w:sz="0" w:space="0" w:color="auto"/>
                <w:left w:val="none" w:sz="0" w:space="0" w:color="auto"/>
                <w:bottom w:val="none" w:sz="0" w:space="0" w:color="auto"/>
                <w:right w:val="none" w:sz="0" w:space="0" w:color="auto"/>
              </w:divBdr>
            </w:div>
            <w:div w:id="731999397">
              <w:marLeft w:val="0"/>
              <w:marRight w:val="0"/>
              <w:marTop w:val="0"/>
              <w:marBottom w:val="240"/>
              <w:divBdr>
                <w:top w:val="none" w:sz="0" w:space="0" w:color="auto"/>
                <w:left w:val="none" w:sz="0" w:space="0" w:color="auto"/>
                <w:bottom w:val="none" w:sz="0" w:space="0" w:color="auto"/>
                <w:right w:val="none" w:sz="0" w:space="0" w:color="auto"/>
              </w:divBdr>
            </w:div>
            <w:div w:id="677655889">
              <w:marLeft w:val="0"/>
              <w:marRight w:val="0"/>
              <w:marTop w:val="0"/>
              <w:marBottom w:val="240"/>
              <w:divBdr>
                <w:top w:val="none" w:sz="0" w:space="0" w:color="auto"/>
                <w:left w:val="none" w:sz="0" w:space="0" w:color="auto"/>
                <w:bottom w:val="none" w:sz="0" w:space="0" w:color="auto"/>
                <w:right w:val="none" w:sz="0" w:space="0" w:color="auto"/>
              </w:divBdr>
            </w:div>
            <w:div w:id="1842314022">
              <w:marLeft w:val="0"/>
              <w:marRight w:val="0"/>
              <w:marTop w:val="0"/>
              <w:marBottom w:val="240"/>
              <w:divBdr>
                <w:top w:val="none" w:sz="0" w:space="0" w:color="auto"/>
                <w:left w:val="none" w:sz="0" w:space="0" w:color="auto"/>
                <w:bottom w:val="none" w:sz="0" w:space="0" w:color="auto"/>
                <w:right w:val="none" w:sz="0" w:space="0" w:color="auto"/>
              </w:divBdr>
            </w:div>
            <w:div w:id="219945770">
              <w:marLeft w:val="0"/>
              <w:marRight w:val="0"/>
              <w:marTop w:val="0"/>
              <w:marBottom w:val="240"/>
              <w:divBdr>
                <w:top w:val="none" w:sz="0" w:space="0" w:color="auto"/>
                <w:left w:val="none" w:sz="0" w:space="0" w:color="auto"/>
                <w:bottom w:val="none" w:sz="0" w:space="0" w:color="auto"/>
                <w:right w:val="none" w:sz="0" w:space="0" w:color="auto"/>
              </w:divBdr>
            </w:div>
            <w:div w:id="701059512">
              <w:marLeft w:val="0"/>
              <w:marRight w:val="0"/>
              <w:marTop w:val="0"/>
              <w:marBottom w:val="240"/>
              <w:divBdr>
                <w:top w:val="none" w:sz="0" w:space="0" w:color="auto"/>
                <w:left w:val="none" w:sz="0" w:space="0" w:color="auto"/>
                <w:bottom w:val="none" w:sz="0" w:space="0" w:color="auto"/>
                <w:right w:val="none" w:sz="0" w:space="0" w:color="auto"/>
              </w:divBdr>
            </w:div>
            <w:div w:id="383870319">
              <w:marLeft w:val="0"/>
              <w:marRight w:val="0"/>
              <w:marTop w:val="0"/>
              <w:marBottom w:val="240"/>
              <w:divBdr>
                <w:top w:val="none" w:sz="0" w:space="0" w:color="auto"/>
                <w:left w:val="none" w:sz="0" w:space="0" w:color="auto"/>
                <w:bottom w:val="none" w:sz="0" w:space="0" w:color="auto"/>
                <w:right w:val="none" w:sz="0" w:space="0" w:color="auto"/>
              </w:divBdr>
            </w:div>
            <w:div w:id="111170049">
              <w:marLeft w:val="0"/>
              <w:marRight w:val="0"/>
              <w:marTop w:val="0"/>
              <w:marBottom w:val="240"/>
              <w:divBdr>
                <w:top w:val="none" w:sz="0" w:space="0" w:color="auto"/>
                <w:left w:val="none" w:sz="0" w:space="0" w:color="auto"/>
                <w:bottom w:val="none" w:sz="0" w:space="0" w:color="auto"/>
                <w:right w:val="none" w:sz="0" w:space="0" w:color="auto"/>
              </w:divBdr>
            </w:div>
            <w:div w:id="411435128">
              <w:marLeft w:val="0"/>
              <w:marRight w:val="0"/>
              <w:marTop w:val="0"/>
              <w:marBottom w:val="240"/>
              <w:divBdr>
                <w:top w:val="none" w:sz="0" w:space="0" w:color="auto"/>
                <w:left w:val="none" w:sz="0" w:space="0" w:color="auto"/>
                <w:bottom w:val="none" w:sz="0" w:space="0" w:color="auto"/>
                <w:right w:val="none" w:sz="0" w:space="0" w:color="auto"/>
              </w:divBdr>
            </w:div>
            <w:div w:id="2002583803">
              <w:marLeft w:val="0"/>
              <w:marRight w:val="0"/>
              <w:marTop w:val="0"/>
              <w:marBottom w:val="240"/>
              <w:divBdr>
                <w:top w:val="none" w:sz="0" w:space="0" w:color="auto"/>
                <w:left w:val="none" w:sz="0" w:space="0" w:color="auto"/>
                <w:bottom w:val="none" w:sz="0" w:space="0" w:color="auto"/>
                <w:right w:val="none" w:sz="0" w:space="0" w:color="auto"/>
              </w:divBdr>
            </w:div>
            <w:div w:id="684331269">
              <w:marLeft w:val="0"/>
              <w:marRight w:val="0"/>
              <w:marTop w:val="0"/>
              <w:marBottom w:val="240"/>
              <w:divBdr>
                <w:top w:val="none" w:sz="0" w:space="0" w:color="auto"/>
                <w:left w:val="none" w:sz="0" w:space="0" w:color="auto"/>
                <w:bottom w:val="none" w:sz="0" w:space="0" w:color="auto"/>
                <w:right w:val="none" w:sz="0" w:space="0" w:color="auto"/>
              </w:divBdr>
            </w:div>
            <w:div w:id="2036417338">
              <w:marLeft w:val="0"/>
              <w:marRight w:val="0"/>
              <w:marTop w:val="0"/>
              <w:marBottom w:val="240"/>
              <w:divBdr>
                <w:top w:val="none" w:sz="0" w:space="0" w:color="auto"/>
                <w:left w:val="none" w:sz="0" w:space="0" w:color="auto"/>
                <w:bottom w:val="none" w:sz="0" w:space="0" w:color="auto"/>
                <w:right w:val="none" w:sz="0" w:space="0" w:color="auto"/>
              </w:divBdr>
            </w:div>
            <w:div w:id="431703746">
              <w:marLeft w:val="0"/>
              <w:marRight w:val="0"/>
              <w:marTop w:val="0"/>
              <w:marBottom w:val="240"/>
              <w:divBdr>
                <w:top w:val="none" w:sz="0" w:space="0" w:color="auto"/>
                <w:left w:val="none" w:sz="0" w:space="0" w:color="auto"/>
                <w:bottom w:val="none" w:sz="0" w:space="0" w:color="auto"/>
                <w:right w:val="none" w:sz="0" w:space="0" w:color="auto"/>
              </w:divBdr>
            </w:div>
            <w:div w:id="558977205">
              <w:marLeft w:val="0"/>
              <w:marRight w:val="0"/>
              <w:marTop w:val="0"/>
              <w:marBottom w:val="240"/>
              <w:divBdr>
                <w:top w:val="none" w:sz="0" w:space="0" w:color="auto"/>
                <w:left w:val="none" w:sz="0" w:space="0" w:color="auto"/>
                <w:bottom w:val="none" w:sz="0" w:space="0" w:color="auto"/>
                <w:right w:val="none" w:sz="0" w:space="0" w:color="auto"/>
              </w:divBdr>
            </w:div>
            <w:div w:id="156552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498897">
      <w:bodyDiv w:val="1"/>
      <w:marLeft w:val="0"/>
      <w:marRight w:val="0"/>
      <w:marTop w:val="0"/>
      <w:marBottom w:val="0"/>
      <w:divBdr>
        <w:top w:val="none" w:sz="0" w:space="0" w:color="auto"/>
        <w:left w:val="none" w:sz="0" w:space="0" w:color="auto"/>
        <w:bottom w:val="none" w:sz="0" w:space="0" w:color="auto"/>
        <w:right w:val="none" w:sz="0" w:space="0" w:color="auto"/>
      </w:divBdr>
    </w:div>
    <w:div w:id="2003190910">
      <w:bodyDiv w:val="1"/>
      <w:marLeft w:val="0"/>
      <w:marRight w:val="0"/>
      <w:marTop w:val="0"/>
      <w:marBottom w:val="0"/>
      <w:divBdr>
        <w:top w:val="none" w:sz="0" w:space="0" w:color="auto"/>
        <w:left w:val="none" w:sz="0" w:space="0" w:color="auto"/>
        <w:bottom w:val="none" w:sz="0" w:space="0" w:color="auto"/>
        <w:right w:val="none" w:sz="0" w:space="0" w:color="auto"/>
      </w:divBdr>
      <w:divsChild>
        <w:div w:id="930818781">
          <w:marLeft w:val="480"/>
          <w:marRight w:val="0"/>
          <w:marTop w:val="0"/>
          <w:marBottom w:val="0"/>
          <w:divBdr>
            <w:top w:val="none" w:sz="0" w:space="0" w:color="auto"/>
            <w:left w:val="none" w:sz="0" w:space="0" w:color="auto"/>
            <w:bottom w:val="none" w:sz="0" w:space="0" w:color="auto"/>
            <w:right w:val="none" w:sz="0" w:space="0" w:color="auto"/>
          </w:divBdr>
          <w:divsChild>
            <w:div w:id="131674178">
              <w:marLeft w:val="0"/>
              <w:marRight w:val="0"/>
              <w:marTop w:val="0"/>
              <w:marBottom w:val="240"/>
              <w:divBdr>
                <w:top w:val="none" w:sz="0" w:space="0" w:color="auto"/>
                <w:left w:val="none" w:sz="0" w:space="0" w:color="auto"/>
                <w:bottom w:val="none" w:sz="0" w:space="0" w:color="auto"/>
                <w:right w:val="none" w:sz="0" w:space="0" w:color="auto"/>
              </w:divBdr>
            </w:div>
            <w:div w:id="19631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72252">
      <w:bodyDiv w:val="1"/>
      <w:marLeft w:val="0"/>
      <w:marRight w:val="0"/>
      <w:marTop w:val="0"/>
      <w:marBottom w:val="0"/>
      <w:divBdr>
        <w:top w:val="none" w:sz="0" w:space="0" w:color="auto"/>
        <w:left w:val="none" w:sz="0" w:space="0" w:color="auto"/>
        <w:bottom w:val="none" w:sz="0" w:space="0" w:color="auto"/>
        <w:right w:val="none" w:sz="0" w:space="0" w:color="auto"/>
      </w:divBdr>
    </w:div>
    <w:div w:id="2006005846">
      <w:bodyDiv w:val="1"/>
      <w:marLeft w:val="0"/>
      <w:marRight w:val="0"/>
      <w:marTop w:val="0"/>
      <w:marBottom w:val="0"/>
      <w:divBdr>
        <w:top w:val="none" w:sz="0" w:space="0" w:color="auto"/>
        <w:left w:val="none" w:sz="0" w:space="0" w:color="auto"/>
        <w:bottom w:val="none" w:sz="0" w:space="0" w:color="auto"/>
        <w:right w:val="none" w:sz="0" w:space="0" w:color="auto"/>
      </w:divBdr>
    </w:div>
    <w:div w:id="2006979137">
      <w:bodyDiv w:val="1"/>
      <w:marLeft w:val="0"/>
      <w:marRight w:val="0"/>
      <w:marTop w:val="0"/>
      <w:marBottom w:val="0"/>
      <w:divBdr>
        <w:top w:val="none" w:sz="0" w:space="0" w:color="auto"/>
        <w:left w:val="none" w:sz="0" w:space="0" w:color="auto"/>
        <w:bottom w:val="none" w:sz="0" w:space="0" w:color="auto"/>
        <w:right w:val="none" w:sz="0" w:space="0" w:color="auto"/>
      </w:divBdr>
    </w:div>
    <w:div w:id="2007321038">
      <w:bodyDiv w:val="1"/>
      <w:marLeft w:val="0"/>
      <w:marRight w:val="0"/>
      <w:marTop w:val="0"/>
      <w:marBottom w:val="0"/>
      <w:divBdr>
        <w:top w:val="none" w:sz="0" w:space="0" w:color="auto"/>
        <w:left w:val="none" w:sz="0" w:space="0" w:color="auto"/>
        <w:bottom w:val="none" w:sz="0" w:space="0" w:color="auto"/>
        <w:right w:val="none" w:sz="0" w:space="0" w:color="auto"/>
      </w:divBdr>
    </w:div>
    <w:div w:id="2012558547">
      <w:bodyDiv w:val="1"/>
      <w:marLeft w:val="0"/>
      <w:marRight w:val="0"/>
      <w:marTop w:val="0"/>
      <w:marBottom w:val="0"/>
      <w:divBdr>
        <w:top w:val="none" w:sz="0" w:space="0" w:color="auto"/>
        <w:left w:val="none" w:sz="0" w:space="0" w:color="auto"/>
        <w:bottom w:val="none" w:sz="0" w:space="0" w:color="auto"/>
        <w:right w:val="none" w:sz="0" w:space="0" w:color="auto"/>
      </w:divBdr>
    </w:div>
    <w:div w:id="2012677801">
      <w:bodyDiv w:val="1"/>
      <w:marLeft w:val="0"/>
      <w:marRight w:val="0"/>
      <w:marTop w:val="0"/>
      <w:marBottom w:val="0"/>
      <w:divBdr>
        <w:top w:val="none" w:sz="0" w:space="0" w:color="auto"/>
        <w:left w:val="none" w:sz="0" w:space="0" w:color="auto"/>
        <w:bottom w:val="none" w:sz="0" w:space="0" w:color="auto"/>
        <w:right w:val="none" w:sz="0" w:space="0" w:color="auto"/>
      </w:divBdr>
      <w:divsChild>
        <w:div w:id="2014916131">
          <w:marLeft w:val="480"/>
          <w:marRight w:val="0"/>
          <w:marTop w:val="0"/>
          <w:marBottom w:val="0"/>
          <w:divBdr>
            <w:top w:val="none" w:sz="0" w:space="0" w:color="auto"/>
            <w:left w:val="none" w:sz="0" w:space="0" w:color="auto"/>
            <w:bottom w:val="none" w:sz="0" w:space="0" w:color="auto"/>
            <w:right w:val="none" w:sz="0" w:space="0" w:color="auto"/>
          </w:divBdr>
          <w:divsChild>
            <w:div w:id="1647975199">
              <w:marLeft w:val="0"/>
              <w:marRight w:val="0"/>
              <w:marTop w:val="0"/>
              <w:marBottom w:val="240"/>
              <w:divBdr>
                <w:top w:val="none" w:sz="0" w:space="0" w:color="auto"/>
                <w:left w:val="none" w:sz="0" w:space="0" w:color="auto"/>
                <w:bottom w:val="none" w:sz="0" w:space="0" w:color="auto"/>
                <w:right w:val="none" w:sz="0" w:space="0" w:color="auto"/>
              </w:divBdr>
            </w:div>
            <w:div w:id="20888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57590">
      <w:bodyDiv w:val="1"/>
      <w:marLeft w:val="0"/>
      <w:marRight w:val="0"/>
      <w:marTop w:val="0"/>
      <w:marBottom w:val="0"/>
      <w:divBdr>
        <w:top w:val="none" w:sz="0" w:space="0" w:color="auto"/>
        <w:left w:val="none" w:sz="0" w:space="0" w:color="auto"/>
        <w:bottom w:val="none" w:sz="0" w:space="0" w:color="auto"/>
        <w:right w:val="none" w:sz="0" w:space="0" w:color="auto"/>
      </w:divBdr>
    </w:div>
    <w:div w:id="2031373082">
      <w:bodyDiv w:val="1"/>
      <w:marLeft w:val="0"/>
      <w:marRight w:val="0"/>
      <w:marTop w:val="0"/>
      <w:marBottom w:val="0"/>
      <w:divBdr>
        <w:top w:val="none" w:sz="0" w:space="0" w:color="auto"/>
        <w:left w:val="none" w:sz="0" w:space="0" w:color="auto"/>
        <w:bottom w:val="none" w:sz="0" w:space="0" w:color="auto"/>
        <w:right w:val="none" w:sz="0" w:space="0" w:color="auto"/>
      </w:divBdr>
      <w:divsChild>
        <w:div w:id="71584803">
          <w:marLeft w:val="480"/>
          <w:marRight w:val="0"/>
          <w:marTop w:val="0"/>
          <w:marBottom w:val="0"/>
          <w:divBdr>
            <w:top w:val="none" w:sz="0" w:space="0" w:color="auto"/>
            <w:left w:val="none" w:sz="0" w:space="0" w:color="auto"/>
            <w:bottom w:val="none" w:sz="0" w:space="0" w:color="auto"/>
            <w:right w:val="none" w:sz="0" w:space="0" w:color="auto"/>
          </w:divBdr>
          <w:divsChild>
            <w:div w:id="1849057483">
              <w:marLeft w:val="0"/>
              <w:marRight w:val="0"/>
              <w:marTop w:val="0"/>
              <w:marBottom w:val="240"/>
              <w:divBdr>
                <w:top w:val="none" w:sz="0" w:space="0" w:color="auto"/>
                <w:left w:val="none" w:sz="0" w:space="0" w:color="auto"/>
                <w:bottom w:val="none" w:sz="0" w:space="0" w:color="auto"/>
                <w:right w:val="none" w:sz="0" w:space="0" w:color="auto"/>
              </w:divBdr>
            </w:div>
            <w:div w:id="1644309522">
              <w:marLeft w:val="0"/>
              <w:marRight w:val="0"/>
              <w:marTop w:val="0"/>
              <w:marBottom w:val="240"/>
              <w:divBdr>
                <w:top w:val="none" w:sz="0" w:space="0" w:color="auto"/>
                <w:left w:val="none" w:sz="0" w:space="0" w:color="auto"/>
                <w:bottom w:val="none" w:sz="0" w:space="0" w:color="auto"/>
                <w:right w:val="none" w:sz="0" w:space="0" w:color="auto"/>
              </w:divBdr>
            </w:div>
            <w:div w:id="1415007050">
              <w:marLeft w:val="0"/>
              <w:marRight w:val="0"/>
              <w:marTop w:val="0"/>
              <w:marBottom w:val="240"/>
              <w:divBdr>
                <w:top w:val="none" w:sz="0" w:space="0" w:color="auto"/>
                <w:left w:val="none" w:sz="0" w:space="0" w:color="auto"/>
                <w:bottom w:val="none" w:sz="0" w:space="0" w:color="auto"/>
                <w:right w:val="none" w:sz="0" w:space="0" w:color="auto"/>
              </w:divBdr>
            </w:div>
            <w:div w:id="2129927950">
              <w:marLeft w:val="0"/>
              <w:marRight w:val="0"/>
              <w:marTop w:val="0"/>
              <w:marBottom w:val="240"/>
              <w:divBdr>
                <w:top w:val="none" w:sz="0" w:space="0" w:color="auto"/>
                <w:left w:val="none" w:sz="0" w:space="0" w:color="auto"/>
                <w:bottom w:val="none" w:sz="0" w:space="0" w:color="auto"/>
                <w:right w:val="none" w:sz="0" w:space="0" w:color="auto"/>
              </w:divBdr>
            </w:div>
            <w:div w:id="1982494238">
              <w:marLeft w:val="0"/>
              <w:marRight w:val="0"/>
              <w:marTop w:val="0"/>
              <w:marBottom w:val="240"/>
              <w:divBdr>
                <w:top w:val="none" w:sz="0" w:space="0" w:color="auto"/>
                <w:left w:val="none" w:sz="0" w:space="0" w:color="auto"/>
                <w:bottom w:val="none" w:sz="0" w:space="0" w:color="auto"/>
                <w:right w:val="none" w:sz="0" w:space="0" w:color="auto"/>
              </w:divBdr>
            </w:div>
            <w:div w:id="279842788">
              <w:marLeft w:val="0"/>
              <w:marRight w:val="0"/>
              <w:marTop w:val="0"/>
              <w:marBottom w:val="240"/>
              <w:divBdr>
                <w:top w:val="none" w:sz="0" w:space="0" w:color="auto"/>
                <w:left w:val="none" w:sz="0" w:space="0" w:color="auto"/>
                <w:bottom w:val="none" w:sz="0" w:space="0" w:color="auto"/>
                <w:right w:val="none" w:sz="0" w:space="0" w:color="auto"/>
              </w:divBdr>
            </w:div>
            <w:div w:id="660618105">
              <w:marLeft w:val="0"/>
              <w:marRight w:val="0"/>
              <w:marTop w:val="0"/>
              <w:marBottom w:val="240"/>
              <w:divBdr>
                <w:top w:val="none" w:sz="0" w:space="0" w:color="auto"/>
                <w:left w:val="none" w:sz="0" w:space="0" w:color="auto"/>
                <w:bottom w:val="none" w:sz="0" w:space="0" w:color="auto"/>
                <w:right w:val="none" w:sz="0" w:space="0" w:color="auto"/>
              </w:divBdr>
            </w:div>
            <w:div w:id="795218270">
              <w:marLeft w:val="0"/>
              <w:marRight w:val="0"/>
              <w:marTop w:val="0"/>
              <w:marBottom w:val="240"/>
              <w:divBdr>
                <w:top w:val="none" w:sz="0" w:space="0" w:color="auto"/>
                <w:left w:val="none" w:sz="0" w:space="0" w:color="auto"/>
                <w:bottom w:val="none" w:sz="0" w:space="0" w:color="auto"/>
                <w:right w:val="none" w:sz="0" w:space="0" w:color="auto"/>
              </w:divBdr>
            </w:div>
            <w:div w:id="1028488465">
              <w:marLeft w:val="0"/>
              <w:marRight w:val="0"/>
              <w:marTop w:val="0"/>
              <w:marBottom w:val="240"/>
              <w:divBdr>
                <w:top w:val="none" w:sz="0" w:space="0" w:color="auto"/>
                <w:left w:val="none" w:sz="0" w:space="0" w:color="auto"/>
                <w:bottom w:val="none" w:sz="0" w:space="0" w:color="auto"/>
                <w:right w:val="none" w:sz="0" w:space="0" w:color="auto"/>
              </w:divBdr>
            </w:div>
            <w:div w:id="564335949">
              <w:marLeft w:val="0"/>
              <w:marRight w:val="0"/>
              <w:marTop w:val="0"/>
              <w:marBottom w:val="240"/>
              <w:divBdr>
                <w:top w:val="none" w:sz="0" w:space="0" w:color="auto"/>
                <w:left w:val="none" w:sz="0" w:space="0" w:color="auto"/>
                <w:bottom w:val="none" w:sz="0" w:space="0" w:color="auto"/>
                <w:right w:val="none" w:sz="0" w:space="0" w:color="auto"/>
              </w:divBdr>
            </w:div>
            <w:div w:id="856427368">
              <w:marLeft w:val="0"/>
              <w:marRight w:val="0"/>
              <w:marTop w:val="0"/>
              <w:marBottom w:val="240"/>
              <w:divBdr>
                <w:top w:val="none" w:sz="0" w:space="0" w:color="auto"/>
                <w:left w:val="none" w:sz="0" w:space="0" w:color="auto"/>
                <w:bottom w:val="none" w:sz="0" w:space="0" w:color="auto"/>
                <w:right w:val="none" w:sz="0" w:space="0" w:color="auto"/>
              </w:divBdr>
            </w:div>
            <w:div w:id="363947975">
              <w:marLeft w:val="0"/>
              <w:marRight w:val="0"/>
              <w:marTop w:val="0"/>
              <w:marBottom w:val="240"/>
              <w:divBdr>
                <w:top w:val="none" w:sz="0" w:space="0" w:color="auto"/>
                <w:left w:val="none" w:sz="0" w:space="0" w:color="auto"/>
                <w:bottom w:val="none" w:sz="0" w:space="0" w:color="auto"/>
                <w:right w:val="none" w:sz="0" w:space="0" w:color="auto"/>
              </w:divBdr>
            </w:div>
            <w:div w:id="1588079159">
              <w:marLeft w:val="0"/>
              <w:marRight w:val="0"/>
              <w:marTop w:val="0"/>
              <w:marBottom w:val="240"/>
              <w:divBdr>
                <w:top w:val="none" w:sz="0" w:space="0" w:color="auto"/>
                <w:left w:val="none" w:sz="0" w:space="0" w:color="auto"/>
                <w:bottom w:val="none" w:sz="0" w:space="0" w:color="auto"/>
                <w:right w:val="none" w:sz="0" w:space="0" w:color="auto"/>
              </w:divBdr>
            </w:div>
            <w:div w:id="662007415">
              <w:marLeft w:val="0"/>
              <w:marRight w:val="0"/>
              <w:marTop w:val="0"/>
              <w:marBottom w:val="240"/>
              <w:divBdr>
                <w:top w:val="none" w:sz="0" w:space="0" w:color="auto"/>
                <w:left w:val="none" w:sz="0" w:space="0" w:color="auto"/>
                <w:bottom w:val="none" w:sz="0" w:space="0" w:color="auto"/>
                <w:right w:val="none" w:sz="0" w:space="0" w:color="auto"/>
              </w:divBdr>
            </w:div>
            <w:div w:id="1819610314">
              <w:marLeft w:val="0"/>
              <w:marRight w:val="0"/>
              <w:marTop w:val="0"/>
              <w:marBottom w:val="240"/>
              <w:divBdr>
                <w:top w:val="none" w:sz="0" w:space="0" w:color="auto"/>
                <w:left w:val="none" w:sz="0" w:space="0" w:color="auto"/>
                <w:bottom w:val="none" w:sz="0" w:space="0" w:color="auto"/>
                <w:right w:val="none" w:sz="0" w:space="0" w:color="auto"/>
              </w:divBdr>
            </w:div>
            <w:div w:id="952590895">
              <w:marLeft w:val="0"/>
              <w:marRight w:val="0"/>
              <w:marTop w:val="0"/>
              <w:marBottom w:val="240"/>
              <w:divBdr>
                <w:top w:val="none" w:sz="0" w:space="0" w:color="auto"/>
                <w:left w:val="none" w:sz="0" w:space="0" w:color="auto"/>
                <w:bottom w:val="none" w:sz="0" w:space="0" w:color="auto"/>
                <w:right w:val="none" w:sz="0" w:space="0" w:color="auto"/>
              </w:divBdr>
            </w:div>
            <w:div w:id="1299069648">
              <w:marLeft w:val="0"/>
              <w:marRight w:val="0"/>
              <w:marTop w:val="0"/>
              <w:marBottom w:val="240"/>
              <w:divBdr>
                <w:top w:val="none" w:sz="0" w:space="0" w:color="auto"/>
                <w:left w:val="none" w:sz="0" w:space="0" w:color="auto"/>
                <w:bottom w:val="none" w:sz="0" w:space="0" w:color="auto"/>
                <w:right w:val="none" w:sz="0" w:space="0" w:color="auto"/>
              </w:divBdr>
            </w:div>
            <w:div w:id="1613515108">
              <w:marLeft w:val="0"/>
              <w:marRight w:val="0"/>
              <w:marTop w:val="0"/>
              <w:marBottom w:val="240"/>
              <w:divBdr>
                <w:top w:val="none" w:sz="0" w:space="0" w:color="auto"/>
                <w:left w:val="none" w:sz="0" w:space="0" w:color="auto"/>
                <w:bottom w:val="none" w:sz="0" w:space="0" w:color="auto"/>
                <w:right w:val="none" w:sz="0" w:space="0" w:color="auto"/>
              </w:divBdr>
            </w:div>
            <w:div w:id="711921147">
              <w:marLeft w:val="0"/>
              <w:marRight w:val="0"/>
              <w:marTop w:val="0"/>
              <w:marBottom w:val="240"/>
              <w:divBdr>
                <w:top w:val="none" w:sz="0" w:space="0" w:color="auto"/>
                <w:left w:val="none" w:sz="0" w:space="0" w:color="auto"/>
                <w:bottom w:val="none" w:sz="0" w:space="0" w:color="auto"/>
                <w:right w:val="none" w:sz="0" w:space="0" w:color="auto"/>
              </w:divBdr>
            </w:div>
            <w:div w:id="1625963282">
              <w:marLeft w:val="0"/>
              <w:marRight w:val="0"/>
              <w:marTop w:val="0"/>
              <w:marBottom w:val="240"/>
              <w:divBdr>
                <w:top w:val="none" w:sz="0" w:space="0" w:color="auto"/>
                <w:left w:val="none" w:sz="0" w:space="0" w:color="auto"/>
                <w:bottom w:val="none" w:sz="0" w:space="0" w:color="auto"/>
                <w:right w:val="none" w:sz="0" w:space="0" w:color="auto"/>
              </w:divBdr>
            </w:div>
            <w:div w:id="1149206179">
              <w:marLeft w:val="0"/>
              <w:marRight w:val="0"/>
              <w:marTop w:val="0"/>
              <w:marBottom w:val="240"/>
              <w:divBdr>
                <w:top w:val="none" w:sz="0" w:space="0" w:color="auto"/>
                <w:left w:val="none" w:sz="0" w:space="0" w:color="auto"/>
                <w:bottom w:val="none" w:sz="0" w:space="0" w:color="auto"/>
                <w:right w:val="none" w:sz="0" w:space="0" w:color="auto"/>
              </w:divBdr>
            </w:div>
            <w:div w:id="1746416966">
              <w:marLeft w:val="0"/>
              <w:marRight w:val="0"/>
              <w:marTop w:val="0"/>
              <w:marBottom w:val="240"/>
              <w:divBdr>
                <w:top w:val="none" w:sz="0" w:space="0" w:color="auto"/>
                <w:left w:val="none" w:sz="0" w:space="0" w:color="auto"/>
                <w:bottom w:val="none" w:sz="0" w:space="0" w:color="auto"/>
                <w:right w:val="none" w:sz="0" w:space="0" w:color="auto"/>
              </w:divBdr>
            </w:div>
            <w:div w:id="1337075668">
              <w:marLeft w:val="0"/>
              <w:marRight w:val="0"/>
              <w:marTop w:val="0"/>
              <w:marBottom w:val="240"/>
              <w:divBdr>
                <w:top w:val="none" w:sz="0" w:space="0" w:color="auto"/>
                <w:left w:val="none" w:sz="0" w:space="0" w:color="auto"/>
                <w:bottom w:val="none" w:sz="0" w:space="0" w:color="auto"/>
                <w:right w:val="none" w:sz="0" w:space="0" w:color="auto"/>
              </w:divBdr>
            </w:div>
            <w:div w:id="1899631327">
              <w:marLeft w:val="0"/>
              <w:marRight w:val="0"/>
              <w:marTop w:val="0"/>
              <w:marBottom w:val="240"/>
              <w:divBdr>
                <w:top w:val="none" w:sz="0" w:space="0" w:color="auto"/>
                <w:left w:val="none" w:sz="0" w:space="0" w:color="auto"/>
                <w:bottom w:val="none" w:sz="0" w:space="0" w:color="auto"/>
                <w:right w:val="none" w:sz="0" w:space="0" w:color="auto"/>
              </w:divBdr>
            </w:div>
            <w:div w:id="1997761841">
              <w:marLeft w:val="0"/>
              <w:marRight w:val="0"/>
              <w:marTop w:val="0"/>
              <w:marBottom w:val="240"/>
              <w:divBdr>
                <w:top w:val="none" w:sz="0" w:space="0" w:color="auto"/>
                <w:left w:val="none" w:sz="0" w:space="0" w:color="auto"/>
                <w:bottom w:val="none" w:sz="0" w:space="0" w:color="auto"/>
                <w:right w:val="none" w:sz="0" w:space="0" w:color="auto"/>
              </w:divBdr>
            </w:div>
            <w:div w:id="523635731">
              <w:marLeft w:val="0"/>
              <w:marRight w:val="0"/>
              <w:marTop w:val="0"/>
              <w:marBottom w:val="240"/>
              <w:divBdr>
                <w:top w:val="none" w:sz="0" w:space="0" w:color="auto"/>
                <w:left w:val="none" w:sz="0" w:space="0" w:color="auto"/>
                <w:bottom w:val="none" w:sz="0" w:space="0" w:color="auto"/>
                <w:right w:val="none" w:sz="0" w:space="0" w:color="auto"/>
              </w:divBdr>
            </w:div>
            <w:div w:id="1066143154">
              <w:marLeft w:val="0"/>
              <w:marRight w:val="0"/>
              <w:marTop w:val="0"/>
              <w:marBottom w:val="240"/>
              <w:divBdr>
                <w:top w:val="none" w:sz="0" w:space="0" w:color="auto"/>
                <w:left w:val="none" w:sz="0" w:space="0" w:color="auto"/>
                <w:bottom w:val="none" w:sz="0" w:space="0" w:color="auto"/>
                <w:right w:val="none" w:sz="0" w:space="0" w:color="auto"/>
              </w:divBdr>
            </w:div>
            <w:div w:id="1057351">
              <w:marLeft w:val="0"/>
              <w:marRight w:val="0"/>
              <w:marTop w:val="0"/>
              <w:marBottom w:val="240"/>
              <w:divBdr>
                <w:top w:val="none" w:sz="0" w:space="0" w:color="auto"/>
                <w:left w:val="none" w:sz="0" w:space="0" w:color="auto"/>
                <w:bottom w:val="none" w:sz="0" w:space="0" w:color="auto"/>
                <w:right w:val="none" w:sz="0" w:space="0" w:color="auto"/>
              </w:divBdr>
            </w:div>
            <w:div w:id="562065200">
              <w:marLeft w:val="0"/>
              <w:marRight w:val="0"/>
              <w:marTop w:val="0"/>
              <w:marBottom w:val="240"/>
              <w:divBdr>
                <w:top w:val="none" w:sz="0" w:space="0" w:color="auto"/>
                <w:left w:val="none" w:sz="0" w:space="0" w:color="auto"/>
                <w:bottom w:val="none" w:sz="0" w:space="0" w:color="auto"/>
                <w:right w:val="none" w:sz="0" w:space="0" w:color="auto"/>
              </w:divBdr>
            </w:div>
            <w:div w:id="951206947">
              <w:marLeft w:val="0"/>
              <w:marRight w:val="0"/>
              <w:marTop w:val="0"/>
              <w:marBottom w:val="240"/>
              <w:divBdr>
                <w:top w:val="none" w:sz="0" w:space="0" w:color="auto"/>
                <w:left w:val="none" w:sz="0" w:space="0" w:color="auto"/>
                <w:bottom w:val="none" w:sz="0" w:space="0" w:color="auto"/>
                <w:right w:val="none" w:sz="0" w:space="0" w:color="auto"/>
              </w:divBdr>
            </w:div>
            <w:div w:id="71391870">
              <w:marLeft w:val="0"/>
              <w:marRight w:val="0"/>
              <w:marTop w:val="0"/>
              <w:marBottom w:val="240"/>
              <w:divBdr>
                <w:top w:val="none" w:sz="0" w:space="0" w:color="auto"/>
                <w:left w:val="none" w:sz="0" w:space="0" w:color="auto"/>
                <w:bottom w:val="none" w:sz="0" w:space="0" w:color="auto"/>
                <w:right w:val="none" w:sz="0" w:space="0" w:color="auto"/>
              </w:divBdr>
            </w:div>
            <w:div w:id="730425266">
              <w:marLeft w:val="0"/>
              <w:marRight w:val="0"/>
              <w:marTop w:val="0"/>
              <w:marBottom w:val="240"/>
              <w:divBdr>
                <w:top w:val="none" w:sz="0" w:space="0" w:color="auto"/>
                <w:left w:val="none" w:sz="0" w:space="0" w:color="auto"/>
                <w:bottom w:val="none" w:sz="0" w:space="0" w:color="auto"/>
                <w:right w:val="none" w:sz="0" w:space="0" w:color="auto"/>
              </w:divBdr>
            </w:div>
            <w:div w:id="897058598">
              <w:marLeft w:val="0"/>
              <w:marRight w:val="0"/>
              <w:marTop w:val="0"/>
              <w:marBottom w:val="240"/>
              <w:divBdr>
                <w:top w:val="none" w:sz="0" w:space="0" w:color="auto"/>
                <w:left w:val="none" w:sz="0" w:space="0" w:color="auto"/>
                <w:bottom w:val="none" w:sz="0" w:space="0" w:color="auto"/>
                <w:right w:val="none" w:sz="0" w:space="0" w:color="auto"/>
              </w:divBdr>
            </w:div>
            <w:div w:id="1006709657">
              <w:marLeft w:val="0"/>
              <w:marRight w:val="0"/>
              <w:marTop w:val="0"/>
              <w:marBottom w:val="240"/>
              <w:divBdr>
                <w:top w:val="none" w:sz="0" w:space="0" w:color="auto"/>
                <w:left w:val="none" w:sz="0" w:space="0" w:color="auto"/>
                <w:bottom w:val="none" w:sz="0" w:space="0" w:color="auto"/>
                <w:right w:val="none" w:sz="0" w:space="0" w:color="auto"/>
              </w:divBdr>
            </w:div>
            <w:div w:id="649821658">
              <w:marLeft w:val="0"/>
              <w:marRight w:val="0"/>
              <w:marTop w:val="0"/>
              <w:marBottom w:val="240"/>
              <w:divBdr>
                <w:top w:val="none" w:sz="0" w:space="0" w:color="auto"/>
                <w:left w:val="none" w:sz="0" w:space="0" w:color="auto"/>
                <w:bottom w:val="none" w:sz="0" w:space="0" w:color="auto"/>
                <w:right w:val="none" w:sz="0" w:space="0" w:color="auto"/>
              </w:divBdr>
            </w:div>
            <w:div w:id="1290629233">
              <w:marLeft w:val="0"/>
              <w:marRight w:val="0"/>
              <w:marTop w:val="0"/>
              <w:marBottom w:val="240"/>
              <w:divBdr>
                <w:top w:val="none" w:sz="0" w:space="0" w:color="auto"/>
                <w:left w:val="none" w:sz="0" w:space="0" w:color="auto"/>
                <w:bottom w:val="none" w:sz="0" w:space="0" w:color="auto"/>
                <w:right w:val="none" w:sz="0" w:space="0" w:color="auto"/>
              </w:divBdr>
            </w:div>
            <w:div w:id="960455514">
              <w:marLeft w:val="0"/>
              <w:marRight w:val="0"/>
              <w:marTop w:val="0"/>
              <w:marBottom w:val="240"/>
              <w:divBdr>
                <w:top w:val="none" w:sz="0" w:space="0" w:color="auto"/>
                <w:left w:val="none" w:sz="0" w:space="0" w:color="auto"/>
                <w:bottom w:val="none" w:sz="0" w:space="0" w:color="auto"/>
                <w:right w:val="none" w:sz="0" w:space="0" w:color="auto"/>
              </w:divBdr>
            </w:div>
            <w:div w:id="686950932">
              <w:marLeft w:val="0"/>
              <w:marRight w:val="0"/>
              <w:marTop w:val="0"/>
              <w:marBottom w:val="240"/>
              <w:divBdr>
                <w:top w:val="none" w:sz="0" w:space="0" w:color="auto"/>
                <w:left w:val="none" w:sz="0" w:space="0" w:color="auto"/>
                <w:bottom w:val="none" w:sz="0" w:space="0" w:color="auto"/>
                <w:right w:val="none" w:sz="0" w:space="0" w:color="auto"/>
              </w:divBdr>
            </w:div>
            <w:div w:id="952400526">
              <w:marLeft w:val="0"/>
              <w:marRight w:val="0"/>
              <w:marTop w:val="0"/>
              <w:marBottom w:val="240"/>
              <w:divBdr>
                <w:top w:val="none" w:sz="0" w:space="0" w:color="auto"/>
                <w:left w:val="none" w:sz="0" w:space="0" w:color="auto"/>
                <w:bottom w:val="none" w:sz="0" w:space="0" w:color="auto"/>
                <w:right w:val="none" w:sz="0" w:space="0" w:color="auto"/>
              </w:divBdr>
            </w:div>
            <w:div w:id="1272013978">
              <w:marLeft w:val="0"/>
              <w:marRight w:val="0"/>
              <w:marTop w:val="0"/>
              <w:marBottom w:val="240"/>
              <w:divBdr>
                <w:top w:val="none" w:sz="0" w:space="0" w:color="auto"/>
                <w:left w:val="none" w:sz="0" w:space="0" w:color="auto"/>
                <w:bottom w:val="none" w:sz="0" w:space="0" w:color="auto"/>
                <w:right w:val="none" w:sz="0" w:space="0" w:color="auto"/>
              </w:divBdr>
            </w:div>
            <w:div w:id="458650433">
              <w:marLeft w:val="0"/>
              <w:marRight w:val="0"/>
              <w:marTop w:val="0"/>
              <w:marBottom w:val="240"/>
              <w:divBdr>
                <w:top w:val="none" w:sz="0" w:space="0" w:color="auto"/>
                <w:left w:val="none" w:sz="0" w:space="0" w:color="auto"/>
                <w:bottom w:val="none" w:sz="0" w:space="0" w:color="auto"/>
                <w:right w:val="none" w:sz="0" w:space="0" w:color="auto"/>
              </w:divBdr>
            </w:div>
            <w:div w:id="758451419">
              <w:marLeft w:val="0"/>
              <w:marRight w:val="0"/>
              <w:marTop w:val="0"/>
              <w:marBottom w:val="240"/>
              <w:divBdr>
                <w:top w:val="none" w:sz="0" w:space="0" w:color="auto"/>
                <w:left w:val="none" w:sz="0" w:space="0" w:color="auto"/>
                <w:bottom w:val="none" w:sz="0" w:space="0" w:color="auto"/>
                <w:right w:val="none" w:sz="0" w:space="0" w:color="auto"/>
              </w:divBdr>
            </w:div>
            <w:div w:id="1013924174">
              <w:marLeft w:val="0"/>
              <w:marRight w:val="0"/>
              <w:marTop w:val="0"/>
              <w:marBottom w:val="240"/>
              <w:divBdr>
                <w:top w:val="none" w:sz="0" w:space="0" w:color="auto"/>
                <w:left w:val="none" w:sz="0" w:space="0" w:color="auto"/>
                <w:bottom w:val="none" w:sz="0" w:space="0" w:color="auto"/>
                <w:right w:val="none" w:sz="0" w:space="0" w:color="auto"/>
              </w:divBdr>
            </w:div>
            <w:div w:id="1525363000">
              <w:marLeft w:val="0"/>
              <w:marRight w:val="0"/>
              <w:marTop w:val="0"/>
              <w:marBottom w:val="240"/>
              <w:divBdr>
                <w:top w:val="none" w:sz="0" w:space="0" w:color="auto"/>
                <w:left w:val="none" w:sz="0" w:space="0" w:color="auto"/>
                <w:bottom w:val="none" w:sz="0" w:space="0" w:color="auto"/>
                <w:right w:val="none" w:sz="0" w:space="0" w:color="auto"/>
              </w:divBdr>
            </w:div>
            <w:div w:id="1413118016">
              <w:marLeft w:val="0"/>
              <w:marRight w:val="0"/>
              <w:marTop w:val="0"/>
              <w:marBottom w:val="240"/>
              <w:divBdr>
                <w:top w:val="none" w:sz="0" w:space="0" w:color="auto"/>
                <w:left w:val="none" w:sz="0" w:space="0" w:color="auto"/>
                <w:bottom w:val="none" w:sz="0" w:space="0" w:color="auto"/>
                <w:right w:val="none" w:sz="0" w:space="0" w:color="auto"/>
              </w:divBdr>
            </w:div>
            <w:div w:id="1447193113">
              <w:marLeft w:val="0"/>
              <w:marRight w:val="0"/>
              <w:marTop w:val="0"/>
              <w:marBottom w:val="240"/>
              <w:divBdr>
                <w:top w:val="none" w:sz="0" w:space="0" w:color="auto"/>
                <w:left w:val="none" w:sz="0" w:space="0" w:color="auto"/>
                <w:bottom w:val="none" w:sz="0" w:space="0" w:color="auto"/>
                <w:right w:val="none" w:sz="0" w:space="0" w:color="auto"/>
              </w:divBdr>
            </w:div>
            <w:div w:id="1666938978">
              <w:marLeft w:val="0"/>
              <w:marRight w:val="0"/>
              <w:marTop w:val="0"/>
              <w:marBottom w:val="240"/>
              <w:divBdr>
                <w:top w:val="none" w:sz="0" w:space="0" w:color="auto"/>
                <w:left w:val="none" w:sz="0" w:space="0" w:color="auto"/>
                <w:bottom w:val="none" w:sz="0" w:space="0" w:color="auto"/>
                <w:right w:val="none" w:sz="0" w:space="0" w:color="auto"/>
              </w:divBdr>
            </w:div>
            <w:div w:id="51931626">
              <w:marLeft w:val="0"/>
              <w:marRight w:val="0"/>
              <w:marTop w:val="0"/>
              <w:marBottom w:val="240"/>
              <w:divBdr>
                <w:top w:val="none" w:sz="0" w:space="0" w:color="auto"/>
                <w:left w:val="none" w:sz="0" w:space="0" w:color="auto"/>
                <w:bottom w:val="none" w:sz="0" w:space="0" w:color="auto"/>
                <w:right w:val="none" w:sz="0" w:space="0" w:color="auto"/>
              </w:divBdr>
            </w:div>
            <w:div w:id="1485705450">
              <w:marLeft w:val="0"/>
              <w:marRight w:val="0"/>
              <w:marTop w:val="0"/>
              <w:marBottom w:val="240"/>
              <w:divBdr>
                <w:top w:val="none" w:sz="0" w:space="0" w:color="auto"/>
                <w:left w:val="none" w:sz="0" w:space="0" w:color="auto"/>
                <w:bottom w:val="none" w:sz="0" w:space="0" w:color="auto"/>
                <w:right w:val="none" w:sz="0" w:space="0" w:color="auto"/>
              </w:divBdr>
            </w:div>
            <w:div w:id="1566988721">
              <w:marLeft w:val="0"/>
              <w:marRight w:val="0"/>
              <w:marTop w:val="0"/>
              <w:marBottom w:val="240"/>
              <w:divBdr>
                <w:top w:val="none" w:sz="0" w:space="0" w:color="auto"/>
                <w:left w:val="none" w:sz="0" w:space="0" w:color="auto"/>
                <w:bottom w:val="none" w:sz="0" w:space="0" w:color="auto"/>
                <w:right w:val="none" w:sz="0" w:space="0" w:color="auto"/>
              </w:divBdr>
            </w:div>
            <w:div w:id="1949585383">
              <w:marLeft w:val="0"/>
              <w:marRight w:val="0"/>
              <w:marTop w:val="0"/>
              <w:marBottom w:val="240"/>
              <w:divBdr>
                <w:top w:val="none" w:sz="0" w:space="0" w:color="auto"/>
                <w:left w:val="none" w:sz="0" w:space="0" w:color="auto"/>
                <w:bottom w:val="none" w:sz="0" w:space="0" w:color="auto"/>
                <w:right w:val="none" w:sz="0" w:space="0" w:color="auto"/>
              </w:divBdr>
            </w:div>
            <w:div w:id="2141264159">
              <w:marLeft w:val="0"/>
              <w:marRight w:val="0"/>
              <w:marTop w:val="0"/>
              <w:marBottom w:val="240"/>
              <w:divBdr>
                <w:top w:val="none" w:sz="0" w:space="0" w:color="auto"/>
                <w:left w:val="none" w:sz="0" w:space="0" w:color="auto"/>
                <w:bottom w:val="none" w:sz="0" w:space="0" w:color="auto"/>
                <w:right w:val="none" w:sz="0" w:space="0" w:color="auto"/>
              </w:divBdr>
            </w:div>
            <w:div w:id="1137064893">
              <w:marLeft w:val="0"/>
              <w:marRight w:val="0"/>
              <w:marTop w:val="0"/>
              <w:marBottom w:val="240"/>
              <w:divBdr>
                <w:top w:val="none" w:sz="0" w:space="0" w:color="auto"/>
                <w:left w:val="none" w:sz="0" w:space="0" w:color="auto"/>
                <w:bottom w:val="none" w:sz="0" w:space="0" w:color="auto"/>
                <w:right w:val="none" w:sz="0" w:space="0" w:color="auto"/>
              </w:divBdr>
            </w:div>
            <w:div w:id="1550847436">
              <w:marLeft w:val="0"/>
              <w:marRight w:val="0"/>
              <w:marTop w:val="0"/>
              <w:marBottom w:val="240"/>
              <w:divBdr>
                <w:top w:val="none" w:sz="0" w:space="0" w:color="auto"/>
                <w:left w:val="none" w:sz="0" w:space="0" w:color="auto"/>
                <w:bottom w:val="none" w:sz="0" w:space="0" w:color="auto"/>
                <w:right w:val="none" w:sz="0" w:space="0" w:color="auto"/>
              </w:divBdr>
            </w:div>
            <w:div w:id="1321693067">
              <w:marLeft w:val="0"/>
              <w:marRight w:val="0"/>
              <w:marTop w:val="0"/>
              <w:marBottom w:val="240"/>
              <w:divBdr>
                <w:top w:val="none" w:sz="0" w:space="0" w:color="auto"/>
                <w:left w:val="none" w:sz="0" w:space="0" w:color="auto"/>
                <w:bottom w:val="none" w:sz="0" w:space="0" w:color="auto"/>
                <w:right w:val="none" w:sz="0" w:space="0" w:color="auto"/>
              </w:divBdr>
            </w:div>
            <w:div w:id="1072853166">
              <w:marLeft w:val="0"/>
              <w:marRight w:val="0"/>
              <w:marTop w:val="0"/>
              <w:marBottom w:val="240"/>
              <w:divBdr>
                <w:top w:val="none" w:sz="0" w:space="0" w:color="auto"/>
                <w:left w:val="none" w:sz="0" w:space="0" w:color="auto"/>
                <w:bottom w:val="none" w:sz="0" w:space="0" w:color="auto"/>
                <w:right w:val="none" w:sz="0" w:space="0" w:color="auto"/>
              </w:divBdr>
            </w:div>
            <w:div w:id="1757902592">
              <w:marLeft w:val="0"/>
              <w:marRight w:val="0"/>
              <w:marTop w:val="0"/>
              <w:marBottom w:val="240"/>
              <w:divBdr>
                <w:top w:val="none" w:sz="0" w:space="0" w:color="auto"/>
                <w:left w:val="none" w:sz="0" w:space="0" w:color="auto"/>
                <w:bottom w:val="none" w:sz="0" w:space="0" w:color="auto"/>
                <w:right w:val="none" w:sz="0" w:space="0" w:color="auto"/>
              </w:divBdr>
            </w:div>
            <w:div w:id="1864859135">
              <w:marLeft w:val="0"/>
              <w:marRight w:val="0"/>
              <w:marTop w:val="0"/>
              <w:marBottom w:val="240"/>
              <w:divBdr>
                <w:top w:val="none" w:sz="0" w:space="0" w:color="auto"/>
                <w:left w:val="none" w:sz="0" w:space="0" w:color="auto"/>
                <w:bottom w:val="none" w:sz="0" w:space="0" w:color="auto"/>
                <w:right w:val="none" w:sz="0" w:space="0" w:color="auto"/>
              </w:divBdr>
            </w:div>
            <w:div w:id="1617178168">
              <w:marLeft w:val="0"/>
              <w:marRight w:val="0"/>
              <w:marTop w:val="0"/>
              <w:marBottom w:val="240"/>
              <w:divBdr>
                <w:top w:val="none" w:sz="0" w:space="0" w:color="auto"/>
                <w:left w:val="none" w:sz="0" w:space="0" w:color="auto"/>
                <w:bottom w:val="none" w:sz="0" w:space="0" w:color="auto"/>
                <w:right w:val="none" w:sz="0" w:space="0" w:color="auto"/>
              </w:divBdr>
            </w:div>
            <w:div w:id="1114012674">
              <w:marLeft w:val="0"/>
              <w:marRight w:val="0"/>
              <w:marTop w:val="0"/>
              <w:marBottom w:val="240"/>
              <w:divBdr>
                <w:top w:val="none" w:sz="0" w:space="0" w:color="auto"/>
                <w:left w:val="none" w:sz="0" w:space="0" w:color="auto"/>
                <w:bottom w:val="none" w:sz="0" w:space="0" w:color="auto"/>
                <w:right w:val="none" w:sz="0" w:space="0" w:color="auto"/>
              </w:divBdr>
            </w:div>
            <w:div w:id="1977181437">
              <w:marLeft w:val="0"/>
              <w:marRight w:val="0"/>
              <w:marTop w:val="0"/>
              <w:marBottom w:val="240"/>
              <w:divBdr>
                <w:top w:val="none" w:sz="0" w:space="0" w:color="auto"/>
                <w:left w:val="none" w:sz="0" w:space="0" w:color="auto"/>
                <w:bottom w:val="none" w:sz="0" w:space="0" w:color="auto"/>
                <w:right w:val="none" w:sz="0" w:space="0" w:color="auto"/>
              </w:divBdr>
            </w:div>
            <w:div w:id="1586571052">
              <w:marLeft w:val="0"/>
              <w:marRight w:val="0"/>
              <w:marTop w:val="0"/>
              <w:marBottom w:val="240"/>
              <w:divBdr>
                <w:top w:val="none" w:sz="0" w:space="0" w:color="auto"/>
                <w:left w:val="none" w:sz="0" w:space="0" w:color="auto"/>
                <w:bottom w:val="none" w:sz="0" w:space="0" w:color="auto"/>
                <w:right w:val="none" w:sz="0" w:space="0" w:color="auto"/>
              </w:divBdr>
            </w:div>
            <w:div w:id="1484272586">
              <w:marLeft w:val="0"/>
              <w:marRight w:val="0"/>
              <w:marTop w:val="0"/>
              <w:marBottom w:val="240"/>
              <w:divBdr>
                <w:top w:val="none" w:sz="0" w:space="0" w:color="auto"/>
                <w:left w:val="none" w:sz="0" w:space="0" w:color="auto"/>
                <w:bottom w:val="none" w:sz="0" w:space="0" w:color="auto"/>
                <w:right w:val="none" w:sz="0" w:space="0" w:color="auto"/>
              </w:divBdr>
            </w:div>
            <w:div w:id="1886521956">
              <w:marLeft w:val="0"/>
              <w:marRight w:val="0"/>
              <w:marTop w:val="0"/>
              <w:marBottom w:val="240"/>
              <w:divBdr>
                <w:top w:val="none" w:sz="0" w:space="0" w:color="auto"/>
                <w:left w:val="none" w:sz="0" w:space="0" w:color="auto"/>
                <w:bottom w:val="none" w:sz="0" w:space="0" w:color="auto"/>
                <w:right w:val="none" w:sz="0" w:space="0" w:color="auto"/>
              </w:divBdr>
            </w:div>
            <w:div w:id="547839546">
              <w:marLeft w:val="0"/>
              <w:marRight w:val="0"/>
              <w:marTop w:val="0"/>
              <w:marBottom w:val="240"/>
              <w:divBdr>
                <w:top w:val="none" w:sz="0" w:space="0" w:color="auto"/>
                <w:left w:val="none" w:sz="0" w:space="0" w:color="auto"/>
                <w:bottom w:val="none" w:sz="0" w:space="0" w:color="auto"/>
                <w:right w:val="none" w:sz="0" w:space="0" w:color="auto"/>
              </w:divBdr>
            </w:div>
            <w:div w:id="1837763977">
              <w:marLeft w:val="0"/>
              <w:marRight w:val="0"/>
              <w:marTop w:val="0"/>
              <w:marBottom w:val="240"/>
              <w:divBdr>
                <w:top w:val="none" w:sz="0" w:space="0" w:color="auto"/>
                <w:left w:val="none" w:sz="0" w:space="0" w:color="auto"/>
                <w:bottom w:val="none" w:sz="0" w:space="0" w:color="auto"/>
                <w:right w:val="none" w:sz="0" w:space="0" w:color="auto"/>
              </w:divBdr>
            </w:div>
            <w:div w:id="1543665065">
              <w:marLeft w:val="0"/>
              <w:marRight w:val="0"/>
              <w:marTop w:val="0"/>
              <w:marBottom w:val="240"/>
              <w:divBdr>
                <w:top w:val="none" w:sz="0" w:space="0" w:color="auto"/>
                <w:left w:val="none" w:sz="0" w:space="0" w:color="auto"/>
                <w:bottom w:val="none" w:sz="0" w:space="0" w:color="auto"/>
                <w:right w:val="none" w:sz="0" w:space="0" w:color="auto"/>
              </w:divBdr>
            </w:div>
            <w:div w:id="198931039">
              <w:marLeft w:val="0"/>
              <w:marRight w:val="0"/>
              <w:marTop w:val="0"/>
              <w:marBottom w:val="240"/>
              <w:divBdr>
                <w:top w:val="none" w:sz="0" w:space="0" w:color="auto"/>
                <w:left w:val="none" w:sz="0" w:space="0" w:color="auto"/>
                <w:bottom w:val="none" w:sz="0" w:space="0" w:color="auto"/>
                <w:right w:val="none" w:sz="0" w:space="0" w:color="auto"/>
              </w:divBdr>
            </w:div>
            <w:div w:id="1354110692">
              <w:marLeft w:val="0"/>
              <w:marRight w:val="0"/>
              <w:marTop w:val="0"/>
              <w:marBottom w:val="240"/>
              <w:divBdr>
                <w:top w:val="none" w:sz="0" w:space="0" w:color="auto"/>
                <w:left w:val="none" w:sz="0" w:space="0" w:color="auto"/>
                <w:bottom w:val="none" w:sz="0" w:space="0" w:color="auto"/>
                <w:right w:val="none" w:sz="0" w:space="0" w:color="auto"/>
              </w:divBdr>
            </w:div>
            <w:div w:id="1062101860">
              <w:marLeft w:val="0"/>
              <w:marRight w:val="0"/>
              <w:marTop w:val="0"/>
              <w:marBottom w:val="240"/>
              <w:divBdr>
                <w:top w:val="none" w:sz="0" w:space="0" w:color="auto"/>
                <w:left w:val="none" w:sz="0" w:space="0" w:color="auto"/>
                <w:bottom w:val="none" w:sz="0" w:space="0" w:color="auto"/>
                <w:right w:val="none" w:sz="0" w:space="0" w:color="auto"/>
              </w:divBdr>
            </w:div>
            <w:div w:id="558906042">
              <w:marLeft w:val="0"/>
              <w:marRight w:val="0"/>
              <w:marTop w:val="0"/>
              <w:marBottom w:val="240"/>
              <w:divBdr>
                <w:top w:val="none" w:sz="0" w:space="0" w:color="auto"/>
                <w:left w:val="none" w:sz="0" w:space="0" w:color="auto"/>
                <w:bottom w:val="none" w:sz="0" w:space="0" w:color="auto"/>
                <w:right w:val="none" w:sz="0" w:space="0" w:color="auto"/>
              </w:divBdr>
            </w:div>
            <w:div w:id="145048578">
              <w:marLeft w:val="0"/>
              <w:marRight w:val="0"/>
              <w:marTop w:val="0"/>
              <w:marBottom w:val="240"/>
              <w:divBdr>
                <w:top w:val="none" w:sz="0" w:space="0" w:color="auto"/>
                <w:left w:val="none" w:sz="0" w:space="0" w:color="auto"/>
                <w:bottom w:val="none" w:sz="0" w:space="0" w:color="auto"/>
                <w:right w:val="none" w:sz="0" w:space="0" w:color="auto"/>
              </w:divBdr>
            </w:div>
            <w:div w:id="456679831">
              <w:marLeft w:val="0"/>
              <w:marRight w:val="0"/>
              <w:marTop w:val="0"/>
              <w:marBottom w:val="240"/>
              <w:divBdr>
                <w:top w:val="none" w:sz="0" w:space="0" w:color="auto"/>
                <w:left w:val="none" w:sz="0" w:space="0" w:color="auto"/>
                <w:bottom w:val="none" w:sz="0" w:space="0" w:color="auto"/>
                <w:right w:val="none" w:sz="0" w:space="0" w:color="auto"/>
              </w:divBdr>
            </w:div>
            <w:div w:id="1990790302">
              <w:marLeft w:val="0"/>
              <w:marRight w:val="0"/>
              <w:marTop w:val="0"/>
              <w:marBottom w:val="240"/>
              <w:divBdr>
                <w:top w:val="none" w:sz="0" w:space="0" w:color="auto"/>
                <w:left w:val="none" w:sz="0" w:space="0" w:color="auto"/>
                <w:bottom w:val="none" w:sz="0" w:space="0" w:color="auto"/>
                <w:right w:val="none" w:sz="0" w:space="0" w:color="auto"/>
              </w:divBdr>
            </w:div>
            <w:div w:id="159778042">
              <w:marLeft w:val="0"/>
              <w:marRight w:val="0"/>
              <w:marTop w:val="0"/>
              <w:marBottom w:val="240"/>
              <w:divBdr>
                <w:top w:val="none" w:sz="0" w:space="0" w:color="auto"/>
                <w:left w:val="none" w:sz="0" w:space="0" w:color="auto"/>
                <w:bottom w:val="none" w:sz="0" w:space="0" w:color="auto"/>
                <w:right w:val="none" w:sz="0" w:space="0" w:color="auto"/>
              </w:divBdr>
            </w:div>
            <w:div w:id="45495965">
              <w:marLeft w:val="0"/>
              <w:marRight w:val="0"/>
              <w:marTop w:val="0"/>
              <w:marBottom w:val="240"/>
              <w:divBdr>
                <w:top w:val="none" w:sz="0" w:space="0" w:color="auto"/>
                <w:left w:val="none" w:sz="0" w:space="0" w:color="auto"/>
                <w:bottom w:val="none" w:sz="0" w:space="0" w:color="auto"/>
                <w:right w:val="none" w:sz="0" w:space="0" w:color="auto"/>
              </w:divBdr>
            </w:div>
            <w:div w:id="1209151613">
              <w:marLeft w:val="0"/>
              <w:marRight w:val="0"/>
              <w:marTop w:val="0"/>
              <w:marBottom w:val="240"/>
              <w:divBdr>
                <w:top w:val="none" w:sz="0" w:space="0" w:color="auto"/>
                <w:left w:val="none" w:sz="0" w:space="0" w:color="auto"/>
                <w:bottom w:val="none" w:sz="0" w:space="0" w:color="auto"/>
                <w:right w:val="none" w:sz="0" w:space="0" w:color="auto"/>
              </w:divBdr>
            </w:div>
            <w:div w:id="1419207472">
              <w:marLeft w:val="0"/>
              <w:marRight w:val="0"/>
              <w:marTop w:val="0"/>
              <w:marBottom w:val="240"/>
              <w:divBdr>
                <w:top w:val="none" w:sz="0" w:space="0" w:color="auto"/>
                <w:left w:val="none" w:sz="0" w:space="0" w:color="auto"/>
                <w:bottom w:val="none" w:sz="0" w:space="0" w:color="auto"/>
                <w:right w:val="none" w:sz="0" w:space="0" w:color="auto"/>
              </w:divBdr>
            </w:div>
            <w:div w:id="1277296810">
              <w:marLeft w:val="0"/>
              <w:marRight w:val="0"/>
              <w:marTop w:val="0"/>
              <w:marBottom w:val="240"/>
              <w:divBdr>
                <w:top w:val="none" w:sz="0" w:space="0" w:color="auto"/>
                <w:left w:val="none" w:sz="0" w:space="0" w:color="auto"/>
                <w:bottom w:val="none" w:sz="0" w:space="0" w:color="auto"/>
                <w:right w:val="none" w:sz="0" w:space="0" w:color="auto"/>
              </w:divBdr>
            </w:div>
            <w:div w:id="119960249">
              <w:marLeft w:val="0"/>
              <w:marRight w:val="0"/>
              <w:marTop w:val="0"/>
              <w:marBottom w:val="240"/>
              <w:divBdr>
                <w:top w:val="none" w:sz="0" w:space="0" w:color="auto"/>
                <w:left w:val="none" w:sz="0" w:space="0" w:color="auto"/>
                <w:bottom w:val="none" w:sz="0" w:space="0" w:color="auto"/>
                <w:right w:val="none" w:sz="0" w:space="0" w:color="auto"/>
              </w:divBdr>
            </w:div>
            <w:div w:id="1581601896">
              <w:marLeft w:val="0"/>
              <w:marRight w:val="0"/>
              <w:marTop w:val="0"/>
              <w:marBottom w:val="240"/>
              <w:divBdr>
                <w:top w:val="none" w:sz="0" w:space="0" w:color="auto"/>
                <w:left w:val="none" w:sz="0" w:space="0" w:color="auto"/>
                <w:bottom w:val="none" w:sz="0" w:space="0" w:color="auto"/>
                <w:right w:val="none" w:sz="0" w:space="0" w:color="auto"/>
              </w:divBdr>
            </w:div>
            <w:div w:id="922682116">
              <w:marLeft w:val="0"/>
              <w:marRight w:val="0"/>
              <w:marTop w:val="0"/>
              <w:marBottom w:val="240"/>
              <w:divBdr>
                <w:top w:val="none" w:sz="0" w:space="0" w:color="auto"/>
                <w:left w:val="none" w:sz="0" w:space="0" w:color="auto"/>
                <w:bottom w:val="none" w:sz="0" w:space="0" w:color="auto"/>
                <w:right w:val="none" w:sz="0" w:space="0" w:color="auto"/>
              </w:divBdr>
            </w:div>
            <w:div w:id="730614527">
              <w:marLeft w:val="0"/>
              <w:marRight w:val="0"/>
              <w:marTop w:val="0"/>
              <w:marBottom w:val="240"/>
              <w:divBdr>
                <w:top w:val="none" w:sz="0" w:space="0" w:color="auto"/>
                <w:left w:val="none" w:sz="0" w:space="0" w:color="auto"/>
                <w:bottom w:val="none" w:sz="0" w:space="0" w:color="auto"/>
                <w:right w:val="none" w:sz="0" w:space="0" w:color="auto"/>
              </w:divBdr>
            </w:div>
            <w:div w:id="1100026226">
              <w:marLeft w:val="0"/>
              <w:marRight w:val="0"/>
              <w:marTop w:val="0"/>
              <w:marBottom w:val="240"/>
              <w:divBdr>
                <w:top w:val="none" w:sz="0" w:space="0" w:color="auto"/>
                <w:left w:val="none" w:sz="0" w:space="0" w:color="auto"/>
                <w:bottom w:val="none" w:sz="0" w:space="0" w:color="auto"/>
                <w:right w:val="none" w:sz="0" w:space="0" w:color="auto"/>
              </w:divBdr>
            </w:div>
            <w:div w:id="1258824599">
              <w:marLeft w:val="0"/>
              <w:marRight w:val="0"/>
              <w:marTop w:val="0"/>
              <w:marBottom w:val="240"/>
              <w:divBdr>
                <w:top w:val="none" w:sz="0" w:space="0" w:color="auto"/>
                <w:left w:val="none" w:sz="0" w:space="0" w:color="auto"/>
                <w:bottom w:val="none" w:sz="0" w:space="0" w:color="auto"/>
                <w:right w:val="none" w:sz="0" w:space="0" w:color="auto"/>
              </w:divBdr>
            </w:div>
            <w:div w:id="1970547832">
              <w:marLeft w:val="0"/>
              <w:marRight w:val="0"/>
              <w:marTop w:val="0"/>
              <w:marBottom w:val="240"/>
              <w:divBdr>
                <w:top w:val="none" w:sz="0" w:space="0" w:color="auto"/>
                <w:left w:val="none" w:sz="0" w:space="0" w:color="auto"/>
                <w:bottom w:val="none" w:sz="0" w:space="0" w:color="auto"/>
                <w:right w:val="none" w:sz="0" w:space="0" w:color="auto"/>
              </w:divBdr>
            </w:div>
            <w:div w:id="2094623061">
              <w:marLeft w:val="0"/>
              <w:marRight w:val="0"/>
              <w:marTop w:val="0"/>
              <w:marBottom w:val="240"/>
              <w:divBdr>
                <w:top w:val="none" w:sz="0" w:space="0" w:color="auto"/>
                <w:left w:val="none" w:sz="0" w:space="0" w:color="auto"/>
                <w:bottom w:val="none" w:sz="0" w:space="0" w:color="auto"/>
                <w:right w:val="none" w:sz="0" w:space="0" w:color="auto"/>
              </w:divBdr>
            </w:div>
            <w:div w:id="2032879045">
              <w:marLeft w:val="0"/>
              <w:marRight w:val="0"/>
              <w:marTop w:val="0"/>
              <w:marBottom w:val="240"/>
              <w:divBdr>
                <w:top w:val="none" w:sz="0" w:space="0" w:color="auto"/>
                <w:left w:val="none" w:sz="0" w:space="0" w:color="auto"/>
                <w:bottom w:val="none" w:sz="0" w:space="0" w:color="auto"/>
                <w:right w:val="none" w:sz="0" w:space="0" w:color="auto"/>
              </w:divBdr>
            </w:div>
            <w:div w:id="949898356">
              <w:marLeft w:val="0"/>
              <w:marRight w:val="0"/>
              <w:marTop w:val="0"/>
              <w:marBottom w:val="240"/>
              <w:divBdr>
                <w:top w:val="none" w:sz="0" w:space="0" w:color="auto"/>
                <w:left w:val="none" w:sz="0" w:space="0" w:color="auto"/>
                <w:bottom w:val="none" w:sz="0" w:space="0" w:color="auto"/>
                <w:right w:val="none" w:sz="0" w:space="0" w:color="auto"/>
              </w:divBdr>
            </w:div>
            <w:div w:id="197086420">
              <w:marLeft w:val="0"/>
              <w:marRight w:val="0"/>
              <w:marTop w:val="0"/>
              <w:marBottom w:val="240"/>
              <w:divBdr>
                <w:top w:val="none" w:sz="0" w:space="0" w:color="auto"/>
                <w:left w:val="none" w:sz="0" w:space="0" w:color="auto"/>
                <w:bottom w:val="none" w:sz="0" w:space="0" w:color="auto"/>
                <w:right w:val="none" w:sz="0" w:space="0" w:color="auto"/>
              </w:divBdr>
            </w:div>
            <w:div w:id="169758644">
              <w:marLeft w:val="0"/>
              <w:marRight w:val="0"/>
              <w:marTop w:val="0"/>
              <w:marBottom w:val="240"/>
              <w:divBdr>
                <w:top w:val="none" w:sz="0" w:space="0" w:color="auto"/>
                <w:left w:val="none" w:sz="0" w:space="0" w:color="auto"/>
                <w:bottom w:val="none" w:sz="0" w:space="0" w:color="auto"/>
                <w:right w:val="none" w:sz="0" w:space="0" w:color="auto"/>
              </w:divBdr>
            </w:div>
            <w:div w:id="1082097083">
              <w:marLeft w:val="0"/>
              <w:marRight w:val="0"/>
              <w:marTop w:val="0"/>
              <w:marBottom w:val="240"/>
              <w:divBdr>
                <w:top w:val="none" w:sz="0" w:space="0" w:color="auto"/>
                <w:left w:val="none" w:sz="0" w:space="0" w:color="auto"/>
                <w:bottom w:val="none" w:sz="0" w:space="0" w:color="auto"/>
                <w:right w:val="none" w:sz="0" w:space="0" w:color="auto"/>
              </w:divBdr>
            </w:div>
            <w:div w:id="481773307">
              <w:marLeft w:val="0"/>
              <w:marRight w:val="0"/>
              <w:marTop w:val="0"/>
              <w:marBottom w:val="240"/>
              <w:divBdr>
                <w:top w:val="none" w:sz="0" w:space="0" w:color="auto"/>
                <w:left w:val="none" w:sz="0" w:space="0" w:color="auto"/>
                <w:bottom w:val="none" w:sz="0" w:space="0" w:color="auto"/>
                <w:right w:val="none" w:sz="0" w:space="0" w:color="auto"/>
              </w:divBdr>
            </w:div>
            <w:div w:id="377978332">
              <w:marLeft w:val="0"/>
              <w:marRight w:val="0"/>
              <w:marTop w:val="0"/>
              <w:marBottom w:val="240"/>
              <w:divBdr>
                <w:top w:val="none" w:sz="0" w:space="0" w:color="auto"/>
                <w:left w:val="none" w:sz="0" w:space="0" w:color="auto"/>
                <w:bottom w:val="none" w:sz="0" w:space="0" w:color="auto"/>
                <w:right w:val="none" w:sz="0" w:space="0" w:color="auto"/>
              </w:divBdr>
            </w:div>
            <w:div w:id="2135171945">
              <w:marLeft w:val="0"/>
              <w:marRight w:val="0"/>
              <w:marTop w:val="0"/>
              <w:marBottom w:val="240"/>
              <w:divBdr>
                <w:top w:val="none" w:sz="0" w:space="0" w:color="auto"/>
                <w:left w:val="none" w:sz="0" w:space="0" w:color="auto"/>
                <w:bottom w:val="none" w:sz="0" w:space="0" w:color="auto"/>
                <w:right w:val="none" w:sz="0" w:space="0" w:color="auto"/>
              </w:divBdr>
            </w:div>
            <w:div w:id="305554336">
              <w:marLeft w:val="0"/>
              <w:marRight w:val="0"/>
              <w:marTop w:val="0"/>
              <w:marBottom w:val="240"/>
              <w:divBdr>
                <w:top w:val="none" w:sz="0" w:space="0" w:color="auto"/>
                <w:left w:val="none" w:sz="0" w:space="0" w:color="auto"/>
                <w:bottom w:val="none" w:sz="0" w:space="0" w:color="auto"/>
                <w:right w:val="none" w:sz="0" w:space="0" w:color="auto"/>
              </w:divBdr>
            </w:div>
            <w:div w:id="228075431">
              <w:marLeft w:val="0"/>
              <w:marRight w:val="0"/>
              <w:marTop w:val="0"/>
              <w:marBottom w:val="240"/>
              <w:divBdr>
                <w:top w:val="none" w:sz="0" w:space="0" w:color="auto"/>
                <w:left w:val="none" w:sz="0" w:space="0" w:color="auto"/>
                <w:bottom w:val="none" w:sz="0" w:space="0" w:color="auto"/>
                <w:right w:val="none" w:sz="0" w:space="0" w:color="auto"/>
              </w:divBdr>
            </w:div>
            <w:div w:id="1138693597">
              <w:marLeft w:val="0"/>
              <w:marRight w:val="0"/>
              <w:marTop w:val="0"/>
              <w:marBottom w:val="240"/>
              <w:divBdr>
                <w:top w:val="none" w:sz="0" w:space="0" w:color="auto"/>
                <w:left w:val="none" w:sz="0" w:space="0" w:color="auto"/>
                <w:bottom w:val="none" w:sz="0" w:space="0" w:color="auto"/>
                <w:right w:val="none" w:sz="0" w:space="0" w:color="auto"/>
              </w:divBdr>
            </w:div>
            <w:div w:id="1153067168">
              <w:marLeft w:val="0"/>
              <w:marRight w:val="0"/>
              <w:marTop w:val="0"/>
              <w:marBottom w:val="240"/>
              <w:divBdr>
                <w:top w:val="none" w:sz="0" w:space="0" w:color="auto"/>
                <w:left w:val="none" w:sz="0" w:space="0" w:color="auto"/>
                <w:bottom w:val="none" w:sz="0" w:space="0" w:color="auto"/>
                <w:right w:val="none" w:sz="0" w:space="0" w:color="auto"/>
              </w:divBdr>
            </w:div>
            <w:div w:id="1537035775">
              <w:marLeft w:val="0"/>
              <w:marRight w:val="0"/>
              <w:marTop w:val="0"/>
              <w:marBottom w:val="240"/>
              <w:divBdr>
                <w:top w:val="none" w:sz="0" w:space="0" w:color="auto"/>
                <w:left w:val="none" w:sz="0" w:space="0" w:color="auto"/>
                <w:bottom w:val="none" w:sz="0" w:space="0" w:color="auto"/>
                <w:right w:val="none" w:sz="0" w:space="0" w:color="auto"/>
              </w:divBdr>
            </w:div>
            <w:div w:id="1388338187">
              <w:marLeft w:val="0"/>
              <w:marRight w:val="0"/>
              <w:marTop w:val="0"/>
              <w:marBottom w:val="240"/>
              <w:divBdr>
                <w:top w:val="none" w:sz="0" w:space="0" w:color="auto"/>
                <w:left w:val="none" w:sz="0" w:space="0" w:color="auto"/>
                <w:bottom w:val="none" w:sz="0" w:space="0" w:color="auto"/>
                <w:right w:val="none" w:sz="0" w:space="0" w:color="auto"/>
              </w:divBdr>
            </w:div>
            <w:div w:id="879979283">
              <w:marLeft w:val="0"/>
              <w:marRight w:val="0"/>
              <w:marTop w:val="0"/>
              <w:marBottom w:val="240"/>
              <w:divBdr>
                <w:top w:val="none" w:sz="0" w:space="0" w:color="auto"/>
                <w:left w:val="none" w:sz="0" w:space="0" w:color="auto"/>
                <w:bottom w:val="none" w:sz="0" w:space="0" w:color="auto"/>
                <w:right w:val="none" w:sz="0" w:space="0" w:color="auto"/>
              </w:divBdr>
            </w:div>
            <w:div w:id="1829977755">
              <w:marLeft w:val="0"/>
              <w:marRight w:val="0"/>
              <w:marTop w:val="0"/>
              <w:marBottom w:val="240"/>
              <w:divBdr>
                <w:top w:val="none" w:sz="0" w:space="0" w:color="auto"/>
                <w:left w:val="none" w:sz="0" w:space="0" w:color="auto"/>
                <w:bottom w:val="none" w:sz="0" w:space="0" w:color="auto"/>
                <w:right w:val="none" w:sz="0" w:space="0" w:color="auto"/>
              </w:divBdr>
            </w:div>
            <w:div w:id="1789230906">
              <w:marLeft w:val="0"/>
              <w:marRight w:val="0"/>
              <w:marTop w:val="0"/>
              <w:marBottom w:val="240"/>
              <w:divBdr>
                <w:top w:val="none" w:sz="0" w:space="0" w:color="auto"/>
                <w:left w:val="none" w:sz="0" w:space="0" w:color="auto"/>
                <w:bottom w:val="none" w:sz="0" w:space="0" w:color="auto"/>
                <w:right w:val="none" w:sz="0" w:space="0" w:color="auto"/>
              </w:divBdr>
            </w:div>
            <w:div w:id="188497178">
              <w:marLeft w:val="0"/>
              <w:marRight w:val="0"/>
              <w:marTop w:val="0"/>
              <w:marBottom w:val="240"/>
              <w:divBdr>
                <w:top w:val="none" w:sz="0" w:space="0" w:color="auto"/>
                <w:left w:val="none" w:sz="0" w:space="0" w:color="auto"/>
                <w:bottom w:val="none" w:sz="0" w:space="0" w:color="auto"/>
                <w:right w:val="none" w:sz="0" w:space="0" w:color="auto"/>
              </w:divBdr>
            </w:div>
            <w:div w:id="984970233">
              <w:marLeft w:val="0"/>
              <w:marRight w:val="0"/>
              <w:marTop w:val="0"/>
              <w:marBottom w:val="240"/>
              <w:divBdr>
                <w:top w:val="none" w:sz="0" w:space="0" w:color="auto"/>
                <w:left w:val="none" w:sz="0" w:space="0" w:color="auto"/>
                <w:bottom w:val="none" w:sz="0" w:space="0" w:color="auto"/>
                <w:right w:val="none" w:sz="0" w:space="0" w:color="auto"/>
              </w:divBdr>
            </w:div>
            <w:div w:id="1323705168">
              <w:marLeft w:val="0"/>
              <w:marRight w:val="0"/>
              <w:marTop w:val="0"/>
              <w:marBottom w:val="240"/>
              <w:divBdr>
                <w:top w:val="none" w:sz="0" w:space="0" w:color="auto"/>
                <w:left w:val="none" w:sz="0" w:space="0" w:color="auto"/>
                <w:bottom w:val="none" w:sz="0" w:space="0" w:color="auto"/>
                <w:right w:val="none" w:sz="0" w:space="0" w:color="auto"/>
              </w:divBdr>
            </w:div>
            <w:div w:id="1206680450">
              <w:marLeft w:val="0"/>
              <w:marRight w:val="0"/>
              <w:marTop w:val="0"/>
              <w:marBottom w:val="240"/>
              <w:divBdr>
                <w:top w:val="none" w:sz="0" w:space="0" w:color="auto"/>
                <w:left w:val="none" w:sz="0" w:space="0" w:color="auto"/>
                <w:bottom w:val="none" w:sz="0" w:space="0" w:color="auto"/>
                <w:right w:val="none" w:sz="0" w:space="0" w:color="auto"/>
              </w:divBdr>
            </w:div>
            <w:div w:id="1669479046">
              <w:marLeft w:val="0"/>
              <w:marRight w:val="0"/>
              <w:marTop w:val="0"/>
              <w:marBottom w:val="240"/>
              <w:divBdr>
                <w:top w:val="none" w:sz="0" w:space="0" w:color="auto"/>
                <w:left w:val="none" w:sz="0" w:space="0" w:color="auto"/>
                <w:bottom w:val="none" w:sz="0" w:space="0" w:color="auto"/>
                <w:right w:val="none" w:sz="0" w:space="0" w:color="auto"/>
              </w:divBdr>
            </w:div>
            <w:div w:id="1086272048">
              <w:marLeft w:val="0"/>
              <w:marRight w:val="0"/>
              <w:marTop w:val="0"/>
              <w:marBottom w:val="240"/>
              <w:divBdr>
                <w:top w:val="none" w:sz="0" w:space="0" w:color="auto"/>
                <w:left w:val="none" w:sz="0" w:space="0" w:color="auto"/>
                <w:bottom w:val="none" w:sz="0" w:space="0" w:color="auto"/>
                <w:right w:val="none" w:sz="0" w:space="0" w:color="auto"/>
              </w:divBdr>
            </w:div>
            <w:div w:id="1782188037">
              <w:marLeft w:val="0"/>
              <w:marRight w:val="0"/>
              <w:marTop w:val="0"/>
              <w:marBottom w:val="240"/>
              <w:divBdr>
                <w:top w:val="none" w:sz="0" w:space="0" w:color="auto"/>
                <w:left w:val="none" w:sz="0" w:space="0" w:color="auto"/>
                <w:bottom w:val="none" w:sz="0" w:space="0" w:color="auto"/>
                <w:right w:val="none" w:sz="0" w:space="0" w:color="auto"/>
              </w:divBdr>
            </w:div>
            <w:div w:id="659964463">
              <w:marLeft w:val="0"/>
              <w:marRight w:val="0"/>
              <w:marTop w:val="0"/>
              <w:marBottom w:val="240"/>
              <w:divBdr>
                <w:top w:val="none" w:sz="0" w:space="0" w:color="auto"/>
                <w:left w:val="none" w:sz="0" w:space="0" w:color="auto"/>
                <w:bottom w:val="none" w:sz="0" w:space="0" w:color="auto"/>
                <w:right w:val="none" w:sz="0" w:space="0" w:color="auto"/>
              </w:divBdr>
            </w:div>
            <w:div w:id="817576490">
              <w:marLeft w:val="0"/>
              <w:marRight w:val="0"/>
              <w:marTop w:val="0"/>
              <w:marBottom w:val="240"/>
              <w:divBdr>
                <w:top w:val="none" w:sz="0" w:space="0" w:color="auto"/>
                <w:left w:val="none" w:sz="0" w:space="0" w:color="auto"/>
                <w:bottom w:val="none" w:sz="0" w:space="0" w:color="auto"/>
                <w:right w:val="none" w:sz="0" w:space="0" w:color="auto"/>
              </w:divBdr>
            </w:div>
            <w:div w:id="147092157">
              <w:marLeft w:val="0"/>
              <w:marRight w:val="0"/>
              <w:marTop w:val="0"/>
              <w:marBottom w:val="240"/>
              <w:divBdr>
                <w:top w:val="none" w:sz="0" w:space="0" w:color="auto"/>
                <w:left w:val="none" w:sz="0" w:space="0" w:color="auto"/>
                <w:bottom w:val="none" w:sz="0" w:space="0" w:color="auto"/>
                <w:right w:val="none" w:sz="0" w:space="0" w:color="auto"/>
              </w:divBdr>
            </w:div>
            <w:div w:id="2036493229">
              <w:marLeft w:val="0"/>
              <w:marRight w:val="0"/>
              <w:marTop w:val="0"/>
              <w:marBottom w:val="240"/>
              <w:divBdr>
                <w:top w:val="none" w:sz="0" w:space="0" w:color="auto"/>
                <w:left w:val="none" w:sz="0" w:space="0" w:color="auto"/>
                <w:bottom w:val="none" w:sz="0" w:space="0" w:color="auto"/>
                <w:right w:val="none" w:sz="0" w:space="0" w:color="auto"/>
              </w:divBdr>
            </w:div>
            <w:div w:id="1679695541">
              <w:marLeft w:val="0"/>
              <w:marRight w:val="0"/>
              <w:marTop w:val="0"/>
              <w:marBottom w:val="240"/>
              <w:divBdr>
                <w:top w:val="none" w:sz="0" w:space="0" w:color="auto"/>
                <w:left w:val="none" w:sz="0" w:space="0" w:color="auto"/>
                <w:bottom w:val="none" w:sz="0" w:space="0" w:color="auto"/>
                <w:right w:val="none" w:sz="0" w:space="0" w:color="auto"/>
              </w:divBdr>
            </w:div>
            <w:div w:id="118034078">
              <w:marLeft w:val="0"/>
              <w:marRight w:val="0"/>
              <w:marTop w:val="0"/>
              <w:marBottom w:val="240"/>
              <w:divBdr>
                <w:top w:val="none" w:sz="0" w:space="0" w:color="auto"/>
                <w:left w:val="none" w:sz="0" w:space="0" w:color="auto"/>
                <w:bottom w:val="none" w:sz="0" w:space="0" w:color="auto"/>
                <w:right w:val="none" w:sz="0" w:space="0" w:color="auto"/>
              </w:divBdr>
            </w:div>
            <w:div w:id="1224677771">
              <w:marLeft w:val="0"/>
              <w:marRight w:val="0"/>
              <w:marTop w:val="0"/>
              <w:marBottom w:val="240"/>
              <w:divBdr>
                <w:top w:val="none" w:sz="0" w:space="0" w:color="auto"/>
                <w:left w:val="none" w:sz="0" w:space="0" w:color="auto"/>
                <w:bottom w:val="none" w:sz="0" w:space="0" w:color="auto"/>
                <w:right w:val="none" w:sz="0" w:space="0" w:color="auto"/>
              </w:divBdr>
            </w:div>
            <w:div w:id="172236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227977">
      <w:bodyDiv w:val="1"/>
      <w:marLeft w:val="0"/>
      <w:marRight w:val="0"/>
      <w:marTop w:val="0"/>
      <w:marBottom w:val="0"/>
      <w:divBdr>
        <w:top w:val="none" w:sz="0" w:space="0" w:color="auto"/>
        <w:left w:val="none" w:sz="0" w:space="0" w:color="auto"/>
        <w:bottom w:val="none" w:sz="0" w:space="0" w:color="auto"/>
        <w:right w:val="none" w:sz="0" w:space="0" w:color="auto"/>
      </w:divBdr>
    </w:div>
    <w:div w:id="2043553406">
      <w:bodyDiv w:val="1"/>
      <w:marLeft w:val="0"/>
      <w:marRight w:val="0"/>
      <w:marTop w:val="0"/>
      <w:marBottom w:val="0"/>
      <w:divBdr>
        <w:top w:val="none" w:sz="0" w:space="0" w:color="auto"/>
        <w:left w:val="none" w:sz="0" w:space="0" w:color="auto"/>
        <w:bottom w:val="none" w:sz="0" w:space="0" w:color="auto"/>
        <w:right w:val="none" w:sz="0" w:space="0" w:color="auto"/>
      </w:divBdr>
      <w:divsChild>
        <w:div w:id="1110854497">
          <w:marLeft w:val="480"/>
          <w:marRight w:val="0"/>
          <w:marTop w:val="0"/>
          <w:marBottom w:val="0"/>
          <w:divBdr>
            <w:top w:val="none" w:sz="0" w:space="0" w:color="auto"/>
            <w:left w:val="none" w:sz="0" w:space="0" w:color="auto"/>
            <w:bottom w:val="none" w:sz="0" w:space="0" w:color="auto"/>
            <w:right w:val="none" w:sz="0" w:space="0" w:color="auto"/>
          </w:divBdr>
          <w:divsChild>
            <w:div w:id="418453967">
              <w:marLeft w:val="0"/>
              <w:marRight w:val="0"/>
              <w:marTop w:val="0"/>
              <w:marBottom w:val="240"/>
              <w:divBdr>
                <w:top w:val="none" w:sz="0" w:space="0" w:color="auto"/>
                <w:left w:val="none" w:sz="0" w:space="0" w:color="auto"/>
                <w:bottom w:val="none" w:sz="0" w:space="0" w:color="auto"/>
                <w:right w:val="none" w:sz="0" w:space="0" w:color="auto"/>
              </w:divBdr>
            </w:div>
            <w:div w:id="718088945">
              <w:marLeft w:val="0"/>
              <w:marRight w:val="0"/>
              <w:marTop w:val="0"/>
              <w:marBottom w:val="240"/>
              <w:divBdr>
                <w:top w:val="none" w:sz="0" w:space="0" w:color="auto"/>
                <w:left w:val="none" w:sz="0" w:space="0" w:color="auto"/>
                <w:bottom w:val="none" w:sz="0" w:space="0" w:color="auto"/>
                <w:right w:val="none" w:sz="0" w:space="0" w:color="auto"/>
              </w:divBdr>
            </w:div>
            <w:div w:id="110050915">
              <w:marLeft w:val="0"/>
              <w:marRight w:val="0"/>
              <w:marTop w:val="0"/>
              <w:marBottom w:val="240"/>
              <w:divBdr>
                <w:top w:val="none" w:sz="0" w:space="0" w:color="auto"/>
                <w:left w:val="none" w:sz="0" w:space="0" w:color="auto"/>
                <w:bottom w:val="none" w:sz="0" w:space="0" w:color="auto"/>
                <w:right w:val="none" w:sz="0" w:space="0" w:color="auto"/>
              </w:divBdr>
            </w:div>
            <w:div w:id="96294264">
              <w:marLeft w:val="0"/>
              <w:marRight w:val="0"/>
              <w:marTop w:val="0"/>
              <w:marBottom w:val="240"/>
              <w:divBdr>
                <w:top w:val="none" w:sz="0" w:space="0" w:color="auto"/>
                <w:left w:val="none" w:sz="0" w:space="0" w:color="auto"/>
                <w:bottom w:val="none" w:sz="0" w:space="0" w:color="auto"/>
                <w:right w:val="none" w:sz="0" w:space="0" w:color="auto"/>
              </w:divBdr>
            </w:div>
            <w:div w:id="141430942">
              <w:marLeft w:val="0"/>
              <w:marRight w:val="0"/>
              <w:marTop w:val="0"/>
              <w:marBottom w:val="240"/>
              <w:divBdr>
                <w:top w:val="none" w:sz="0" w:space="0" w:color="auto"/>
                <w:left w:val="none" w:sz="0" w:space="0" w:color="auto"/>
                <w:bottom w:val="none" w:sz="0" w:space="0" w:color="auto"/>
                <w:right w:val="none" w:sz="0" w:space="0" w:color="auto"/>
              </w:divBdr>
            </w:div>
            <w:div w:id="470632635">
              <w:marLeft w:val="0"/>
              <w:marRight w:val="0"/>
              <w:marTop w:val="0"/>
              <w:marBottom w:val="240"/>
              <w:divBdr>
                <w:top w:val="none" w:sz="0" w:space="0" w:color="auto"/>
                <w:left w:val="none" w:sz="0" w:space="0" w:color="auto"/>
                <w:bottom w:val="none" w:sz="0" w:space="0" w:color="auto"/>
                <w:right w:val="none" w:sz="0" w:space="0" w:color="auto"/>
              </w:divBdr>
            </w:div>
            <w:div w:id="1351373676">
              <w:marLeft w:val="0"/>
              <w:marRight w:val="0"/>
              <w:marTop w:val="0"/>
              <w:marBottom w:val="240"/>
              <w:divBdr>
                <w:top w:val="none" w:sz="0" w:space="0" w:color="auto"/>
                <w:left w:val="none" w:sz="0" w:space="0" w:color="auto"/>
                <w:bottom w:val="none" w:sz="0" w:space="0" w:color="auto"/>
                <w:right w:val="none" w:sz="0" w:space="0" w:color="auto"/>
              </w:divBdr>
            </w:div>
            <w:div w:id="19093129">
              <w:marLeft w:val="0"/>
              <w:marRight w:val="0"/>
              <w:marTop w:val="0"/>
              <w:marBottom w:val="240"/>
              <w:divBdr>
                <w:top w:val="none" w:sz="0" w:space="0" w:color="auto"/>
                <w:left w:val="none" w:sz="0" w:space="0" w:color="auto"/>
                <w:bottom w:val="none" w:sz="0" w:space="0" w:color="auto"/>
                <w:right w:val="none" w:sz="0" w:space="0" w:color="auto"/>
              </w:divBdr>
            </w:div>
            <w:div w:id="1765607731">
              <w:marLeft w:val="0"/>
              <w:marRight w:val="0"/>
              <w:marTop w:val="0"/>
              <w:marBottom w:val="240"/>
              <w:divBdr>
                <w:top w:val="none" w:sz="0" w:space="0" w:color="auto"/>
                <w:left w:val="none" w:sz="0" w:space="0" w:color="auto"/>
                <w:bottom w:val="none" w:sz="0" w:space="0" w:color="auto"/>
                <w:right w:val="none" w:sz="0" w:space="0" w:color="auto"/>
              </w:divBdr>
            </w:div>
            <w:div w:id="1805076351">
              <w:marLeft w:val="0"/>
              <w:marRight w:val="0"/>
              <w:marTop w:val="0"/>
              <w:marBottom w:val="240"/>
              <w:divBdr>
                <w:top w:val="none" w:sz="0" w:space="0" w:color="auto"/>
                <w:left w:val="none" w:sz="0" w:space="0" w:color="auto"/>
                <w:bottom w:val="none" w:sz="0" w:space="0" w:color="auto"/>
                <w:right w:val="none" w:sz="0" w:space="0" w:color="auto"/>
              </w:divBdr>
            </w:div>
            <w:div w:id="1719087626">
              <w:marLeft w:val="0"/>
              <w:marRight w:val="0"/>
              <w:marTop w:val="0"/>
              <w:marBottom w:val="240"/>
              <w:divBdr>
                <w:top w:val="none" w:sz="0" w:space="0" w:color="auto"/>
                <w:left w:val="none" w:sz="0" w:space="0" w:color="auto"/>
                <w:bottom w:val="none" w:sz="0" w:space="0" w:color="auto"/>
                <w:right w:val="none" w:sz="0" w:space="0" w:color="auto"/>
              </w:divBdr>
            </w:div>
            <w:div w:id="1201822125">
              <w:marLeft w:val="0"/>
              <w:marRight w:val="0"/>
              <w:marTop w:val="0"/>
              <w:marBottom w:val="240"/>
              <w:divBdr>
                <w:top w:val="none" w:sz="0" w:space="0" w:color="auto"/>
                <w:left w:val="none" w:sz="0" w:space="0" w:color="auto"/>
                <w:bottom w:val="none" w:sz="0" w:space="0" w:color="auto"/>
                <w:right w:val="none" w:sz="0" w:space="0" w:color="auto"/>
              </w:divBdr>
            </w:div>
            <w:div w:id="1379629624">
              <w:marLeft w:val="0"/>
              <w:marRight w:val="0"/>
              <w:marTop w:val="0"/>
              <w:marBottom w:val="240"/>
              <w:divBdr>
                <w:top w:val="none" w:sz="0" w:space="0" w:color="auto"/>
                <w:left w:val="none" w:sz="0" w:space="0" w:color="auto"/>
                <w:bottom w:val="none" w:sz="0" w:space="0" w:color="auto"/>
                <w:right w:val="none" w:sz="0" w:space="0" w:color="auto"/>
              </w:divBdr>
            </w:div>
            <w:div w:id="1705641693">
              <w:marLeft w:val="0"/>
              <w:marRight w:val="0"/>
              <w:marTop w:val="0"/>
              <w:marBottom w:val="240"/>
              <w:divBdr>
                <w:top w:val="none" w:sz="0" w:space="0" w:color="auto"/>
                <w:left w:val="none" w:sz="0" w:space="0" w:color="auto"/>
                <w:bottom w:val="none" w:sz="0" w:space="0" w:color="auto"/>
                <w:right w:val="none" w:sz="0" w:space="0" w:color="auto"/>
              </w:divBdr>
            </w:div>
            <w:div w:id="1248810624">
              <w:marLeft w:val="0"/>
              <w:marRight w:val="0"/>
              <w:marTop w:val="0"/>
              <w:marBottom w:val="240"/>
              <w:divBdr>
                <w:top w:val="none" w:sz="0" w:space="0" w:color="auto"/>
                <w:left w:val="none" w:sz="0" w:space="0" w:color="auto"/>
                <w:bottom w:val="none" w:sz="0" w:space="0" w:color="auto"/>
                <w:right w:val="none" w:sz="0" w:space="0" w:color="auto"/>
              </w:divBdr>
            </w:div>
            <w:div w:id="543031594">
              <w:marLeft w:val="0"/>
              <w:marRight w:val="0"/>
              <w:marTop w:val="0"/>
              <w:marBottom w:val="240"/>
              <w:divBdr>
                <w:top w:val="none" w:sz="0" w:space="0" w:color="auto"/>
                <w:left w:val="none" w:sz="0" w:space="0" w:color="auto"/>
                <w:bottom w:val="none" w:sz="0" w:space="0" w:color="auto"/>
                <w:right w:val="none" w:sz="0" w:space="0" w:color="auto"/>
              </w:divBdr>
            </w:div>
            <w:div w:id="1020860484">
              <w:marLeft w:val="0"/>
              <w:marRight w:val="0"/>
              <w:marTop w:val="0"/>
              <w:marBottom w:val="240"/>
              <w:divBdr>
                <w:top w:val="none" w:sz="0" w:space="0" w:color="auto"/>
                <w:left w:val="none" w:sz="0" w:space="0" w:color="auto"/>
                <w:bottom w:val="none" w:sz="0" w:space="0" w:color="auto"/>
                <w:right w:val="none" w:sz="0" w:space="0" w:color="auto"/>
              </w:divBdr>
            </w:div>
            <w:div w:id="2073505447">
              <w:marLeft w:val="0"/>
              <w:marRight w:val="0"/>
              <w:marTop w:val="0"/>
              <w:marBottom w:val="240"/>
              <w:divBdr>
                <w:top w:val="none" w:sz="0" w:space="0" w:color="auto"/>
                <w:left w:val="none" w:sz="0" w:space="0" w:color="auto"/>
                <w:bottom w:val="none" w:sz="0" w:space="0" w:color="auto"/>
                <w:right w:val="none" w:sz="0" w:space="0" w:color="auto"/>
              </w:divBdr>
            </w:div>
            <w:div w:id="1404109116">
              <w:marLeft w:val="0"/>
              <w:marRight w:val="0"/>
              <w:marTop w:val="0"/>
              <w:marBottom w:val="240"/>
              <w:divBdr>
                <w:top w:val="none" w:sz="0" w:space="0" w:color="auto"/>
                <w:left w:val="none" w:sz="0" w:space="0" w:color="auto"/>
                <w:bottom w:val="none" w:sz="0" w:space="0" w:color="auto"/>
                <w:right w:val="none" w:sz="0" w:space="0" w:color="auto"/>
              </w:divBdr>
            </w:div>
            <w:div w:id="1368874900">
              <w:marLeft w:val="0"/>
              <w:marRight w:val="0"/>
              <w:marTop w:val="0"/>
              <w:marBottom w:val="240"/>
              <w:divBdr>
                <w:top w:val="none" w:sz="0" w:space="0" w:color="auto"/>
                <w:left w:val="none" w:sz="0" w:space="0" w:color="auto"/>
                <w:bottom w:val="none" w:sz="0" w:space="0" w:color="auto"/>
                <w:right w:val="none" w:sz="0" w:space="0" w:color="auto"/>
              </w:divBdr>
            </w:div>
            <w:div w:id="1330911265">
              <w:marLeft w:val="0"/>
              <w:marRight w:val="0"/>
              <w:marTop w:val="0"/>
              <w:marBottom w:val="240"/>
              <w:divBdr>
                <w:top w:val="none" w:sz="0" w:space="0" w:color="auto"/>
                <w:left w:val="none" w:sz="0" w:space="0" w:color="auto"/>
                <w:bottom w:val="none" w:sz="0" w:space="0" w:color="auto"/>
                <w:right w:val="none" w:sz="0" w:space="0" w:color="auto"/>
              </w:divBdr>
            </w:div>
            <w:div w:id="835346652">
              <w:marLeft w:val="0"/>
              <w:marRight w:val="0"/>
              <w:marTop w:val="0"/>
              <w:marBottom w:val="240"/>
              <w:divBdr>
                <w:top w:val="none" w:sz="0" w:space="0" w:color="auto"/>
                <w:left w:val="none" w:sz="0" w:space="0" w:color="auto"/>
                <w:bottom w:val="none" w:sz="0" w:space="0" w:color="auto"/>
                <w:right w:val="none" w:sz="0" w:space="0" w:color="auto"/>
              </w:divBdr>
            </w:div>
            <w:div w:id="186258574">
              <w:marLeft w:val="0"/>
              <w:marRight w:val="0"/>
              <w:marTop w:val="0"/>
              <w:marBottom w:val="240"/>
              <w:divBdr>
                <w:top w:val="none" w:sz="0" w:space="0" w:color="auto"/>
                <w:left w:val="none" w:sz="0" w:space="0" w:color="auto"/>
                <w:bottom w:val="none" w:sz="0" w:space="0" w:color="auto"/>
                <w:right w:val="none" w:sz="0" w:space="0" w:color="auto"/>
              </w:divBdr>
            </w:div>
            <w:div w:id="369770436">
              <w:marLeft w:val="0"/>
              <w:marRight w:val="0"/>
              <w:marTop w:val="0"/>
              <w:marBottom w:val="240"/>
              <w:divBdr>
                <w:top w:val="none" w:sz="0" w:space="0" w:color="auto"/>
                <w:left w:val="none" w:sz="0" w:space="0" w:color="auto"/>
                <w:bottom w:val="none" w:sz="0" w:space="0" w:color="auto"/>
                <w:right w:val="none" w:sz="0" w:space="0" w:color="auto"/>
              </w:divBdr>
            </w:div>
            <w:div w:id="1393113007">
              <w:marLeft w:val="0"/>
              <w:marRight w:val="0"/>
              <w:marTop w:val="0"/>
              <w:marBottom w:val="240"/>
              <w:divBdr>
                <w:top w:val="none" w:sz="0" w:space="0" w:color="auto"/>
                <w:left w:val="none" w:sz="0" w:space="0" w:color="auto"/>
                <w:bottom w:val="none" w:sz="0" w:space="0" w:color="auto"/>
                <w:right w:val="none" w:sz="0" w:space="0" w:color="auto"/>
              </w:divBdr>
            </w:div>
            <w:div w:id="1603224419">
              <w:marLeft w:val="0"/>
              <w:marRight w:val="0"/>
              <w:marTop w:val="0"/>
              <w:marBottom w:val="240"/>
              <w:divBdr>
                <w:top w:val="none" w:sz="0" w:space="0" w:color="auto"/>
                <w:left w:val="none" w:sz="0" w:space="0" w:color="auto"/>
                <w:bottom w:val="none" w:sz="0" w:space="0" w:color="auto"/>
                <w:right w:val="none" w:sz="0" w:space="0" w:color="auto"/>
              </w:divBdr>
            </w:div>
            <w:div w:id="1472744470">
              <w:marLeft w:val="0"/>
              <w:marRight w:val="0"/>
              <w:marTop w:val="0"/>
              <w:marBottom w:val="240"/>
              <w:divBdr>
                <w:top w:val="none" w:sz="0" w:space="0" w:color="auto"/>
                <w:left w:val="none" w:sz="0" w:space="0" w:color="auto"/>
                <w:bottom w:val="none" w:sz="0" w:space="0" w:color="auto"/>
                <w:right w:val="none" w:sz="0" w:space="0" w:color="auto"/>
              </w:divBdr>
            </w:div>
            <w:div w:id="404305602">
              <w:marLeft w:val="0"/>
              <w:marRight w:val="0"/>
              <w:marTop w:val="0"/>
              <w:marBottom w:val="240"/>
              <w:divBdr>
                <w:top w:val="none" w:sz="0" w:space="0" w:color="auto"/>
                <w:left w:val="none" w:sz="0" w:space="0" w:color="auto"/>
                <w:bottom w:val="none" w:sz="0" w:space="0" w:color="auto"/>
                <w:right w:val="none" w:sz="0" w:space="0" w:color="auto"/>
              </w:divBdr>
            </w:div>
            <w:div w:id="1251233832">
              <w:marLeft w:val="0"/>
              <w:marRight w:val="0"/>
              <w:marTop w:val="0"/>
              <w:marBottom w:val="240"/>
              <w:divBdr>
                <w:top w:val="none" w:sz="0" w:space="0" w:color="auto"/>
                <w:left w:val="none" w:sz="0" w:space="0" w:color="auto"/>
                <w:bottom w:val="none" w:sz="0" w:space="0" w:color="auto"/>
                <w:right w:val="none" w:sz="0" w:space="0" w:color="auto"/>
              </w:divBdr>
            </w:div>
            <w:div w:id="842277032">
              <w:marLeft w:val="0"/>
              <w:marRight w:val="0"/>
              <w:marTop w:val="0"/>
              <w:marBottom w:val="240"/>
              <w:divBdr>
                <w:top w:val="none" w:sz="0" w:space="0" w:color="auto"/>
                <w:left w:val="none" w:sz="0" w:space="0" w:color="auto"/>
                <w:bottom w:val="none" w:sz="0" w:space="0" w:color="auto"/>
                <w:right w:val="none" w:sz="0" w:space="0" w:color="auto"/>
              </w:divBdr>
            </w:div>
            <w:div w:id="1883979847">
              <w:marLeft w:val="0"/>
              <w:marRight w:val="0"/>
              <w:marTop w:val="0"/>
              <w:marBottom w:val="240"/>
              <w:divBdr>
                <w:top w:val="none" w:sz="0" w:space="0" w:color="auto"/>
                <w:left w:val="none" w:sz="0" w:space="0" w:color="auto"/>
                <w:bottom w:val="none" w:sz="0" w:space="0" w:color="auto"/>
                <w:right w:val="none" w:sz="0" w:space="0" w:color="auto"/>
              </w:divBdr>
            </w:div>
            <w:div w:id="255476835">
              <w:marLeft w:val="0"/>
              <w:marRight w:val="0"/>
              <w:marTop w:val="0"/>
              <w:marBottom w:val="240"/>
              <w:divBdr>
                <w:top w:val="none" w:sz="0" w:space="0" w:color="auto"/>
                <w:left w:val="none" w:sz="0" w:space="0" w:color="auto"/>
                <w:bottom w:val="none" w:sz="0" w:space="0" w:color="auto"/>
                <w:right w:val="none" w:sz="0" w:space="0" w:color="auto"/>
              </w:divBdr>
            </w:div>
            <w:div w:id="332489259">
              <w:marLeft w:val="0"/>
              <w:marRight w:val="0"/>
              <w:marTop w:val="0"/>
              <w:marBottom w:val="240"/>
              <w:divBdr>
                <w:top w:val="none" w:sz="0" w:space="0" w:color="auto"/>
                <w:left w:val="none" w:sz="0" w:space="0" w:color="auto"/>
                <w:bottom w:val="none" w:sz="0" w:space="0" w:color="auto"/>
                <w:right w:val="none" w:sz="0" w:space="0" w:color="auto"/>
              </w:divBdr>
            </w:div>
            <w:div w:id="830100793">
              <w:marLeft w:val="0"/>
              <w:marRight w:val="0"/>
              <w:marTop w:val="0"/>
              <w:marBottom w:val="240"/>
              <w:divBdr>
                <w:top w:val="none" w:sz="0" w:space="0" w:color="auto"/>
                <w:left w:val="none" w:sz="0" w:space="0" w:color="auto"/>
                <w:bottom w:val="none" w:sz="0" w:space="0" w:color="auto"/>
                <w:right w:val="none" w:sz="0" w:space="0" w:color="auto"/>
              </w:divBdr>
            </w:div>
            <w:div w:id="339746855">
              <w:marLeft w:val="0"/>
              <w:marRight w:val="0"/>
              <w:marTop w:val="0"/>
              <w:marBottom w:val="240"/>
              <w:divBdr>
                <w:top w:val="none" w:sz="0" w:space="0" w:color="auto"/>
                <w:left w:val="none" w:sz="0" w:space="0" w:color="auto"/>
                <w:bottom w:val="none" w:sz="0" w:space="0" w:color="auto"/>
                <w:right w:val="none" w:sz="0" w:space="0" w:color="auto"/>
              </w:divBdr>
            </w:div>
            <w:div w:id="2078699654">
              <w:marLeft w:val="0"/>
              <w:marRight w:val="0"/>
              <w:marTop w:val="0"/>
              <w:marBottom w:val="240"/>
              <w:divBdr>
                <w:top w:val="none" w:sz="0" w:space="0" w:color="auto"/>
                <w:left w:val="none" w:sz="0" w:space="0" w:color="auto"/>
                <w:bottom w:val="none" w:sz="0" w:space="0" w:color="auto"/>
                <w:right w:val="none" w:sz="0" w:space="0" w:color="auto"/>
              </w:divBdr>
            </w:div>
            <w:div w:id="2052681217">
              <w:marLeft w:val="0"/>
              <w:marRight w:val="0"/>
              <w:marTop w:val="0"/>
              <w:marBottom w:val="240"/>
              <w:divBdr>
                <w:top w:val="none" w:sz="0" w:space="0" w:color="auto"/>
                <w:left w:val="none" w:sz="0" w:space="0" w:color="auto"/>
                <w:bottom w:val="none" w:sz="0" w:space="0" w:color="auto"/>
                <w:right w:val="none" w:sz="0" w:space="0" w:color="auto"/>
              </w:divBdr>
            </w:div>
            <w:div w:id="1099253237">
              <w:marLeft w:val="0"/>
              <w:marRight w:val="0"/>
              <w:marTop w:val="0"/>
              <w:marBottom w:val="240"/>
              <w:divBdr>
                <w:top w:val="none" w:sz="0" w:space="0" w:color="auto"/>
                <w:left w:val="none" w:sz="0" w:space="0" w:color="auto"/>
                <w:bottom w:val="none" w:sz="0" w:space="0" w:color="auto"/>
                <w:right w:val="none" w:sz="0" w:space="0" w:color="auto"/>
              </w:divBdr>
            </w:div>
            <w:div w:id="2010597823">
              <w:marLeft w:val="0"/>
              <w:marRight w:val="0"/>
              <w:marTop w:val="0"/>
              <w:marBottom w:val="240"/>
              <w:divBdr>
                <w:top w:val="none" w:sz="0" w:space="0" w:color="auto"/>
                <w:left w:val="none" w:sz="0" w:space="0" w:color="auto"/>
                <w:bottom w:val="none" w:sz="0" w:space="0" w:color="auto"/>
                <w:right w:val="none" w:sz="0" w:space="0" w:color="auto"/>
              </w:divBdr>
            </w:div>
            <w:div w:id="1409038986">
              <w:marLeft w:val="0"/>
              <w:marRight w:val="0"/>
              <w:marTop w:val="0"/>
              <w:marBottom w:val="240"/>
              <w:divBdr>
                <w:top w:val="none" w:sz="0" w:space="0" w:color="auto"/>
                <w:left w:val="none" w:sz="0" w:space="0" w:color="auto"/>
                <w:bottom w:val="none" w:sz="0" w:space="0" w:color="auto"/>
                <w:right w:val="none" w:sz="0" w:space="0" w:color="auto"/>
              </w:divBdr>
            </w:div>
            <w:div w:id="1366061389">
              <w:marLeft w:val="0"/>
              <w:marRight w:val="0"/>
              <w:marTop w:val="0"/>
              <w:marBottom w:val="240"/>
              <w:divBdr>
                <w:top w:val="none" w:sz="0" w:space="0" w:color="auto"/>
                <w:left w:val="none" w:sz="0" w:space="0" w:color="auto"/>
                <w:bottom w:val="none" w:sz="0" w:space="0" w:color="auto"/>
                <w:right w:val="none" w:sz="0" w:space="0" w:color="auto"/>
              </w:divBdr>
            </w:div>
            <w:div w:id="1009722349">
              <w:marLeft w:val="0"/>
              <w:marRight w:val="0"/>
              <w:marTop w:val="0"/>
              <w:marBottom w:val="240"/>
              <w:divBdr>
                <w:top w:val="none" w:sz="0" w:space="0" w:color="auto"/>
                <w:left w:val="none" w:sz="0" w:space="0" w:color="auto"/>
                <w:bottom w:val="none" w:sz="0" w:space="0" w:color="auto"/>
                <w:right w:val="none" w:sz="0" w:space="0" w:color="auto"/>
              </w:divBdr>
            </w:div>
            <w:div w:id="1322200825">
              <w:marLeft w:val="0"/>
              <w:marRight w:val="0"/>
              <w:marTop w:val="0"/>
              <w:marBottom w:val="240"/>
              <w:divBdr>
                <w:top w:val="none" w:sz="0" w:space="0" w:color="auto"/>
                <w:left w:val="none" w:sz="0" w:space="0" w:color="auto"/>
                <w:bottom w:val="none" w:sz="0" w:space="0" w:color="auto"/>
                <w:right w:val="none" w:sz="0" w:space="0" w:color="auto"/>
              </w:divBdr>
            </w:div>
            <w:div w:id="614361028">
              <w:marLeft w:val="0"/>
              <w:marRight w:val="0"/>
              <w:marTop w:val="0"/>
              <w:marBottom w:val="240"/>
              <w:divBdr>
                <w:top w:val="none" w:sz="0" w:space="0" w:color="auto"/>
                <w:left w:val="none" w:sz="0" w:space="0" w:color="auto"/>
                <w:bottom w:val="none" w:sz="0" w:space="0" w:color="auto"/>
                <w:right w:val="none" w:sz="0" w:space="0" w:color="auto"/>
              </w:divBdr>
            </w:div>
            <w:div w:id="1593470716">
              <w:marLeft w:val="0"/>
              <w:marRight w:val="0"/>
              <w:marTop w:val="0"/>
              <w:marBottom w:val="240"/>
              <w:divBdr>
                <w:top w:val="none" w:sz="0" w:space="0" w:color="auto"/>
                <w:left w:val="none" w:sz="0" w:space="0" w:color="auto"/>
                <w:bottom w:val="none" w:sz="0" w:space="0" w:color="auto"/>
                <w:right w:val="none" w:sz="0" w:space="0" w:color="auto"/>
              </w:divBdr>
            </w:div>
            <w:div w:id="1536884826">
              <w:marLeft w:val="0"/>
              <w:marRight w:val="0"/>
              <w:marTop w:val="0"/>
              <w:marBottom w:val="240"/>
              <w:divBdr>
                <w:top w:val="none" w:sz="0" w:space="0" w:color="auto"/>
                <w:left w:val="none" w:sz="0" w:space="0" w:color="auto"/>
                <w:bottom w:val="none" w:sz="0" w:space="0" w:color="auto"/>
                <w:right w:val="none" w:sz="0" w:space="0" w:color="auto"/>
              </w:divBdr>
            </w:div>
            <w:div w:id="1930238234">
              <w:marLeft w:val="0"/>
              <w:marRight w:val="0"/>
              <w:marTop w:val="0"/>
              <w:marBottom w:val="240"/>
              <w:divBdr>
                <w:top w:val="none" w:sz="0" w:space="0" w:color="auto"/>
                <w:left w:val="none" w:sz="0" w:space="0" w:color="auto"/>
                <w:bottom w:val="none" w:sz="0" w:space="0" w:color="auto"/>
                <w:right w:val="none" w:sz="0" w:space="0" w:color="auto"/>
              </w:divBdr>
            </w:div>
            <w:div w:id="465976670">
              <w:marLeft w:val="0"/>
              <w:marRight w:val="0"/>
              <w:marTop w:val="0"/>
              <w:marBottom w:val="240"/>
              <w:divBdr>
                <w:top w:val="none" w:sz="0" w:space="0" w:color="auto"/>
                <w:left w:val="none" w:sz="0" w:space="0" w:color="auto"/>
                <w:bottom w:val="none" w:sz="0" w:space="0" w:color="auto"/>
                <w:right w:val="none" w:sz="0" w:space="0" w:color="auto"/>
              </w:divBdr>
            </w:div>
            <w:div w:id="1781146650">
              <w:marLeft w:val="0"/>
              <w:marRight w:val="0"/>
              <w:marTop w:val="0"/>
              <w:marBottom w:val="240"/>
              <w:divBdr>
                <w:top w:val="none" w:sz="0" w:space="0" w:color="auto"/>
                <w:left w:val="none" w:sz="0" w:space="0" w:color="auto"/>
                <w:bottom w:val="none" w:sz="0" w:space="0" w:color="auto"/>
                <w:right w:val="none" w:sz="0" w:space="0" w:color="auto"/>
              </w:divBdr>
            </w:div>
            <w:div w:id="202180800">
              <w:marLeft w:val="0"/>
              <w:marRight w:val="0"/>
              <w:marTop w:val="0"/>
              <w:marBottom w:val="240"/>
              <w:divBdr>
                <w:top w:val="none" w:sz="0" w:space="0" w:color="auto"/>
                <w:left w:val="none" w:sz="0" w:space="0" w:color="auto"/>
                <w:bottom w:val="none" w:sz="0" w:space="0" w:color="auto"/>
                <w:right w:val="none" w:sz="0" w:space="0" w:color="auto"/>
              </w:divBdr>
            </w:div>
            <w:div w:id="945381333">
              <w:marLeft w:val="0"/>
              <w:marRight w:val="0"/>
              <w:marTop w:val="0"/>
              <w:marBottom w:val="240"/>
              <w:divBdr>
                <w:top w:val="none" w:sz="0" w:space="0" w:color="auto"/>
                <w:left w:val="none" w:sz="0" w:space="0" w:color="auto"/>
                <w:bottom w:val="none" w:sz="0" w:space="0" w:color="auto"/>
                <w:right w:val="none" w:sz="0" w:space="0" w:color="auto"/>
              </w:divBdr>
            </w:div>
            <w:div w:id="155073506">
              <w:marLeft w:val="0"/>
              <w:marRight w:val="0"/>
              <w:marTop w:val="0"/>
              <w:marBottom w:val="240"/>
              <w:divBdr>
                <w:top w:val="none" w:sz="0" w:space="0" w:color="auto"/>
                <w:left w:val="none" w:sz="0" w:space="0" w:color="auto"/>
                <w:bottom w:val="none" w:sz="0" w:space="0" w:color="auto"/>
                <w:right w:val="none" w:sz="0" w:space="0" w:color="auto"/>
              </w:divBdr>
            </w:div>
            <w:div w:id="1703482831">
              <w:marLeft w:val="0"/>
              <w:marRight w:val="0"/>
              <w:marTop w:val="0"/>
              <w:marBottom w:val="240"/>
              <w:divBdr>
                <w:top w:val="none" w:sz="0" w:space="0" w:color="auto"/>
                <w:left w:val="none" w:sz="0" w:space="0" w:color="auto"/>
                <w:bottom w:val="none" w:sz="0" w:space="0" w:color="auto"/>
                <w:right w:val="none" w:sz="0" w:space="0" w:color="auto"/>
              </w:divBdr>
            </w:div>
            <w:div w:id="1133865081">
              <w:marLeft w:val="0"/>
              <w:marRight w:val="0"/>
              <w:marTop w:val="0"/>
              <w:marBottom w:val="240"/>
              <w:divBdr>
                <w:top w:val="none" w:sz="0" w:space="0" w:color="auto"/>
                <w:left w:val="none" w:sz="0" w:space="0" w:color="auto"/>
                <w:bottom w:val="none" w:sz="0" w:space="0" w:color="auto"/>
                <w:right w:val="none" w:sz="0" w:space="0" w:color="auto"/>
              </w:divBdr>
            </w:div>
            <w:div w:id="341902935">
              <w:marLeft w:val="0"/>
              <w:marRight w:val="0"/>
              <w:marTop w:val="0"/>
              <w:marBottom w:val="240"/>
              <w:divBdr>
                <w:top w:val="none" w:sz="0" w:space="0" w:color="auto"/>
                <w:left w:val="none" w:sz="0" w:space="0" w:color="auto"/>
                <w:bottom w:val="none" w:sz="0" w:space="0" w:color="auto"/>
                <w:right w:val="none" w:sz="0" w:space="0" w:color="auto"/>
              </w:divBdr>
            </w:div>
            <w:div w:id="1366977425">
              <w:marLeft w:val="0"/>
              <w:marRight w:val="0"/>
              <w:marTop w:val="0"/>
              <w:marBottom w:val="240"/>
              <w:divBdr>
                <w:top w:val="none" w:sz="0" w:space="0" w:color="auto"/>
                <w:left w:val="none" w:sz="0" w:space="0" w:color="auto"/>
                <w:bottom w:val="none" w:sz="0" w:space="0" w:color="auto"/>
                <w:right w:val="none" w:sz="0" w:space="0" w:color="auto"/>
              </w:divBdr>
            </w:div>
            <w:div w:id="813722461">
              <w:marLeft w:val="0"/>
              <w:marRight w:val="0"/>
              <w:marTop w:val="0"/>
              <w:marBottom w:val="240"/>
              <w:divBdr>
                <w:top w:val="none" w:sz="0" w:space="0" w:color="auto"/>
                <w:left w:val="none" w:sz="0" w:space="0" w:color="auto"/>
                <w:bottom w:val="none" w:sz="0" w:space="0" w:color="auto"/>
                <w:right w:val="none" w:sz="0" w:space="0" w:color="auto"/>
              </w:divBdr>
            </w:div>
            <w:div w:id="1710569617">
              <w:marLeft w:val="0"/>
              <w:marRight w:val="0"/>
              <w:marTop w:val="0"/>
              <w:marBottom w:val="240"/>
              <w:divBdr>
                <w:top w:val="none" w:sz="0" w:space="0" w:color="auto"/>
                <w:left w:val="none" w:sz="0" w:space="0" w:color="auto"/>
                <w:bottom w:val="none" w:sz="0" w:space="0" w:color="auto"/>
                <w:right w:val="none" w:sz="0" w:space="0" w:color="auto"/>
              </w:divBdr>
            </w:div>
            <w:div w:id="924339392">
              <w:marLeft w:val="0"/>
              <w:marRight w:val="0"/>
              <w:marTop w:val="0"/>
              <w:marBottom w:val="240"/>
              <w:divBdr>
                <w:top w:val="none" w:sz="0" w:space="0" w:color="auto"/>
                <w:left w:val="none" w:sz="0" w:space="0" w:color="auto"/>
                <w:bottom w:val="none" w:sz="0" w:space="0" w:color="auto"/>
                <w:right w:val="none" w:sz="0" w:space="0" w:color="auto"/>
              </w:divBdr>
            </w:div>
            <w:div w:id="2063017904">
              <w:marLeft w:val="0"/>
              <w:marRight w:val="0"/>
              <w:marTop w:val="0"/>
              <w:marBottom w:val="240"/>
              <w:divBdr>
                <w:top w:val="none" w:sz="0" w:space="0" w:color="auto"/>
                <w:left w:val="none" w:sz="0" w:space="0" w:color="auto"/>
                <w:bottom w:val="none" w:sz="0" w:space="0" w:color="auto"/>
                <w:right w:val="none" w:sz="0" w:space="0" w:color="auto"/>
              </w:divBdr>
            </w:div>
            <w:div w:id="467018080">
              <w:marLeft w:val="0"/>
              <w:marRight w:val="0"/>
              <w:marTop w:val="0"/>
              <w:marBottom w:val="240"/>
              <w:divBdr>
                <w:top w:val="none" w:sz="0" w:space="0" w:color="auto"/>
                <w:left w:val="none" w:sz="0" w:space="0" w:color="auto"/>
                <w:bottom w:val="none" w:sz="0" w:space="0" w:color="auto"/>
                <w:right w:val="none" w:sz="0" w:space="0" w:color="auto"/>
              </w:divBdr>
            </w:div>
            <w:div w:id="1923181305">
              <w:marLeft w:val="0"/>
              <w:marRight w:val="0"/>
              <w:marTop w:val="0"/>
              <w:marBottom w:val="240"/>
              <w:divBdr>
                <w:top w:val="none" w:sz="0" w:space="0" w:color="auto"/>
                <w:left w:val="none" w:sz="0" w:space="0" w:color="auto"/>
                <w:bottom w:val="none" w:sz="0" w:space="0" w:color="auto"/>
                <w:right w:val="none" w:sz="0" w:space="0" w:color="auto"/>
              </w:divBdr>
            </w:div>
            <w:div w:id="2000032623">
              <w:marLeft w:val="0"/>
              <w:marRight w:val="0"/>
              <w:marTop w:val="0"/>
              <w:marBottom w:val="240"/>
              <w:divBdr>
                <w:top w:val="none" w:sz="0" w:space="0" w:color="auto"/>
                <w:left w:val="none" w:sz="0" w:space="0" w:color="auto"/>
                <w:bottom w:val="none" w:sz="0" w:space="0" w:color="auto"/>
                <w:right w:val="none" w:sz="0" w:space="0" w:color="auto"/>
              </w:divBdr>
            </w:div>
            <w:div w:id="637105212">
              <w:marLeft w:val="0"/>
              <w:marRight w:val="0"/>
              <w:marTop w:val="0"/>
              <w:marBottom w:val="240"/>
              <w:divBdr>
                <w:top w:val="none" w:sz="0" w:space="0" w:color="auto"/>
                <w:left w:val="none" w:sz="0" w:space="0" w:color="auto"/>
                <w:bottom w:val="none" w:sz="0" w:space="0" w:color="auto"/>
                <w:right w:val="none" w:sz="0" w:space="0" w:color="auto"/>
              </w:divBdr>
            </w:div>
            <w:div w:id="1093742678">
              <w:marLeft w:val="0"/>
              <w:marRight w:val="0"/>
              <w:marTop w:val="0"/>
              <w:marBottom w:val="240"/>
              <w:divBdr>
                <w:top w:val="none" w:sz="0" w:space="0" w:color="auto"/>
                <w:left w:val="none" w:sz="0" w:space="0" w:color="auto"/>
                <w:bottom w:val="none" w:sz="0" w:space="0" w:color="auto"/>
                <w:right w:val="none" w:sz="0" w:space="0" w:color="auto"/>
              </w:divBdr>
            </w:div>
            <w:div w:id="1911386636">
              <w:marLeft w:val="0"/>
              <w:marRight w:val="0"/>
              <w:marTop w:val="0"/>
              <w:marBottom w:val="240"/>
              <w:divBdr>
                <w:top w:val="none" w:sz="0" w:space="0" w:color="auto"/>
                <w:left w:val="none" w:sz="0" w:space="0" w:color="auto"/>
                <w:bottom w:val="none" w:sz="0" w:space="0" w:color="auto"/>
                <w:right w:val="none" w:sz="0" w:space="0" w:color="auto"/>
              </w:divBdr>
            </w:div>
            <w:div w:id="1795321135">
              <w:marLeft w:val="0"/>
              <w:marRight w:val="0"/>
              <w:marTop w:val="0"/>
              <w:marBottom w:val="240"/>
              <w:divBdr>
                <w:top w:val="none" w:sz="0" w:space="0" w:color="auto"/>
                <w:left w:val="none" w:sz="0" w:space="0" w:color="auto"/>
                <w:bottom w:val="none" w:sz="0" w:space="0" w:color="auto"/>
                <w:right w:val="none" w:sz="0" w:space="0" w:color="auto"/>
              </w:divBdr>
            </w:div>
            <w:div w:id="1340815881">
              <w:marLeft w:val="0"/>
              <w:marRight w:val="0"/>
              <w:marTop w:val="0"/>
              <w:marBottom w:val="240"/>
              <w:divBdr>
                <w:top w:val="none" w:sz="0" w:space="0" w:color="auto"/>
                <w:left w:val="none" w:sz="0" w:space="0" w:color="auto"/>
                <w:bottom w:val="none" w:sz="0" w:space="0" w:color="auto"/>
                <w:right w:val="none" w:sz="0" w:space="0" w:color="auto"/>
              </w:divBdr>
            </w:div>
            <w:div w:id="229730250">
              <w:marLeft w:val="0"/>
              <w:marRight w:val="0"/>
              <w:marTop w:val="0"/>
              <w:marBottom w:val="240"/>
              <w:divBdr>
                <w:top w:val="none" w:sz="0" w:space="0" w:color="auto"/>
                <w:left w:val="none" w:sz="0" w:space="0" w:color="auto"/>
                <w:bottom w:val="none" w:sz="0" w:space="0" w:color="auto"/>
                <w:right w:val="none" w:sz="0" w:space="0" w:color="auto"/>
              </w:divBdr>
            </w:div>
            <w:div w:id="1381439983">
              <w:marLeft w:val="0"/>
              <w:marRight w:val="0"/>
              <w:marTop w:val="0"/>
              <w:marBottom w:val="240"/>
              <w:divBdr>
                <w:top w:val="none" w:sz="0" w:space="0" w:color="auto"/>
                <w:left w:val="none" w:sz="0" w:space="0" w:color="auto"/>
                <w:bottom w:val="none" w:sz="0" w:space="0" w:color="auto"/>
                <w:right w:val="none" w:sz="0" w:space="0" w:color="auto"/>
              </w:divBdr>
            </w:div>
            <w:div w:id="2513415">
              <w:marLeft w:val="0"/>
              <w:marRight w:val="0"/>
              <w:marTop w:val="0"/>
              <w:marBottom w:val="240"/>
              <w:divBdr>
                <w:top w:val="none" w:sz="0" w:space="0" w:color="auto"/>
                <w:left w:val="none" w:sz="0" w:space="0" w:color="auto"/>
                <w:bottom w:val="none" w:sz="0" w:space="0" w:color="auto"/>
                <w:right w:val="none" w:sz="0" w:space="0" w:color="auto"/>
              </w:divBdr>
            </w:div>
            <w:div w:id="1940942191">
              <w:marLeft w:val="0"/>
              <w:marRight w:val="0"/>
              <w:marTop w:val="0"/>
              <w:marBottom w:val="240"/>
              <w:divBdr>
                <w:top w:val="none" w:sz="0" w:space="0" w:color="auto"/>
                <w:left w:val="none" w:sz="0" w:space="0" w:color="auto"/>
                <w:bottom w:val="none" w:sz="0" w:space="0" w:color="auto"/>
                <w:right w:val="none" w:sz="0" w:space="0" w:color="auto"/>
              </w:divBdr>
            </w:div>
            <w:div w:id="1732725194">
              <w:marLeft w:val="0"/>
              <w:marRight w:val="0"/>
              <w:marTop w:val="0"/>
              <w:marBottom w:val="240"/>
              <w:divBdr>
                <w:top w:val="none" w:sz="0" w:space="0" w:color="auto"/>
                <w:left w:val="none" w:sz="0" w:space="0" w:color="auto"/>
                <w:bottom w:val="none" w:sz="0" w:space="0" w:color="auto"/>
                <w:right w:val="none" w:sz="0" w:space="0" w:color="auto"/>
              </w:divBdr>
            </w:div>
            <w:div w:id="1569266909">
              <w:marLeft w:val="0"/>
              <w:marRight w:val="0"/>
              <w:marTop w:val="0"/>
              <w:marBottom w:val="240"/>
              <w:divBdr>
                <w:top w:val="none" w:sz="0" w:space="0" w:color="auto"/>
                <w:left w:val="none" w:sz="0" w:space="0" w:color="auto"/>
                <w:bottom w:val="none" w:sz="0" w:space="0" w:color="auto"/>
                <w:right w:val="none" w:sz="0" w:space="0" w:color="auto"/>
              </w:divBdr>
            </w:div>
            <w:div w:id="1374422777">
              <w:marLeft w:val="0"/>
              <w:marRight w:val="0"/>
              <w:marTop w:val="0"/>
              <w:marBottom w:val="240"/>
              <w:divBdr>
                <w:top w:val="none" w:sz="0" w:space="0" w:color="auto"/>
                <w:left w:val="none" w:sz="0" w:space="0" w:color="auto"/>
                <w:bottom w:val="none" w:sz="0" w:space="0" w:color="auto"/>
                <w:right w:val="none" w:sz="0" w:space="0" w:color="auto"/>
              </w:divBdr>
            </w:div>
            <w:div w:id="2055041880">
              <w:marLeft w:val="0"/>
              <w:marRight w:val="0"/>
              <w:marTop w:val="0"/>
              <w:marBottom w:val="240"/>
              <w:divBdr>
                <w:top w:val="none" w:sz="0" w:space="0" w:color="auto"/>
                <w:left w:val="none" w:sz="0" w:space="0" w:color="auto"/>
                <w:bottom w:val="none" w:sz="0" w:space="0" w:color="auto"/>
                <w:right w:val="none" w:sz="0" w:space="0" w:color="auto"/>
              </w:divBdr>
            </w:div>
            <w:div w:id="300774382">
              <w:marLeft w:val="0"/>
              <w:marRight w:val="0"/>
              <w:marTop w:val="0"/>
              <w:marBottom w:val="240"/>
              <w:divBdr>
                <w:top w:val="none" w:sz="0" w:space="0" w:color="auto"/>
                <w:left w:val="none" w:sz="0" w:space="0" w:color="auto"/>
                <w:bottom w:val="none" w:sz="0" w:space="0" w:color="auto"/>
                <w:right w:val="none" w:sz="0" w:space="0" w:color="auto"/>
              </w:divBdr>
            </w:div>
            <w:div w:id="529880917">
              <w:marLeft w:val="0"/>
              <w:marRight w:val="0"/>
              <w:marTop w:val="0"/>
              <w:marBottom w:val="240"/>
              <w:divBdr>
                <w:top w:val="none" w:sz="0" w:space="0" w:color="auto"/>
                <w:left w:val="none" w:sz="0" w:space="0" w:color="auto"/>
                <w:bottom w:val="none" w:sz="0" w:space="0" w:color="auto"/>
                <w:right w:val="none" w:sz="0" w:space="0" w:color="auto"/>
              </w:divBdr>
            </w:div>
            <w:div w:id="1932810599">
              <w:marLeft w:val="0"/>
              <w:marRight w:val="0"/>
              <w:marTop w:val="0"/>
              <w:marBottom w:val="240"/>
              <w:divBdr>
                <w:top w:val="none" w:sz="0" w:space="0" w:color="auto"/>
                <w:left w:val="none" w:sz="0" w:space="0" w:color="auto"/>
                <w:bottom w:val="none" w:sz="0" w:space="0" w:color="auto"/>
                <w:right w:val="none" w:sz="0" w:space="0" w:color="auto"/>
              </w:divBdr>
            </w:div>
            <w:div w:id="1548830294">
              <w:marLeft w:val="0"/>
              <w:marRight w:val="0"/>
              <w:marTop w:val="0"/>
              <w:marBottom w:val="240"/>
              <w:divBdr>
                <w:top w:val="none" w:sz="0" w:space="0" w:color="auto"/>
                <w:left w:val="none" w:sz="0" w:space="0" w:color="auto"/>
                <w:bottom w:val="none" w:sz="0" w:space="0" w:color="auto"/>
                <w:right w:val="none" w:sz="0" w:space="0" w:color="auto"/>
              </w:divBdr>
            </w:div>
            <w:div w:id="1808890474">
              <w:marLeft w:val="0"/>
              <w:marRight w:val="0"/>
              <w:marTop w:val="0"/>
              <w:marBottom w:val="240"/>
              <w:divBdr>
                <w:top w:val="none" w:sz="0" w:space="0" w:color="auto"/>
                <w:left w:val="none" w:sz="0" w:space="0" w:color="auto"/>
                <w:bottom w:val="none" w:sz="0" w:space="0" w:color="auto"/>
                <w:right w:val="none" w:sz="0" w:space="0" w:color="auto"/>
              </w:divBdr>
            </w:div>
            <w:div w:id="1717656497">
              <w:marLeft w:val="0"/>
              <w:marRight w:val="0"/>
              <w:marTop w:val="0"/>
              <w:marBottom w:val="240"/>
              <w:divBdr>
                <w:top w:val="none" w:sz="0" w:space="0" w:color="auto"/>
                <w:left w:val="none" w:sz="0" w:space="0" w:color="auto"/>
                <w:bottom w:val="none" w:sz="0" w:space="0" w:color="auto"/>
                <w:right w:val="none" w:sz="0" w:space="0" w:color="auto"/>
              </w:divBdr>
            </w:div>
            <w:div w:id="1123772894">
              <w:marLeft w:val="0"/>
              <w:marRight w:val="0"/>
              <w:marTop w:val="0"/>
              <w:marBottom w:val="240"/>
              <w:divBdr>
                <w:top w:val="none" w:sz="0" w:space="0" w:color="auto"/>
                <w:left w:val="none" w:sz="0" w:space="0" w:color="auto"/>
                <w:bottom w:val="none" w:sz="0" w:space="0" w:color="auto"/>
                <w:right w:val="none" w:sz="0" w:space="0" w:color="auto"/>
              </w:divBdr>
            </w:div>
            <w:div w:id="55202939">
              <w:marLeft w:val="0"/>
              <w:marRight w:val="0"/>
              <w:marTop w:val="0"/>
              <w:marBottom w:val="240"/>
              <w:divBdr>
                <w:top w:val="none" w:sz="0" w:space="0" w:color="auto"/>
                <w:left w:val="none" w:sz="0" w:space="0" w:color="auto"/>
                <w:bottom w:val="none" w:sz="0" w:space="0" w:color="auto"/>
                <w:right w:val="none" w:sz="0" w:space="0" w:color="auto"/>
              </w:divBdr>
            </w:div>
            <w:div w:id="264309907">
              <w:marLeft w:val="0"/>
              <w:marRight w:val="0"/>
              <w:marTop w:val="0"/>
              <w:marBottom w:val="240"/>
              <w:divBdr>
                <w:top w:val="none" w:sz="0" w:space="0" w:color="auto"/>
                <w:left w:val="none" w:sz="0" w:space="0" w:color="auto"/>
                <w:bottom w:val="none" w:sz="0" w:space="0" w:color="auto"/>
                <w:right w:val="none" w:sz="0" w:space="0" w:color="auto"/>
              </w:divBdr>
            </w:div>
            <w:div w:id="1580863910">
              <w:marLeft w:val="0"/>
              <w:marRight w:val="0"/>
              <w:marTop w:val="0"/>
              <w:marBottom w:val="240"/>
              <w:divBdr>
                <w:top w:val="none" w:sz="0" w:space="0" w:color="auto"/>
                <w:left w:val="none" w:sz="0" w:space="0" w:color="auto"/>
                <w:bottom w:val="none" w:sz="0" w:space="0" w:color="auto"/>
                <w:right w:val="none" w:sz="0" w:space="0" w:color="auto"/>
              </w:divBdr>
            </w:div>
            <w:div w:id="133763289">
              <w:marLeft w:val="0"/>
              <w:marRight w:val="0"/>
              <w:marTop w:val="0"/>
              <w:marBottom w:val="240"/>
              <w:divBdr>
                <w:top w:val="none" w:sz="0" w:space="0" w:color="auto"/>
                <w:left w:val="none" w:sz="0" w:space="0" w:color="auto"/>
                <w:bottom w:val="none" w:sz="0" w:space="0" w:color="auto"/>
                <w:right w:val="none" w:sz="0" w:space="0" w:color="auto"/>
              </w:divBdr>
            </w:div>
            <w:div w:id="1348680515">
              <w:marLeft w:val="0"/>
              <w:marRight w:val="0"/>
              <w:marTop w:val="0"/>
              <w:marBottom w:val="240"/>
              <w:divBdr>
                <w:top w:val="none" w:sz="0" w:space="0" w:color="auto"/>
                <w:left w:val="none" w:sz="0" w:space="0" w:color="auto"/>
                <w:bottom w:val="none" w:sz="0" w:space="0" w:color="auto"/>
                <w:right w:val="none" w:sz="0" w:space="0" w:color="auto"/>
              </w:divBdr>
            </w:div>
            <w:div w:id="144245244">
              <w:marLeft w:val="0"/>
              <w:marRight w:val="0"/>
              <w:marTop w:val="0"/>
              <w:marBottom w:val="240"/>
              <w:divBdr>
                <w:top w:val="none" w:sz="0" w:space="0" w:color="auto"/>
                <w:left w:val="none" w:sz="0" w:space="0" w:color="auto"/>
                <w:bottom w:val="none" w:sz="0" w:space="0" w:color="auto"/>
                <w:right w:val="none" w:sz="0" w:space="0" w:color="auto"/>
              </w:divBdr>
            </w:div>
            <w:div w:id="589319266">
              <w:marLeft w:val="0"/>
              <w:marRight w:val="0"/>
              <w:marTop w:val="0"/>
              <w:marBottom w:val="240"/>
              <w:divBdr>
                <w:top w:val="none" w:sz="0" w:space="0" w:color="auto"/>
                <w:left w:val="none" w:sz="0" w:space="0" w:color="auto"/>
                <w:bottom w:val="none" w:sz="0" w:space="0" w:color="auto"/>
                <w:right w:val="none" w:sz="0" w:space="0" w:color="auto"/>
              </w:divBdr>
            </w:div>
            <w:div w:id="1961645255">
              <w:marLeft w:val="0"/>
              <w:marRight w:val="0"/>
              <w:marTop w:val="0"/>
              <w:marBottom w:val="240"/>
              <w:divBdr>
                <w:top w:val="none" w:sz="0" w:space="0" w:color="auto"/>
                <w:left w:val="none" w:sz="0" w:space="0" w:color="auto"/>
                <w:bottom w:val="none" w:sz="0" w:space="0" w:color="auto"/>
                <w:right w:val="none" w:sz="0" w:space="0" w:color="auto"/>
              </w:divBdr>
            </w:div>
            <w:div w:id="1842235105">
              <w:marLeft w:val="0"/>
              <w:marRight w:val="0"/>
              <w:marTop w:val="0"/>
              <w:marBottom w:val="240"/>
              <w:divBdr>
                <w:top w:val="none" w:sz="0" w:space="0" w:color="auto"/>
                <w:left w:val="none" w:sz="0" w:space="0" w:color="auto"/>
                <w:bottom w:val="none" w:sz="0" w:space="0" w:color="auto"/>
                <w:right w:val="none" w:sz="0" w:space="0" w:color="auto"/>
              </w:divBdr>
            </w:div>
            <w:div w:id="1425104025">
              <w:marLeft w:val="0"/>
              <w:marRight w:val="0"/>
              <w:marTop w:val="0"/>
              <w:marBottom w:val="240"/>
              <w:divBdr>
                <w:top w:val="none" w:sz="0" w:space="0" w:color="auto"/>
                <w:left w:val="none" w:sz="0" w:space="0" w:color="auto"/>
                <w:bottom w:val="none" w:sz="0" w:space="0" w:color="auto"/>
                <w:right w:val="none" w:sz="0" w:space="0" w:color="auto"/>
              </w:divBdr>
            </w:div>
            <w:div w:id="1804537617">
              <w:marLeft w:val="0"/>
              <w:marRight w:val="0"/>
              <w:marTop w:val="0"/>
              <w:marBottom w:val="240"/>
              <w:divBdr>
                <w:top w:val="none" w:sz="0" w:space="0" w:color="auto"/>
                <w:left w:val="none" w:sz="0" w:space="0" w:color="auto"/>
                <w:bottom w:val="none" w:sz="0" w:space="0" w:color="auto"/>
                <w:right w:val="none" w:sz="0" w:space="0" w:color="auto"/>
              </w:divBdr>
            </w:div>
            <w:div w:id="499396441">
              <w:marLeft w:val="0"/>
              <w:marRight w:val="0"/>
              <w:marTop w:val="0"/>
              <w:marBottom w:val="240"/>
              <w:divBdr>
                <w:top w:val="none" w:sz="0" w:space="0" w:color="auto"/>
                <w:left w:val="none" w:sz="0" w:space="0" w:color="auto"/>
                <w:bottom w:val="none" w:sz="0" w:space="0" w:color="auto"/>
                <w:right w:val="none" w:sz="0" w:space="0" w:color="auto"/>
              </w:divBdr>
            </w:div>
            <w:div w:id="1820228866">
              <w:marLeft w:val="0"/>
              <w:marRight w:val="0"/>
              <w:marTop w:val="0"/>
              <w:marBottom w:val="240"/>
              <w:divBdr>
                <w:top w:val="none" w:sz="0" w:space="0" w:color="auto"/>
                <w:left w:val="none" w:sz="0" w:space="0" w:color="auto"/>
                <w:bottom w:val="none" w:sz="0" w:space="0" w:color="auto"/>
                <w:right w:val="none" w:sz="0" w:space="0" w:color="auto"/>
              </w:divBdr>
            </w:div>
            <w:div w:id="1343973265">
              <w:marLeft w:val="0"/>
              <w:marRight w:val="0"/>
              <w:marTop w:val="0"/>
              <w:marBottom w:val="240"/>
              <w:divBdr>
                <w:top w:val="none" w:sz="0" w:space="0" w:color="auto"/>
                <w:left w:val="none" w:sz="0" w:space="0" w:color="auto"/>
                <w:bottom w:val="none" w:sz="0" w:space="0" w:color="auto"/>
                <w:right w:val="none" w:sz="0" w:space="0" w:color="auto"/>
              </w:divBdr>
            </w:div>
            <w:div w:id="1274438749">
              <w:marLeft w:val="0"/>
              <w:marRight w:val="0"/>
              <w:marTop w:val="0"/>
              <w:marBottom w:val="240"/>
              <w:divBdr>
                <w:top w:val="none" w:sz="0" w:space="0" w:color="auto"/>
                <w:left w:val="none" w:sz="0" w:space="0" w:color="auto"/>
                <w:bottom w:val="none" w:sz="0" w:space="0" w:color="auto"/>
                <w:right w:val="none" w:sz="0" w:space="0" w:color="auto"/>
              </w:divBdr>
            </w:div>
            <w:div w:id="2075734946">
              <w:marLeft w:val="0"/>
              <w:marRight w:val="0"/>
              <w:marTop w:val="0"/>
              <w:marBottom w:val="240"/>
              <w:divBdr>
                <w:top w:val="none" w:sz="0" w:space="0" w:color="auto"/>
                <w:left w:val="none" w:sz="0" w:space="0" w:color="auto"/>
                <w:bottom w:val="none" w:sz="0" w:space="0" w:color="auto"/>
                <w:right w:val="none" w:sz="0" w:space="0" w:color="auto"/>
              </w:divBdr>
            </w:div>
            <w:div w:id="1487093341">
              <w:marLeft w:val="0"/>
              <w:marRight w:val="0"/>
              <w:marTop w:val="0"/>
              <w:marBottom w:val="240"/>
              <w:divBdr>
                <w:top w:val="none" w:sz="0" w:space="0" w:color="auto"/>
                <w:left w:val="none" w:sz="0" w:space="0" w:color="auto"/>
                <w:bottom w:val="none" w:sz="0" w:space="0" w:color="auto"/>
                <w:right w:val="none" w:sz="0" w:space="0" w:color="auto"/>
              </w:divBdr>
            </w:div>
            <w:div w:id="516388937">
              <w:marLeft w:val="0"/>
              <w:marRight w:val="0"/>
              <w:marTop w:val="0"/>
              <w:marBottom w:val="240"/>
              <w:divBdr>
                <w:top w:val="none" w:sz="0" w:space="0" w:color="auto"/>
                <w:left w:val="none" w:sz="0" w:space="0" w:color="auto"/>
                <w:bottom w:val="none" w:sz="0" w:space="0" w:color="auto"/>
                <w:right w:val="none" w:sz="0" w:space="0" w:color="auto"/>
              </w:divBdr>
            </w:div>
            <w:div w:id="676269657">
              <w:marLeft w:val="0"/>
              <w:marRight w:val="0"/>
              <w:marTop w:val="0"/>
              <w:marBottom w:val="240"/>
              <w:divBdr>
                <w:top w:val="none" w:sz="0" w:space="0" w:color="auto"/>
                <w:left w:val="none" w:sz="0" w:space="0" w:color="auto"/>
                <w:bottom w:val="none" w:sz="0" w:space="0" w:color="auto"/>
                <w:right w:val="none" w:sz="0" w:space="0" w:color="auto"/>
              </w:divBdr>
            </w:div>
            <w:div w:id="158664964">
              <w:marLeft w:val="0"/>
              <w:marRight w:val="0"/>
              <w:marTop w:val="0"/>
              <w:marBottom w:val="240"/>
              <w:divBdr>
                <w:top w:val="none" w:sz="0" w:space="0" w:color="auto"/>
                <w:left w:val="none" w:sz="0" w:space="0" w:color="auto"/>
                <w:bottom w:val="none" w:sz="0" w:space="0" w:color="auto"/>
                <w:right w:val="none" w:sz="0" w:space="0" w:color="auto"/>
              </w:divBdr>
            </w:div>
            <w:div w:id="1892958036">
              <w:marLeft w:val="0"/>
              <w:marRight w:val="0"/>
              <w:marTop w:val="0"/>
              <w:marBottom w:val="240"/>
              <w:divBdr>
                <w:top w:val="none" w:sz="0" w:space="0" w:color="auto"/>
                <w:left w:val="none" w:sz="0" w:space="0" w:color="auto"/>
                <w:bottom w:val="none" w:sz="0" w:space="0" w:color="auto"/>
                <w:right w:val="none" w:sz="0" w:space="0" w:color="auto"/>
              </w:divBdr>
            </w:div>
            <w:div w:id="214506411">
              <w:marLeft w:val="0"/>
              <w:marRight w:val="0"/>
              <w:marTop w:val="0"/>
              <w:marBottom w:val="240"/>
              <w:divBdr>
                <w:top w:val="none" w:sz="0" w:space="0" w:color="auto"/>
                <w:left w:val="none" w:sz="0" w:space="0" w:color="auto"/>
                <w:bottom w:val="none" w:sz="0" w:space="0" w:color="auto"/>
                <w:right w:val="none" w:sz="0" w:space="0" w:color="auto"/>
              </w:divBdr>
            </w:div>
            <w:div w:id="198781650">
              <w:marLeft w:val="0"/>
              <w:marRight w:val="0"/>
              <w:marTop w:val="0"/>
              <w:marBottom w:val="240"/>
              <w:divBdr>
                <w:top w:val="none" w:sz="0" w:space="0" w:color="auto"/>
                <w:left w:val="none" w:sz="0" w:space="0" w:color="auto"/>
                <w:bottom w:val="none" w:sz="0" w:space="0" w:color="auto"/>
                <w:right w:val="none" w:sz="0" w:space="0" w:color="auto"/>
              </w:divBdr>
            </w:div>
            <w:div w:id="1350523905">
              <w:marLeft w:val="0"/>
              <w:marRight w:val="0"/>
              <w:marTop w:val="0"/>
              <w:marBottom w:val="240"/>
              <w:divBdr>
                <w:top w:val="none" w:sz="0" w:space="0" w:color="auto"/>
                <w:left w:val="none" w:sz="0" w:space="0" w:color="auto"/>
                <w:bottom w:val="none" w:sz="0" w:space="0" w:color="auto"/>
                <w:right w:val="none" w:sz="0" w:space="0" w:color="auto"/>
              </w:divBdr>
            </w:div>
            <w:div w:id="768744959">
              <w:marLeft w:val="0"/>
              <w:marRight w:val="0"/>
              <w:marTop w:val="0"/>
              <w:marBottom w:val="240"/>
              <w:divBdr>
                <w:top w:val="none" w:sz="0" w:space="0" w:color="auto"/>
                <w:left w:val="none" w:sz="0" w:space="0" w:color="auto"/>
                <w:bottom w:val="none" w:sz="0" w:space="0" w:color="auto"/>
                <w:right w:val="none" w:sz="0" w:space="0" w:color="auto"/>
              </w:divBdr>
            </w:div>
            <w:div w:id="1280332317">
              <w:marLeft w:val="0"/>
              <w:marRight w:val="0"/>
              <w:marTop w:val="0"/>
              <w:marBottom w:val="240"/>
              <w:divBdr>
                <w:top w:val="none" w:sz="0" w:space="0" w:color="auto"/>
                <w:left w:val="none" w:sz="0" w:space="0" w:color="auto"/>
                <w:bottom w:val="none" w:sz="0" w:space="0" w:color="auto"/>
                <w:right w:val="none" w:sz="0" w:space="0" w:color="auto"/>
              </w:divBdr>
            </w:div>
            <w:div w:id="1307279245">
              <w:marLeft w:val="0"/>
              <w:marRight w:val="0"/>
              <w:marTop w:val="0"/>
              <w:marBottom w:val="240"/>
              <w:divBdr>
                <w:top w:val="none" w:sz="0" w:space="0" w:color="auto"/>
                <w:left w:val="none" w:sz="0" w:space="0" w:color="auto"/>
                <w:bottom w:val="none" w:sz="0" w:space="0" w:color="auto"/>
                <w:right w:val="none" w:sz="0" w:space="0" w:color="auto"/>
              </w:divBdr>
            </w:div>
            <w:div w:id="1682774474">
              <w:marLeft w:val="0"/>
              <w:marRight w:val="0"/>
              <w:marTop w:val="0"/>
              <w:marBottom w:val="240"/>
              <w:divBdr>
                <w:top w:val="none" w:sz="0" w:space="0" w:color="auto"/>
                <w:left w:val="none" w:sz="0" w:space="0" w:color="auto"/>
                <w:bottom w:val="none" w:sz="0" w:space="0" w:color="auto"/>
                <w:right w:val="none" w:sz="0" w:space="0" w:color="auto"/>
              </w:divBdr>
            </w:div>
            <w:div w:id="1830487653">
              <w:marLeft w:val="0"/>
              <w:marRight w:val="0"/>
              <w:marTop w:val="0"/>
              <w:marBottom w:val="240"/>
              <w:divBdr>
                <w:top w:val="none" w:sz="0" w:space="0" w:color="auto"/>
                <w:left w:val="none" w:sz="0" w:space="0" w:color="auto"/>
                <w:bottom w:val="none" w:sz="0" w:space="0" w:color="auto"/>
                <w:right w:val="none" w:sz="0" w:space="0" w:color="auto"/>
              </w:divBdr>
            </w:div>
            <w:div w:id="1412704324">
              <w:marLeft w:val="0"/>
              <w:marRight w:val="0"/>
              <w:marTop w:val="0"/>
              <w:marBottom w:val="240"/>
              <w:divBdr>
                <w:top w:val="none" w:sz="0" w:space="0" w:color="auto"/>
                <w:left w:val="none" w:sz="0" w:space="0" w:color="auto"/>
                <w:bottom w:val="none" w:sz="0" w:space="0" w:color="auto"/>
                <w:right w:val="none" w:sz="0" w:space="0" w:color="auto"/>
              </w:divBdr>
            </w:div>
            <w:div w:id="1023284314">
              <w:marLeft w:val="0"/>
              <w:marRight w:val="0"/>
              <w:marTop w:val="0"/>
              <w:marBottom w:val="240"/>
              <w:divBdr>
                <w:top w:val="none" w:sz="0" w:space="0" w:color="auto"/>
                <w:left w:val="none" w:sz="0" w:space="0" w:color="auto"/>
                <w:bottom w:val="none" w:sz="0" w:space="0" w:color="auto"/>
                <w:right w:val="none" w:sz="0" w:space="0" w:color="auto"/>
              </w:divBdr>
            </w:div>
            <w:div w:id="1012536528">
              <w:marLeft w:val="0"/>
              <w:marRight w:val="0"/>
              <w:marTop w:val="0"/>
              <w:marBottom w:val="240"/>
              <w:divBdr>
                <w:top w:val="none" w:sz="0" w:space="0" w:color="auto"/>
                <w:left w:val="none" w:sz="0" w:space="0" w:color="auto"/>
                <w:bottom w:val="none" w:sz="0" w:space="0" w:color="auto"/>
                <w:right w:val="none" w:sz="0" w:space="0" w:color="auto"/>
              </w:divBdr>
            </w:div>
            <w:div w:id="1990667307">
              <w:marLeft w:val="0"/>
              <w:marRight w:val="0"/>
              <w:marTop w:val="0"/>
              <w:marBottom w:val="240"/>
              <w:divBdr>
                <w:top w:val="none" w:sz="0" w:space="0" w:color="auto"/>
                <w:left w:val="none" w:sz="0" w:space="0" w:color="auto"/>
                <w:bottom w:val="none" w:sz="0" w:space="0" w:color="auto"/>
                <w:right w:val="none" w:sz="0" w:space="0" w:color="auto"/>
              </w:divBdr>
            </w:div>
            <w:div w:id="193843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414188">
      <w:bodyDiv w:val="1"/>
      <w:marLeft w:val="0"/>
      <w:marRight w:val="0"/>
      <w:marTop w:val="0"/>
      <w:marBottom w:val="0"/>
      <w:divBdr>
        <w:top w:val="none" w:sz="0" w:space="0" w:color="auto"/>
        <w:left w:val="none" w:sz="0" w:space="0" w:color="auto"/>
        <w:bottom w:val="none" w:sz="0" w:space="0" w:color="auto"/>
        <w:right w:val="none" w:sz="0" w:space="0" w:color="auto"/>
      </w:divBdr>
      <w:divsChild>
        <w:div w:id="1138063612">
          <w:marLeft w:val="480"/>
          <w:marRight w:val="0"/>
          <w:marTop w:val="0"/>
          <w:marBottom w:val="0"/>
          <w:divBdr>
            <w:top w:val="none" w:sz="0" w:space="0" w:color="auto"/>
            <w:left w:val="none" w:sz="0" w:space="0" w:color="auto"/>
            <w:bottom w:val="none" w:sz="0" w:space="0" w:color="auto"/>
            <w:right w:val="none" w:sz="0" w:space="0" w:color="auto"/>
          </w:divBdr>
          <w:divsChild>
            <w:div w:id="72626404">
              <w:marLeft w:val="0"/>
              <w:marRight w:val="0"/>
              <w:marTop w:val="0"/>
              <w:marBottom w:val="240"/>
              <w:divBdr>
                <w:top w:val="none" w:sz="0" w:space="0" w:color="auto"/>
                <w:left w:val="none" w:sz="0" w:space="0" w:color="auto"/>
                <w:bottom w:val="none" w:sz="0" w:space="0" w:color="auto"/>
                <w:right w:val="none" w:sz="0" w:space="0" w:color="auto"/>
              </w:divBdr>
            </w:div>
            <w:div w:id="1126778399">
              <w:marLeft w:val="0"/>
              <w:marRight w:val="0"/>
              <w:marTop w:val="0"/>
              <w:marBottom w:val="240"/>
              <w:divBdr>
                <w:top w:val="none" w:sz="0" w:space="0" w:color="auto"/>
                <w:left w:val="none" w:sz="0" w:space="0" w:color="auto"/>
                <w:bottom w:val="none" w:sz="0" w:space="0" w:color="auto"/>
                <w:right w:val="none" w:sz="0" w:space="0" w:color="auto"/>
              </w:divBdr>
            </w:div>
            <w:div w:id="845367653">
              <w:marLeft w:val="0"/>
              <w:marRight w:val="0"/>
              <w:marTop w:val="0"/>
              <w:marBottom w:val="240"/>
              <w:divBdr>
                <w:top w:val="none" w:sz="0" w:space="0" w:color="auto"/>
                <w:left w:val="none" w:sz="0" w:space="0" w:color="auto"/>
                <w:bottom w:val="none" w:sz="0" w:space="0" w:color="auto"/>
                <w:right w:val="none" w:sz="0" w:space="0" w:color="auto"/>
              </w:divBdr>
            </w:div>
            <w:div w:id="1160346763">
              <w:marLeft w:val="0"/>
              <w:marRight w:val="0"/>
              <w:marTop w:val="0"/>
              <w:marBottom w:val="240"/>
              <w:divBdr>
                <w:top w:val="none" w:sz="0" w:space="0" w:color="auto"/>
                <w:left w:val="none" w:sz="0" w:space="0" w:color="auto"/>
                <w:bottom w:val="none" w:sz="0" w:space="0" w:color="auto"/>
                <w:right w:val="none" w:sz="0" w:space="0" w:color="auto"/>
              </w:divBdr>
            </w:div>
            <w:div w:id="414517638">
              <w:marLeft w:val="0"/>
              <w:marRight w:val="0"/>
              <w:marTop w:val="0"/>
              <w:marBottom w:val="240"/>
              <w:divBdr>
                <w:top w:val="none" w:sz="0" w:space="0" w:color="auto"/>
                <w:left w:val="none" w:sz="0" w:space="0" w:color="auto"/>
                <w:bottom w:val="none" w:sz="0" w:space="0" w:color="auto"/>
                <w:right w:val="none" w:sz="0" w:space="0" w:color="auto"/>
              </w:divBdr>
            </w:div>
            <w:div w:id="1498884079">
              <w:marLeft w:val="0"/>
              <w:marRight w:val="0"/>
              <w:marTop w:val="0"/>
              <w:marBottom w:val="240"/>
              <w:divBdr>
                <w:top w:val="none" w:sz="0" w:space="0" w:color="auto"/>
                <w:left w:val="none" w:sz="0" w:space="0" w:color="auto"/>
                <w:bottom w:val="none" w:sz="0" w:space="0" w:color="auto"/>
                <w:right w:val="none" w:sz="0" w:space="0" w:color="auto"/>
              </w:divBdr>
            </w:div>
            <w:div w:id="116686494">
              <w:marLeft w:val="0"/>
              <w:marRight w:val="0"/>
              <w:marTop w:val="0"/>
              <w:marBottom w:val="240"/>
              <w:divBdr>
                <w:top w:val="none" w:sz="0" w:space="0" w:color="auto"/>
                <w:left w:val="none" w:sz="0" w:space="0" w:color="auto"/>
                <w:bottom w:val="none" w:sz="0" w:space="0" w:color="auto"/>
                <w:right w:val="none" w:sz="0" w:space="0" w:color="auto"/>
              </w:divBdr>
            </w:div>
            <w:div w:id="392658302">
              <w:marLeft w:val="0"/>
              <w:marRight w:val="0"/>
              <w:marTop w:val="0"/>
              <w:marBottom w:val="240"/>
              <w:divBdr>
                <w:top w:val="none" w:sz="0" w:space="0" w:color="auto"/>
                <w:left w:val="none" w:sz="0" w:space="0" w:color="auto"/>
                <w:bottom w:val="none" w:sz="0" w:space="0" w:color="auto"/>
                <w:right w:val="none" w:sz="0" w:space="0" w:color="auto"/>
              </w:divBdr>
            </w:div>
            <w:div w:id="1982298072">
              <w:marLeft w:val="0"/>
              <w:marRight w:val="0"/>
              <w:marTop w:val="0"/>
              <w:marBottom w:val="240"/>
              <w:divBdr>
                <w:top w:val="none" w:sz="0" w:space="0" w:color="auto"/>
                <w:left w:val="none" w:sz="0" w:space="0" w:color="auto"/>
                <w:bottom w:val="none" w:sz="0" w:space="0" w:color="auto"/>
                <w:right w:val="none" w:sz="0" w:space="0" w:color="auto"/>
              </w:divBdr>
            </w:div>
            <w:div w:id="1421829535">
              <w:marLeft w:val="0"/>
              <w:marRight w:val="0"/>
              <w:marTop w:val="0"/>
              <w:marBottom w:val="240"/>
              <w:divBdr>
                <w:top w:val="none" w:sz="0" w:space="0" w:color="auto"/>
                <w:left w:val="none" w:sz="0" w:space="0" w:color="auto"/>
                <w:bottom w:val="none" w:sz="0" w:space="0" w:color="auto"/>
                <w:right w:val="none" w:sz="0" w:space="0" w:color="auto"/>
              </w:divBdr>
            </w:div>
            <w:div w:id="783963730">
              <w:marLeft w:val="0"/>
              <w:marRight w:val="0"/>
              <w:marTop w:val="0"/>
              <w:marBottom w:val="240"/>
              <w:divBdr>
                <w:top w:val="none" w:sz="0" w:space="0" w:color="auto"/>
                <w:left w:val="none" w:sz="0" w:space="0" w:color="auto"/>
                <w:bottom w:val="none" w:sz="0" w:space="0" w:color="auto"/>
                <w:right w:val="none" w:sz="0" w:space="0" w:color="auto"/>
              </w:divBdr>
            </w:div>
            <w:div w:id="707801852">
              <w:marLeft w:val="0"/>
              <w:marRight w:val="0"/>
              <w:marTop w:val="0"/>
              <w:marBottom w:val="240"/>
              <w:divBdr>
                <w:top w:val="none" w:sz="0" w:space="0" w:color="auto"/>
                <w:left w:val="none" w:sz="0" w:space="0" w:color="auto"/>
                <w:bottom w:val="none" w:sz="0" w:space="0" w:color="auto"/>
                <w:right w:val="none" w:sz="0" w:space="0" w:color="auto"/>
              </w:divBdr>
            </w:div>
            <w:div w:id="304311245">
              <w:marLeft w:val="0"/>
              <w:marRight w:val="0"/>
              <w:marTop w:val="0"/>
              <w:marBottom w:val="240"/>
              <w:divBdr>
                <w:top w:val="none" w:sz="0" w:space="0" w:color="auto"/>
                <w:left w:val="none" w:sz="0" w:space="0" w:color="auto"/>
                <w:bottom w:val="none" w:sz="0" w:space="0" w:color="auto"/>
                <w:right w:val="none" w:sz="0" w:space="0" w:color="auto"/>
              </w:divBdr>
            </w:div>
            <w:div w:id="844903616">
              <w:marLeft w:val="0"/>
              <w:marRight w:val="0"/>
              <w:marTop w:val="0"/>
              <w:marBottom w:val="240"/>
              <w:divBdr>
                <w:top w:val="none" w:sz="0" w:space="0" w:color="auto"/>
                <w:left w:val="none" w:sz="0" w:space="0" w:color="auto"/>
                <w:bottom w:val="none" w:sz="0" w:space="0" w:color="auto"/>
                <w:right w:val="none" w:sz="0" w:space="0" w:color="auto"/>
              </w:divBdr>
            </w:div>
            <w:div w:id="998263770">
              <w:marLeft w:val="0"/>
              <w:marRight w:val="0"/>
              <w:marTop w:val="0"/>
              <w:marBottom w:val="240"/>
              <w:divBdr>
                <w:top w:val="none" w:sz="0" w:space="0" w:color="auto"/>
                <w:left w:val="none" w:sz="0" w:space="0" w:color="auto"/>
                <w:bottom w:val="none" w:sz="0" w:space="0" w:color="auto"/>
                <w:right w:val="none" w:sz="0" w:space="0" w:color="auto"/>
              </w:divBdr>
            </w:div>
            <w:div w:id="386806369">
              <w:marLeft w:val="0"/>
              <w:marRight w:val="0"/>
              <w:marTop w:val="0"/>
              <w:marBottom w:val="240"/>
              <w:divBdr>
                <w:top w:val="none" w:sz="0" w:space="0" w:color="auto"/>
                <w:left w:val="none" w:sz="0" w:space="0" w:color="auto"/>
                <w:bottom w:val="none" w:sz="0" w:space="0" w:color="auto"/>
                <w:right w:val="none" w:sz="0" w:space="0" w:color="auto"/>
              </w:divBdr>
            </w:div>
            <w:div w:id="1371110372">
              <w:marLeft w:val="0"/>
              <w:marRight w:val="0"/>
              <w:marTop w:val="0"/>
              <w:marBottom w:val="240"/>
              <w:divBdr>
                <w:top w:val="none" w:sz="0" w:space="0" w:color="auto"/>
                <w:left w:val="none" w:sz="0" w:space="0" w:color="auto"/>
                <w:bottom w:val="none" w:sz="0" w:space="0" w:color="auto"/>
                <w:right w:val="none" w:sz="0" w:space="0" w:color="auto"/>
              </w:divBdr>
            </w:div>
            <w:div w:id="103038295">
              <w:marLeft w:val="0"/>
              <w:marRight w:val="0"/>
              <w:marTop w:val="0"/>
              <w:marBottom w:val="240"/>
              <w:divBdr>
                <w:top w:val="none" w:sz="0" w:space="0" w:color="auto"/>
                <w:left w:val="none" w:sz="0" w:space="0" w:color="auto"/>
                <w:bottom w:val="none" w:sz="0" w:space="0" w:color="auto"/>
                <w:right w:val="none" w:sz="0" w:space="0" w:color="auto"/>
              </w:divBdr>
            </w:div>
            <w:div w:id="1386636912">
              <w:marLeft w:val="0"/>
              <w:marRight w:val="0"/>
              <w:marTop w:val="0"/>
              <w:marBottom w:val="240"/>
              <w:divBdr>
                <w:top w:val="none" w:sz="0" w:space="0" w:color="auto"/>
                <w:left w:val="none" w:sz="0" w:space="0" w:color="auto"/>
                <w:bottom w:val="none" w:sz="0" w:space="0" w:color="auto"/>
                <w:right w:val="none" w:sz="0" w:space="0" w:color="auto"/>
              </w:divBdr>
            </w:div>
            <w:div w:id="35784484">
              <w:marLeft w:val="0"/>
              <w:marRight w:val="0"/>
              <w:marTop w:val="0"/>
              <w:marBottom w:val="240"/>
              <w:divBdr>
                <w:top w:val="none" w:sz="0" w:space="0" w:color="auto"/>
                <w:left w:val="none" w:sz="0" w:space="0" w:color="auto"/>
                <w:bottom w:val="none" w:sz="0" w:space="0" w:color="auto"/>
                <w:right w:val="none" w:sz="0" w:space="0" w:color="auto"/>
              </w:divBdr>
            </w:div>
            <w:div w:id="1901400727">
              <w:marLeft w:val="0"/>
              <w:marRight w:val="0"/>
              <w:marTop w:val="0"/>
              <w:marBottom w:val="240"/>
              <w:divBdr>
                <w:top w:val="none" w:sz="0" w:space="0" w:color="auto"/>
                <w:left w:val="none" w:sz="0" w:space="0" w:color="auto"/>
                <w:bottom w:val="none" w:sz="0" w:space="0" w:color="auto"/>
                <w:right w:val="none" w:sz="0" w:space="0" w:color="auto"/>
              </w:divBdr>
            </w:div>
            <w:div w:id="1009675920">
              <w:marLeft w:val="0"/>
              <w:marRight w:val="0"/>
              <w:marTop w:val="0"/>
              <w:marBottom w:val="240"/>
              <w:divBdr>
                <w:top w:val="none" w:sz="0" w:space="0" w:color="auto"/>
                <w:left w:val="none" w:sz="0" w:space="0" w:color="auto"/>
                <w:bottom w:val="none" w:sz="0" w:space="0" w:color="auto"/>
                <w:right w:val="none" w:sz="0" w:space="0" w:color="auto"/>
              </w:divBdr>
            </w:div>
            <w:div w:id="964969884">
              <w:marLeft w:val="0"/>
              <w:marRight w:val="0"/>
              <w:marTop w:val="0"/>
              <w:marBottom w:val="240"/>
              <w:divBdr>
                <w:top w:val="none" w:sz="0" w:space="0" w:color="auto"/>
                <w:left w:val="none" w:sz="0" w:space="0" w:color="auto"/>
                <w:bottom w:val="none" w:sz="0" w:space="0" w:color="auto"/>
                <w:right w:val="none" w:sz="0" w:space="0" w:color="auto"/>
              </w:divBdr>
            </w:div>
            <w:div w:id="2136631682">
              <w:marLeft w:val="0"/>
              <w:marRight w:val="0"/>
              <w:marTop w:val="0"/>
              <w:marBottom w:val="240"/>
              <w:divBdr>
                <w:top w:val="none" w:sz="0" w:space="0" w:color="auto"/>
                <w:left w:val="none" w:sz="0" w:space="0" w:color="auto"/>
                <w:bottom w:val="none" w:sz="0" w:space="0" w:color="auto"/>
                <w:right w:val="none" w:sz="0" w:space="0" w:color="auto"/>
              </w:divBdr>
            </w:div>
            <w:div w:id="1133447736">
              <w:marLeft w:val="0"/>
              <w:marRight w:val="0"/>
              <w:marTop w:val="0"/>
              <w:marBottom w:val="240"/>
              <w:divBdr>
                <w:top w:val="none" w:sz="0" w:space="0" w:color="auto"/>
                <w:left w:val="none" w:sz="0" w:space="0" w:color="auto"/>
                <w:bottom w:val="none" w:sz="0" w:space="0" w:color="auto"/>
                <w:right w:val="none" w:sz="0" w:space="0" w:color="auto"/>
              </w:divBdr>
            </w:div>
            <w:div w:id="465860264">
              <w:marLeft w:val="0"/>
              <w:marRight w:val="0"/>
              <w:marTop w:val="0"/>
              <w:marBottom w:val="240"/>
              <w:divBdr>
                <w:top w:val="none" w:sz="0" w:space="0" w:color="auto"/>
                <w:left w:val="none" w:sz="0" w:space="0" w:color="auto"/>
                <w:bottom w:val="none" w:sz="0" w:space="0" w:color="auto"/>
                <w:right w:val="none" w:sz="0" w:space="0" w:color="auto"/>
              </w:divBdr>
            </w:div>
            <w:div w:id="1108308151">
              <w:marLeft w:val="0"/>
              <w:marRight w:val="0"/>
              <w:marTop w:val="0"/>
              <w:marBottom w:val="240"/>
              <w:divBdr>
                <w:top w:val="none" w:sz="0" w:space="0" w:color="auto"/>
                <w:left w:val="none" w:sz="0" w:space="0" w:color="auto"/>
                <w:bottom w:val="none" w:sz="0" w:space="0" w:color="auto"/>
                <w:right w:val="none" w:sz="0" w:space="0" w:color="auto"/>
              </w:divBdr>
            </w:div>
            <w:div w:id="1263223260">
              <w:marLeft w:val="0"/>
              <w:marRight w:val="0"/>
              <w:marTop w:val="0"/>
              <w:marBottom w:val="240"/>
              <w:divBdr>
                <w:top w:val="none" w:sz="0" w:space="0" w:color="auto"/>
                <w:left w:val="none" w:sz="0" w:space="0" w:color="auto"/>
                <w:bottom w:val="none" w:sz="0" w:space="0" w:color="auto"/>
                <w:right w:val="none" w:sz="0" w:space="0" w:color="auto"/>
              </w:divBdr>
            </w:div>
            <w:div w:id="652100571">
              <w:marLeft w:val="0"/>
              <w:marRight w:val="0"/>
              <w:marTop w:val="0"/>
              <w:marBottom w:val="240"/>
              <w:divBdr>
                <w:top w:val="none" w:sz="0" w:space="0" w:color="auto"/>
                <w:left w:val="none" w:sz="0" w:space="0" w:color="auto"/>
                <w:bottom w:val="none" w:sz="0" w:space="0" w:color="auto"/>
                <w:right w:val="none" w:sz="0" w:space="0" w:color="auto"/>
              </w:divBdr>
            </w:div>
            <w:div w:id="835733036">
              <w:marLeft w:val="0"/>
              <w:marRight w:val="0"/>
              <w:marTop w:val="0"/>
              <w:marBottom w:val="240"/>
              <w:divBdr>
                <w:top w:val="none" w:sz="0" w:space="0" w:color="auto"/>
                <w:left w:val="none" w:sz="0" w:space="0" w:color="auto"/>
                <w:bottom w:val="none" w:sz="0" w:space="0" w:color="auto"/>
                <w:right w:val="none" w:sz="0" w:space="0" w:color="auto"/>
              </w:divBdr>
            </w:div>
            <w:div w:id="778066066">
              <w:marLeft w:val="0"/>
              <w:marRight w:val="0"/>
              <w:marTop w:val="0"/>
              <w:marBottom w:val="240"/>
              <w:divBdr>
                <w:top w:val="none" w:sz="0" w:space="0" w:color="auto"/>
                <w:left w:val="none" w:sz="0" w:space="0" w:color="auto"/>
                <w:bottom w:val="none" w:sz="0" w:space="0" w:color="auto"/>
                <w:right w:val="none" w:sz="0" w:space="0" w:color="auto"/>
              </w:divBdr>
            </w:div>
            <w:div w:id="1828670419">
              <w:marLeft w:val="0"/>
              <w:marRight w:val="0"/>
              <w:marTop w:val="0"/>
              <w:marBottom w:val="240"/>
              <w:divBdr>
                <w:top w:val="none" w:sz="0" w:space="0" w:color="auto"/>
                <w:left w:val="none" w:sz="0" w:space="0" w:color="auto"/>
                <w:bottom w:val="none" w:sz="0" w:space="0" w:color="auto"/>
                <w:right w:val="none" w:sz="0" w:space="0" w:color="auto"/>
              </w:divBdr>
            </w:div>
            <w:div w:id="2089224638">
              <w:marLeft w:val="0"/>
              <w:marRight w:val="0"/>
              <w:marTop w:val="0"/>
              <w:marBottom w:val="240"/>
              <w:divBdr>
                <w:top w:val="none" w:sz="0" w:space="0" w:color="auto"/>
                <w:left w:val="none" w:sz="0" w:space="0" w:color="auto"/>
                <w:bottom w:val="none" w:sz="0" w:space="0" w:color="auto"/>
                <w:right w:val="none" w:sz="0" w:space="0" w:color="auto"/>
              </w:divBdr>
            </w:div>
            <w:div w:id="1223902408">
              <w:marLeft w:val="0"/>
              <w:marRight w:val="0"/>
              <w:marTop w:val="0"/>
              <w:marBottom w:val="240"/>
              <w:divBdr>
                <w:top w:val="none" w:sz="0" w:space="0" w:color="auto"/>
                <w:left w:val="none" w:sz="0" w:space="0" w:color="auto"/>
                <w:bottom w:val="none" w:sz="0" w:space="0" w:color="auto"/>
                <w:right w:val="none" w:sz="0" w:space="0" w:color="auto"/>
              </w:divBdr>
            </w:div>
            <w:div w:id="1503087781">
              <w:marLeft w:val="0"/>
              <w:marRight w:val="0"/>
              <w:marTop w:val="0"/>
              <w:marBottom w:val="240"/>
              <w:divBdr>
                <w:top w:val="none" w:sz="0" w:space="0" w:color="auto"/>
                <w:left w:val="none" w:sz="0" w:space="0" w:color="auto"/>
                <w:bottom w:val="none" w:sz="0" w:space="0" w:color="auto"/>
                <w:right w:val="none" w:sz="0" w:space="0" w:color="auto"/>
              </w:divBdr>
            </w:div>
            <w:div w:id="1939825851">
              <w:marLeft w:val="0"/>
              <w:marRight w:val="0"/>
              <w:marTop w:val="0"/>
              <w:marBottom w:val="240"/>
              <w:divBdr>
                <w:top w:val="none" w:sz="0" w:space="0" w:color="auto"/>
                <w:left w:val="none" w:sz="0" w:space="0" w:color="auto"/>
                <w:bottom w:val="none" w:sz="0" w:space="0" w:color="auto"/>
                <w:right w:val="none" w:sz="0" w:space="0" w:color="auto"/>
              </w:divBdr>
            </w:div>
            <w:div w:id="77211409">
              <w:marLeft w:val="0"/>
              <w:marRight w:val="0"/>
              <w:marTop w:val="0"/>
              <w:marBottom w:val="240"/>
              <w:divBdr>
                <w:top w:val="none" w:sz="0" w:space="0" w:color="auto"/>
                <w:left w:val="none" w:sz="0" w:space="0" w:color="auto"/>
                <w:bottom w:val="none" w:sz="0" w:space="0" w:color="auto"/>
                <w:right w:val="none" w:sz="0" w:space="0" w:color="auto"/>
              </w:divBdr>
            </w:div>
            <w:div w:id="1315449401">
              <w:marLeft w:val="0"/>
              <w:marRight w:val="0"/>
              <w:marTop w:val="0"/>
              <w:marBottom w:val="240"/>
              <w:divBdr>
                <w:top w:val="none" w:sz="0" w:space="0" w:color="auto"/>
                <w:left w:val="none" w:sz="0" w:space="0" w:color="auto"/>
                <w:bottom w:val="none" w:sz="0" w:space="0" w:color="auto"/>
                <w:right w:val="none" w:sz="0" w:space="0" w:color="auto"/>
              </w:divBdr>
            </w:div>
            <w:div w:id="1608191818">
              <w:marLeft w:val="0"/>
              <w:marRight w:val="0"/>
              <w:marTop w:val="0"/>
              <w:marBottom w:val="240"/>
              <w:divBdr>
                <w:top w:val="none" w:sz="0" w:space="0" w:color="auto"/>
                <w:left w:val="none" w:sz="0" w:space="0" w:color="auto"/>
                <w:bottom w:val="none" w:sz="0" w:space="0" w:color="auto"/>
                <w:right w:val="none" w:sz="0" w:space="0" w:color="auto"/>
              </w:divBdr>
            </w:div>
            <w:div w:id="218135072">
              <w:marLeft w:val="0"/>
              <w:marRight w:val="0"/>
              <w:marTop w:val="0"/>
              <w:marBottom w:val="240"/>
              <w:divBdr>
                <w:top w:val="none" w:sz="0" w:space="0" w:color="auto"/>
                <w:left w:val="none" w:sz="0" w:space="0" w:color="auto"/>
                <w:bottom w:val="none" w:sz="0" w:space="0" w:color="auto"/>
                <w:right w:val="none" w:sz="0" w:space="0" w:color="auto"/>
              </w:divBdr>
            </w:div>
            <w:div w:id="1158838187">
              <w:marLeft w:val="0"/>
              <w:marRight w:val="0"/>
              <w:marTop w:val="0"/>
              <w:marBottom w:val="240"/>
              <w:divBdr>
                <w:top w:val="none" w:sz="0" w:space="0" w:color="auto"/>
                <w:left w:val="none" w:sz="0" w:space="0" w:color="auto"/>
                <w:bottom w:val="none" w:sz="0" w:space="0" w:color="auto"/>
                <w:right w:val="none" w:sz="0" w:space="0" w:color="auto"/>
              </w:divBdr>
            </w:div>
            <w:div w:id="415399707">
              <w:marLeft w:val="0"/>
              <w:marRight w:val="0"/>
              <w:marTop w:val="0"/>
              <w:marBottom w:val="240"/>
              <w:divBdr>
                <w:top w:val="none" w:sz="0" w:space="0" w:color="auto"/>
                <w:left w:val="none" w:sz="0" w:space="0" w:color="auto"/>
                <w:bottom w:val="none" w:sz="0" w:space="0" w:color="auto"/>
                <w:right w:val="none" w:sz="0" w:space="0" w:color="auto"/>
              </w:divBdr>
            </w:div>
            <w:div w:id="1641350474">
              <w:marLeft w:val="0"/>
              <w:marRight w:val="0"/>
              <w:marTop w:val="0"/>
              <w:marBottom w:val="240"/>
              <w:divBdr>
                <w:top w:val="none" w:sz="0" w:space="0" w:color="auto"/>
                <w:left w:val="none" w:sz="0" w:space="0" w:color="auto"/>
                <w:bottom w:val="none" w:sz="0" w:space="0" w:color="auto"/>
                <w:right w:val="none" w:sz="0" w:space="0" w:color="auto"/>
              </w:divBdr>
            </w:div>
            <w:div w:id="2095080138">
              <w:marLeft w:val="0"/>
              <w:marRight w:val="0"/>
              <w:marTop w:val="0"/>
              <w:marBottom w:val="240"/>
              <w:divBdr>
                <w:top w:val="none" w:sz="0" w:space="0" w:color="auto"/>
                <w:left w:val="none" w:sz="0" w:space="0" w:color="auto"/>
                <w:bottom w:val="none" w:sz="0" w:space="0" w:color="auto"/>
                <w:right w:val="none" w:sz="0" w:space="0" w:color="auto"/>
              </w:divBdr>
            </w:div>
            <w:div w:id="1957909340">
              <w:marLeft w:val="0"/>
              <w:marRight w:val="0"/>
              <w:marTop w:val="0"/>
              <w:marBottom w:val="240"/>
              <w:divBdr>
                <w:top w:val="none" w:sz="0" w:space="0" w:color="auto"/>
                <w:left w:val="none" w:sz="0" w:space="0" w:color="auto"/>
                <w:bottom w:val="none" w:sz="0" w:space="0" w:color="auto"/>
                <w:right w:val="none" w:sz="0" w:space="0" w:color="auto"/>
              </w:divBdr>
            </w:div>
            <w:div w:id="312760455">
              <w:marLeft w:val="0"/>
              <w:marRight w:val="0"/>
              <w:marTop w:val="0"/>
              <w:marBottom w:val="240"/>
              <w:divBdr>
                <w:top w:val="none" w:sz="0" w:space="0" w:color="auto"/>
                <w:left w:val="none" w:sz="0" w:space="0" w:color="auto"/>
                <w:bottom w:val="none" w:sz="0" w:space="0" w:color="auto"/>
                <w:right w:val="none" w:sz="0" w:space="0" w:color="auto"/>
              </w:divBdr>
            </w:div>
            <w:div w:id="1616673700">
              <w:marLeft w:val="0"/>
              <w:marRight w:val="0"/>
              <w:marTop w:val="0"/>
              <w:marBottom w:val="240"/>
              <w:divBdr>
                <w:top w:val="none" w:sz="0" w:space="0" w:color="auto"/>
                <w:left w:val="none" w:sz="0" w:space="0" w:color="auto"/>
                <w:bottom w:val="none" w:sz="0" w:space="0" w:color="auto"/>
                <w:right w:val="none" w:sz="0" w:space="0" w:color="auto"/>
              </w:divBdr>
            </w:div>
            <w:div w:id="1974092510">
              <w:marLeft w:val="0"/>
              <w:marRight w:val="0"/>
              <w:marTop w:val="0"/>
              <w:marBottom w:val="240"/>
              <w:divBdr>
                <w:top w:val="none" w:sz="0" w:space="0" w:color="auto"/>
                <w:left w:val="none" w:sz="0" w:space="0" w:color="auto"/>
                <w:bottom w:val="none" w:sz="0" w:space="0" w:color="auto"/>
                <w:right w:val="none" w:sz="0" w:space="0" w:color="auto"/>
              </w:divBdr>
            </w:div>
            <w:div w:id="1206724061">
              <w:marLeft w:val="0"/>
              <w:marRight w:val="0"/>
              <w:marTop w:val="0"/>
              <w:marBottom w:val="240"/>
              <w:divBdr>
                <w:top w:val="none" w:sz="0" w:space="0" w:color="auto"/>
                <w:left w:val="none" w:sz="0" w:space="0" w:color="auto"/>
                <w:bottom w:val="none" w:sz="0" w:space="0" w:color="auto"/>
                <w:right w:val="none" w:sz="0" w:space="0" w:color="auto"/>
              </w:divBdr>
            </w:div>
            <w:div w:id="842160638">
              <w:marLeft w:val="0"/>
              <w:marRight w:val="0"/>
              <w:marTop w:val="0"/>
              <w:marBottom w:val="240"/>
              <w:divBdr>
                <w:top w:val="none" w:sz="0" w:space="0" w:color="auto"/>
                <w:left w:val="none" w:sz="0" w:space="0" w:color="auto"/>
                <w:bottom w:val="none" w:sz="0" w:space="0" w:color="auto"/>
                <w:right w:val="none" w:sz="0" w:space="0" w:color="auto"/>
              </w:divBdr>
            </w:div>
            <w:div w:id="414399891">
              <w:marLeft w:val="0"/>
              <w:marRight w:val="0"/>
              <w:marTop w:val="0"/>
              <w:marBottom w:val="240"/>
              <w:divBdr>
                <w:top w:val="none" w:sz="0" w:space="0" w:color="auto"/>
                <w:left w:val="none" w:sz="0" w:space="0" w:color="auto"/>
                <w:bottom w:val="none" w:sz="0" w:space="0" w:color="auto"/>
                <w:right w:val="none" w:sz="0" w:space="0" w:color="auto"/>
              </w:divBdr>
            </w:div>
            <w:div w:id="1166093513">
              <w:marLeft w:val="0"/>
              <w:marRight w:val="0"/>
              <w:marTop w:val="0"/>
              <w:marBottom w:val="240"/>
              <w:divBdr>
                <w:top w:val="none" w:sz="0" w:space="0" w:color="auto"/>
                <w:left w:val="none" w:sz="0" w:space="0" w:color="auto"/>
                <w:bottom w:val="none" w:sz="0" w:space="0" w:color="auto"/>
                <w:right w:val="none" w:sz="0" w:space="0" w:color="auto"/>
              </w:divBdr>
            </w:div>
            <w:div w:id="636835971">
              <w:marLeft w:val="0"/>
              <w:marRight w:val="0"/>
              <w:marTop w:val="0"/>
              <w:marBottom w:val="240"/>
              <w:divBdr>
                <w:top w:val="none" w:sz="0" w:space="0" w:color="auto"/>
                <w:left w:val="none" w:sz="0" w:space="0" w:color="auto"/>
                <w:bottom w:val="none" w:sz="0" w:space="0" w:color="auto"/>
                <w:right w:val="none" w:sz="0" w:space="0" w:color="auto"/>
              </w:divBdr>
            </w:div>
            <w:div w:id="1126504468">
              <w:marLeft w:val="0"/>
              <w:marRight w:val="0"/>
              <w:marTop w:val="0"/>
              <w:marBottom w:val="240"/>
              <w:divBdr>
                <w:top w:val="none" w:sz="0" w:space="0" w:color="auto"/>
                <w:left w:val="none" w:sz="0" w:space="0" w:color="auto"/>
                <w:bottom w:val="none" w:sz="0" w:space="0" w:color="auto"/>
                <w:right w:val="none" w:sz="0" w:space="0" w:color="auto"/>
              </w:divBdr>
            </w:div>
            <w:div w:id="1088960551">
              <w:marLeft w:val="0"/>
              <w:marRight w:val="0"/>
              <w:marTop w:val="0"/>
              <w:marBottom w:val="240"/>
              <w:divBdr>
                <w:top w:val="none" w:sz="0" w:space="0" w:color="auto"/>
                <w:left w:val="none" w:sz="0" w:space="0" w:color="auto"/>
                <w:bottom w:val="none" w:sz="0" w:space="0" w:color="auto"/>
                <w:right w:val="none" w:sz="0" w:space="0" w:color="auto"/>
              </w:divBdr>
            </w:div>
            <w:div w:id="1105734066">
              <w:marLeft w:val="0"/>
              <w:marRight w:val="0"/>
              <w:marTop w:val="0"/>
              <w:marBottom w:val="240"/>
              <w:divBdr>
                <w:top w:val="none" w:sz="0" w:space="0" w:color="auto"/>
                <w:left w:val="none" w:sz="0" w:space="0" w:color="auto"/>
                <w:bottom w:val="none" w:sz="0" w:space="0" w:color="auto"/>
                <w:right w:val="none" w:sz="0" w:space="0" w:color="auto"/>
              </w:divBdr>
            </w:div>
            <w:div w:id="489374680">
              <w:marLeft w:val="0"/>
              <w:marRight w:val="0"/>
              <w:marTop w:val="0"/>
              <w:marBottom w:val="240"/>
              <w:divBdr>
                <w:top w:val="none" w:sz="0" w:space="0" w:color="auto"/>
                <w:left w:val="none" w:sz="0" w:space="0" w:color="auto"/>
                <w:bottom w:val="none" w:sz="0" w:space="0" w:color="auto"/>
                <w:right w:val="none" w:sz="0" w:space="0" w:color="auto"/>
              </w:divBdr>
            </w:div>
            <w:div w:id="1348868517">
              <w:marLeft w:val="0"/>
              <w:marRight w:val="0"/>
              <w:marTop w:val="0"/>
              <w:marBottom w:val="240"/>
              <w:divBdr>
                <w:top w:val="none" w:sz="0" w:space="0" w:color="auto"/>
                <w:left w:val="none" w:sz="0" w:space="0" w:color="auto"/>
                <w:bottom w:val="none" w:sz="0" w:space="0" w:color="auto"/>
                <w:right w:val="none" w:sz="0" w:space="0" w:color="auto"/>
              </w:divBdr>
            </w:div>
            <w:div w:id="1893888155">
              <w:marLeft w:val="0"/>
              <w:marRight w:val="0"/>
              <w:marTop w:val="0"/>
              <w:marBottom w:val="240"/>
              <w:divBdr>
                <w:top w:val="none" w:sz="0" w:space="0" w:color="auto"/>
                <w:left w:val="none" w:sz="0" w:space="0" w:color="auto"/>
                <w:bottom w:val="none" w:sz="0" w:space="0" w:color="auto"/>
                <w:right w:val="none" w:sz="0" w:space="0" w:color="auto"/>
              </w:divBdr>
            </w:div>
            <w:div w:id="245919221">
              <w:marLeft w:val="0"/>
              <w:marRight w:val="0"/>
              <w:marTop w:val="0"/>
              <w:marBottom w:val="240"/>
              <w:divBdr>
                <w:top w:val="none" w:sz="0" w:space="0" w:color="auto"/>
                <w:left w:val="none" w:sz="0" w:space="0" w:color="auto"/>
                <w:bottom w:val="none" w:sz="0" w:space="0" w:color="auto"/>
                <w:right w:val="none" w:sz="0" w:space="0" w:color="auto"/>
              </w:divBdr>
            </w:div>
            <w:div w:id="1815371759">
              <w:marLeft w:val="0"/>
              <w:marRight w:val="0"/>
              <w:marTop w:val="0"/>
              <w:marBottom w:val="240"/>
              <w:divBdr>
                <w:top w:val="none" w:sz="0" w:space="0" w:color="auto"/>
                <w:left w:val="none" w:sz="0" w:space="0" w:color="auto"/>
                <w:bottom w:val="none" w:sz="0" w:space="0" w:color="auto"/>
                <w:right w:val="none" w:sz="0" w:space="0" w:color="auto"/>
              </w:divBdr>
            </w:div>
            <w:div w:id="38820228">
              <w:marLeft w:val="0"/>
              <w:marRight w:val="0"/>
              <w:marTop w:val="0"/>
              <w:marBottom w:val="240"/>
              <w:divBdr>
                <w:top w:val="none" w:sz="0" w:space="0" w:color="auto"/>
                <w:left w:val="none" w:sz="0" w:space="0" w:color="auto"/>
                <w:bottom w:val="none" w:sz="0" w:space="0" w:color="auto"/>
                <w:right w:val="none" w:sz="0" w:space="0" w:color="auto"/>
              </w:divBdr>
            </w:div>
            <w:div w:id="1085758967">
              <w:marLeft w:val="0"/>
              <w:marRight w:val="0"/>
              <w:marTop w:val="0"/>
              <w:marBottom w:val="240"/>
              <w:divBdr>
                <w:top w:val="none" w:sz="0" w:space="0" w:color="auto"/>
                <w:left w:val="none" w:sz="0" w:space="0" w:color="auto"/>
                <w:bottom w:val="none" w:sz="0" w:space="0" w:color="auto"/>
                <w:right w:val="none" w:sz="0" w:space="0" w:color="auto"/>
              </w:divBdr>
            </w:div>
            <w:div w:id="1724258499">
              <w:marLeft w:val="0"/>
              <w:marRight w:val="0"/>
              <w:marTop w:val="0"/>
              <w:marBottom w:val="240"/>
              <w:divBdr>
                <w:top w:val="none" w:sz="0" w:space="0" w:color="auto"/>
                <w:left w:val="none" w:sz="0" w:space="0" w:color="auto"/>
                <w:bottom w:val="none" w:sz="0" w:space="0" w:color="auto"/>
                <w:right w:val="none" w:sz="0" w:space="0" w:color="auto"/>
              </w:divBdr>
            </w:div>
            <w:div w:id="196354767">
              <w:marLeft w:val="0"/>
              <w:marRight w:val="0"/>
              <w:marTop w:val="0"/>
              <w:marBottom w:val="240"/>
              <w:divBdr>
                <w:top w:val="none" w:sz="0" w:space="0" w:color="auto"/>
                <w:left w:val="none" w:sz="0" w:space="0" w:color="auto"/>
                <w:bottom w:val="none" w:sz="0" w:space="0" w:color="auto"/>
                <w:right w:val="none" w:sz="0" w:space="0" w:color="auto"/>
              </w:divBdr>
            </w:div>
            <w:div w:id="1822037899">
              <w:marLeft w:val="0"/>
              <w:marRight w:val="0"/>
              <w:marTop w:val="0"/>
              <w:marBottom w:val="240"/>
              <w:divBdr>
                <w:top w:val="none" w:sz="0" w:space="0" w:color="auto"/>
                <w:left w:val="none" w:sz="0" w:space="0" w:color="auto"/>
                <w:bottom w:val="none" w:sz="0" w:space="0" w:color="auto"/>
                <w:right w:val="none" w:sz="0" w:space="0" w:color="auto"/>
              </w:divBdr>
            </w:div>
            <w:div w:id="1161390751">
              <w:marLeft w:val="0"/>
              <w:marRight w:val="0"/>
              <w:marTop w:val="0"/>
              <w:marBottom w:val="240"/>
              <w:divBdr>
                <w:top w:val="none" w:sz="0" w:space="0" w:color="auto"/>
                <w:left w:val="none" w:sz="0" w:space="0" w:color="auto"/>
                <w:bottom w:val="none" w:sz="0" w:space="0" w:color="auto"/>
                <w:right w:val="none" w:sz="0" w:space="0" w:color="auto"/>
              </w:divBdr>
            </w:div>
            <w:div w:id="1931963833">
              <w:marLeft w:val="0"/>
              <w:marRight w:val="0"/>
              <w:marTop w:val="0"/>
              <w:marBottom w:val="240"/>
              <w:divBdr>
                <w:top w:val="none" w:sz="0" w:space="0" w:color="auto"/>
                <w:left w:val="none" w:sz="0" w:space="0" w:color="auto"/>
                <w:bottom w:val="none" w:sz="0" w:space="0" w:color="auto"/>
                <w:right w:val="none" w:sz="0" w:space="0" w:color="auto"/>
              </w:divBdr>
            </w:div>
            <w:div w:id="2106145810">
              <w:marLeft w:val="0"/>
              <w:marRight w:val="0"/>
              <w:marTop w:val="0"/>
              <w:marBottom w:val="240"/>
              <w:divBdr>
                <w:top w:val="none" w:sz="0" w:space="0" w:color="auto"/>
                <w:left w:val="none" w:sz="0" w:space="0" w:color="auto"/>
                <w:bottom w:val="none" w:sz="0" w:space="0" w:color="auto"/>
                <w:right w:val="none" w:sz="0" w:space="0" w:color="auto"/>
              </w:divBdr>
            </w:div>
            <w:div w:id="249046689">
              <w:marLeft w:val="0"/>
              <w:marRight w:val="0"/>
              <w:marTop w:val="0"/>
              <w:marBottom w:val="240"/>
              <w:divBdr>
                <w:top w:val="none" w:sz="0" w:space="0" w:color="auto"/>
                <w:left w:val="none" w:sz="0" w:space="0" w:color="auto"/>
                <w:bottom w:val="none" w:sz="0" w:space="0" w:color="auto"/>
                <w:right w:val="none" w:sz="0" w:space="0" w:color="auto"/>
              </w:divBdr>
            </w:div>
            <w:div w:id="344282923">
              <w:marLeft w:val="0"/>
              <w:marRight w:val="0"/>
              <w:marTop w:val="0"/>
              <w:marBottom w:val="240"/>
              <w:divBdr>
                <w:top w:val="none" w:sz="0" w:space="0" w:color="auto"/>
                <w:left w:val="none" w:sz="0" w:space="0" w:color="auto"/>
                <w:bottom w:val="none" w:sz="0" w:space="0" w:color="auto"/>
                <w:right w:val="none" w:sz="0" w:space="0" w:color="auto"/>
              </w:divBdr>
            </w:div>
            <w:div w:id="1083258409">
              <w:marLeft w:val="0"/>
              <w:marRight w:val="0"/>
              <w:marTop w:val="0"/>
              <w:marBottom w:val="240"/>
              <w:divBdr>
                <w:top w:val="none" w:sz="0" w:space="0" w:color="auto"/>
                <w:left w:val="none" w:sz="0" w:space="0" w:color="auto"/>
                <w:bottom w:val="none" w:sz="0" w:space="0" w:color="auto"/>
                <w:right w:val="none" w:sz="0" w:space="0" w:color="auto"/>
              </w:divBdr>
            </w:div>
            <w:div w:id="1824159049">
              <w:marLeft w:val="0"/>
              <w:marRight w:val="0"/>
              <w:marTop w:val="0"/>
              <w:marBottom w:val="240"/>
              <w:divBdr>
                <w:top w:val="none" w:sz="0" w:space="0" w:color="auto"/>
                <w:left w:val="none" w:sz="0" w:space="0" w:color="auto"/>
                <w:bottom w:val="none" w:sz="0" w:space="0" w:color="auto"/>
                <w:right w:val="none" w:sz="0" w:space="0" w:color="auto"/>
              </w:divBdr>
            </w:div>
            <w:div w:id="453643514">
              <w:marLeft w:val="0"/>
              <w:marRight w:val="0"/>
              <w:marTop w:val="0"/>
              <w:marBottom w:val="240"/>
              <w:divBdr>
                <w:top w:val="none" w:sz="0" w:space="0" w:color="auto"/>
                <w:left w:val="none" w:sz="0" w:space="0" w:color="auto"/>
                <w:bottom w:val="none" w:sz="0" w:space="0" w:color="auto"/>
                <w:right w:val="none" w:sz="0" w:space="0" w:color="auto"/>
              </w:divBdr>
            </w:div>
            <w:div w:id="1482040541">
              <w:marLeft w:val="0"/>
              <w:marRight w:val="0"/>
              <w:marTop w:val="0"/>
              <w:marBottom w:val="240"/>
              <w:divBdr>
                <w:top w:val="none" w:sz="0" w:space="0" w:color="auto"/>
                <w:left w:val="none" w:sz="0" w:space="0" w:color="auto"/>
                <w:bottom w:val="none" w:sz="0" w:space="0" w:color="auto"/>
                <w:right w:val="none" w:sz="0" w:space="0" w:color="auto"/>
              </w:divBdr>
            </w:div>
            <w:div w:id="1010985546">
              <w:marLeft w:val="0"/>
              <w:marRight w:val="0"/>
              <w:marTop w:val="0"/>
              <w:marBottom w:val="240"/>
              <w:divBdr>
                <w:top w:val="none" w:sz="0" w:space="0" w:color="auto"/>
                <w:left w:val="none" w:sz="0" w:space="0" w:color="auto"/>
                <w:bottom w:val="none" w:sz="0" w:space="0" w:color="auto"/>
                <w:right w:val="none" w:sz="0" w:space="0" w:color="auto"/>
              </w:divBdr>
            </w:div>
            <w:div w:id="1278560786">
              <w:marLeft w:val="0"/>
              <w:marRight w:val="0"/>
              <w:marTop w:val="0"/>
              <w:marBottom w:val="240"/>
              <w:divBdr>
                <w:top w:val="none" w:sz="0" w:space="0" w:color="auto"/>
                <w:left w:val="none" w:sz="0" w:space="0" w:color="auto"/>
                <w:bottom w:val="none" w:sz="0" w:space="0" w:color="auto"/>
                <w:right w:val="none" w:sz="0" w:space="0" w:color="auto"/>
              </w:divBdr>
            </w:div>
            <w:div w:id="723675105">
              <w:marLeft w:val="0"/>
              <w:marRight w:val="0"/>
              <w:marTop w:val="0"/>
              <w:marBottom w:val="240"/>
              <w:divBdr>
                <w:top w:val="none" w:sz="0" w:space="0" w:color="auto"/>
                <w:left w:val="none" w:sz="0" w:space="0" w:color="auto"/>
                <w:bottom w:val="none" w:sz="0" w:space="0" w:color="auto"/>
                <w:right w:val="none" w:sz="0" w:space="0" w:color="auto"/>
              </w:divBdr>
            </w:div>
            <w:div w:id="960846016">
              <w:marLeft w:val="0"/>
              <w:marRight w:val="0"/>
              <w:marTop w:val="0"/>
              <w:marBottom w:val="240"/>
              <w:divBdr>
                <w:top w:val="none" w:sz="0" w:space="0" w:color="auto"/>
                <w:left w:val="none" w:sz="0" w:space="0" w:color="auto"/>
                <w:bottom w:val="none" w:sz="0" w:space="0" w:color="auto"/>
                <w:right w:val="none" w:sz="0" w:space="0" w:color="auto"/>
              </w:divBdr>
            </w:div>
            <w:div w:id="1477837187">
              <w:marLeft w:val="0"/>
              <w:marRight w:val="0"/>
              <w:marTop w:val="0"/>
              <w:marBottom w:val="240"/>
              <w:divBdr>
                <w:top w:val="none" w:sz="0" w:space="0" w:color="auto"/>
                <w:left w:val="none" w:sz="0" w:space="0" w:color="auto"/>
                <w:bottom w:val="none" w:sz="0" w:space="0" w:color="auto"/>
                <w:right w:val="none" w:sz="0" w:space="0" w:color="auto"/>
              </w:divBdr>
            </w:div>
            <w:div w:id="2123450310">
              <w:marLeft w:val="0"/>
              <w:marRight w:val="0"/>
              <w:marTop w:val="0"/>
              <w:marBottom w:val="240"/>
              <w:divBdr>
                <w:top w:val="none" w:sz="0" w:space="0" w:color="auto"/>
                <w:left w:val="none" w:sz="0" w:space="0" w:color="auto"/>
                <w:bottom w:val="none" w:sz="0" w:space="0" w:color="auto"/>
                <w:right w:val="none" w:sz="0" w:space="0" w:color="auto"/>
              </w:divBdr>
            </w:div>
            <w:div w:id="63376625">
              <w:marLeft w:val="0"/>
              <w:marRight w:val="0"/>
              <w:marTop w:val="0"/>
              <w:marBottom w:val="240"/>
              <w:divBdr>
                <w:top w:val="none" w:sz="0" w:space="0" w:color="auto"/>
                <w:left w:val="none" w:sz="0" w:space="0" w:color="auto"/>
                <w:bottom w:val="none" w:sz="0" w:space="0" w:color="auto"/>
                <w:right w:val="none" w:sz="0" w:space="0" w:color="auto"/>
              </w:divBdr>
            </w:div>
            <w:div w:id="2135906568">
              <w:marLeft w:val="0"/>
              <w:marRight w:val="0"/>
              <w:marTop w:val="0"/>
              <w:marBottom w:val="240"/>
              <w:divBdr>
                <w:top w:val="none" w:sz="0" w:space="0" w:color="auto"/>
                <w:left w:val="none" w:sz="0" w:space="0" w:color="auto"/>
                <w:bottom w:val="none" w:sz="0" w:space="0" w:color="auto"/>
                <w:right w:val="none" w:sz="0" w:space="0" w:color="auto"/>
              </w:divBdr>
            </w:div>
            <w:div w:id="709572464">
              <w:marLeft w:val="0"/>
              <w:marRight w:val="0"/>
              <w:marTop w:val="0"/>
              <w:marBottom w:val="240"/>
              <w:divBdr>
                <w:top w:val="none" w:sz="0" w:space="0" w:color="auto"/>
                <w:left w:val="none" w:sz="0" w:space="0" w:color="auto"/>
                <w:bottom w:val="none" w:sz="0" w:space="0" w:color="auto"/>
                <w:right w:val="none" w:sz="0" w:space="0" w:color="auto"/>
              </w:divBdr>
            </w:div>
            <w:div w:id="1513840286">
              <w:marLeft w:val="0"/>
              <w:marRight w:val="0"/>
              <w:marTop w:val="0"/>
              <w:marBottom w:val="240"/>
              <w:divBdr>
                <w:top w:val="none" w:sz="0" w:space="0" w:color="auto"/>
                <w:left w:val="none" w:sz="0" w:space="0" w:color="auto"/>
                <w:bottom w:val="none" w:sz="0" w:space="0" w:color="auto"/>
                <w:right w:val="none" w:sz="0" w:space="0" w:color="auto"/>
              </w:divBdr>
            </w:div>
            <w:div w:id="56904814">
              <w:marLeft w:val="0"/>
              <w:marRight w:val="0"/>
              <w:marTop w:val="0"/>
              <w:marBottom w:val="240"/>
              <w:divBdr>
                <w:top w:val="none" w:sz="0" w:space="0" w:color="auto"/>
                <w:left w:val="none" w:sz="0" w:space="0" w:color="auto"/>
                <w:bottom w:val="none" w:sz="0" w:space="0" w:color="auto"/>
                <w:right w:val="none" w:sz="0" w:space="0" w:color="auto"/>
              </w:divBdr>
            </w:div>
            <w:div w:id="662708628">
              <w:marLeft w:val="0"/>
              <w:marRight w:val="0"/>
              <w:marTop w:val="0"/>
              <w:marBottom w:val="240"/>
              <w:divBdr>
                <w:top w:val="none" w:sz="0" w:space="0" w:color="auto"/>
                <w:left w:val="none" w:sz="0" w:space="0" w:color="auto"/>
                <w:bottom w:val="none" w:sz="0" w:space="0" w:color="auto"/>
                <w:right w:val="none" w:sz="0" w:space="0" w:color="auto"/>
              </w:divBdr>
            </w:div>
            <w:div w:id="749933342">
              <w:marLeft w:val="0"/>
              <w:marRight w:val="0"/>
              <w:marTop w:val="0"/>
              <w:marBottom w:val="240"/>
              <w:divBdr>
                <w:top w:val="none" w:sz="0" w:space="0" w:color="auto"/>
                <w:left w:val="none" w:sz="0" w:space="0" w:color="auto"/>
                <w:bottom w:val="none" w:sz="0" w:space="0" w:color="auto"/>
                <w:right w:val="none" w:sz="0" w:space="0" w:color="auto"/>
              </w:divBdr>
            </w:div>
            <w:div w:id="2109571063">
              <w:marLeft w:val="0"/>
              <w:marRight w:val="0"/>
              <w:marTop w:val="0"/>
              <w:marBottom w:val="240"/>
              <w:divBdr>
                <w:top w:val="none" w:sz="0" w:space="0" w:color="auto"/>
                <w:left w:val="none" w:sz="0" w:space="0" w:color="auto"/>
                <w:bottom w:val="none" w:sz="0" w:space="0" w:color="auto"/>
                <w:right w:val="none" w:sz="0" w:space="0" w:color="auto"/>
              </w:divBdr>
            </w:div>
            <w:div w:id="1280530479">
              <w:marLeft w:val="0"/>
              <w:marRight w:val="0"/>
              <w:marTop w:val="0"/>
              <w:marBottom w:val="240"/>
              <w:divBdr>
                <w:top w:val="none" w:sz="0" w:space="0" w:color="auto"/>
                <w:left w:val="none" w:sz="0" w:space="0" w:color="auto"/>
                <w:bottom w:val="none" w:sz="0" w:space="0" w:color="auto"/>
                <w:right w:val="none" w:sz="0" w:space="0" w:color="auto"/>
              </w:divBdr>
            </w:div>
            <w:div w:id="793788807">
              <w:marLeft w:val="0"/>
              <w:marRight w:val="0"/>
              <w:marTop w:val="0"/>
              <w:marBottom w:val="240"/>
              <w:divBdr>
                <w:top w:val="none" w:sz="0" w:space="0" w:color="auto"/>
                <w:left w:val="none" w:sz="0" w:space="0" w:color="auto"/>
                <w:bottom w:val="none" w:sz="0" w:space="0" w:color="auto"/>
                <w:right w:val="none" w:sz="0" w:space="0" w:color="auto"/>
              </w:divBdr>
            </w:div>
            <w:div w:id="1834442411">
              <w:marLeft w:val="0"/>
              <w:marRight w:val="0"/>
              <w:marTop w:val="0"/>
              <w:marBottom w:val="240"/>
              <w:divBdr>
                <w:top w:val="none" w:sz="0" w:space="0" w:color="auto"/>
                <w:left w:val="none" w:sz="0" w:space="0" w:color="auto"/>
                <w:bottom w:val="none" w:sz="0" w:space="0" w:color="auto"/>
                <w:right w:val="none" w:sz="0" w:space="0" w:color="auto"/>
              </w:divBdr>
            </w:div>
            <w:div w:id="1561862063">
              <w:marLeft w:val="0"/>
              <w:marRight w:val="0"/>
              <w:marTop w:val="0"/>
              <w:marBottom w:val="240"/>
              <w:divBdr>
                <w:top w:val="none" w:sz="0" w:space="0" w:color="auto"/>
                <w:left w:val="none" w:sz="0" w:space="0" w:color="auto"/>
                <w:bottom w:val="none" w:sz="0" w:space="0" w:color="auto"/>
                <w:right w:val="none" w:sz="0" w:space="0" w:color="auto"/>
              </w:divBdr>
            </w:div>
            <w:div w:id="384254824">
              <w:marLeft w:val="0"/>
              <w:marRight w:val="0"/>
              <w:marTop w:val="0"/>
              <w:marBottom w:val="240"/>
              <w:divBdr>
                <w:top w:val="none" w:sz="0" w:space="0" w:color="auto"/>
                <w:left w:val="none" w:sz="0" w:space="0" w:color="auto"/>
                <w:bottom w:val="none" w:sz="0" w:space="0" w:color="auto"/>
                <w:right w:val="none" w:sz="0" w:space="0" w:color="auto"/>
              </w:divBdr>
            </w:div>
            <w:div w:id="203754270">
              <w:marLeft w:val="0"/>
              <w:marRight w:val="0"/>
              <w:marTop w:val="0"/>
              <w:marBottom w:val="240"/>
              <w:divBdr>
                <w:top w:val="none" w:sz="0" w:space="0" w:color="auto"/>
                <w:left w:val="none" w:sz="0" w:space="0" w:color="auto"/>
                <w:bottom w:val="none" w:sz="0" w:space="0" w:color="auto"/>
                <w:right w:val="none" w:sz="0" w:space="0" w:color="auto"/>
              </w:divBdr>
            </w:div>
            <w:div w:id="2067945293">
              <w:marLeft w:val="0"/>
              <w:marRight w:val="0"/>
              <w:marTop w:val="0"/>
              <w:marBottom w:val="240"/>
              <w:divBdr>
                <w:top w:val="none" w:sz="0" w:space="0" w:color="auto"/>
                <w:left w:val="none" w:sz="0" w:space="0" w:color="auto"/>
                <w:bottom w:val="none" w:sz="0" w:space="0" w:color="auto"/>
                <w:right w:val="none" w:sz="0" w:space="0" w:color="auto"/>
              </w:divBdr>
            </w:div>
            <w:div w:id="1264802457">
              <w:marLeft w:val="0"/>
              <w:marRight w:val="0"/>
              <w:marTop w:val="0"/>
              <w:marBottom w:val="240"/>
              <w:divBdr>
                <w:top w:val="none" w:sz="0" w:space="0" w:color="auto"/>
                <w:left w:val="none" w:sz="0" w:space="0" w:color="auto"/>
                <w:bottom w:val="none" w:sz="0" w:space="0" w:color="auto"/>
                <w:right w:val="none" w:sz="0" w:space="0" w:color="auto"/>
              </w:divBdr>
            </w:div>
            <w:div w:id="840001090">
              <w:marLeft w:val="0"/>
              <w:marRight w:val="0"/>
              <w:marTop w:val="0"/>
              <w:marBottom w:val="240"/>
              <w:divBdr>
                <w:top w:val="none" w:sz="0" w:space="0" w:color="auto"/>
                <w:left w:val="none" w:sz="0" w:space="0" w:color="auto"/>
                <w:bottom w:val="none" w:sz="0" w:space="0" w:color="auto"/>
                <w:right w:val="none" w:sz="0" w:space="0" w:color="auto"/>
              </w:divBdr>
            </w:div>
            <w:div w:id="556009873">
              <w:marLeft w:val="0"/>
              <w:marRight w:val="0"/>
              <w:marTop w:val="0"/>
              <w:marBottom w:val="240"/>
              <w:divBdr>
                <w:top w:val="none" w:sz="0" w:space="0" w:color="auto"/>
                <w:left w:val="none" w:sz="0" w:space="0" w:color="auto"/>
                <w:bottom w:val="none" w:sz="0" w:space="0" w:color="auto"/>
                <w:right w:val="none" w:sz="0" w:space="0" w:color="auto"/>
              </w:divBdr>
            </w:div>
            <w:div w:id="64493601">
              <w:marLeft w:val="0"/>
              <w:marRight w:val="0"/>
              <w:marTop w:val="0"/>
              <w:marBottom w:val="240"/>
              <w:divBdr>
                <w:top w:val="none" w:sz="0" w:space="0" w:color="auto"/>
                <w:left w:val="none" w:sz="0" w:space="0" w:color="auto"/>
                <w:bottom w:val="none" w:sz="0" w:space="0" w:color="auto"/>
                <w:right w:val="none" w:sz="0" w:space="0" w:color="auto"/>
              </w:divBdr>
            </w:div>
            <w:div w:id="772827152">
              <w:marLeft w:val="0"/>
              <w:marRight w:val="0"/>
              <w:marTop w:val="0"/>
              <w:marBottom w:val="240"/>
              <w:divBdr>
                <w:top w:val="none" w:sz="0" w:space="0" w:color="auto"/>
                <w:left w:val="none" w:sz="0" w:space="0" w:color="auto"/>
                <w:bottom w:val="none" w:sz="0" w:space="0" w:color="auto"/>
                <w:right w:val="none" w:sz="0" w:space="0" w:color="auto"/>
              </w:divBdr>
            </w:div>
            <w:div w:id="1675300424">
              <w:marLeft w:val="0"/>
              <w:marRight w:val="0"/>
              <w:marTop w:val="0"/>
              <w:marBottom w:val="240"/>
              <w:divBdr>
                <w:top w:val="none" w:sz="0" w:space="0" w:color="auto"/>
                <w:left w:val="none" w:sz="0" w:space="0" w:color="auto"/>
                <w:bottom w:val="none" w:sz="0" w:space="0" w:color="auto"/>
                <w:right w:val="none" w:sz="0" w:space="0" w:color="auto"/>
              </w:divBdr>
            </w:div>
            <w:div w:id="1948196646">
              <w:marLeft w:val="0"/>
              <w:marRight w:val="0"/>
              <w:marTop w:val="0"/>
              <w:marBottom w:val="240"/>
              <w:divBdr>
                <w:top w:val="none" w:sz="0" w:space="0" w:color="auto"/>
                <w:left w:val="none" w:sz="0" w:space="0" w:color="auto"/>
                <w:bottom w:val="none" w:sz="0" w:space="0" w:color="auto"/>
                <w:right w:val="none" w:sz="0" w:space="0" w:color="auto"/>
              </w:divBdr>
            </w:div>
            <w:div w:id="2041011099">
              <w:marLeft w:val="0"/>
              <w:marRight w:val="0"/>
              <w:marTop w:val="0"/>
              <w:marBottom w:val="240"/>
              <w:divBdr>
                <w:top w:val="none" w:sz="0" w:space="0" w:color="auto"/>
                <w:left w:val="none" w:sz="0" w:space="0" w:color="auto"/>
                <w:bottom w:val="none" w:sz="0" w:space="0" w:color="auto"/>
                <w:right w:val="none" w:sz="0" w:space="0" w:color="auto"/>
              </w:divBdr>
            </w:div>
            <w:div w:id="1729377002">
              <w:marLeft w:val="0"/>
              <w:marRight w:val="0"/>
              <w:marTop w:val="0"/>
              <w:marBottom w:val="240"/>
              <w:divBdr>
                <w:top w:val="none" w:sz="0" w:space="0" w:color="auto"/>
                <w:left w:val="none" w:sz="0" w:space="0" w:color="auto"/>
                <w:bottom w:val="none" w:sz="0" w:space="0" w:color="auto"/>
                <w:right w:val="none" w:sz="0" w:space="0" w:color="auto"/>
              </w:divBdr>
            </w:div>
            <w:div w:id="1294874087">
              <w:marLeft w:val="0"/>
              <w:marRight w:val="0"/>
              <w:marTop w:val="0"/>
              <w:marBottom w:val="240"/>
              <w:divBdr>
                <w:top w:val="none" w:sz="0" w:space="0" w:color="auto"/>
                <w:left w:val="none" w:sz="0" w:space="0" w:color="auto"/>
                <w:bottom w:val="none" w:sz="0" w:space="0" w:color="auto"/>
                <w:right w:val="none" w:sz="0" w:space="0" w:color="auto"/>
              </w:divBdr>
            </w:div>
            <w:div w:id="91515073">
              <w:marLeft w:val="0"/>
              <w:marRight w:val="0"/>
              <w:marTop w:val="0"/>
              <w:marBottom w:val="240"/>
              <w:divBdr>
                <w:top w:val="none" w:sz="0" w:space="0" w:color="auto"/>
                <w:left w:val="none" w:sz="0" w:space="0" w:color="auto"/>
                <w:bottom w:val="none" w:sz="0" w:space="0" w:color="auto"/>
                <w:right w:val="none" w:sz="0" w:space="0" w:color="auto"/>
              </w:divBdr>
            </w:div>
            <w:div w:id="1322662844">
              <w:marLeft w:val="0"/>
              <w:marRight w:val="0"/>
              <w:marTop w:val="0"/>
              <w:marBottom w:val="240"/>
              <w:divBdr>
                <w:top w:val="none" w:sz="0" w:space="0" w:color="auto"/>
                <w:left w:val="none" w:sz="0" w:space="0" w:color="auto"/>
                <w:bottom w:val="none" w:sz="0" w:space="0" w:color="auto"/>
                <w:right w:val="none" w:sz="0" w:space="0" w:color="auto"/>
              </w:divBdr>
            </w:div>
            <w:div w:id="773206327">
              <w:marLeft w:val="0"/>
              <w:marRight w:val="0"/>
              <w:marTop w:val="0"/>
              <w:marBottom w:val="240"/>
              <w:divBdr>
                <w:top w:val="none" w:sz="0" w:space="0" w:color="auto"/>
                <w:left w:val="none" w:sz="0" w:space="0" w:color="auto"/>
                <w:bottom w:val="none" w:sz="0" w:space="0" w:color="auto"/>
                <w:right w:val="none" w:sz="0" w:space="0" w:color="auto"/>
              </w:divBdr>
            </w:div>
            <w:div w:id="435633414">
              <w:marLeft w:val="0"/>
              <w:marRight w:val="0"/>
              <w:marTop w:val="0"/>
              <w:marBottom w:val="240"/>
              <w:divBdr>
                <w:top w:val="none" w:sz="0" w:space="0" w:color="auto"/>
                <w:left w:val="none" w:sz="0" w:space="0" w:color="auto"/>
                <w:bottom w:val="none" w:sz="0" w:space="0" w:color="auto"/>
                <w:right w:val="none" w:sz="0" w:space="0" w:color="auto"/>
              </w:divBdr>
            </w:div>
            <w:div w:id="738478965">
              <w:marLeft w:val="0"/>
              <w:marRight w:val="0"/>
              <w:marTop w:val="0"/>
              <w:marBottom w:val="240"/>
              <w:divBdr>
                <w:top w:val="none" w:sz="0" w:space="0" w:color="auto"/>
                <w:left w:val="none" w:sz="0" w:space="0" w:color="auto"/>
                <w:bottom w:val="none" w:sz="0" w:space="0" w:color="auto"/>
                <w:right w:val="none" w:sz="0" w:space="0" w:color="auto"/>
              </w:divBdr>
            </w:div>
            <w:div w:id="1409115770">
              <w:marLeft w:val="0"/>
              <w:marRight w:val="0"/>
              <w:marTop w:val="0"/>
              <w:marBottom w:val="240"/>
              <w:divBdr>
                <w:top w:val="none" w:sz="0" w:space="0" w:color="auto"/>
                <w:left w:val="none" w:sz="0" w:space="0" w:color="auto"/>
                <w:bottom w:val="none" w:sz="0" w:space="0" w:color="auto"/>
                <w:right w:val="none" w:sz="0" w:space="0" w:color="auto"/>
              </w:divBdr>
            </w:div>
            <w:div w:id="1880587301">
              <w:marLeft w:val="0"/>
              <w:marRight w:val="0"/>
              <w:marTop w:val="0"/>
              <w:marBottom w:val="240"/>
              <w:divBdr>
                <w:top w:val="none" w:sz="0" w:space="0" w:color="auto"/>
                <w:left w:val="none" w:sz="0" w:space="0" w:color="auto"/>
                <w:bottom w:val="none" w:sz="0" w:space="0" w:color="auto"/>
                <w:right w:val="none" w:sz="0" w:space="0" w:color="auto"/>
              </w:divBdr>
            </w:div>
            <w:div w:id="1115248135">
              <w:marLeft w:val="0"/>
              <w:marRight w:val="0"/>
              <w:marTop w:val="0"/>
              <w:marBottom w:val="240"/>
              <w:divBdr>
                <w:top w:val="none" w:sz="0" w:space="0" w:color="auto"/>
                <w:left w:val="none" w:sz="0" w:space="0" w:color="auto"/>
                <w:bottom w:val="none" w:sz="0" w:space="0" w:color="auto"/>
                <w:right w:val="none" w:sz="0" w:space="0" w:color="auto"/>
              </w:divBdr>
            </w:div>
            <w:div w:id="1814255252">
              <w:marLeft w:val="0"/>
              <w:marRight w:val="0"/>
              <w:marTop w:val="0"/>
              <w:marBottom w:val="240"/>
              <w:divBdr>
                <w:top w:val="none" w:sz="0" w:space="0" w:color="auto"/>
                <w:left w:val="none" w:sz="0" w:space="0" w:color="auto"/>
                <w:bottom w:val="none" w:sz="0" w:space="0" w:color="auto"/>
                <w:right w:val="none" w:sz="0" w:space="0" w:color="auto"/>
              </w:divBdr>
            </w:div>
            <w:div w:id="2120027006">
              <w:marLeft w:val="0"/>
              <w:marRight w:val="0"/>
              <w:marTop w:val="0"/>
              <w:marBottom w:val="240"/>
              <w:divBdr>
                <w:top w:val="none" w:sz="0" w:space="0" w:color="auto"/>
                <w:left w:val="none" w:sz="0" w:space="0" w:color="auto"/>
                <w:bottom w:val="none" w:sz="0" w:space="0" w:color="auto"/>
                <w:right w:val="none" w:sz="0" w:space="0" w:color="auto"/>
              </w:divBdr>
            </w:div>
            <w:div w:id="193432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469659">
      <w:bodyDiv w:val="1"/>
      <w:marLeft w:val="0"/>
      <w:marRight w:val="0"/>
      <w:marTop w:val="0"/>
      <w:marBottom w:val="0"/>
      <w:divBdr>
        <w:top w:val="none" w:sz="0" w:space="0" w:color="auto"/>
        <w:left w:val="none" w:sz="0" w:space="0" w:color="auto"/>
        <w:bottom w:val="none" w:sz="0" w:space="0" w:color="auto"/>
        <w:right w:val="none" w:sz="0" w:space="0" w:color="auto"/>
      </w:divBdr>
    </w:div>
    <w:div w:id="2062750793">
      <w:bodyDiv w:val="1"/>
      <w:marLeft w:val="0"/>
      <w:marRight w:val="0"/>
      <w:marTop w:val="0"/>
      <w:marBottom w:val="0"/>
      <w:divBdr>
        <w:top w:val="none" w:sz="0" w:space="0" w:color="auto"/>
        <w:left w:val="none" w:sz="0" w:space="0" w:color="auto"/>
        <w:bottom w:val="none" w:sz="0" w:space="0" w:color="auto"/>
        <w:right w:val="none" w:sz="0" w:space="0" w:color="auto"/>
      </w:divBdr>
    </w:div>
    <w:div w:id="2065718290">
      <w:bodyDiv w:val="1"/>
      <w:marLeft w:val="0"/>
      <w:marRight w:val="0"/>
      <w:marTop w:val="0"/>
      <w:marBottom w:val="0"/>
      <w:divBdr>
        <w:top w:val="none" w:sz="0" w:space="0" w:color="auto"/>
        <w:left w:val="none" w:sz="0" w:space="0" w:color="auto"/>
        <w:bottom w:val="none" w:sz="0" w:space="0" w:color="auto"/>
        <w:right w:val="none" w:sz="0" w:space="0" w:color="auto"/>
      </w:divBdr>
    </w:div>
    <w:div w:id="2070301062">
      <w:bodyDiv w:val="1"/>
      <w:marLeft w:val="0"/>
      <w:marRight w:val="0"/>
      <w:marTop w:val="0"/>
      <w:marBottom w:val="0"/>
      <w:divBdr>
        <w:top w:val="none" w:sz="0" w:space="0" w:color="auto"/>
        <w:left w:val="none" w:sz="0" w:space="0" w:color="auto"/>
        <w:bottom w:val="none" w:sz="0" w:space="0" w:color="auto"/>
        <w:right w:val="none" w:sz="0" w:space="0" w:color="auto"/>
      </w:divBdr>
      <w:divsChild>
        <w:div w:id="182983245">
          <w:marLeft w:val="480"/>
          <w:marRight w:val="0"/>
          <w:marTop w:val="0"/>
          <w:marBottom w:val="0"/>
          <w:divBdr>
            <w:top w:val="none" w:sz="0" w:space="0" w:color="auto"/>
            <w:left w:val="none" w:sz="0" w:space="0" w:color="auto"/>
            <w:bottom w:val="none" w:sz="0" w:space="0" w:color="auto"/>
            <w:right w:val="none" w:sz="0" w:space="0" w:color="auto"/>
          </w:divBdr>
          <w:divsChild>
            <w:div w:id="288364376">
              <w:marLeft w:val="0"/>
              <w:marRight w:val="0"/>
              <w:marTop w:val="0"/>
              <w:marBottom w:val="240"/>
              <w:divBdr>
                <w:top w:val="none" w:sz="0" w:space="0" w:color="auto"/>
                <w:left w:val="none" w:sz="0" w:space="0" w:color="auto"/>
                <w:bottom w:val="none" w:sz="0" w:space="0" w:color="auto"/>
                <w:right w:val="none" w:sz="0" w:space="0" w:color="auto"/>
              </w:divBdr>
            </w:div>
            <w:div w:id="458645613">
              <w:marLeft w:val="0"/>
              <w:marRight w:val="0"/>
              <w:marTop w:val="0"/>
              <w:marBottom w:val="240"/>
              <w:divBdr>
                <w:top w:val="none" w:sz="0" w:space="0" w:color="auto"/>
                <w:left w:val="none" w:sz="0" w:space="0" w:color="auto"/>
                <w:bottom w:val="none" w:sz="0" w:space="0" w:color="auto"/>
                <w:right w:val="none" w:sz="0" w:space="0" w:color="auto"/>
              </w:divBdr>
            </w:div>
            <w:div w:id="1617984003">
              <w:marLeft w:val="0"/>
              <w:marRight w:val="0"/>
              <w:marTop w:val="0"/>
              <w:marBottom w:val="240"/>
              <w:divBdr>
                <w:top w:val="none" w:sz="0" w:space="0" w:color="auto"/>
                <w:left w:val="none" w:sz="0" w:space="0" w:color="auto"/>
                <w:bottom w:val="none" w:sz="0" w:space="0" w:color="auto"/>
                <w:right w:val="none" w:sz="0" w:space="0" w:color="auto"/>
              </w:divBdr>
            </w:div>
            <w:div w:id="1619726930">
              <w:marLeft w:val="0"/>
              <w:marRight w:val="0"/>
              <w:marTop w:val="0"/>
              <w:marBottom w:val="240"/>
              <w:divBdr>
                <w:top w:val="none" w:sz="0" w:space="0" w:color="auto"/>
                <w:left w:val="none" w:sz="0" w:space="0" w:color="auto"/>
                <w:bottom w:val="none" w:sz="0" w:space="0" w:color="auto"/>
                <w:right w:val="none" w:sz="0" w:space="0" w:color="auto"/>
              </w:divBdr>
            </w:div>
            <w:div w:id="1911959045">
              <w:marLeft w:val="0"/>
              <w:marRight w:val="0"/>
              <w:marTop w:val="0"/>
              <w:marBottom w:val="240"/>
              <w:divBdr>
                <w:top w:val="none" w:sz="0" w:space="0" w:color="auto"/>
                <w:left w:val="none" w:sz="0" w:space="0" w:color="auto"/>
                <w:bottom w:val="none" w:sz="0" w:space="0" w:color="auto"/>
                <w:right w:val="none" w:sz="0" w:space="0" w:color="auto"/>
              </w:divBdr>
            </w:div>
            <w:div w:id="341442717">
              <w:marLeft w:val="0"/>
              <w:marRight w:val="0"/>
              <w:marTop w:val="0"/>
              <w:marBottom w:val="240"/>
              <w:divBdr>
                <w:top w:val="none" w:sz="0" w:space="0" w:color="auto"/>
                <w:left w:val="none" w:sz="0" w:space="0" w:color="auto"/>
                <w:bottom w:val="none" w:sz="0" w:space="0" w:color="auto"/>
                <w:right w:val="none" w:sz="0" w:space="0" w:color="auto"/>
              </w:divBdr>
            </w:div>
            <w:div w:id="164128659">
              <w:marLeft w:val="0"/>
              <w:marRight w:val="0"/>
              <w:marTop w:val="0"/>
              <w:marBottom w:val="240"/>
              <w:divBdr>
                <w:top w:val="none" w:sz="0" w:space="0" w:color="auto"/>
                <w:left w:val="none" w:sz="0" w:space="0" w:color="auto"/>
                <w:bottom w:val="none" w:sz="0" w:space="0" w:color="auto"/>
                <w:right w:val="none" w:sz="0" w:space="0" w:color="auto"/>
              </w:divBdr>
            </w:div>
            <w:div w:id="120728313">
              <w:marLeft w:val="0"/>
              <w:marRight w:val="0"/>
              <w:marTop w:val="0"/>
              <w:marBottom w:val="240"/>
              <w:divBdr>
                <w:top w:val="none" w:sz="0" w:space="0" w:color="auto"/>
                <w:left w:val="none" w:sz="0" w:space="0" w:color="auto"/>
                <w:bottom w:val="none" w:sz="0" w:space="0" w:color="auto"/>
                <w:right w:val="none" w:sz="0" w:space="0" w:color="auto"/>
              </w:divBdr>
            </w:div>
            <w:div w:id="870265508">
              <w:marLeft w:val="0"/>
              <w:marRight w:val="0"/>
              <w:marTop w:val="0"/>
              <w:marBottom w:val="240"/>
              <w:divBdr>
                <w:top w:val="none" w:sz="0" w:space="0" w:color="auto"/>
                <w:left w:val="none" w:sz="0" w:space="0" w:color="auto"/>
                <w:bottom w:val="none" w:sz="0" w:space="0" w:color="auto"/>
                <w:right w:val="none" w:sz="0" w:space="0" w:color="auto"/>
              </w:divBdr>
            </w:div>
            <w:div w:id="1503542979">
              <w:marLeft w:val="0"/>
              <w:marRight w:val="0"/>
              <w:marTop w:val="0"/>
              <w:marBottom w:val="240"/>
              <w:divBdr>
                <w:top w:val="none" w:sz="0" w:space="0" w:color="auto"/>
                <w:left w:val="none" w:sz="0" w:space="0" w:color="auto"/>
                <w:bottom w:val="none" w:sz="0" w:space="0" w:color="auto"/>
                <w:right w:val="none" w:sz="0" w:space="0" w:color="auto"/>
              </w:divBdr>
            </w:div>
            <w:div w:id="1467703425">
              <w:marLeft w:val="0"/>
              <w:marRight w:val="0"/>
              <w:marTop w:val="0"/>
              <w:marBottom w:val="240"/>
              <w:divBdr>
                <w:top w:val="none" w:sz="0" w:space="0" w:color="auto"/>
                <w:left w:val="none" w:sz="0" w:space="0" w:color="auto"/>
                <w:bottom w:val="none" w:sz="0" w:space="0" w:color="auto"/>
                <w:right w:val="none" w:sz="0" w:space="0" w:color="auto"/>
              </w:divBdr>
            </w:div>
            <w:div w:id="1413351872">
              <w:marLeft w:val="0"/>
              <w:marRight w:val="0"/>
              <w:marTop w:val="0"/>
              <w:marBottom w:val="240"/>
              <w:divBdr>
                <w:top w:val="none" w:sz="0" w:space="0" w:color="auto"/>
                <w:left w:val="none" w:sz="0" w:space="0" w:color="auto"/>
                <w:bottom w:val="none" w:sz="0" w:space="0" w:color="auto"/>
                <w:right w:val="none" w:sz="0" w:space="0" w:color="auto"/>
              </w:divBdr>
            </w:div>
            <w:div w:id="481312497">
              <w:marLeft w:val="0"/>
              <w:marRight w:val="0"/>
              <w:marTop w:val="0"/>
              <w:marBottom w:val="240"/>
              <w:divBdr>
                <w:top w:val="none" w:sz="0" w:space="0" w:color="auto"/>
                <w:left w:val="none" w:sz="0" w:space="0" w:color="auto"/>
                <w:bottom w:val="none" w:sz="0" w:space="0" w:color="auto"/>
                <w:right w:val="none" w:sz="0" w:space="0" w:color="auto"/>
              </w:divBdr>
            </w:div>
            <w:div w:id="1071004442">
              <w:marLeft w:val="0"/>
              <w:marRight w:val="0"/>
              <w:marTop w:val="0"/>
              <w:marBottom w:val="240"/>
              <w:divBdr>
                <w:top w:val="none" w:sz="0" w:space="0" w:color="auto"/>
                <w:left w:val="none" w:sz="0" w:space="0" w:color="auto"/>
                <w:bottom w:val="none" w:sz="0" w:space="0" w:color="auto"/>
                <w:right w:val="none" w:sz="0" w:space="0" w:color="auto"/>
              </w:divBdr>
            </w:div>
            <w:div w:id="1709599807">
              <w:marLeft w:val="0"/>
              <w:marRight w:val="0"/>
              <w:marTop w:val="0"/>
              <w:marBottom w:val="240"/>
              <w:divBdr>
                <w:top w:val="none" w:sz="0" w:space="0" w:color="auto"/>
                <w:left w:val="none" w:sz="0" w:space="0" w:color="auto"/>
                <w:bottom w:val="none" w:sz="0" w:space="0" w:color="auto"/>
                <w:right w:val="none" w:sz="0" w:space="0" w:color="auto"/>
              </w:divBdr>
            </w:div>
            <w:div w:id="1724862109">
              <w:marLeft w:val="0"/>
              <w:marRight w:val="0"/>
              <w:marTop w:val="0"/>
              <w:marBottom w:val="240"/>
              <w:divBdr>
                <w:top w:val="none" w:sz="0" w:space="0" w:color="auto"/>
                <w:left w:val="none" w:sz="0" w:space="0" w:color="auto"/>
                <w:bottom w:val="none" w:sz="0" w:space="0" w:color="auto"/>
                <w:right w:val="none" w:sz="0" w:space="0" w:color="auto"/>
              </w:divBdr>
            </w:div>
            <w:div w:id="1767648296">
              <w:marLeft w:val="0"/>
              <w:marRight w:val="0"/>
              <w:marTop w:val="0"/>
              <w:marBottom w:val="240"/>
              <w:divBdr>
                <w:top w:val="none" w:sz="0" w:space="0" w:color="auto"/>
                <w:left w:val="none" w:sz="0" w:space="0" w:color="auto"/>
                <w:bottom w:val="none" w:sz="0" w:space="0" w:color="auto"/>
                <w:right w:val="none" w:sz="0" w:space="0" w:color="auto"/>
              </w:divBdr>
            </w:div>
            <w:div w:id="477765699">
              <w:marLeft w:val="0"/>
              <w:marRight w:val="0"/>
              <w:marTop w:val="0"/>
              <w:marBottom w:val="240"/>
              <w:divBdr>
                <w:top w:val="none" w:sz="0" w:space="0" w:color="auto"/>
                <w:left w:val="none" w:sz="0" w:space="0" w:color="auto"/>
                <w:bottom w:val="none" w:sz="0" w:space="0" w:color="auto"/>
                <w:right w:val="none" w:sz="0" w:space="0" w:color="auto"/>
              </w:divBdr>
            </w:div>
            <w:div w:id="743450810">
              <w:marLeft w:val="0"/>
              <w:marRight w:val="0"/>
              <w:marTop w:val="0"/>
              <w:marBottom w:val="240"/>
              <w:divBdr>
                <w:top w:val="none" w:sz="0" w:space="0" w:color="auto"/>
                <w:left w:val="none" w:sz="0" w:space="0" w:color="auto"/>
                <w:bottom w:val="none" w:sz="0" w:space="0" w:color="auto"/>
                <w:right w:val="none" w:sz="0" w:space="0" w:color="auto"/>
              </w:divBdr>
            </w:div>
            <w:div w:id="172888433">
              <w:marLeft w:val="0"/>
              <w:marRight w:val="0"/>
              <w:marTop w:val="0"/>
              <w:marBottom w:val="240"/>
              <w:divBdr>
                <w:top w:val="none" w:sz="0" w:space="0" w:color="auto"/>
                <w:left w:val="none" w:sz="0" w:space="0" w:color="auto"/>
                <w:bottom w:val="none" w:sz="0" w:space="0" w:color="auto"/>
                <w:right w:val="none" w:sz="0" w:space="0" w:color="auto"/>
              </w:divBdr>
            </w:div>
            <w:div w:id="495220878">
              <w:marLeft w:val="0"/>
              <w:marRight w:val="0"/>
              <w:marTop w:val="0"/>
              <w:marBottom w:val="240"/>
              <w:divBdr>
                <w:top w:val="none" w:sz="0" w:space="0" w:color="auto"/>
                <w:left w:val="none" w:sz="0" w:space="0" w:color="auto"/>
                <w:bottom w:val="none" w:sz="0" w:space="0" w:color="auto"/>
                <w:right w:val="none" w:sz="0" w:space="0" w:color="auto"/>
              </w:divBdr>
            </w:div>
            <w:div w:id="194776319">
              <w:marLeft w:val="0"/>
              <w:marRight w:val="0"/>
              <w:marTop w:val="0"/>
              <w:marBottom w:val="240"/>
              <w:divBdr>
                <w:top w:val="none" w:sz="0" w:space="0" w:color="auto"/>
                <w:left w:val="none" w:sz="0" w:space="0" w:color="auto"/>
                <w:bottom w:val="none" w:sz="0" w:space="0" w:color="auto"/>
                <w:right w:val="none" w:sz="0" w:space="0" w:color="auto"/>
              </w:divBdr>
            </w:div>
            <w:div w:id="262035606">
              <w:marLeft w:val="0"/>
              <w:marRight w:val="0"/>
              <w:marTop w:val="0"/>
              <w:marBottom w:val="240"/>
              <w:divBdr>
                <w:top w:val="none" w:sz="0" w:space="0" w:color="auto"/>
                <w:left w:val="none" w:sz="0" w:space="0" w:color="auto"/>
                <w:bottom w:val="none" w:sz="0" w:space="0" w:color="auto"/>
                <w:right w:val="none" w:sz="0" w:space="0" w:color="auto"/>
              </w:divBdr>
            </w:div>
            <w:div w:id="638344735">
              <w:marLeft w:val="0"/>
              <w:marRight w:val="0"/>
              <w:marTop w:val="0"/>
              <w:marBottom w:val="240"/>
              <w:divBdr>
                <w:top w:val="none" w:sz="0" w:space="0" w:color="auto"/>
                <w:left w:val="none" w:sz="0" w:space="0" w:color="auto"/>
                <w:bottom w:val="none" w:sz="0" w:space="0" w:color="auto"/>
                <w:right w:val="none" w:sz="0" w:space="0" w:color="auto"/>
              </w:divBdr>
            </w:div>
            <w:div w:id="1708555495">
              <w:marLeft w:val="0"/>
              <w:marRight w:val="0"/>
              <w:marTop w:val="0"/>
              <w:marBottom w:val="240"/>
              <w:divBdr>
                <w:top w:val="none" w:sz="0" w:space="0" w:color="auto"/>
                <w:left w:val="none" w:sz="0" w:space="0" w:color="auto"/>
                <w:bottom w:val="none" w:sz="0" w:space="0" w:color="auto"/>
                <w:right w:val="none" w:sz="0" w:space="0" w:color="auto"/>
              </w:divBdr>
            </w:div>
            <w:div w:id="1742409693">
              <w:marLeft w:val="0"/>
              <w:marRight w:val="0"/>
              <w:marTop w:val="0"/>
              <w:marBottom w:val="240"/>
              <w:divBdr>
                <w:top w:val="none" w:sz="0" w:space="0" w:color="auto"/>
                <w:left w:val="none" w:sz="0" w:space="0" w:color="auto"/>
                <w:bottom w:val="none" w:sz="0" w:space="0" w:color="auto"/>
                <w:right w:val="none" w:sz="0" w:space="0" w:color="auto"/>
              </w:divBdr>
            </w:div>
            <w:div w:id="803540574">
              <w:marLeft w:val="0"/>
              <w:marRight w:val="0"/>
              <w:marTop w:val="0"/>
              <w:marBottom w:val="240"/>
              <w:divBdr>
                <w:top w:val="none" w:sz="0" w:space="0" w:color="auto"/>
                <w:left w:val="none" w:sz="0" w:space="0" w:color="auto"/>
                <w:bottom w:val="none" w:sz="0" w:space="0" w:color="auto"/>
                <w:right w:val="none" w:sz="0" w:space="0" w:color="auto"/>
              </w:divBdr>
            </w:div>
            <w:div w:id="664014818">
              <w:marLeft w:val="0"/>
              <w:marRight w:val="0"/>
              <w:marTop w:val="0"/>
              <w:marBottom w:val="240"/>
              <w:divBdr>
                <w:top w:val="none" w:sz="0" w:space="0" w:color="auto"/>
                <w:left w:val="none" w:sz="0" w:space="0" w:color="auto"/>
                <w:bottom w:val="none" w:sz="0" w:space="0" w:color="auto"/>
                <w:right w:val="none" w:sz="0" w:space="0" w:color="auto"/>
              </w:divBdr>
            </w:div>
            <w:div w:id="1593857238">
              <w:marLeft w:val="0"/>
              <w:marRight w:val="0"/>
              <w:marTop w:val="0"/>
              <w:marBottom w:val="240"/>
              <w:divBdr>
                <w:top w:val="none" w:sz="0" w:space="0" w:color="auto"/>
                <w:left w:val="none" w:sz="0" w:space="0" w:color="auto"/>
                <w:bottom w:val="none" w:sz="0" w:space="0" w:color="auto"/>
                <w:right w:val="none" w:sz="0" w:space="0" w:color="auto"/>
              </w:divBdr>
            </w:div>
            <w:div w:id="625113968">
              <w:marLeft w:val="0"/>
              <w:marRight w:val="0"/>
              <w:marTop w:val="0"/>
              <w:marBottom w:val="240"/>
              <w:divBdr>
                <w:top w:val="none" w:sz="0" w:space="0" w:color="auto"/>
                <w:left w:val="none" w:sz="0" w:space="0" w:color="auto"/>
                <w:bottom w:val="none" w:sz="0" w:space="0" w:color="auto"/>
                <w:right w:val="none" w:sz="0" w:space="0" w:color="auto"/>
              </w:divBdr>
            </w:div>
            <w:div w:id="854072778">
              <w:marLeft w:val="0"/>
              <w:marRight w:val="0"/>
              <w:marTop w:val="0"/>
              <w:marBottom w:val="240"/>
              <w:divBdr>
                <w:top w:val="none" w:sz="0" w:space="0" w:color="auto"/>
                <w:left w:val="none" w:sz="0" w:space="0" w:color="auto"/>
                <w:bottom w:val="none" w:sz="0" w:space="0" w:color="auto"/>
                <w:right w:val="none" w:sz="0" w:space="0" w:color="auto"/>
              </w:divBdr>
            </w:div>
            <w:div w:id="1605770802">
              <w:marLeft w:val="0"/>
              <w:marRight w:val="0"/>
              <w:marTop w:val="0"/>
              <w:marBottom w:val="240"/>
              <w:divBdr>
                <w:top w:val="none" w:sz="0" w:space="0" w:color="auto"/>
                <w:left w:val="none" w:sz="0" w:space="0" w:color="auto"/>
                <w:bottom w:val="none" w:sz="0" w:space="0" w:color="auto"/>
                <w:right w:val="none" w:sz="0" w:space="0" w:color="auto"/>
              </w:divBdr>
            </w:div>
            <w:div w:id="70130001">
              <w:marLeft w:val="0"/>
              <w:marRight w:val="0"/>
              <w:marTop w:val="0"/>
              <w:marBottom w:val="240"/>
              <w:divBdr>
                <w:top w:val="none" w:sz="0" w:space="0" w:color="auto"/>
                <w:left w:val="none" w:sz="0" w:space="0" w:color="auto"/>
                <w:bottom w:val="none" w:sz="0" w:space="0" w:color="auto"/>
                <w:right w:val="none" w:sz="0" w:space="0" w:color="auto"/>
              </w:divBdr>
            </w:div>
            <w:div w:id="1437940286">
              <w:marLeft w:val="0"/>
              <w:marRight w:val="0"/>
              <w:marTop w:val="0"/>
              <w:marBottom w:val="240"/>
              <w:divBdr>
                <w:top w:val="none" w:sz="0" w:space="0" w:color="auto"/>
                <w:left w:val="none" w:sz="0" w:space="0" w:color="auto"/>
                <w:bottom w:val="none" w:sz="0" w:space="0" w:color="auto"/>
                <w:right w:val="none" w:sz="0" w:space="0" w:color="auto"/>
              </w:divBdr>
            </w:div>
            <w:div w:id="67851651">
              <w:marLeft w:val="0"/>
              <w:marRight w:val="0"/>
              <w:marTop w:val="0"/>
              <w:marBottom w:val="240"/>
              <w:divBdr>
                <w:top w:val="none" w:sz="0" w:space="0" w:color="auto"/>
                <w:left w:val="none" w:sz="0" w:space="0" w:color="auto"/>
                <w:bottom w:val="none" w:sz="0" w:space="0" w:color="auto"/>
                <w:right w:val="none" w:sz="0" w:space="0" w:color="auto"/>
              </w:divBdr>
            </w:div>
            <w:div w:id="593905039">
              <w:marLeft w:val="0"/>
              <w:marRight w:val="0"/>
              <w:marTop w:val="0"/>
              <w:marBottom w:val="240"/>
              <w:divBdr>
                <w:top w:val="none" w:sz="0" w:space="0" w:color="auto"/>
                <w:left w:val="none" w:sz="0" w:space="0" w:color="auto"/>
                <w:bottom w:val="none" w:sz="0" w:space="0" w:color="auto"/>
                <w:right w:val="none" w:sz="0" w:space="0" w:color="auto"/>
              </w:divBdr>
            </w:div>
            <w:div w:id="250117817">
              <w:marLeft w:val="0"/>
              <w:marRight w:val="0"/>
              <w:marTop w:val="0"/>
              <w:marBottom w:val="240"/>
              <w:divBdr>
                <w:top w:val="none" w:sz="0" w:space="0" w:color="auto"/>
                <w:left w:val="none" w:sz="0" w:space="0" w:color="auto"/>
                <w:bottom w:val="none" w:sz="0" w:space="0" w:color="auto"/>
                <w:right w:val="none" w:sz="0" w:space="0" w:color="auto"/>
              </w:divBdr>
            </w:div>
            <w:div w:id="1014572789">
              <w:marLeft w:val="0"/>
              <w:marRight w:val="0"/>
              <w:marTop w:val="0"/>
              <w:marBottom w:val="240"/>
              <w:divBdr>
                <w:top w:val="none" w:sz="0" w:space="0" w:color="auto"/>
                <w:left w:val="none" w:sz="0" w:space="0" w:color="auto"/>
                <w:bottom w:val="none" w:sz="0" w:space="0" w:color="auto"/>
                <w:right w:val="none" w:sz="0" w:space="0" w:color="auto"/>
              </w:divBdr>
            </w:div>
            <w:div w:id="472143274">
              <w:marLeft w:val="0"/>
              <w:marRight w:val="0"/>
              <w:marTop w:val="0"/>
              <w:marBottom w:val="240"/>
              <w:divBdr>
                <w:top w:val="none" w:sz="0" w:space="0" w:color="auto"/>
                <w:left w:val="none" w:sz="0" w:space="0" w:color="auto"/>
                <w:bottom w:val="none" w:sz="0" w:space="0" w:color="auto"/>
                <w:right w:val="none" w:sz="0" w:space="0" w:color="auto"/>
              </w:divBdr>
            </w:div>
            <w:div w:id="32660219">
              <w:marLeft w:val="0"/>
              <w:marRight w:val="0"/>
              <w:marTop w:val="0"/>
              <w:marBottom w:val="240"/>
              <w:divBdr>
                <w:top w:val="none" w:sz="0" w:space="0" w:color="auto"/>
                <w:left w:val="none" w:sz="0" w:space="0" w:color="auto"/>
                <w:bottom w:val="none" w:sz="0" w:space="0" w:color="auto"/>
                <w:right w:val="none" w:sz="0" w:space="0" w:color="auto"/>
              </w:divBdr>
            </w:div>
            <w:div w:id="2055735067">
              <w:marLeft w:val="0"/>
              <w:marRight w:val="0"/>
              <w:marTop w:val="0"/>
              <w:marBottom w:val="240"/>
              <w:divBdr>
                <w:top w:val="none" w:sz="0" w:space="0" w:color="auto"/>
                <w:left w:val="none" w:sz="0" w:space="0" w:color="auto"/>
                <w:bottom w:val="none" w:sz="0" w:space="0" w:color="auto"/>
                <w:right w:val="none" w:sz="0" w:space="0" w:color="auto"/>
              </w:divBdr>
            </w:div>
            <w:div w:id="789278737">
              <w:marLeft w:val="0"/>
              <w:marRight w:val="0"/>
              <w:marTop w:val="0"/>
              <w:marBottom w:val="240"/>
              <w:divBdr>
                <w:top w:val="none" w:sz="0" w:space="0" w:color="auto"/>
                <w:left w:val="none" w:sz="0" w:space="0" w:color="auto"/>
                <w:bottom w:val="none" w:sz="0" w:space="0" w:color="auto"/>
                <w:right w:val="none" w:sz="0" w:space="0" w:color="auto"/>
              </w:divBdr>
            </w:div>
            <w:div w:id="1653102161">
              <w:marLeft w:val="0"/>
              <w:marRight w:val="0"/>
              <w:marTop w:val="0"/>
              <w:marBottom w:val="240"/>
              <w:divBdr>
                <w:top w:val="none" w:sz="0" w:space="0" w:color="auto"/>
                <w:left w:val="none" w:sz="0" w:space="0" w:color="auto"/>
                <w:bottom w:val="none" w:sz="0" w:space="0" w:color="auto"/>
                <w:right w:val="none" w:sz="0" w:space="0" w:color="auto"/>
              </w:divBdr>
            </w:div>
            <w:div w:id="2062291503">
              <w:marLeft w:val="0"/>
              <w:marRight w:val="0"/>
              <w:marTop w:val="0"/>
              <w:marBottom w:val="240"/>
              <w:divBdr>
                <w:top w:val="none" w:sz="0" w:space="0" w:color="auto"/>
                <w:left w:val="none" w:sz="0" w:space="0" w:color="auto"/>
                <w:bottom w:val="none" w:sz="0" w:space="0" w:color="auto"/>
                <w:right w:val="none" w:sz="0" w:space="0" w:color="auto"/>
              </w:divBdr>
            </w:div>
            <w:div w:id="628320377">
              <w:marLeft w:val="0"/>
              <w:marRight w:val="0"/>
              <w:marTop w:val="0"/>
              <w:marBottom w:val="240"/>
              <w:divBdr>
                <w:top w:val="none" w:sz="0" w:space="0" w:color="auto"/>
                <w:left w:val="none" w:sz="0" w:space="0" w:color="auto"/>
                <w:bottom w:val="none" w:sz="0" w:space="0" w:color="auto"/>
                <w:right w:val="none" w:sz="0" w:space="0" w:color="auto"/>
              </w:divBdr>
            </w:div>
            <w:div w:id="270208438">
              <w:marLeft w:val="0"/>
              <w:marRight w:val="0"/>
              <w:marTop w:val="0"/>
              <w:marBottom w:val="240"/>
              <w:divBdr>
                <w:top w:val="none" w:sz="0" w:space="0" w:color="auto"/>
                <w:left w:val="none" w:sz="0" w:space="0" w:color="auto"/>
                <w:bottom w:val="none" w:sz="0" w:space="0" w:color="auto"/>
                <w:right w:val="none" w:sz="0" w:space="0" w:color="auto"/>
              </w:divBdr>
            </w:div>
            <w:div w:id="298801261">
              <w:marLeft w:val="0"/>
              <w:marRight w:val="0"/>
              <w:marTop w:val="0"/>
              <w:marBottom w:val="240"/>
              <w:divBdr>
                <w:top w:val="none" w:sz="0" w:space="0" w:color="auto"/>
                <w:left w:val="none" w:sz="0" w:space="0" w:color="auto"/>
                <w:bottom w:val="none" w:sz="0" w:space="0" w:color="auto"/>
                <w:right w:val="none" w:sz="0" w:space="0" w:color="auto"/>
              </w:divBdr>
            </w:div>
            <w:div w:id="1910113086">
              <w:marLeft w:val="0"/>
              <w:marRight w:val="0"/>
              <w:marTop w:val="0"/>
              <w:marBottom w:val="240"/>
              <w:divBdr>
                <w:top w:val="none" w:sz="0" w:space="0" w:color="auto"/>
                <w:left w:val="none" w:sz="0" w:space="0" w:color="auto"/>
                <w:bottom w:val="none" w:sz="0" w:space="0" w:color="auto"/>
                <w:right w:val="none" w:sz="0" w:space="0" w:color="auto"/>
              </w:divBdr>
            </w:div>
            <w:div w:id="1612784938">
              <w:marLeft w:val="0"/>
              <w:marRight w:val="0"/>
              <w:marTop w:val="0"/>
              <w:marBottom w:val="240"/>
              <w:divBdr>
                <w:top w:val="none" w:sz="0" w:space="0" w:color="auto"/>
                <w:left w:val="none" w:sz="0" w:space="0" w:color="auto"/>
                <w:bottom w:val="none" w:sz="0" w:space="0" w:color="auto"/>
                <w:right w:val="none" w:sz="0" w:space="0" w:color="auto"/>
              </w:divBdr>
            </w:div>
            <w:div w:id="1326788849">
              <w:marLeft w:val="0"/>
              <w:marRight w:val="0"/>
              <w:marTop w:val="0"/>
              <w:marBottom w:val="240"/>
              <w:divBdr>
                <w:top w:val="none" w:sz="0" w:space="0" w:color="auto"/>
                <w:left w:val="none" w:sz="0" w:space="0" w:color="auto"/>
                <w:bottom w:val="none" w:sz="0" w:space="0" w:color="auto"/>
                <w:right w:val="none" w:sz="0" w:space="0" w:color="auto"/>
              </w:divBdr>
            </w:div>
            <w:div w:id="795565596">
              <w:marLeft w:val="0"/>
              <w:marRight w:val="0"/>
              <w:marTop w:val="0"/>
              <w:marBottom w:val="240"/>
              <w:divBdr>
                <w:top w:val="none" w:sz="0" w:space="0" w:color="auto"/>
                <w:left w:val="none" w:sz="0" w:space="0" w:color="auto"/>
                <w:bottom w:val="none" w:sz="0" w:space="0" w:color="auto"/>
                <w:right w:val="none" w:sz="0" w:space="0" w:color="auto"/>
              </w:divBdr>
            </w:div>
            <w:div w:id="2005741610">
              <w:marLeft w:val="0"/>
              <w:marRight w:val="0"/>
              <w:marTop w:val="0"/>
              <w:marBottom w:val="240"/>
              <w:divBdr>
                <w:top w:val="none" w:sz="0" w:space="0" w:color="auto"/>
                <w:left w:val="none" w:sz="0" w:space="0" w:color="auto"/>
                <w:bottom w:val="none" w:sz="0" w:space="0" w:color="auto"/>
                <w:right w:val="none" w:sz="0" w:space="0" w:color="auto"/>
              </w:divBdr>
            </w:div>
            <w:div w:id="1142620829">
              <w:marLeft w:val="0"/>
              <w:marRight w:val="0"/>
              <w:marTop w:val="0"/>
              <w:marBottom w:val="240"/>
              <w:divBdr>
                <w:top w:val="none" w:sz="0" w:space="0" w:color="auto"/>
                <w:left w:val="none" w:sz="0" w:space="0" w:color="auto"/>
                <w:bottom w:val="none" w:sz="0" w:space="0" w:color="auto"/>
                <w:right w:val="none" w:sz="0" w:space="0" w:color="auto"/>
              </w:divBdr>
            </w:div>
            <w:div w:id="1199008190">
              <w:marLeft w:val="0"/>
              <w:marRight w:val="0"/>
              <w:marTop w:val="0"/>
              <w:marBottom w:val="240"/>
              <w:divBdr>
                <w:top w:val="none" w:sz="0" w:space="0" w:color="auto"/>
                <w:left w:val="none" w:sz="0" w:space="0" w:color="auto"/>
                <w:bottom w:val="none" w:sz="0" w:space="0" w:color="auto"/>
                <w:right w:val="none" w:sz="0" w:space="0" w:color="auto"/>
              </w:divBdr>
            </w:div>
            <w:div w:id="1151752281">
              <w:marLeft w:val="0"/>
              <w:marRight w:val="0"/>
              <w:marTop w:val="0"/>
              <w:marBottom w:val="240"/>
              <w:divBdr>
                <w:top w:val="none" w:sz="0" w:space="0" w:color="auto"/>
                <w:left w:val="none" w:sz="0" w:space="0" w:color="auto"/>
                <w:bottom w:val="none" w:sz="0" w:space="0" w:color="auto"/>
                <w:right w:val="none" w:sz="0" w:space="0" w:color="auto"/>
              </w:divBdr>
            </w:div>
            <w:div w:id="1941373061">
              <w:marLeft w:val="0"/>
              <w:marRight w:val="0"/>
              <w:marTop w:val="0"/>
              <w:marBottom w:val="240"/>
              <w:divBdr>
                <w:top w:val="none" w:sz="0" w:space="0" w:color="auto"/>
                <w:left w:val="none" w:sz="0" w:space="0" w:color="auto"/>
                <w:bottom w:val="none" w:sz="0" w:space="0" w:color="auto"/>
                <w:right w:val="none" w:sz="0" w:space="0" w:color="auto"/>
              </w:divBdr>
            </w:div>
            <w:div w:id="1970743492">
              <w:marLeft w:val="0"/>
              <w:marRight w:val="0"/>
              <w:marTop w:val="0"/>
              <w:marBottom w:val="240"/>
              <w:divBdr>
                <w:top w:val="none" w:sz="0" w:space="0" w:color="auto"/>
                <w:left w:val="none" w:sz="0" w:space="0" w:color="auto"/>
                <w:bottom w:val="none" w:sz="0" w:space="0" w:color="auto"/>
                <w:right w:val="none" w:sz="0" w:space="0" w:color="auto"/>
              </w:divBdr>
            </w:div>
            <w:div w:id="78210997">
              <w:marLeft w:val="0"/>
              <w:marRight w:val="0"/>
              <w:marTop w:val="0"/>
              <w:marBottom w:val="240"/>
              <w:divBdr>
                <w:top w:val="none" w:sz="0" w:space="0" w:color="auto"/>
                <w:left w:val="none" w:sz="0" w:space="0" w:color="auto"/>
                <w:bottom w:val="none" w:sz="0" w:space="0" w:color="auto"/>
                <w:right w:val="none" w:sz="0" w:space="0" w:color="auto"/>
              </w:divBdr>
            </w:div>
            <w:div w:id="1060902364">
              <w:marLeft w:val="0"/>
              <w:marRight w:val="0"/>
              <w:marTop w:val="0"/>
              <w:marBottom w:val="240"/>
              <w:divBdr>
                <w:top w:val="none" w:sz="0" w:space="0" w:color="auto"/>
                <w:left w:val="none" w:sz="0" w:space="0" w:color="auto"/>
                <w:bottom w:val="none" w:sz="0" w:space="0" w:color="auto"/>
                <w:right w:val="none" w:sz="0" w:space="0" w:color="auto"/>
              </w:divBdr>
            </w:div>
            <w:div w:id="526411708">
              <w:marLeft w:val="0"/>
              <w:marRight w:val="0"/>
              <w:marTop w:val="0"/>
              <w:marBottom w:val="240"/>
              <w:divBdr>
                <w:top w:val="none" w:sz="0" w:space="0" w:color="auto"/>
                <w:left w:val="none" w:sz="0" w:space="0" w:color="auto"/>
                <w:bottom w:val="none" w:sz="0" w:space="0" w:color="auto"/>
                <w:right w:val="none" w:sz="0" w:space="0" w:color="auto"/>
              </w:divBdr>
            </w:div>
            <w:div w:id="870462991">
              <w:marLeft w:val="0"/>
              <w:marRight w:val="0"/>
              <w:marTop w:val="0"/>
              <w:marBottom w:val="240"/>
              <w:divBdr>
                <w:top w:val="none" w:sz="0" w:space="0" w:color="auto"/>
                <w:left w:val="none" w:sz="0" w:space="0" w:color="auto"/>
                <w:bottom w:val="none" w:sz="0" w:space="0" w:color="auto"/>
                <w:right w:val="none" w:sz="0" w:space="0" w:color="auto"/>
              </w:divBdr>
            </w:div>
            <w:div w:id="1778014623">
              <w:marLeft w:val="0"/>
              <w:marRight w:val="0"/>
              <w:marTop w:val="0"/>
              <w:marBottom w:val="240"/>
              <w:divBdr>
                <w:top w:val="none" w:sz="0" w:space="0" w:color="auto"/>
                <w:left w:val="none" w:sz="0" w:space="0" w:color="auto"/>
                <w:bottom w:val="none" w:sz="0" w:space="0" w:color="auto"/>
                <w:right w:val="none" w:sz="0" w:space="0" w:color="auto"/>
              </w:divBdr>
            </w:div>
            <w:div w:id="1009017918">
              <w:marLeft w:val="0"/>
              <w:marRight w:val="0"/>
              <w:marTop w:val="0"/>
              <w:marBottom w:val="240"/>
              <w:divBdr>
                <w:top w:val="none" w:sz="0" w:space="0" w:color="auto"/>
                <w:left w:val="none" w:sz="0" w:space="0" w:color="auto"/>
                <w:bottom w:val="none" w:sz="0" w:space="0" w:color="auto"/>
                <w:right w:val="none" w:sz="0" w:space="0" w:color="auto"/>
              </w:divBdr>
            </w:div>
            <w:div w:id="1373111869">
              <w:marLeft w:val="0"/>
              <w:marRight w:val="0"/>
              <w:marTop w:val="0"/>
              <w:marBottom w:val="240"/>
              <w:divBdr>
                <w:top w:val="none" w:sz="0" w:space="0" w:color="auto"/>
                <w:left w:val="none" w:sz="0" w:space="0" w:color="auto"/>
                <w:bottom w:val="none" w:sz="0" w:space="0" w:color="auto"/>
                <w:right w:val="none" w:sz="0" w:space="0" w:color="auto"/>
              </w:divBdr>
            </w:div>
            <w:div w:id="1559971385">
              <w:marLeft w:val="0"/>
              <w:marRight w:val="0"/>
              <w:marTop w:val="0"/>
              <w:marBottom w:val="240"/>
              <w:divBdr>
                <w:top w:val="none" w:sz="0" w:space="0" w:color="auto"/>
                <w:left w:val="none" w:sz="0" w:space="0" w:color="auto"/>
                <w:bottom w:val="none" w:sz="0" w:space="0" w:color="auto"/>
                <w:right w:val="none" w:sz="0" w:space="0" w:color="auto"/>
              </w:divBdr>
            </w:div>
            <w:div w:id="553004014">
              <w:marLeft w:val="0"/>
              <w:marRight w:val="0"/>
              <w:marTop w:val="0"/>
              <w:marBottom w:val="240"/>
              <w:divBdr>
                <w:top w:val="none" w:sz="0" w:space="0" w:color="auto"/>
                <w:left w:val="none" w:sz="0" w:space="0" w:color="auto"/>
                <w:bottom w:val="none" w:sz="0" w:space="0" w:color="auto"/>
                <w:right w:val="none" w:sz="0" w:space="0" w:color="auto"/>
              </w:divBdr>
            </w:div>
            <w:div w:id="1281381014">
              <w:marLeft w:val="0"/>
              <w:marRight w:val="0"/>
              <w:marTop w:val="0"/>
              <w:marBottom w:val="240"/>
              <w:divBdr>
                <w:top w:val="none" w:sz="0" w:space="0" w:color="auto"/>
                <w:left w:val="none" w:sz="0" w:space="0" w:color="auto"/>
                <w:bottom w:val="none" w:sz="0" w:space="0" w:color="auto"/>
                <w:right w:val="none" w:sz="0" w:space="0" w:color="auto"/>
              </w:divBdr>
            </w:div>
            <w:div w:id="1756514762">
              <w:marLeft w:val="0"/>
              <w:marRight w:val="0"/>
              <w:marTop w:val="0"/>
              <w:marBottom w:val="240"/>
              <w:divBdr>
                <w:top w:val="none" w:sz="0" w:space="0" w:color="auto"/>
                <w:left w:val="none" w:sz="0" w:space="0" w:color="auto"/>
                <w:bottom w:val="none" w:sz="0" w:space="0" w:color="auto"/>
                <w:right w:val="none" w:sz="0" w:space="0" w:color="auto"/>
              </w:divBdr>
            </w:div>
            <w:div w:id="1697265913">
              <w:marLeft w:val="0"/>
              <w:marRight w:val="0"/>
              <w:marTop w:val="0"/>
              <w:marBottom w:val="240"/>
              <w:divBdr>
                <w:top w:val="none" w:sz="0" w:space="0" w:color="auto"/>
                <w:left w:val="none" w:sz="0" w:space="0" w:color="auto"/>
                <w:bottom w:val="none" w:sz="0" w:space="0" w:color="auto"/>
                <w:right w:val="none" w:sz="0" w:space="0" w:color="auto"/>
              </w:divBdr>
            </w:div>
            <w:div w:id="1095177182">
              <w:marLeft w:val="0"/>
              <w:marRight w:val="0"/>
              <w:marTop w:val="0"/>
              <w:marBottom w:val="240"/>
              <w:divBdr>
                <w:top w:val="none" w:sz="0" w:space="0" w:color="auto"/>
                <w:left w:val="none" w:sz="0" w:space="0" w:color="auto"/>
                <w:bottom w:val="none" w:sz="0" w:space="0" w:color="auto"/>
                <w:right w:val="none" w:sz="0" w:space="0" w:color="auto"/>
              </w:divBdr>
            </w:div>
            <w:div w:id="1273365164">
              <w:marLeft w:val="0"/>
              <w:marRight w:val="0"/>
              <w:marTop w:val="0"/>
              <w:marBottom w:val="240"/>
              <w:divBdr>
                <w:top w:val="none" w:sz="0" w:space="0" w:color="auto"/>
                <w:left w:val="none" w:sz="0" w:space="0" w:color="auto"/>
                <w:bottom w:val="none" w:sz="0" w:space="0" w:color="auto"/>
                <w:right w:val="none" w:sz="0" w:space="0" w:color="auto"/>
              </w:divBdr>
            </w:div>
            <w:div w:id="47265095">
              <w:marLeft w:val="0"/>
              <w:marRight w:val="0"/>
              <w:marTop w:val="0"/>
              <w:marBottom w:val="240"/>
              <w:divBdr>
                <w:top w:val="none" w:sz="0" w:space="0" w:color="auto"/>
                <w:left w:val="none" w:sz="0" w:space="0" w:color="auto"/>
                <w:bottom w:val="none" w:sz="0" w:space="0" w:color="auto"/>
                <w:right w:val="none" w:sz="0" w:space="0" w:color="auto"/>
              </w:divBdr>
            </w:div>
            <w:div w:id="41056147">
              <w:marLeft w:val="0"/>
              <w:marRight w:val="0"/>
              <w:marTop w:val="0"/>
              <w:marBottom w:val="240"/>
              <w:divBdr>
                <w:top w:val="none" w:sz="0" w:space="0" w:color="auto"/>
                <w:left w:val="none" w:sz="0" w:space="0" w:color="auto"/>
                <w:bottom w:val="none" w:sz="0" w:space="0" w:color="auto"/>
                <w:right w:val="none" w:sz="0" w:space="0" w:color="auto"/>
              </w:divBdr>
            </w:div>
            <w:div w:id="2021809283">
              <w:marLeft w:val="0"/>
              <w:marRight w:val="0"/>
              <w:marTop w:val="0"/>
              <w:marBottom w:val="240"/>
              <w:divBdr>
                <w:top w:val="none" w:sz="0" w:space="0" w:color="auto"/>
                <w:left w:val="none" w:sz="0" w:space="0" w:color="auto"/>
                <w:bottom w:val="none" w:sz="0" w:space="0" w:color="auto"/>
                <w:right w:val="none" w:sz="0" w:space="0" w:color="auto"/>
              </w:divBdr>
            </w:div>
            <w:div w:id="845481521">
              <w:marLeft w:val="0"/>
              <w:marRight w:val="0"/>
              <w:marTop w:val="0"/>
              <w:marBottom w:val="240"/>
              <w:divBdr>
                <w:top w:val="none" w:sz="0" w:space="0" w:color="auto"/>
                <w:left w:val="none" w:sz="0" w:space="0" w:color="auto"/>
                <w:bottom w:val="none" w:sz="0" w:space="0" w:color="auto"/>
                <w:right w:val="none" w:sz="0" w:space="0" w:color="auto"/>
              </w:divBdr>
            </w:div>
            <w:div w:id="185995164">
              <w:marLeft w:val="0"/>
              <w:marRight w:val="0"/>
              <w:marTop w:val="0"/>
              <w:marBottom w:val="240"/>
              <w:divBdr>
                <w:top w:val="none" w:sz="0" w:space="0" w:color="auto"/>
                <w:left w:val="none" w:sz="0" w:space="0" w:color="auto"/>
                <w:bottom w:val="none" w:sz="0" w:space="0" w:color="auto"/>
                <w:right w:val="none" w:sz="0" w:space="0" w:color="auto"/>
              </w:divBdr>
            </w:div>
            <w:div w:id="1689405129">
              <w:marLeft w:val="0"/>
              <w:marRight w:val="0"/>
              <w:marTop w:val="0"/>
              <w:marBottom w:val="240"/>
              <w:divBdr>
                <w:top w:val="none" w:sz="0" w:space="0" w:color="auto"/>
                <w:left w:val="none" w:sz="0" w:space="0" w:color="auto"/>
                <w:bottom w:val="none" w:sz="0" w:space="0" w:color="auto"/>
                <w:right w:val="none" w:sz="0" w:space="0" w:color="auto"/>
              </w:divBdr>
            </w:div>
            <w:div w:id="546769883">
              <w:marLeft w:val="0"/>
              <w:marRight w:val="0"/>
              <w:marTop w:val="0"/>
              <w:marBottom w:val="240"/>
              <w:divBdr>
                <w:top w:val="none" w:sz="0" w:space="0" w:color="auto"/>
                <w:left w:val="none" w:sz="0" w:space="0" w:color="auto"/>
                <w:bottom w:val="none" w:sz="0" w:space="0" w:color="auto"/>
                <w:right w:val="none" w:sz="0" w:space="0" w:color="auto"/>
              </w:divBdr>
            </w:div>
            <w:div w:id="1796748801">
              <w:marLeft w:val="0"/>
              <w:marRight w:val="0"/>
              <w:marTop w:val="0"/>
              <w:marBottom w:val="240"/>
              <w:divBdr>
                <w:top w:val="none" w:sz="0" w:space="0" w:color="auto"/>
                <w:left w:val="none" w:sz="0" w:space="0" w:color="auto"/>
                <w:bottom w:val="none" w:sz="0" w:space="0" w:color="auto"/>
                <w:right w:val="none" w:sz="0" w:space="0" w:color="auto"/>
              </w:divBdr>
            </w:div>
            <w:div w:id="1510021614">
              <w:marLeft w:val="0"/>
              <w:marRight w:val="0"/>
              <w:marTop w:val="0"/>
              <w:marBottom w:val="240"/>
              <w:divBdr>
                <w:top w:val="none" w:sz="0" w:space="0" w:color="auto"/>
                <w:left w:val="none" w:sz="0" w:space="0" w:color="auto"/>
                <w:bottom w:val="none" w:sz="0" w:space="0" w:color="auto"/>
                <w:right w:val="none" w:sz="0" w:space="0" w:color="auto"/>
              </w:divBdr>
            </w:div>
            <w:div w:id="1443501831">
              <w:marLeft w:val="0"/>
              <w:marRight w:val="0"/>
              <w:marTop w:val="0"/>
              <w:marBottom w:val="240"/>
              <w:divBdr>
                <w:top w:val="none" w:sz="0" w:space="0" w:color="auto"/>
                <w:left w:val="none" w:sz="0" w:space="0" w:color="auto"/>
                <w:bottom w:val="none" w:sz="0" w:space="0" w:color="auto"/>
                <w:right w:val="none" w:sz="0" w:space="0" w:color="auto"/>
              </w:divBdr>
            </w:div>
            <w:div w:id="1755013458">
              <w:marLeft w:val="0"/>
              <w:marRight w:val="0"/>
              <w:marTop w:val="0"/>
              <w:marBottom w:val="240"/>
              <w:divBdr>
                <w:top w:val="none" w:sz="0" w:space="0" w:color="auto"/>
                <w:left w:val="none" w:sz="0" w:space="0" w:color="auto"/>
                <w:bottom w:val="none" w:sz="0" w:space="0" w:color="auto"/>
                <w:right w:val="none" w:sz="0" w:space="0" w:color="auto"/>
              </w:divBdr>
            </w:div>
            <w:div w:id="955142304">
              <w:marLeft w:val="0"/>
              <w:marRight w:val="0"/>
              <w:marTop w:val="0"/>
              <w:marBottom w:val="240"/>
              <w:divBdr>
                <w:top w:val="none" w:sz="0" w:space="0" w:color="auto"/>
                <w:left w:val="none" w:sz="0" w:space="0" w:color="auto"/>
                <w:bottom w:val="none" w:sz="0" w:space="0" w:color="auto"/>
                <w:right w:val="none" w:sz="0" w:space="0" w:color="auto"/>
              </w:divBdr>
            </w:div>
            <w:div w:id="433791528">
              <w:marLeft w:val="0"/>
              <w:marRight w:val="0"/>
              <w:marTop w:val="0"/>
              <w:marBottom w:val="240"/>
              <w:divBdr>
                <w:top w:val="none" w:sz="0" w:space="0" w:color="auto"/>
                <w:left w:val="none" w:sz="0" w:space="0" w:color="auto"/>
                <w:bottom w:val="none" w:sz="0" w:space="0" w:color="auto"/>
                <w:right w:val="none" w:sz="0" w:space="0" w:color="auto"/>
              </w:divBdr>
            </w:div>
            <w:div w:id="1670717021">
              <w:marLeft w:val="0"/>
              <w:marRight w:val="0"/>
              <w:marTop w:val="0"/>
              <w:marBottom w:val="240"/>
              <w:divBdr>
                <w:top w:val="none" w:sz="0" w:space="0" w:color="auto"/>
                <w:left w:val="none" w:sz="0" w:space="0" w:color="auto"/>
                <w:bottom w:val="none" w:sz="0" w:space="0" w:color="auto"/>
                <w:right w:val="none" w:sz="0" w:space="0" w:color="auto"/>
              </w:divBdr>
            </w:div>
            <w:div w:id="1900705684">
              <w:marLeft w:val="0"/>
              <w:marRight w:val="0"/>
              <w:marTop w:val="0"/>
              <w:marBottom w:val="240"/>
              <w:divBdr>
                <w:top w:val="none" w:sz="0" w:space="0" w:color="auto"/>
                <w:left w:val="none" w:sz="0" w:space="0" w:color="auto"/>
                <w:bottom w:val="none" w:sz="0" w:space="0" w:color="auto"/>
                <w:right w:val="none" w:sz="0" w:space="0" w:color="auto"/>
              </w:divBdr>
            </w:div>
            <w:div w:id="610286775">
              <w:marLeft w:val="0"/>
              <w:marRight w:val="0"/>
              <w:marTop w:val="0"/>
              <w:marBottom w:val="240"/>
              <w:divBdr>
                <w:top w:val="none" w:sz="0" w:space="0" w:color="auto"/>
                <w:left w:val="none" w:sz="0" w:space="0" w:color="auto"/>
                <w:bottom w:val="none" w:sz="0" w:space="0" w:color="auto"/>
                <w:right w:val="none" w:sz="0" w:space="0" w:color="auto"/>
              </w:divBdr>
            </w:div>
            <w:div w:id="1412387242">
              <w:marLeft w:val="0"/>
              <w:marRight w:val="0"/>
              <w:marTop w:val="0"/>
              <w:marBottom w:val="240"/>
              <w:divBdr>
                <w:top w:val="none" w:sz="0" w:space="0" w:color="auto"/>
                <w:left w:val="none" w:sz="0" w:space="0" w:color="auto"/>
                <w:bottom w:val="none" w:sz="0" w:space="0" w:color="auto"/>
                <w:right w:val="none" w:sz="0" w:space="0" w:color="auto"/>
              </w:divBdr>
            </w:div>
            <w:div w:id="170488752">
              <w:marLeft w:val="0"/>
              <w:marRight w:val="0"/>
              <w:marTop w:val="0"/>
              <w:marBottom w:val="240"/>
              <w:divBdr>
                <w:top w:val="none" w:sz="0" w:space="0" w:color="auto"/>
                <w:left w:val="none" w:sz="0" w:space="0" w:color="auto"/>
                <w:bottom w:val="none" w:sz="0" w:space="0" w:color="auto"/>
                <w:right w:val="none" w:sz="0" w:space="0" w:color="auto"/>
              </w:divBdr>
            </w:div>
            <w:div w:id="1114591037">
              <w:marLeft w:val="0"/>
              <w:marRight w:val="0"/>
              <w:marTop w:val="0"/>
              <w:marBottom w:val="240"/>
              <w:divBdr>
                <w:top w:val="none" w:sz="0" w:space="0" w:color="auto"/>
                <w:left w:val="none" w:sz="0" w:space="0" w:color="auto"/>
                <w:bottom w:val="none" w:sz="0" w:space="0" w:color="auto"/>
                <w:right w:val="none" w:sz="0" w:space="0" w:color="auto"/>
              </w:divBdr>
            </w:div>
            <w:div w:id="1852571814">
              <w:marLeft w:val="0"/>
              <w:marRight w:val="0"/>
              <w:marTop w:val="0"/>
              <w:marBottom w:val="240"/>
              <w:divBdr>
                <w:top w:val="none" w:sz="0" w:space="0" w:color="auto"/>
                <w:left w:val="none" w:sz="0" w:space="0" w:color="auto"/>
                <w:bottom w:val="none" w:sz="0" w:space="0" w:color="auto"/>
                <w:right w:val="none" w:sz="0" w:space="0" w:color="auto"/>
              </w:divBdr>
            </w:div>
            <w:div w:id="1784835903">
              <w:marLeft w:val="0"/>
              <w:marRight w:val="0"/>
              <w:marTop w:val="0"/>
              <w:marBottom w:val="240"/>
              <w:divBdr>
                <w:top w:val="none" w:sz="0" w:space="0" w:color="auto"/>
                <w:left w:val="none" w:sz="0" w:space="0" w:color="auto"/>
                <w:bottom w:val="none" w:sz="0" w:space="0" w:color="auto"/>
                <w:right w:val="none" w:sz="0" w:space="0" w:color="auto"/>
              </w:divBdr>
            </w:div>
            <w:div w:id="2079285360">
              <w:marLeft w:val="0"/>
              <w:marRight w:val="0"/>
              <w:marTop w:val="0"/>
              <w:marBottom w:val="240"/>
              <w:divBdr>
                <w:top w:val="none" w:sz="0" w:space="0" w:color="auto"/>
                <w:left w:val="none" w:sz="0" w:space="0" w:color="auto"/>
                <w:bottom w:val="none" w:sz="0" w:space="0" w:color="auto"/>
                <w:right w:val="none" w:sz="0" w:space="0" w:color="auto"/>
              </w:divBdr>
            </w:div>
            <w:div w:id="1326208769">
              <w:marLeft w:val="0"/>
              <w:marRight w:val="0"/>
              <w:marTop w:val="0"/>
              <w:marBottom w:val="240"/>
              <w:divBdr>
                <w:top w:val="none" w:sz="0" w:space="0" w:color="auto"/>
                <w:left w:val="none" w:sz="0" w:space="0" w:color="auto"/>
                <w:bottom w:val="none" w:sz="0" w:space="0" w:color="auto"/>
                <w:right w:val="none" w:sz="0" w:space="0" w:color="auto"/>
              </w:divBdr>
            </w:div>
            <w:div w:id="1956012114">
              <w:marLeft w:val="0"/>
              <w:marRight w:val="0"/>
              <w:marTop w:val="0"/>
              <w:marBottom w:val="240"/>
              <w:divBdr>
                <w:top w:val="none" w:sz="0" w:space="0" w:color="auto"/>
                <w:left w:val="none" w:sz="0" w:space="0" w:color="auto"/>
                <w:bottom w:val="none" w:sz="0" w:space="0" w:color="auto"/>
                <w:right w:val="none" w:sz="0" w:space="0" w:color="auto"/>
              </w:divBdr>
            </w:div>
            <w:div w:id="1579097042">
              <w:marLeft w:val="0"/>
              <w:marRight w:val="0"/>
              <w:marTop w:val="0"/>
              <w:marBottom w:val="240"/>
              <w:divBdr>
                <w:top w:val="none" w:sz="0" w:space="0" w:color="auto"/>
                <w:left w:val="none" w:sz="0" w:space="0" w:color="auto"/>
                <w:bottom w:val="none" w:sz="0" w:space="0" w:color="auto"/>
                <w:right w:val="none" w:sz="0" w:space="0" w:color="auto"/>
              </w:divBdr>
            </w:div>
            <w:div w:id="1369142397">
              <w:marLeft w:val="0"/>
              <w:marRight w:val="0"/>
              <w:marTop w:val="0"/>
              <w:marBottom w:val="240"/>
              <w:divBdr>
                <w:top w:val="none" w:sz="0" w:space="0" w:color="auto"/>
                <w:left w:val="none" w:sz="0" w:space="0" w:color="auto"/>
                <w:bottom w:val="none" w:sz="0" w:space="0" w:color="auto"/>
                <w:right w:val="none" w:sz="0" w:space="0" w:color="auto"/>
              </w:divBdr>
            </w:div>
            <w:div w:id="81729940">
              <w:marLeft w:val="0"/>
              <w:marRight w:val="0"/>
              <w:marTop w:val="0"/>
              <w:marBottom w:val="240"/>
              <w:divBdr>
                <w:top w:val="none" w:sz="0" w:space="0" w:color="auto"/>
                <w:left w:val="none" w:sz="0" w:space="0" w:color="auto"/>
                <w:bottom w:val="none" w:sz="0" w:space="0" w:color="auto"/>
                <w:right w:val="none" w:sz="0" w:space="0" w:color="auto"/>
              </w:divBdr>
            </w:div>
            <w:div w:id="1520971964">
              <w:marLeft w:val="0"/>
              <w:marRight w:val="0"/>
              <w:marTop w:val="0"/>
              <w:marBottom w:val="240"/>
              <w:divBdr>
                <w:top w:val="none" w:sz="0" w:space="0" w:color="auto"/>
                <w:left w:val="none" w:sz="0" w:space="0" w:color="auto"/>
                <w:bottom w:val="none" w:sz="0" w:space="0" w:color="auto"/>
                <w:right w:val="none" w:sz="0" w:space="0" w:color="auto"/>
              </w:divBdr>
            </w:div>
            <w:div w:id="998846339">
              <w:marLeft w:val="0"/>
              <w:marRight w:val="0"/>
              <w:marTop w:val="0"/>
              <w:marBottom w:val="240"/>
              <w:divBdr>
                <w:top w:val="none" w:sz="0" w:space="0" w:color="auto"/>
                <w:left w:val="none" w:sz="0" w:space="0" w:color="auto"/>
                <w:bottom w:val="none" w:sz="0" w:space="0" w:color="auto"/>
                <w:right w:val="none" w:sz="0" w:space="0" w:color="auto"/>
              </w:divBdr>
            </w:div>
            <w:div w:id="940378029">
              <w:marLeft w:val="0"/>
              <w:marRight w:val="0"/>
              <w:marTop w:val="0"/>
              <w:marBottom w:val="240"/>
              <w:divBdr>
                <w:top w:val="none" w:sz="0" w:space="0" w:color="auto"/>
                <w:left w:val="none" w:sz="0" w:space="0" w:color="auto"/>
                <w:bottom w:val="none" w:sz="0" w:space="0" w:color="auto"/>
                <w:right w:val="none" w:sz="0" w:space="0" w:color="auto"/>
              </w:divBdr>
            </w:div>
            <w:div w:id="2141611007">
              <w:marLeft w:val="0"/>
              <w:marRight w:val="0"/>
              <w:marTop w:val="0"/>
              <w:marBottom w:val="240"/>
              <w:divBdr>
                <w:top w:val="none" w:sz="0" w:space="0" w:color="auto"/>
                <w:left w:val="none" w:sz="0" w:space="0" w:color="auto"/>
                <w:bottom w:val="none" w:sz="0" w:space="0" w:color="auto"/>
                <w:right w:val="none" w:sz="0" w:space="0" w:color="auto"/>
              </w:divBdr>
            </w:div>
            <w:div w:id="1257791328">
              <w:marLeft w:val="0"/>
              <w:marRight w:val="0"/>
              <w:marTop w:val="0"/>
              <w:marBottom w:val="240"/>
              <w:divBdr>
                <w:top w:val="none" w:sz="0" w:space="0" w:color="auto"/>
                <w:left w:val="none" w:sz="0" w:space="0" w:color="auto"/>
                <w:bottom w:val="none" w:sz="0" w:space="0" w:color="auto"/>
                <w:right w:val="none" w:sz="0" w:space="0" w:color="auto"/>
              </w:divBdr>
            </w:div>
            <w:div w:id="402726824">
              <w:marLeft w:val="0"/>
              <w:marRight w:val="0"/>
              <w:marTop w:val="0"/>
              <w:marBottom w:val="240"/>
              <w:divBdr>
                <w:top w:val="none" w:sz="0" w:space="0" w:color="auto"/>
                <w:left w:val="none" w:sz="0" w:space="0" w:color="auto"/>
                <w:bottom w:val="none" w:sz="0" w:space="0" w:color="auto"/>
                <w:right w:val="none" w:sz="0" w:space="0" w:color="auto"/>
              </w:divBdr>
            </w:div>
            <w:div w:id="161438835">
              <w:marLeft w:val="0"/>
              <w:marRight w:val="0"/>
              <w:marTop w:val="0"/>
              <w:marBottom w:val="240"/>
              <w:divBdr>
                <w:top w:val="none" w:sz="0" w:space="0" w:color="auto"/>
                <w:left w:val="none" w:sz="0" w:space="0" w:color="auto"/>
                <w:bottom w:val="none" w:sz="0" w:space="0" w:color="auto"/>
                <w:right w:val="none" w:sz="0" w:space="0" w:color="auto"/>
              </w:divBdr>
            </w:div>
            <w:div w:id="1318610304">
              <w:marLeft w:val="0"/>
              <w:marRight w:val="0"/>
              <w:marTop w:val="0"/>
              <w:marBottom w:val="240"/>
              <w:divBdr>
                <w:top w:val="none" w:sz="0" w:space="0" w:color="auto"/>
                <w:left w:val="none" w:sz="0" w:space="0" w:color="auto"/>
                <w:bottom w:val="none" w:sz="0" w:space="0" w:color="auto"/>
                <w:right w:val="none" w:sz="0" w:space="0" w:color="auto"/>
              </w:divBdr>
            </w:div>
            <w:div w:id="313993365">
              <w:marLeft w:val="0"/>
              <w:marRight w:val="0"/>
              <w:marTop w:val="0"/>
              <w:marBottom w:val="240"/>
              <w:divBdr>
                <w:top w:val="none" w:sz="0" w:space="0" w:color="auto"/>
                <w:left w:val="none" w:sz="0" w:space="0" w:color="auto"/>
                <w:bottom w:val="none" w:sz="0" w:space="0" w:color="auto"/>
                <w:right w:val="none" w:sz="0" w:space="0" w:color="auto"/>
              </w:divBdr>
            </w:div>
            <w:div w:id="2043704820">
              <w:marLeft w:val="0"/>
              <w:marRight w:val="0"/>
              <w:marTop w:val="0"/>
              <w:marBottom w:val="240"/>
              <w:divBdr>
                <w:top w:val="none" w:sz="0" w:space="0" w:color="auto"/>
                <w:left w:val="none" w:sz="0" w:space="0" w:color="auto"/>
                <w:bottom w:val="none" w:sz="0" w:space="0" w:color="auto"/>
                <w:right w:val="none" w:sz="0" w:space="0" w:color="auto"/>
              </w:divBdr>
            </w:div>
            <w:div w:id="1340040640">
              <w:marLeft w:val="0"/>
              <w:marRight w:val="0"/>
              <w:marTop w:val="0"/>
              <w:marBottom w:val="240"/>
              <w:divBdr>
                <w:top w:val="none" w:sz="0" w:space="0" w:color="auto"/>
                <w:left w:val="none" w:sz="0" w:space="0" w:color="auto"/>
                <w:bottom w:val="none" w:sz="0" w:space="0" w:color="auto"/>
                <w:right w:val="none" w:sz="0" w:space="0" w:color="auto"/>
              </w:divBdr>
            </w:div>
            <w:div w:id="484509578">
              <w:marLeft w:val="0"/>
              <w:marRight w:val="0"/>
              <w:marTop w:val="0"/>
              <w:marBottom w:val="240"/>
              <w:divBdr>
                <w:top w:val="none" w:sz="0" w:space="0" w:color="auto"/>
                <w:left w:val="none" w:sz="0" w:space="0" w:color="auto"/>
                <w:bottom w:val="none" w:sz="0" w:space="0" w:color="auto"/>
                <w:right w:val="none" w:sz="0" w:space="0" w:color="auto"/>
              </w:divBdr>
            </w:div>
            <w:div w:id="1040084110">
              <w:marLeft w:val="0"/>
              <w:marRight w:val="0"/>
              <w:marTop w:val="0"/>
              <w:marBottom w:val="240"/>
              <w:divBdr>
                <w:top w:val="none" w:sz="0" w:space="0" w:color="auto"/>
                <w:left w:val="none" w:sz="0" w:space="0" w:color="auto"/>
                <w:bottom w:val="none" w:sz="0" w:space="0" w:color="auto"/>
                <w:right w:val="none" w:sz="0" w:space="0" w:color="auto"/>
              </w:divBdr>
            </w:div>
            <w:div w:id="1014069633">
              <w:marLeft w:val="0"/>
              <w:marRight w:val="0"/>
              <w:marTop w:val="0"/>
              <w:marBottom w:val="240"/>
              <w:divBdr>
                <w:top w:val="none" w:sz="0" w:space="0" w:color="auto"/>
                <w:left w:val="none" w:sz="0" w:space="0" w:color="auto"/>
                <w:bottom w:val="none" w:sz="0" w:space="0" w:color="auto"/>
                <w:right w:val="none" w:sz="0" w:space="0" w:color="auto"/>
              </w:divBdr>
            </w:div>
            <w:div w:id="1886981997">
              <w:marLeft w:val="0"/>
              <w:marRight w:val="0"/>
              <w:marTop w:val="0"/>
              <w:marBottom w:val="240"/>
              <w:divBdr>
                <w:top w:val="none" w:sz="0" w:space="0" w:color="auto"/>
                <w:left w:val="none" w:sz="0" w:space="0" w:color="auto"/>
                <w:bottom w:val="none" w:sz="0" w:space="0" w:color="auto"/>
                <w:right w:val="none" w:sz="0" w:space="0" w:color="auto"/>
              </w:divBdr>
            </w:div>
            <w:div w:id="1652364230">
              <w:marLeft w:val="0"/>
              <w:marRight w:val="0"/>
              <w:marTop w:val="0"/>
              <w:marBottom w:val="240"/>
              <w:divBdr>
                <w:top w:val="none" w:sz="0" w:space="0" w:color="auto"/>
                <w:left w:val="none" w:sz="0" w:space="0" w:color="auto"/>
                <w:bottom w:val="none" w:sz="0" w:space="0" w:color="auto"/>
                <w:right w:val="none" w:sz="0" w:space="0" w:color="auto"/>
              </w:divBdr>
            </w:div>
            <w:div w:id="864556614">
              <w:marLeft w:val="0"/>
              <w:marRight w:val="0"/>
              <w:marTop w:val="0"/>
              <w:marBottom w:val="240"/>
              <w:divBdr>
                <w:top w:val="none" w:sz="0" w:space="0" w:color="auto"/>
                <w:left w:val="none" w:sz="0" w:space="0" w:color="auto"/>
                <w:bottom w:val="none" w:sz="0" w:space="0" w:color="auto"/>
                <w:right w:val="none" w:sz="0" w:space="0" w:color="auto"/>
              </w:divBdr>
            </w:div>
            <w:div w:id="2123646514">
              <w:marLeft w:val="0"/>
              <w:marRight w:val="0"/>
              <w:marTop w:val="0"/>
              <w:marBottom w:val="240"/>
              <w:divBdr>
                <w:top w:val="none" w:sz="0" w:space="0" w:color="auto"/>
                <w:left w:val="none" w:sz="0" w:space="0" w:color="auto"/>
                <w:bottom w:val="none" w:sz="0" w:space="0" w:color="auto"/>
                <w:right w:val="none" w:sz="0" w:space="0" w:color="auto"/>
              </w:divBdr>
            </w:div>
            <w:div w:id="434179260">
              <w:marLeft w:val="0"/>
              <w:marRight w:val="0"/>
              <w:marTop w:val="0"/>
              <w:marBottom w:val="240"/>
              <w:divBdr>
                <w:top w:val="none" w:sz="0" w:space="0" w:color="auto"/>
                <w:left w:val="none" w:sz="0" w:space="0" w:color="auto"/>
                <w:bottom w:val="none" w:sz="0" w:space="0" w:color="auto"/>
                <w:right w:val="none" w:sz="0" w:space="0" w:color="auto"/>
              </w:divBdr>
            </w:div>
            <w:div w:id="364602368">
              <w:marLeft w:val="0"/>
              <w:marRight w:val="0"/>
              <w:marTop w:val="0"/>
              <w:marBottom w:val="240"/>
              <w:divBdr>
                <w:top w:val="none" w:sz="0" w:space="0" w:color="auto"/>
                <w:left w:val="none" w:sz="0" w:space="0" w:color="auto"/>
                <w:bottom w:val="none" w:sz="0" w:space="0" w:color="auto"/>
                <w:right w:val="none" w:sz="0" w:space="0" w:color="auto"/>
              </w:divBdr>
            </w:div>
            <w:div w:id="196098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13621">
      <w:bodyDiv w:val="1"/>
      <w:marLeft w:val="0"/>
      <w:marRight w:val="0"/>
      <w:marTop w:val="0"/>
      <w:marBottom w:val="0"/>
      <w:divBdr>
        <w:top w:val="none" w:sz="0" w:space="0" w:color="auto"/>
        <w:left w:val="none" w:sz="0" w:space="0" w:color="auto"/>
        <w:bottom w:val="none" w:sz="0" w:space="0" w:color="auto"/>
        <w:right w:val="none" w:sz="0" w:space="0" w:color="auto"/>
      </w:divBdr>
    </w:div>
    <w:div w:id="2072002554">
      <w:bodyDiv w:val="1"/>
      <w:marLeft w:val="0"/>
      <w:marRight w:val="0"/>
      <w:marTop w:val="0"/>
      <w:marBottom w:val="0"/>
      <w:divBdr>
        <w:top w:val="none" w:sz="0" w:space="0" w:color="auto"/>
        <w:left w:val="none" w:sz="0" w:space="0" w:color="auto"/>
        <w:bottom w:val="none" w:sz="0" w:space="0" w:color="auto"/>
        <w:right w:val="none" w:sz="0" w:space="0" w:color="auto"/>
      </w:divBdr>
      <w:divsChild>
        <w:div w:id="124549999">
          <w:marLeft w:val="480"/>
          <w:marRight w:val="0"/>
          <w:marTop w:val="0"/>
          <w:marBottom w:val="0"/>
          <w:divBdr>
            <w:top w:val="none" w:sz="0" w:space="0" w:color="auto"/>
            <w:left w:val="none" w:sz="0" w:space="0" w:color="auto"/>
            <w:bottom w:val="none" w:sz="0" w:space="0" w:color="auto"/>
            <w:right w:val="none" w:sz="0" w:space="0" w:color="auto"/>
          </w:divBdr>
          <w:divsChild>
            <w:div w:id="284972118">
              <w:marLeft w:val="0"/>
              <w:marRight w:val="0"/>
              <w:marTop w:val="0"/>
              <w:marBottom w:val="240"/>
              <w:divBdr>
                <w:top w:val="none" w:sz="0" w:space="0" w:color="auto"/>
                <w:left w:val="none" w:sz="0" w:space="0" w:color="auto"/>
                <w:bottom w:val="none" w:sz="0" w:space="0" w:color="auto"/>
                <w:right w:val="none" w:sz="0" w:space="0" w:color="auto"/>
              </w:divBdr>
            </w:div>
            <w:div w:id="417824650">
              <w:marLeft w:val="0"/>
              <w:marRight w:val="0"/>
              <w:marTop w:val="0"/>
              <w:marBottom w:val="240"/>
              <w:divBdr>
                <w:top w:val="none" w:sz="0" w:space="0" w:color="auto"/>
                <w:left w:val="none" w:sz="0" w:space="0" w:color="auto"/>
                <w:bottom w:val="none" w:sz="0" w:space="0" w:color="auto"/>
                <w:right w:val="none" w:sz="0" w:space="0" w:color="auto"/>
              </w:divBdr>
            </w:div>
            <w:div w:id="83503302">
              <w:marLeft w:val="0"/>
              <w:marRight w:val="0"/>
              <w:marTop w:val="0"/>
              <w:marBottom w:val="240"/>
              <w:divBdr>
                <w:top w:val="none" w:sz="0" w:space="0" w:color="auto"/>
                <w:left w:val="none" w:sz="0" w:space="0" w:color="auto"/>
                <w:bottom w:val="none" w:sz="0" w:space="0" w:color="auto"/>
                <w:right w:val="none" w:sz="0" w:space="0" w:color="auto"/>
              </w:divBdr>
            </w:div>
            <w:div w:id="1100183293">
              <w:marLeft w:val="0"/>
              <w:marRight w:val="0"/>
              <w:marTop w:val="0"/>
              <w:marBottom w:val="240"/>
              <w:divBdr>
                <w:top w:val="none" w:sz="0" w:space="0" w:color="auto"/>
                <w:left w:val="none" w:sz="0" w:space="0" w:color="auto"/>
                <w:bottom w:val="none" w:sz="0" w:space="0" w:color="auto"/>
                <w:right w:val="none" w:sz="0" w:space="0" w:color="auto"/>
              </w:divBdr>
            </w:div>
            <w:div w:id="1888833554">
              <w:marLeft w:val="0"/>
              <w:marRight w:val="0"/>
              <w:marTop w:val="0"/>
              <w:marBottom w:val="240"/>
              <w:divBdr>
                <w:top w:val="none" w:sz="0" w:space="0" w:color="auto"/>
                <w:left w:val="none" w:sz="0" w:space="0" w:color="auto"/>
                <w:bottom w:val="none" w:sz="0" w:space="0" w:color="auto"/>
                <w:right w:val="none" w:sz="0" w:space="0" w:color="auto"/>
              </w:divBdr>
            </w:div>
            <w:div w:id="1726250881">
              <w:marLeft w:val="0"/>
              <w:marRight w:val="0"/>
              <w:marTop w:val="0"/>
              <w:marBottom w:val="240"/>
              <w:divBdr>
                <w:top w:val="none" w:sz="0" w:space="0" w:color="auto"/>
                <w:left w:val="none" w:sz="0" w:space="0" w:color="auto"/>
                <w:bottom w:val="none" w:sz="0" w:space="0" w:color="auto"/>
                <w:right w:val="none" w:sz="0" w:space="0" w:color="auto"/>
              </w:divBdr>
            </w:div>
            <w:div w:id="352919045">
              <w:marLeft w:val="0"/>
              <w:marRight w:val="0"/>
              <w:marTop w:val="0"/>
              <w:marBottom w:val="240"/>
              <w:divBdr>
                <w:top w:val="none" w:sz="0" w:space="0" w:color="auto"/>
                <w:left w:val="none" w:sz="0" w:space="0" w:color="auto"/>
                <w:bottom w:val="none" w:sz="0" w:space="0" w:color="auto"/>
                <w:right w:val="none" w:sz="0" w:space="0" w:color="auto"/>
              </w:divBdr>
            </w:div>
            <w:div w:id="931469116">
              <w:marLeft w:val="0"/>
              <w:marRight w:val="0"/>
              <w:marTop w:val="0"/>
              <w:marBottom w:val="240"/>
              <w:divBdr>
                <w:top w:val="none" w:sz="0" w:space="0" w:color="auto"/>
                <w:left w:val="none" w:sz="0" w:space="0" w:color="auto"/>
                <w:bottom w:val="none" w:sz="0" w:space="0" w:color="auto"/>
                <w:right w:val="none" w:sz="0" w:space="0" w:color="auto"/>
              </w:divBdr>
            </w:div>
            <w:div w:id="1908683605">
              <w:marLeft w:val="0"/>
              <w:marRight w:val="0"/>
              <w:marTop w:val="0"/>
              <w:marBottom w:val="240"/>
              <w:divBdr>
                <w:top w:val="none" w:sz="0" w:space="0" w:color="auto"/>
                <w:left w:val="none" w:sz="0" w:space="0" w:color="auto"/>
                <w:bottom w:val="none" w:sz="0" w:space="0" w:color="auto"/>
                <w:right w:val="none" w:sz="0" w:space="0" w:color="auto"/>
              </w:divBdr>
            </w:div>
            <w:div w:id="1727945387">
              <w:marLeft w:val="0"/>
              <w:marRight w:val="0"/>
              <w:marTop w:val="0"/>
              <w:marBottom w:val="240"/>
              <w:divBdr>
                <w:top w:val="none" w:sz="0" w:space="0" w:color="auto"/>
                <w:left w:val="none" w:sz="0" w:space="0" w:color="auto"/>
                <w:bottom w:val="none" w:sz="0" w:space="0" w:color="auto"/>
                <w:right w:val="none" w:sz="0" w:space="0" w:color="auto"/>
              </w:divBdr>
            </w:div>
            <w:div w:id="1772552751">
              <w:marLeft w:val="0"/>
              <w:marRight w:val="0"/>
              <w:marTop w:val="0"/>
              <w:marBottom w:val="240"/>
              <w:divBdr>
                <w:top w:val="none" w:sz="0" w:space="0" w:color="auto"/>
                <w:left w:val="none" w:sz="0" w:space="0" w:color="auto"/>
                <w:bottom w:val="none" w:sz="0" w:space="0" w:color="auto"/>
                <w:right w:val="none" w:sz="0" w:space="0" w:color="auto"/>
              </w:divBdr>
            </w:div>
            <w:div w:id="1007292000">
              <w:marLeft w:val="0"/>
              <w:marRight w:val="0"/>
              <w:marTop w:val="0"/>
              <w:marBottom w:val="240"/>
              <w:divBdr>
                <w:top w:val="none" w:sz="0" w:space="0" w:color="auto"/>
                <w:left w:val="none" w:sz="0" w:space="0" w:color="auto"/>
                <w:bottom w:val="none" w:sz="0" w:space="0" w:color="auto"/>
                <w:right w:val="none" w:sz="0" w:space="0" w:color="auto"/>
              </w:divBdr>
            </w:div>
            <w:div w:id="2045325510">
              <w:marLeft w:val="0"/>
              <w:marRight w:val="0"/>
              <w:marTop w:val="0"/>
              <w:marBottom w:val="240"/>
              <w:divBdr>
                <w:top w:val="none" w:sz="0" w:space="0" w:color="auto"/>
                <w:left w:val="none" w:sz="0" w:space="0" w:color="auto"/>
                <w:bottom w:val="none" w:sz="0" w:space="0" w:color="auto"/>
                <w:right w:val="none" w:sz="0" w:space="0" w:color="auto"/>
              </w:divBdr>
            </w:div>
            <w:div w:id="557908536">
              <w:marLeft w:val="0"/>
              <w:marRight w:val="0"/>
              <w:marTop w:val="0"/>
              <w:marBottom w:val="240"/>
              <w:divBdr>
                <w:top w:val="none" w:sz="0" w:space="0" w:color="auto"/>
                <w:left w:val="none" w:sz="0" w:space="0" w:color="auto"/>
                <w:bottom w:val="none" w:sz="0" w:space="0" w:color="auto"/>
                <w:right w:val="none" w:sz="0" w:space="0" w:color="auto"/>
              </w:divBdr>
            </w:div>
            <w:div w:id="540939665">
              <w:marLeft w:val="0"/>
              <w:marRight w:val="0"/>
              <w:marTop w:val="0"/>
              <w:marBottom w:val="240"/>
              <w:divBdr>
                <w:top w:val="none" w:sz="0" w:space="0" w:color="auto"/>
                <w:left w:val="none" w:sz="0" w:space="0" w:color="auto"/>
                <w:bottom w:val="none" w:sz="0" w:space="0" w:color="auto"/>
                <w:right w:val="none" w:sz="0" w:space="0" w:color="auto"/>
              </w:divBdr>
            </w:div>
            <w:div w:id="2041512450">
              <w:marLeft w:val="0"/>
              <w:marRight w:val="0"/>
              <w:marTop w:val="0"/>
              <w:marBottom w:val="240"/>
              <w:divBdr>
                <w:top w:val="none" w:sz="0" w:space="0" w:color="auto"/>
                <w:left w:val="none" w:sz="0" w:space="0" w:color="auto"/>
                <w:bottom w:val="none" w:sz="0" w:space="0" w:color="auto"/>
                <w:right w:val="none" w:sz="0" w:space="0" w:color="auto"/>
              </w:divBdr>
            </w:div>
            <w:div w:id="163014295">
              <w:marLeft w:val="0"/>
              <w:marRight w:val="0"/>
              <w:marTop w:val="0"/>
              <w:marBottom w:val="240"/>
              <w:divBdr>
                <w:top w:val="none" w:sz="0" w:space="0" w:color="auto"/>
                <w:left w:val="none" w:sz="0" w:space="0" w:color="auto"/>
                <w:bottom w:val="none" w:sz="0" w:space="0" w:color="auto"/>
                <w:right w:val="none" w:sz="0" w:space="0" w:color="auto"/>
              </w:divBdr>
            </w:div>
            <w:div w:id="1285968980">
              <w:marLeft w:val="0"/>
              <w:marRight w:val="0"/>
              <w:marTop w:val="0"/>
              <w:marBottom w:val="240"/>
              <w:divBdr>
                <w:top w:val="none" w:sz="0" w:space="0" w:color="auto"/>
                <w:left w:val="none" w:sz="0" w:space="0" w:color="auto"/>
                <w:bottom w:val="none" w:sz="0" w:space="0" w:color="auto"/>
                <w:right w:val="none" w:sz="0" w:space="0" w:color="auto"/>
              </w:divBdr>
            </w:div>
            <w:div w:id="729110015">
              <w:marLeft w:val="0"/>
              <w:marRight w:val="0"/>
              <w:marTop w:val="0"/>
              <w:marBottom w:val="240"/>
              <w:divBdr>
                <w:top w:val="none" w:sz="0" w:space="0" w:color="auto"/>
                <w:left w:val="none" w:sz="0" w:space="0" w:color="auto"/>
                <w:bottom w:val="none" w:sz="0" w:space="0" w:color="auto"/>
                <w:right w:val="none" w:sz="0" w:space="0" w:color="auto"/>
              </w:divBdr>
            </w:div>
            <w:div w:id="682440597">
              <w:marLeft w:val="0"/>
              <w:marRight w:val="0"/>
              <w:marTop w:val="0"/>
              <w:marBottom w:val="240"/>
              <w:divBdr>
                <w:top w:val="none" w:sz="0" w:space="0" w:color="auto"/>
                <w:left w:val="none" w:sz="0" w:space="0" w:color="auto"/>
                <w:bottom w:val="none" w:sz="0" w:space="0" w:color="auto"/>
                <w:right w:val="none" w:sz="0" w:space="0" w:color="auto"/>
              </w:divBdr>
            </w:div>
            <w:div w:id="2057045702">
              <w:marLeft w:val="0"/>
              <w:marRight w:val="0"/>
              <w:marTop w:val="0"/>
              <w:marBottom w:val="240"/>
              <w:divBdr>
                <w:top w:val="none" w:sz="0" w:space="0" w:color="auto"/>
                <w:left w:val="none" w:sz="0" w:space="0" w:color="auto"/>
                <w:bottom w:val="none" w:sz="0" w:space="0" w:color="auto"/>
                <w:right w:val="none" w:sz="0" w:space="0" w:color="auto"/>
              </w:divBdr>
            </w:div>
            <w:div w:id="1405831282">
              <w:marLeft w:val="0"/>
              <w:marRight w:val="0"/>
              <w:marTop w:val="0"/>
              <w:marBottom w:val="240"/>
              <w:divBdr>
                <w:top w:val="none" w:sz="0" w:space="0" w:color="auto"/>
                <w:left w:val="none" w:sz="0" w:space="0" w:color="auto"/>
                <w:bottom w:val="none" w:sz="0" w:space="0" w:color="auto"/>
                <w:right w:val="none" w:sz="0" w:space="0" w:color="auto"/>
              </w:divBdr>
            </w:div>
            <w:div w:id="1304044246">
              <w:marLeft w:val="0"/>
              <w:marRight w:val="0"/>
              <w:marTop w:val="0"/>
              <w:marBottom w:val="240"/>
              <w:divBdr>
                <w:top w:val="none" w:sz="0" w:space="0" w:color="auto"/>
                <w:left w:val="none" w:sz="0" w:space="0" w:color="auto"/>
                <w:bottom w:val="none" w:sz="0" w:space="0" w:color="auto"/>
                <w:right w:val="none" w:sz="0" w:space="0" w:color="auto"/>
              </w:divBdr>
            </w:div>
            <w:div w:id="274678393">
              <w:marLeft w:val="0"/>
              <w:marRight w:val="0"/>
              <w:marTop w:val="0"/>
              <w:marBottom w:val="240"/>
              <w:divBdr>
                <w:top w:val="none" w:sz="0" w:space="0" w:color="auto"/>
                <w:left w:val="none" w:sz="0" w:space="0" w:color="auto"/>
                <w:bottom w:val="none" w:sz="0" w:space="0" w:color="auto"/>
                <w:right w:val="none" w:sz="0" w:space="0" w:color="auto"/>
              </w:divBdr>
            </w:div>
            <w:div w:id="930352813">
              <w:marLeft w:val="0"/>
              <w:marRight w:val="0"/>
              <w:marTop w:val="0"/>
              <w:marBottom w:val="240"/>
              <w:divBdr>
                <w:top w:val="none" w:sz="0" w:space="0" w:color="auto"/>
                <w:left w:val="none" w:sz="0" w:space="0" w:color="auto"/>
                <w:bottom w:val="none" w:sz="0" w:space="0" w:color="auto"/>
                <w:right w:val="none" w:sz="0" w:space="0" w:color="auto"/>
              </w:divBdr>
            </w:div>
            <w:div w:id="75513735">
              <w:marLeft w:val="0"/>
              <w:marRight w:val="0"/>
              <w:marTop w:val="0"/>
              <w:marBottom w:val="240"/>
              <w:divBdr>
                <w:top w:val="none" w:sz="0" w:space="0" w:color="auto"/>
                <w:left w:val="none" w:sz="0" w:space="0" w:color="auto"/>
                <w:bottom w:val="none" w:sz="0" w:space="0" w:color="auto"/>
                <w:right w:val="none" w:sz="0" w:space="0" w:color="auto"/>
              </w:divBdr>
            </w:div>
            <w:div w:id="1083644538">
              <w:marLeft w:val="0"/>
              <w:marRight w:val="0"/>
              <w:marTop w:val="0"/>
              <w:marBottom w:val="240"/>
              <w:divBdr>
                <w:top w:val="none" w:sz="0" w:space="0" w:color="auto"/>
                <w:left w:val="none" w:sz="0" w:space="0" w:color="auto"/>
                <w:bottom w:val="none" w:sz="0" w:space="0" w:color="auto"/>
                <w:right w:val="none" w:sz="0" w:space="0" w:color="auto"/>
              </w:divBdr>
            </w:div>
            <w:div w:id="1466005795">
              <w:marLeft w:val="0"/>
              <w:marRight w:val="0"/>
              <w:marTop w:val="0"/>
              <w:marBottom w:val="240"/>
              <w:divBdr>
                <w:top w:val="none" w:sz="0" w:space="0" w:color="auto"/>
                <w:left w:val="none" w:sz="0" w:space="0" w:color="auto"/>
                <w:bottom w:val="none" w:sz="0" w:space="0" w:color="auto"/>
                <w:right w:val="none" w:sz="0" w:space="0" w:color="auto"/>
              </w:divBdr>
            </w:div>
            <w:div w:id="1706640920">
              <w:marLeft w:val="0"/>
              <w:marRight w:val="0"/>
              <w:marTop w:val="0"/>
              <w:marBottom w:val="240"/>
              <w:divBdr>
                <w:top w:val="none" w:sz="0" w:space="0" w:color="auto"/>
                <w:left w:val="none" w:sz="0" w:space="0" w:color="auto"/>
                <w:bottom w:val="none" w:sz="0" w:space="0" w:color="auto"/>
                <w:right w:val="none" w:sz="0" w:space="0" w:color="auto"/>
              </w:divBdr>
            </w:div>
            <w:div w:id="902252285">
              <w:marLeft w:val="0"/>
              <w:marRight w:val="0"/>
              <w:marTop w:val="0"/>
              <w:marBottom w:val="240"/>
              <w:divBdr>
                <w:top w:val="none" w:sz="0" w:space="0" w:color="auto"/>
                <w:left w:val="none" w:sz="0" w:space="0" w:color="auto"/>
                <w:bottom w:val="none" w:sz="0" w:space="0" w:color="auto"/>
                <w:right w:val="none" w:sz="0" w:space="0" w:color="auto"/>
              </w:divBdr>
            </w:div>
            <w:div w:id="1659141594">
              <w:marLeft w:val="0"/>
              <w:marRight w:val="0"/>
              <w:marTop w:val="0"/>
              <w:marBottom w:val="240"/>
              <w:divBdr>
                <w:top w:val="none" w:sz="0" w:space="0" w:color="auto"/>
                <w:left w:val="none" w:sz="0" w:space="0" w:color="auto"/>
                <w:bottom w:val="none" w:sz="0" w:space="0" w:color="auto"/>
                <w:right w:val="none" w:sz="0" w:space="0" w:color="auto"/>
              </w:divBdr>
            </w:div>
            <w:div w:id="1039817967">
              <w:marLeft w:val="0"/>
              <w:marRight w:val="0"/>
              <w:marTop w:val="0"/>
              <w:marBottom w:val="240"/>
              <w:divBdr>
                <w:top w:val="none" w:sz="0" w:space="0" w:color="auto"/>
                <w:left w:val="none" w:sz="0" w:space="0" w:color="auto"/>
                <w:bottom w:val="none" w:sz="0" w:space="0" w:color="auto"/>
                <w:right w:val="none" w:sz="0" w:space="0" w:color="auto"/>
              </w:divBdr>
            </w:div>
            <w:div w:id="1781604202">
              <w:marLeft w:val="0"/>
              <w:marRight w:val="0"/>
              <w:marTop w:val="0"/>
              <w:marBottom w:val="240"/>
              <w:divBdr>
                <w:top w:val="none" w:sz="0" w:space="0" w:color="auto"/>
                <w:left w:val="none" w:sz="0" w:space="0" w:color="auto"/>
                <w:bottom w:val="none" w:sz="0" w:space="0" w:color="auto"/>
                <w:right w:val="none" w:sz="0" w:space="0" w:color="auto"/>
              </w:divBdr>
            </w:div>
            <w:div w:id="1167357020">
              <w:marLeft w:val="0"/>
              <w:marRight w:val="0"/>
              <w:marTop w:val="0"/>
              <w:marBottom w:val="240"/>
              <w:divBdr>
                <w:top w:val="none" w:sz="0" w:space="0" w:color="auto"/>
                <w:left w:val="none" w:sz="0" w:space="0" w:color="auto"/>
                <w:bottom w:val="none" w:sz="0" w:space="0" w:color="auto"/>
                <w:right w:val="none" w:sz="0" w:space="0" w:color="auto"/>
              </w:divBdr>
            </w:div>
            <w:div w:id="714693500">
              <w:marLeft w:val="0"/>
              <w:marRight w:val="0"/>
              <w:marTop w:val="0"/>
              <w:marBottom w:val="240"/>
              <w:divBdr>
                <w:top w:val="none" w:sz="0" w:space="0" w:color="auto"/>
                <w:left w:val="none" w:sz="0" w:space="0" w:color="auto"/>
                <w:bottom w:val="none" w:sz="0" w:space="0" w:color="auto"/>
                <w:right w:val="none" w:sz="0" w:space="0" w:color="auto"/>
              </w:divBdr>
            </w:div>
            <w:div w:id="1499466741">
              <w:marLeft w:val="0"/>
              <w:marRight w:val="0"/>
              <w:marTop w:val="0"/>
              <w:marBottom w:val="240"/>
              <w:divBdr>
                <w:top w:val="none" w:sz="0" w:space="0" w:color="auto"/>
                <w:left w:val="none" w:sz="0" w:space="0" w:color="auto"/>
                <w:bottom w:val="none" w:sz="0" w:space="0" w:color="auto"/>
                <w:right w:val="none" w:sz="0" w:space="0" w:color="auto"/>
              </w:divBdr>
            </w:div>
            <w:div w:id="1296447460">
              <w:marLeft w:val="0"/>
              <w:marRight w:val="0"/>
              <w:marTop w:val="0"/>
              <w:marBottom w:val="240"/>
              <w:divBdr>
                <w:top w:val="none" w:sz="0" w:space="0" w:color="auto"/>
                <w:left w:val="none" w:sz="0" w:space="0" w:color="auto"/>
                <w:bottom w:val="none" w:sz="0" w:space="0" w:color="auto"/>
                <w:right w:val="none" w:sz="0" w:space="0" w:color="auto"/>
              </w:divBdr>
            </w:div>
            <w:div w:id="1103383413">
              <w:marLeft w:val="0"/>
              <w:marRight w:val="0"/>
              <w:marTop w:val="0"/>
              <w:marBottom w:val="240"/>
              <w:divBdr>
                <w:top w:val="none" w:sz="0" w:space="0" w:color="auto"/>
                <w:left w:val="none" w:sz="0" w:space="0" w:color="auto"/>
                <w:bottom w:val="none" w:sz="0" w:space="0" w:color="auto"/>
                <w:right w:val="none" w:sz="0" w:space="0" w:color="auto"/>
              </w:divBdr>
            </w:div>
            <w:div w:id="2031953854">
              <w:marLeft w:val="0"/>
              <w:marRight w:val="0"/>
              <w:marTop w:val="0"/>
              <w:marBottom w:val="240"/>
              <w:divBdr>
                <w:top w:val="none" w:sz="0" w:space="0" w:color="auto"/>
                <w:left w:val="none" w:sz="0" w:space="0" w:color="auto"/>
                <w:bottom w:val="none" w:sz="0" w:space="0" w:color="auto"/>
                <w:right w:val="none" w:sz="0" w:space="0" w:color="auto"/>
              </w:divBdr>
            </w:div>
            <w:div w:id="1073309852">
              <w:marLeft w:val="0"/>
              <w:marRight w:val="0"/>
              <w:marTop w:val="0"/>
              <w:marBottom w:val="240"/>
              <w:divBdr>
                <w:top w:val="none" w:sz="0" w:space="0" w:color="auto"/>
                <w:left w:val="none" w:sz="0" w:space="0" w:color="auto"/>
                <w:bottom w:val="none" w:sz="0" w:space="0" w:color="auto"/>
                <w:right w:val="none" w:sz="0" w:space="0" w:color="auto"/>
              </w:divBdr>
            </w:div>
            <w:div w:id="1110198311">
              <w:marLeft w:val="0"/>
              <w:marRight w:val="0"/>
              <w:marTop w:val="0"/>
              <w:marBottom w:val="240"/>
              <w:divBdr>
                <w:top w:val="none" w:sz="0" w:space="0" w:color="auto"/>
                <w:left w:val="none" w:sz="0" w:space="0" w:color="auto"/>
                <w:bottom w:val="none" w:sz="0" w:space="0" w:color="auto"/>
                <w:right w:val="none" w:sz="0" w:space="0" w:color="auto"/>
              </w:divBdr>
            </w:div>
            <w:div w:id="368458392">
              <w:marLeft w:val="0"/>
              <w:marRight w:val="0"/>
              <w:marTop w:val="0"/>
              <w:marBottom w:val="240"/>
              <w:divBdr>
                <w:top w:val="none" w:sz="0" w:space="0" w:color="auto"/>
                <w:left w:val="none" w:sz="0" w:space="0" w:color="auto"/>
                <w:bottom w:val="none" w:sz="0" w:space="0" w:color="auto"/>
                <w:right w:val="none" w:sz="0" w:space="0" w:color="auto"/>
              </w:divBdr>
            </w:div>
            <w:div w:id="2636089">
              <w:marLeft w:val="0"/>
              <w:marRight w:val="0"/>
              <w:marTop w:val="0"/>
              <w:marBottom w:val="240"/>
              <w:divBdr>
                <w:top w:val="none" w:sz="0" w:space="0" w:color="auto"/>
                <w:left w:val="none" w:sz="0" w:space="0" w:color="auto"/>
                <w:bottom w:val="none" w:sz="0" w:space="0" w:color="auto"/>
                <w:right w:val="none" w:sz="0" w:space="0" w:color="auto"/>
              </w:divBdr>
            </w:div>
            <w:div w:id="1352487917">
              <w:marLeft w:val="0"/>
              <w:marRight w:val="0"/>
              <w:marTop w:val="0"/>
              <w:marBottom w:val="240"/>
              <w:divBdr>
                <w:top w:val="none" w:sz="0" w:space="0" w:color="auto"/>
                <w:left w:val="none" w:sz="0" w:space="0" w:color="auto"/>
                <w:bottom w:val="none" w:sz="0" w:space="0" w:color="auto"/>
                <w:right w:val="none" w:sz="0" w:space="0" w:color="auto"/>
              </w:divBdr>
            </w:div>
            <w:div w:id="1213156678">
              <w:marLeft w:val="0"/>
              <w:marRight w:val="0"/>
              <w:marTop w:val="0"/>
              <w:marBottom w:val="240"/>
              <w:divBdr>
                <w:top w:val="none" w:sz="0" w:space="0" w:color="auto"/>
                <w:left w:val="none" w:sz="0" w:space="0" w:color="auto"/>
                <w:bottom w:val="none" w:sz="0" w:space="0" w:color="auto"/>
                <w:right w:val="none" w:sz="0" w:space="0" w:color="auto"/>
              </w:divBdr>
            </w:div>
            <w:div w:id="337925868">
              <w:marLeft w:val="0"/>
              <w:marRight w:val="0"/>
              <w:marTop w:val="0"/>
              <w:marBottom w:val="240"/>
              <w:divBdr>
                <w:top w:val="none" w:sz="0" w:space="0" w:color="auto"/>
                <w:left w:val="none" w:sz="0" w:space="0" w:color="auto"/>
                <w:bottom w:val="none" w:sz="0" w:space="0" w:color="auto"/>
                <w:right w:val="none" w:sz="0" w:space="0" w:color="auto"/>
              </w:divBdr>
            </w:div>
            <w:div w:id="1153715886">
              <w:marLeft w:val="0"/>
              <w:marRight w:val="0"/>
              <w:marTop w:val="0"/>
              <w:marBottom w:val="240"/>
              <w:divBdr>
                <w:top w:val="none" w:sz="0" w:space="0" w:color="auto"/>
                <w:left w:val="none" w:sz="0" w:space="0" w:color="auto"/>
                <w:bottom w:val="none" w:sz="0" w:space="0" w:color="auto"/>
                <w:right w:val="none" w:sz="0" w:space="0" w:color="auto"/>
              </w:divBdr>
            </w:div>
            <w:div w:id="436216090">
              <w:marLeft w:val="0"/>
              <w:marRight w:val="0"/>
              <w:marTop w:val="0"/>
              <w:marBottom w:val="240"/>
              <w:divBdr>
                <w:top w:val="none" w:sz="0" w:space="0" w:color="auto"/>
                <w:left w:val="none" w:sz="0" w:space="0" w:color="auto"/>
                <w:bottom w:val="none" w:sz="0" w:space="0" w:color="auto"/>
                <w:right w:val="none" w:sz="0" w:space="0" w:color="auto"/>
              </w:divBdr>
            </w:div>
            <w:div w:id="2135556101">
              <w:marLeft w:val="0"/>
              <w:marRight w:val="0"/>
              <w:marTop w:val="0"/>
              <w:marBottom w:val="240"/>
              <w:divBdr>
                <w:top w:val="none" w:sz="0" w:space="0" w:color="auto"/>
                <w:left w:val="none" w:sz="0" w:space="0" w:color="auto"/>
                <w:bottom w:val="none" w:sz="0" w:space="0" w:color="auto"/>
                <w:right w:val="none" w:sz="0" w:space="0" w:color="auto"/>
              </w:divBdr>
            </w:div>
            <w:div w:id="1326592533">
              <w:marLeft w:val="0"/>
              <w:marRight w:val="0"/>
              <w:marTop w:val="0"/>
              <w:marBottom w:val="240"/>
              <w:divBdr>
                <w:top w:val="none" w:sz="0" w:space="0" w:color="auto"/>
                <w:left w:val="none" w:sz="0" w:space="0" w:color="auto"/>
                <w:bottom w:val="none" w:sz="0" w:space="0" w:color="auto"/>
                <w:right w:val="none" w:sz="0" w:space="0" w:color="auto"/>
              </w:divBdr>
            </w:div>
            <w:div w:id="1720277938">
              <w:marLeft w:val="0"/>
              <w:marRight w:val="0"/>
              <w:marTop w:val="0"/>
              <w:marBottom w:val="240"/>
              <w:divBdr>
                <w:top w:val="none" w:sz="0" w:space="0" w:color="auto"/>
                <w:left w:val="none" w:sz="0" w:space="0" w:color="auto"/>
                <w:bottom w:val="none" w:sz="0" w:space="0" w:color="auto"/>
                <w:right w:val="none" w:sz="0" w:space="0" w:color="auto"/>
              </w:divBdr>
            </w:div>
            <w:div w:id="1834376479">
              <w:marLeft w:val="0"/>
              <w:marRight w:val="0"/>
              <w:marTop w:val="0"/>
              <w:marBottom w:val="240"/>
              <w:divBdr>
                <w:top w:val="none" w:sz="0" w:space="0" w:color="auto"/>
                <w:left w:val="none" w:sz="0" w:space="0" w:color="auto"/>
                <w:bottom w:val="none" w:sz="0" w:space="0" w:color="auto"/>
                <w:right w:val="none" w:sz="0" w:space="0" w:color="auto"/>
              </w:divBdr>
            </w:div>
            <w:div w:id="547037786">
              <w:marLeft w:val="0"/>
              <w:marRight w:val="0"/>
              <w:marTop w:val="0"/>
              <w:marBottom w:val="240"/>
              <w:divBdr>
                <w:top w:val="none" w:sz="0" w:space="0" w:color="auto"/>
                <w:left w:val="none" w:sz="0" w:space="0" w:color="auto"/>
                <w:bottom w:val="none" w:sz="0" w:space="0" w:color="auto"/>
                <w:right w:val="none" w:sz="0" w:space="0" w:color="auto"/>
              </w:divBdr>
            </w:div>
            <w:div w:id="1572735023">
              <w:marLeft w:val="0"/>
              <w:marRight w:val="0"/>
              <w:marTop w:val="0"/>
              <w:marBottom w:val="240"/>
              <w:divBdr>
                <w:top w:val="none" w:sz="0" w:space="0" w:color="auto"/>
                <w:left w:val="none" w:sz="0" w:space="0" w:color="auto"/>
                <w:bottom w:val="none" w:sz="0" w:space="0" w:color="auto"/>
                <w:right w:val="none" w:sz="0" w:space="0" w:color="auto"/>
              </w:divBdr>
            </w:div>
            <w:div w:id="1898779817">
              <w:marLeft w:val="0"/>
              <w:marRight w:val="0"/>
              <w:marTop w:val="0"/>
              <w:marBottom w:val="240"/>
              <w:divBdr>
                <w:top w:val="none" w:sz="0" w:space="0" w:color="auto"/>
                <w:left w:val="none" w:sz="0" w:space="0" w:color="auto"/>
                <w:bottom w:val="none" w:sz="0" w:space="0" w:color="auto"/>
                <w:right w:val="none" w:sz="0" w:space="0" w:color="auto"/>
              </w:divBdr>
            </w:div>
            <w:div w:id="449131234">
              <w:marLeft w:val="0"/>
              <w:marRight w:val="0"/>
              <w:marTop w:val="0"/>
              <w:marBottom w:val="240"/>
              <w:divBdr>
                <w:top w:val="none" w:sz="0" w:space="0" w:color="auto"/>
                <w:left w:val="none" w:sz="0" w:space="0" w:color="auto"/>
                <w:bottom w:val="none" w:sz="0" w:space="0" w:color="auto"/>
                <w:right w:val="none" w:sz="0" w:space="0" w:color="auto"/>
              </w:divBdr>
            </w:div>
            <w:div w:id="215745255">
              <w:marLeft w:val="0"/>
              <w:marRight w:val="0"/>
              <w:marTop w:val="0"/>
              <w:marBottom w:val="240"/>
              <w:divBdr>
                <w:top w:val="none" w:sz="0" w:space="0" w:color="auto"/>
                <w:left w:val="none" w:sz="0" w:space="0" w:color="auto"/>
                <w:bottom w:val="none" w:sz="0" w:space="0" w:color="auto"/>
                <w:right w:val="none" w:sz="0" w:space="0" w:color="auto"/>
              </w:divBdr>
            </w:div>
            <w:div w:id="1749574775">
              <w:marLeft w:val="0"/>
              <w:marRight w:val="0"/>
              <w:marTop w:val="0"/>
              <w:marBottom w:val="240"/>
              <w:divBdr>
                <w:top w:val="none" w:sz="0" w:space="0" w:color="auto"/>
                <w:left w:val="none" w:sz="0" w:space="0" w:color="auto"/>
                <w:bottom w:val="none" w:sz="0" w:space="0" w:color="auto"/>
                <w:right w:val="none" w:sz="0" w:space="0" w:color="auto"/>
              </w:divBdr>
            </w:div>
            <w:div w:id="1113326652">
              <w:marLeft w:val="0"/>
              <w:marRight w:val="0"/>
              <w:marTop w:val="0"/>
              <w:marBottom w:val="240"/>
              <w:divBdr>
                <w:top w:val="none" w:sz="0" w:space="0" w:color="auto"/>
                <w:left w:val="none" w:sz="0" w:space="0" w:color="auto"/>
                <w:bottom w:val="none" w:sz="0" w:space="0" w:color="auto"/>
                <w:right w:val="none" w:sz="0" w:space="0" w:color="auto"/>
              </w:divBdr>
            </w:div>
            <w:div w:id="201790713">
              <w:marLeft w:val="0"/>
              <w:marRight w:val="0"/>
              <w:marTop w:val="0"/>
              <w:marBottom w:val="240"/>
              <w:divBdr>
                <w:top w:val="none" w:sz="0" w:space="0" w:color="auto"/>
                <w:left w:val="none" w:sz="0" w:space="0" w:color="auto"/>
                <w:bottom w:val="none" w:sz="0" w:space="0" w:color="auto"/>
                <w:right w:val="none" w:sz="0" w:space="0" w:color="auto"/>
              </w:divBdr>
            </w:div>
            <w:div w:id="742333769">
              <w:marLeft w:val="0"/>
              <w:marRight w:val="0"/>
              <w:marTop w:val="0"/>
              <w:marBottom w:val="240"/>
              <w:divBdr>
                <w:top w:val="none" w:sz="0" w:space="0" w:color="auto"/>
                <w:left w:val="none" w:sz="0" w:space="0" w:color="auto"/>
                <w:bottom w:val="none" w:sz="0" w:space="0" w:color="auto"/>
                <w:right w:val="none" w:sz="0" w:space="0" w:color="auto"/>
              </w:divBdr>
            </w:div>
            <w:div w:id="1999268119">
              <w:marLeft w:val="0"/>
              <w:marRight w:val="0"/>
              <w:marTop w:val="0"/>
              <w:marBottom w:val="240"/>
              <w:divBdr>
                <w:top w:val="none" w:sz="0" w:space="0" w:color="auto"/>
                <w:left w:val="none" w:sz="0" w:space="0" w:color="auto"/>
                <w:bottom w:val="none" w:sz="0" w:space="0" w:color="auto"/>
                <w:right w:val="none" w:sz="0" w:space="0" w:color="auto"/>
              </w:divBdr>
            </w:div>
            <w:div w:id="1361131281">
              <w:marLeft w:val="0"/>
              <w:marRight w:val="0"/>
              <w:marTop w:val="0"/>
              <w:marBottom w:val="240"/>
              <w:divBdr>
                <w:top w:val="none" w:sz="0" w:space="0" w:color="auto"/>
                <w:left w:val="none" w:sz="0" w:space="0" w:color="auto"/>
                <w:bottom w:val="none" w:sz="0" w:space="0" w:color="auto"/>
                <w:right w:val="none" w:sz="0" w:space="0" w:color="auto"/>
              </w:divBdr>
            </w:div>
            <w:div w:id="358044366">
              <w:marLeft w:val="0"/>
              <w:marRight w:val="0"/>
              <w:marTop w:val="0"/>
              <w:marBottom w:val="240"/>
              <w:divBdr>
                <w:top w:val="none" w:sz="0" w:space="0" w:color="auto"/>
                <w:left w:val="none" w:sz="0" w:space="0" w:color="auto"/>
                <w:bottom w:val="none" w:sz="0" w:space="0" w:color="auto"/>
                <w:right w:val="none" w:sz="0" w:space="0" w:color="auto"/>
              </w:divBdr>
            </w:div>
            <w:div w:id="1512063093">
              <w:marLeft w:val="0"/>
              <w:marRight w:val="0"/>
              <w:marTop w:val="0"/>
              <w:marBottom w:val="240"/>
              <w:divBdr>
                <w:top w:val="none" w:sz="0" w:space="0" w:color="auto"/>
                <w:left w:val="none" w:sz="0" w:space="0" w:color="auto"/>
                <w:bottom w:val="none" w:sz="0" w:space="0" w:color="auto"/>
                <w:right w:val="none" w:sz="0" w:space="0" w:color="auto"/>
              </w:divBdr>
            </w:div>
            <w:div w:id="1658455542">
              <w:marLeft w:val="0"/>
              <w:marRight w:val="0"/>
              <w:marTop w:val="0"/>
              <w:marBottom w:val="240"/>
              <w:divBdr>
                <w:top w:val="none" w:sz="0" w:space="0" w:color="auto"/>
                <w:left w:val="none" w:sz="0" w:space="0" w:color="auto"/>
                <w:bottom w:val="none" w:sz="0" w:space="0" w:color="auto"/>
                <w:right w:val="none" w:sz="0" w:space="0" w:color="auto"/>
              </w:divBdr>
            </w:div>
            <w:div w:id="971181109">
              <w:marLeft w:val="0"/>
              <w:marRight w:val="0"/>
              <w:marTop w:val="0"/>
              <w:marBottom w:val="240"/>
              <w:divBdr>
                <w:top w:val="none" w:sz="0" w:space="0" w:color="auto"/>
                <w:left w:val="none" w:sz="0" w:space="0" w:color="auto"/>
                <w:bottom w:val="none" w:sz="0" w:space="0" w:color="auto"/>
                <w:right w:val="none" w:sz="0" w:space="0" w:color="auto"/>
              </w:divBdr>
            </w:div>
            <w:div w:id="1373193668">
              <w:marLeft w:val="0"/>
              <w:marRight w:val="0"/>
              <w:marTop w:val="0"/>
              <w:marBottom w:val="240"/>
              <w:divBdr>
                <w:top w:val="none" w:sz="0" w:space="0" w:color="auto"/>
                <w:left w:val="none" w:sz="0" w:space="0" w:color="auto"/>
                <w:bottom w:val="none" w:sz="0" w:space="0" w:color="auto"/>
                <w:right w:val="none" w:sz="0" w:space="0" w:color="auto"/>
              </w:divBdr>
            </w:div>
            <w:div w:id="382363900">
              <w:marLeft w:val="0"/>
              <w:marRight w:val="0"/>
              <w:marTop w:val="0"/>
              <w:marBottom w:val="240"/>
              <w:divBdr>
                <w:top w:val="none" w:sz="0" w:space="0" w:color="auto"/>
                <w:left w:val="none" w:sz="0" w:space="0" w:color="auto"/>
                <w:bottom w:val="none" w:sz="0" w:space="0" w:color="auto"/>
                <w:right w:val="none" w:sz="0" w:space="0" w:color="auto"/>
              </w:divBdr>
            </w:div>
            <w:div w:id="984773485">
              <w:marLeft w:val="0"/>
              <w:marRight w:val="0"/>
              <w:marTop w:val="0"/>
              <w:marBottom w:val="240"/>
              <w:divBdr>
                <w:top w:val="none" w:sz="0" w:space="0" w:color="auto"/>
                <w:left w:val="none" w:sz="0" w:space="0" w:color="auto"/>
                <w:bottom w:val="none" w:sz="0" w:space="0" w:color="auto"/>
                <w:right w:val="none" w:sz="0" w:space="0" w:color="auto"/>
              </w:divBdr>
            </w:div>
            <w:div w:id="1068847747">
              <w:marLeft w:val="0"/>
              <w:marRight w:val="0"/>
              <w:marTop w:val="0"/>
              <w:marBottom w:val="240"/>
              <w:divBdr>
                <w:top w:val="none" w:sz="0" w:space="0" w:color="auto"/>
                <w:left w:val="none" w:sz="0" w:space="0" w:color="auto"/>
                <w:bottom w:val="none" w:sz="0" w:space="0" w:color="auto"/>
                <w:right w:val="none" w:sz="0" w:space="0" w:color="auto"/>
              </w:divBdr>
            </w:div>
            <w:div w:id="280960939">
              <w:marLeft w:val="0"/>
              <w:marRight w:val="0"/>
              <w:marTop w:val="0"/>
              <w:marBottom w:val="240"/>
              <w:divBdr>
                <w:top w:val="none" w:sz="0" w:space="0" w:color="auto"/>
                <w:left w:val="none" w:sz="0" w:space="0" w:color="auto"/>
                <w:bottom w:val="none" w:sz="0" w:space="0" w:color="auto"/>
                <w:right w:val="none" w:sz="0" w:space="0" w:color="auto"/>
              </w:divBdr>
            </w:div>
            <w:div w:id="1719620470">
              <w:marLeft w:val="0"/>
              <w:marRight w:val="0"/>
              <w:marTop w:val="0"/>
              <w:marBottom w:val="240"/>
              <w:divBdr>
                <w:top w:val="none" w:sz="0" w:space="0" w:color="auto"/>
                <w:left w:val="none" w:sz="0" w:space="0" w:color="auto"/>
                <w:bottom w:val="none" w:sz="0" w:space="0" w:color="auto"/>
                <w:right w:val="none" w:sz="0" w:space="0" w:color="auto"/>
              </w:divBdr>
            </w:div>
            <w:div w:id="1864440805">
              <w:marLeft w:val="0"/>
              <w:marRight w:val="0"/>
              <w:marTop w:val="0"/>
              <w:marBottom w:val="240"/>
              <w:divBdr>
                <w:top w:val="none" w:sz="0" w:space="0" w:color="auto"/>
                <w:left w:val="none" w:sz="0" w:space="0" w:color="auto"/>
                <w:bottom w:val="none" w:sz="0" w:space="0" w:color="auto"/>
                <w:right w:val="none" w:sz="0" w:space="0" w:color="auto"/>
              </w:divBdr>
            </w:div>
            <w:div w:id="865679149">
              <w:marLeft w:val="0"/>
              <w:marRight w:val="0"/>
              <w:marTop w:val="0"/>
              <w:marBottom w:val="240"/>
              <w:divBdr>
                <w:top w:val="none" w:sz="0" w:space="0" w:color="auto"/>
                <w:left w:val="none" w:sz="0" w:space="0" w:color="auto"/>
                <w:bottom w:val="none" w:sz="0" w:space="0" w:color="auto"/>
                <w:right w:val="none" w:sz="0" w:space="0" w:color="auto"/>
              </w:divBdr>
            </w:div>
            <w:div w:id="1162812494">
              <w:marLeft w:val="0"/>
              <w:marRight w:val="0"/>
              <w:marTop w:val="0"/>
              <w:marBottom w:val="240"/>
              <w:divBdr>
                <w:top w:val="none" w:sz="0" w:space="0" w:color="auto"/>
                <w:left w:val="none" w:sz="0" w:space="0" w:color="auto"/>
                <w:bottom w:val="none" w:sz="0" w:space="0" w:color="auto"/>
                <w:right w:val="none" w:sz="0" w:space="0" w:color="auto"/>
              </w:divBdr>
            </w:div>
            <w:div w:id="1831167325">
              <w:marLeft w:val="0"/>
              <w:marRight w:val="0"/>
              <w:marTop w:val="0"/>
              <w:marBottom w:val="240"/>
              <w:divBdr>
                <w:top w:val="none" w:sz="0" w:space="0" w:color="auto"/>
                <w:left w:val="none" w:sz="0" w:space="0" w:color="auto"/>
                <w:bottom w:val="none" w:sz="0" w:space="0" w:color="auto"/>
                <w:right w:val="none" w:sz="0" w:space="0" w:color="auto"/>
              </w:divBdr>
            </w:div>
            <w:div w:id="983704714">
              <w:marLeft w:val="0"/>
              <w:marRight w:val="0"/>
              <w:marTop w:val="0"/>
              <w:marBottom w:val="240"/>
              <w:divBdr>
                <w:top w:val="none" w:sz="0" w:space="0" w:color="auto"/>
                <w:left w:val="none" w:sz="0" w:space="0" w:color="auto"/>
                <w:bottom w:val="none" w:sz="0" w:space="0" w:color="auto"/>
                <w:right w:val="none" w:sz="0" w:space="0" w:color="auto"/>
              </w:divBdr>
            </w:div>
            <w:div w:id="1583442330">
              <w:marLeft w:val="0"/>
              <w:marRight w:val="0"/>
              <w:marTop w:val="0"/>
              <w:marBottom w:val="240"/>
              <w:divBdr>
                <w:top w:val="none" w:sz="0" w:space="0" w:color="auto"/>
                <w:left w:val="none" w:sz="0" w:space="0" w:color="auto"/>
                <w:bottom w:val="none" w:sz="0" w:space="0" w:color="auto"/>
                <w:right w:val="none" w:sz="0" w:space="0" w:color="auto"/>
              </w:divBdr>
            </w:div>
            <w:div w:id="1923710962">
              <w:marLeft w:val="0"/>
              <w:marRight w:val="0"/>
              <w:marTop w:val="0"/>
              <w:marBottom w:val="240"/>
              <w:divBdr>
                <w:top w:val="none" w:sz="0" w:space="0" w:color="auto"/>
                <w:left w:val="none" w:sz="0" w:space="0" w:color="auto"/>
                <w:bottom w:val="none" w:sz="0" w:space="0" w:color="auto"/>
                <w:right w:val="none" w:sz="0" w:space="0" w:color="auto"/>
              </w:divBdr>
            </w:div>
            <w:div w:id="208273423">
              <w:marLeft w:val="0"/>
              <w:marRight w:val="0"/>
              <w:marTop w:val="0"/>
              <w:marBottom w:val="240"/>
              <w:divBdr>
                <w:top w:val="none" w:sz="0" w:space="0" w:color="auto"/>
                <w:left w:val="none" w:sz="0" w:space="0" w:color="auto"/>
                <w:bottom w:val="none" w:sz="0" w:space="0" w:color="auto"/>
                <w:right w:val="none" w:sz="0" w:space="0" w:color="auto"/>
              </w:divBdr>
            </w:div>
            <w:div w:id="1417628804">
              <w:marLeft w:val="0"/>
              <w:marRight w:val="0"/>
              <w:marTop w:val="0"/>
              <w:marBottom w:val="240"/>
              <w:divBdr>
                <w:top w:val="none" w:sz="0" w:space="0" w:color="auto"/>
                <w:left w:val="none" w:sz="0" w:space="0" w:color="auto"/>
                <w:bottom w:val="none" w:sz="0" w:space="0" w:color="auto"/>
                <w:right w:val="none" w:sz="0" w:space="0" w:color="auto"/>
              </w:divBdr>
            </w:div>
            <w:div w:id="2074888278">
              <w:marLeft w:val="0"/>
              <w:marRight w:val="0"/>
              <w:marTop w:val="0"/>
              <w:marBottom w:val="240"/>
              <w:divBdr>
                <w:top w:val="none" w:sz="0" w:space="0" w:color="auto"/>
                <w:left w:val="none" w:sz="0" w:space="0" w:color="auto"/>
                <w:bottom w:val="none" w:sz="0" w:space="0" w:color="auto"/>
                <w:right w:val="none" w:sz="0" w:space="0" w:color="auto"/>
              </w:divBdr>
            </w:div>
            <w:div w:id="965044908">
              <w:marLeft w:val="0"/>
              <w:marRight w:val="0"/>
              <w:marTop w:val="0"/>
              <w:marBottom w:val="240"/>
              <w:divBdr>
                <w:top w:val="none" w:sz="0" w:space="0" w:color="auto"/>
                <w:left w:val="none" w:sz="0" w:space="0" w:color="auto"/>
                <w:bottom w:val="none" w:sz="0" w:space="0" w:color="auto"/>
                <w:right w:val="none" w:sz="0" w:space="0" w:color="auto"/>
              </w:divBdr>
            </w:div>
            <w:div w:id="1683126930">
              <w:marLeft w:val="0"/>
              <w:marRight w:val="0"/>
              <w:marTop w:val="0"/>
              <w:marBottom w:val="240"/>
              <w:divBdr>
                <w:top w:val="none" w:sz="0" w:space="0" w:color="auto"/>
                <w:left w:val="none" w:sz="0" w:space="0" w:color="auto"/>
                <w:bottom w:val="none" w:sz="0" w:space="0" w:color="auto"/>
                <w:right w:val="none" w:sz="0" w:space="0" w:color="auto"/>
              </w:divBdr>
            </w:div>
            <w:div w:id="1458449029">
              <w:marLeft w:val="0"/>
              <w:marRight w:val="0"/>
              <w:marTop w:val="0"/>
              <w:marBottom w:val="240"/>
              <w:divBdr>
                <w:top w:val="none" w:sz="0" w:space="0" w:color="auto"/>
                <w:left w:val="none" w:sz="0" w:space="0" w:color="auto"/>
                <w:bottom w:val="none" w:sz="0" w:space="0" w:color="auto"/>
                <w:right w:val="none" w:sz="0" w:space="0" w:color="auto"/>
              </w:divBdr>
            </w:div>
            <w:div w:id="1380743439">
              <w:marLeft w:val="0"/>
              <w:marRight w:val="0"/>
              <w:marTop w:val="0"/>
              <w:marBottom w:val="240"/>
              <w:divBdr>
                <w:top w:val="none" w:sz="0" w:space="0" w:color="auto"/>
                <w:left w:val="none" w:sz="0" w:space="0" w:color="auto"/>
                <w:bottom w:val="none" w:sz="0" w:space="0" w:color="auto"/>
                <w:right w:val="none" w:sz="0" w:space="0" w:color="auto"/>
              </w:divBdr>
            </w:div>
            <w:div w:id="1909460136">
              <w:marLeft w:val="0"/>
              <w:marRight w:val="0"/>
              <w:marTop w:val="0"/>
              <w:marBottom w:val="240"/>
              <w:divBdr>
                <w:top w:val="none" w:sz="0" w:space="0" w:color="auto"/>
                <w:left w:val="none" w:sz="0" w:space="0" w:color="auto"/>
                <w:bottom w:val="none" w:sz="0" w:space="0" w:color="auto"/>
                <w:right w:val="none" w:sz="0" w:space="0" w:color="auto"/>
              </w:divBdr>
            </w:div>
            <w:div w:id="624120143">
              <w:marLeft w:val="0"/>
              <w:marRight w:val="0"/>
              <w:marTop w:val="0"/>
              <w:marBottom w:val="240"/>
              <w:divBdr>
                <w:top w:val="none" w:sz="0" w:space="0" w:color="auto"/>
                <w:left w:val="none" w:sz="0" w:space="0" w:color="auto"/>
                <w:bottom w:val="none" w:sz="0" w:space="0" w:color="auto"/>
                <w:right w:val="none" w:sz="0" w:space="0" w:color="auto"/>
              </w:divBdr>
            </w:div>
            <w:div w:id="1593203792">
              <w:marLeft w:val="0"/>
              <w:marRight w:val="0"/>
              <w:marTop w:val="0"/>
              <w:marBottom w:val="240"/>
              <w:divBdr>
                <w:top w:val="none" w:sz="0" w:space="0" w:color="auto"/>
                <w:left w:val="none" w:sz="0" w:space="0" w:color="auto"/>
                <w:bottom w:val="none" w:sz="0" w:space="0" w:color="auto"/>
                <w:right w:val="none" w:sz="0" w:space="0" w:color="auto"/>
              </w:divBdr>
            </w:div>
            <w:div w:id="2135633281">
              <w:marLeft w:val="0"/>
              <w:marRight w:val="0"/>
              <w:marTop w:val="0"/>
              <w:marBottom w:val="240"/>
              <w:divBdr>
                <w:top w:val="none" w:sz="0" w:space="0" w:color="auto"/>
                <w:left w:val="none" w:sz="0" w:space="0" w:color="auto"/>
                <w:bottom w:val="none" w:sz="0" w:space="0" w:color="auto"/>
                <w:right w:val="none" w:sz="0" w:space="0" w:color="auto"/>
              </w:divBdr>
            </w:div>
            <w:div w:id="1372657695">
              <w:marLeft w:val="0"/>
              <w:marRight w:val="0"/>
              <w:marTop w:val="0"/>
              <w:marBottom w:val="240"/>
              <w:divBdr>
                <w:top w:val="none" w:sz="0" w:space="0" w:color="auto"/>
                <w:left w:val="none" w:sz="0" w:space="0" w:color="auto"/>
                <w:bottom w:val="none" w:sz="0" w:space="0" w:color="auto"/>
                <w:right w:val="none" w:sz="0" w:space="0" w:color="auto"/>
              </w:divBdr>
            </w:div>
            <w:div w:id="1872763101">
              <w:marLeft w:val="0"/>
              <w:marRight w:val="0"/>
              <w:marTop w:val="0"/>
              <w:marBottom w:val="240"/>
              <w:divBdr>
                <w:top w:val="none" w:sz="0" w:space="0" w:color="auto"/>
                <w:left w:val="none" w:sz="0" w:space="0" w:color="auto"/>
                <w:bottom w:val="none" w:sz="0" w:space="0" w:color="auto"/>
                <w:right w:val="none" w:sz="0" w:space="0" w:color="auto"/>
              </w:divBdr>
            </w:div>
            <w:div w:id="1441948427">
              <w:marLeft w:val="0"/>
              <w:marRight w:val="0"/>
              <w:marTop w:val="0"/>
              <w:marBottom w:val="240"/>
              <w:divBdr>
                <w:top w:val="none" w:sz="0" w:space="0" w:color="auto"/>
                <w:left w:val="none" w:sz="0" w:space="0" w:color="auto"/>
                <w:bottom w:val="none" w:sz="0" w:space="0" w:color="auto"/>
                <w:right w:val="none" w:sz="0" w:space="0" w:color="auto"/>
              </w:divBdr>
            </w:div>
            <w:div w:id="1399598449">
              <w:marLeft w:val="0"/>
              <w:marRight w:val="0"/>
              <w:marTop w:val="0"/>
              <w:marBottom w:val="240"/>
              <w:divBdr>
                <w:top w:val="none" w:sz="0" w:space="0" w:color="auto"/>
                <w:left w:val="none" w:sz="0" w:space="0" w:color="auto"/>
                <w:bottom w:val="none" w:sz="0" w:space="0" w:color="auto"/>
                <w:right w:val="none" w:sz="0" w:space="0" w:color="auto"/>
              </w:divBdr>
            </w:div>
            <w:div w:id="1586181819">
              <w:marLeft w:val="0"/>
              <w:marRight w:val="0"/>
              <w:marTop w:val="0"/>
              <w:marBottom w:val="240"/>
              <w:divBdr>
                <w:top w:val="none" w:sz="0" w:space="0" w:color="auto"/>
                <w:left w:val="none" w:sz="0" w:space="0" w:color="auto"/>
                <w:bottom w:val="none" w:sz="0" w:space="0" w:color="auto"/>
                <w:right w:val="none" w:sz="0" w:space="0" w:color="auto"/>
              </w:divBdr>
            </w:div>
            <w:div w:id="964309379">
              <w:marLeft w:val="0"/>
              <w:marRight w:val="0"/>
              <w:marTop w:val="0"/>
              <w:marBottom w:val="240"/>
              <w:divBdr>
                <w:top w:val="none" w:sz="0" w:space="0" w:color="auto"/>
                <w:left w:val="none" w:sz="0" w:space="0" w:color="auto"/>
                <w:bottom w:val="none" w:sz="0" w:space="0" w:color="auto"/>
                <w:right w:val="none" w:sz="0" w:space="0" w:color="auto"/>
              </w:divBdr>
            </w:div>
            <w:div w:id="409616827">
              <w:marLeft w:val="0"/>
              <w:marRight w:val="0"/>
              <w:marTop w:val="0"/>
              <w:marBottom w:val="240"/>
              <w:divBdr>
                <w:top w:val="none" w:sz="0" w:space="0" w:color="auto"/>
                <w:left w:val="none" w:sz="0" w:space="0" w:color="auto"/>
                <w:bottom w:val="none" w:sz="0" w:space="0" w:color="auto"/>
                <w:right w:val="none" w:sz="0" w:space="0" w:color="auto"/>
              </w:divBdr>
            </w:div>
            <w:div w:id="1265729533">
              <w:marLeft w:val="0"/>
              <w:marRight w:val="0"/>
              <w:marTop w:val="0"/>
              <w:marBottom w:val="240"/>
              <w:divBdr>
                <w:top w:val="none" w:sz="0" w:space="0" w:color="auto"/>
                <w:left w:val="none" w:sz="0" w:space="0" w:color="auto"/>
                <w:bottom w:val="none" w:sz="0" w:space="0" w:color="auto"/>
                <w:right w:val="none" w:sz="0" w:space="0" w:color="auto"/>
              </w:divBdr>
            </w:div>
            <w:div w:id="1210721411">
              <w:marLeft w:val="0"/>
              <w:marRight w:val="0"/>
              <w:marTop w:val="0"/>
              <w:marBottom w:val="240"/>
              <w:divBdr>
                <w:top w:val="none" w:sz="0" w:space="0" w:color="auto"/>
                <w:left w:val="none" w:sz="0" w:space="0" w:color="auto"/>
                <w:bottom w:val="none" w:sz="0" w:space="0" w:color="auto"/>
                <w:right w:val="none" w:sz="0" w:space="0" w:color="auto"/>
              </w:divBdr>
            </w:div>
            <w:div w:id="1358580167">
              <w:marLeft w:val="0"/>
              <w:marRight w:val="0"/>
              <w:marTop w:val="0"/>
              <w:marBottom w:val="240"/>
              <w:divBdr>
                <w:top w:val="none" w:sz="0" w:space="0" w:color="auto"/>
                <w:left w:val="none" w:sz="0" w:space="0" w:color="auto"/>
                <w:bottom w:val="none" w:sz="0" w:space="0" w:color="auto"/>
                <w:right w:val="none" w:sz="0" w:space="0" w:color="auto"/>
              </w:divBdr>
            </w:div>
            <w:div w:id="1922717112">
              <w:marLeft w:val="0"/>
              <w:marRight w:val="0"/>
              <w:marTop w:val="0"/>
              <w:marBottom w:val="240"/>
              <w:divBdr>
                <w:top w:val="none" w:sz="0" w:space="0" w:color="auto"/>
                <w:left w:val="none" w:sz="0" w:space="0" w:color="auto"/>
                <w:bottom w:val="none" w:sz="0" w:space="0" w:color="auto"/>
                <w:right w:val="none" w:sz="0" w:space="0" w:color="auto"/>
              </w:divBdr>
            </w:div>
            <w:div w:id="468790076">
              <w:marLeft w:val="0"/>
              <w:marRight w:val="0"/>
              <w:marTop w:val="0"/>
              <w:marBottom w:val="240"/>
              <w:divBdr>
                <w:top w:val="none" w:sz="0" w:space="0" w:color="auto"/>
                <w:left w:val="none" w:sz="0" w:space="0" w:color="auto"/>
                <w:bottom w:val="none" w:sz="0" w:space="0" w:color="auto"/>
                <w:right w:val="none" w:sz="0" w:space="0" w:color="auto"/>
              </w:divBdr>
            </w:div>
            <w:div w:id="1056204535">
              <w:marLeft w:val="0"/>
              <w:marRight w:val="0"/>
              <w:marTop w:val="0"/>
              <w:marBottom w:val="240"/>
              <w:divBdr>
                <w:top w:val="none" w:sz="0" w:space="0" w:color="auto"/>
                <w:left w:val="none" w:sz="0" w:space="0" w:color="auto"/>
                <w:bottom w:val="none" w:sz="0" w:space="0" w:color="auto"/>
                <w:right w:val="none" w:sz="0" w:space="0" w:color="auto"/>
              </w:divBdr>
            </w:div>
            <w:div w:id="996154171">
              <w:marLeft w:val="0"/>
              <w:marRight w:val="0"/>
              <w:marTop w:val="0"/>
              <w:marBottom w:val="240"/>
              <w:divBdr>
                <w:top w:val="none" w:sz="0" w:space="0" w:color="auto"/>
                <w:left w:val="none" w:sz="0" w:space="0" w:color="auto"/>
                <w:bottom w:val="none" w:sz="0" w:space="0" w:color="auto"/>
                <w:right w:val="none" w:sz="0" w:space="0" w:color="auto"/>
              </w:divBdr>
            </w:div>
            <w:div w:id="912667524">
              <w:marLeft w:val="0"/>
              <w:marRight w:val="0"/>
              <w:marTop w:val="0"/>
              <w:marBottom w:val="240"/>
              <w:divBdr>
                <w:top w:val="none" w:sz="0" w:space="0" w:color="auto"/>
                <w:left w:val="none" w:sz="0" w:space="0" w:color="auto"/>
                <w:bottom w:val="none" w:sz="0" w:space="0" w:color="auto"/>
                <w:right w:val="none" w:sz="0" w:space="0" w:color="auto"/>
              </w:divBdr>
            </w:div>
            <w:div w:id="1787772598">
              <w:marLeft w:val="0"/>
              <w:marRight w:val="0"/>
              <w:marTop w:val="0"/>
              <w:marBottom w:val="240"/>
              <w:divBdr>
                <w:top w:val="none" w:sz="0" w:space="0" w:color="auto"/>
                <w:left w:val="none" w:sz="0" w:space="0" w:color="auto"/>
                <w:bottom w:val="none" w:sz="0" w:space="0" w:color="auto"/>
                <w:right w:val="none" w:sz="0" w:space="0" w:color="auto"/>
              </w:divBdr>
            </w:div>
            <w:div w:id="1856337940">
              <w:marLeft w:val="0"/>
              <w:marRight w:val="0"/>
              <w:marTop w:val="0"/>
              <w:marBottom w:val="240"/>
              <w:divBdr>
                <w:top w:val="none" w:sz="0" w:space="0" w:color="auto"/>
                <w:left w:val="none" w:sz="0" w:space="0" w:color="auto"/>
                <w:bottom w:val="none" w:sz="0" w:space="0" w:color="auto"/>
                <w:right w:val="none" w:sz="0" w:space="0" w:color="auto"/>
              </w:divBdr>
            </w:div>
            <w:div w:id="1345669768">
              <w:marLeft w:val="0"/>
              <w:marRight w:val="0"/>
              <w:marTop w:val="0"/>
              <w:marBottom w:val="240"/>
              <w:divBdr>
                <w:top w:val="none" w:sz="0" w:space="0" w:color="auto"/>
                <w:left w:val="none" w:sz="0" w:space="0" w:color="auto"/>
                <w:bottom w:val="none" w:sz="0" w:space="0" w:color="auto"/>
                <w:right w:val="none" w:sz="0" w:space="0" w:color="auto"/>
              </w:divBdr>
            </w:div>
            <w:div w:id="1402748035">
              <w:marLeft w:val="0"/>
              <w:marRight w:val="0"/>
              <w:marTop w:val="0"/>
              <w:marBottom w:val="240"/>
              <w:divBdr>
                <w:top w:val="none" w:sz="0" w:space="0" w:color="auto"/>
                <w:left w:val="none" w:sz="0" w:space="0" w:color="auto"/>
                <w:bottom w:val="none" w:sz="0" w:space="0" w:color="auto"/>
                <w:right w:val="none" w:sz="0" w:space="0" w:color="auto"/>
              </w:divBdr>
            </w:div>
            <w:div w:id="252134154">
              <w:marLeft w:val="0"/>
              <w:marRight w:val="0"/>
              <w:marTop w:val="0"/>
              <w:marBottom w:val="240"/>
              <w:divBdr>
                <w:top w:val="none" w:sz="0" w:space="0" w:color="auto"/>
                <w:left w:val="none" w:sz="0" w:space="0" w:color="auto"/>
                <w:bottom w:val="none" w:sz="0" w:space="0" w:color="auto"/>
                <w:right w:val="none" w:sz="0" w:space="0" w:color="auto"/>
              </w:divBdr>
            </w:div>
            <w:div w:id="2013952631">
              <w:marLeft w:val="0"/>
              <w:marRight w:val="0"/>
              <w:marTop w:val="0"/>
              <w:marBottom w:val="240"/>
              <w:divBdr>
                <w:top w:val="none" w:sz="0" w:space="0" w:color="auto"/>
                <w:left w:val="none" w:sz="0" w:space="0" w:color="auto"/>
                <w:bottom w:val="none" w:sz="0" w:space="0" w:color="auto"/>
                <w:right w:val="none" w:sz="0" w:space="0" w:color="auto"/>
              </w:divBdr>
            </w:div>
            <w:div w:id="1314025920">
              <w:marLeft w:val="0"/>
              <w:marRight w:val="0"/>
              <w:marTop w:val="0"/>
              <w:marBottom w:val="240"/>
              <w:divBdr>
                <w:top w:val="none" w:sz="0" w:space="0" w:color="auto"/>
                <w:left w:val="none" w:sz="0" w:space="0" w:color="auto"/>
                <w:bottom w:val="none" w:sz="0" w:space="0" w:color="auto"/>
                <w:right w:val="none" w:sz="0" w:space="0" w:color="auto"/>
              </w:divBdr>
            </w:div>
            <w:div w:id="2083486461">
              <w:marLeft w:val="0"/>
              <w:marRight w:val="0"/>
              <w:marTop w:val="0"/>
              <w:marBottom w:val="240"/>
              <w:divBdr>
                <w:top w:val="none" w:sz="0" w:space="0" w:color="auto"/>
                <w:left w:val="none" w:sz="0" w:space="0" w:color="auto"/>
                <w:bottom w:val="none" w:sz="0" w:space="0" w:color="auto"/>
                <w:right w:val="none" w:sz="0" w:space="0" w:color="auto"/>
              </w:divBdr>
            </w:div>
            <w:div w:id="1520005783">
              <w:marLeft w:val="0"/>
              <w:marRight w:val="0"/>
              <w:marTop w:val="0"/>
              <w:marBottom w:val="240"/>
              <w:divBdr>
                <w:top w:val="none" w:sz="0" w:space="0" w:color="auto"/>
                <w:left w:val="none" w:sz="0" w:space="0" w:color="auto"/>
                <w:bottom w:val="none" w:sz="0" w:space="0" w:color="auto"/>
                <w:right w:val="none" w:sz="0" w:space="0" w:color="auto"/>
              </w:divBdr>
            </w:div>
            <w:div w:id="1082524712">
              <w:marLeft w:val="0"/>
              <w:marRight w:val="0"/>
              <w:marTop w:val="0"/>
              <w:marBottom w:val="240"/>
              <w:divBdr>
                <w:top w:val="none" w:sz="0" w:space="0" w:color="auto"/>
                <w:left w:val="none" w:sz="0" w:space="0" w:color="auto"/>
                <w:bottom w:val="none" w:sz="0" w:space="0" w:color="auto"/>
                <w:right w:val="none" w:sz="0" w:space="0" w:color="auto"/>
              </w:divBdr>
            </w:div>
            <w:div w:id="1981104835">
              <w:marLeft w:val="0"/>
              <w:marRight w:val="0"/>
              <w:marTop w:val="0"/>
              <w:marBottom w:val="240"/>
              <w:divBdr>
                <w:top w:val="none" w:sz="0" w:space="0" w:color="auto"/>
                <w:left w:val="none" w:sz="0" w:space="0" w:color="auto"/>
                <w:bottom w:val="none" w:sz="0" w:space="0" w:color="auto"/>
                <w:right w:val="none" w:sz="0" w:space="0" w:color="auto"/>
              </w:divBdr>
            </w:div>
            <w:div w:id="1115178175">
              <w:marLeft w:val="0"/>
              <w:marRight w:val="0"/>
              <w:marTop w:val="0"/>
              <w:marBottom w:val="240"/>
              <w:divBdr>
                <w:top w:val="none" w:sz="0" w:space="0" w:color="auto"/>
                <w:left w:val="none" w:sz="0" w:space="0" w:color="auto"/>
                <w:bottom w:val="none" w:sz="0" w:space="0" w:color="auto"/>
                <w:right w:val="none" w:sz="0" w:space="0" w:color="auto"/>
              </w:divBdr>
            </w:div>
            <w:div w:id="1742824067">
              <w:marLeft w:val="0"/>
              <w:marRight w:val="0"/>
              <w:marTop w:val="0"/>
              <w:marBottom w:val="240"/>
              <w:divBdr>
                <w:top w:val="none" w:sz="0" w:space="0" w:color="auto"/>
                <w:left w:val="none" w:sz="0" w:space="0" w:color="auto"/>
                <w:bottom w:val="none" w:sz="0" w:space="0" w:color="auto"/>
                <w:right w:val="none" w:sz="0" w:space="0" w:color="auto"/>
              </w:divBdr>
            </w:div>
            <w:div w:id="1715345451">
              <w:marLeft w:val="0"/>
              <w:marRight w:val="0"/>
              <w:marTop w:val="0"/>
              <w:marBottom w:val="240"/>
              <w:divBdr>
                <w:top w:val="none" w:sz="0" w:space="0" w:color="auto"/>
                <w:left w:val="none" w:sz="0" w:space="0" w:color="auto"/>
                <w:bottom w:val="none" w:sz="0" w:space="0" w:color="auto"/>
                <w:right w:val="none" w:sz="0" w:space="0" w:color="auto"/>
              </w:divBdr>
            </w:div>
            <w:div w:id="889000443">
              <w:marLeft w:val="0"/>
              <w:marRight w:val="0"/>
              <w:marTop w:val="0"/>
              <w:marBottom w:val="240"/>
              <w:divBdr>
                <w:top w:val="none" w:sz="0" w:space="0" w:color="auto"/>
                <w:left w:val="none" w:sz="0" w:space="0" w:color="auto"/>
                <w:bottom w:val="none" w:sz="0" w:space="0" w:color="auto"/>
                <w:right w:val="none" w:sz="0" w:space="0" w:color="auto"/>
              </w:divBdr>
            </w:div>
            <w:div w:id="146580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776114">
      <w:bodyDiv w:val="1"/>
      <w:marLeft w:val="0"/>
      <w:marRight w:val="0"/>
      <w:marTop w:val="0"/>
      <w:marBottom w:val="0"/>
      <w:divBdr>
        <w:top w:val="none" w:sz="0" w:space="0" w:color="auto"/>
        <w:left w:val="none" w:sz="0" w:space="0" w:color="auto"/>
        <w:bottom w:val="none" w:sz="0" w:space="0" w:color="auto"/>
        <w:right w:val="none" w:sz="0" w:space="0" w:color="auto"/>
      </w:divBdr>
    </w:div>
    <w:div w:id="2073304761">
      <w:bodyDiv w:val="1"/>
      <w:marLeft w:val="0"/>
      <w:marRight w:val="0"/>
      <w:marTop w:val="0"/>
      <w:marBottom w:val="0"/>
      <w:divBdr>
        <w:top w:val="none" w:sz="0" w:space="0" w:color="auto"/>
        <w:left w:val="none" w:sz="0" w:space="0" w:color="auto"/>
        <w:bottom w:val="none" w:sz="0" w:space="0" w:color="auto"/>
        <w:right w:val="none" w:sz="0" w:space="0" w:color="auto"/>
      </w:divBdr>
      <w:divsChild>
        <w:div w:id="488134935">
          <w:marLeft w:val="480"/>
          <w:marRight w:val="0"/>
          <w:marTop w:val="0"/>
          <w:marBottom w:val="0"/>
          <w:divBdr>
            <w:top w:val="none" w:sz="0" w:space="0" w:color="auto"/>
            <w:left w:val="none" w:sz="0" w:space="0" w:color="auto"/>
            <w:bottom w:val="none" w:sz="0" w:space="0" w:color="auto"/>
            <w:right w:val="none" w:sz="0" w:space="0" w:color="auto"/>
          </w:divBdr>
          <w:divsChild>
            <w:div w:id="1132596617">
              <w:marLeft w:val="0"/>
              <w:marRight w:val="0"/>
              <w:marTop w:val="0"/>
              <w:marBottom w:val="240"/>
              <w:divBdr>
                <w:top w:val="none" w:sz="0" w:space="0" w:color="auto"/>
                <w:left w:val="none" w:sz="0" w:space="0" w:color="auto"/>
                <w:bottom w:val="none" w:sz="0" w:space="0" w:color="auto"/>
                <w:right w:val="none" w:sz="0" w:space="0" w:color="auto"/>
              </w:divBdr>
            </w:div>
            <w:div w:id="1281765757">
              <w:marLeft w:val="0"/>
              <w:marRight w:val="0"/>
              <w:marTop w:val="0"/>
              <w:marBottom w:val="240"/>
              <w:divBdr>
                <w:top w:val="none" w:sz="0" w:space="0" w:color="auto"/>
                <w:left w:val="none" w:sz="0" w:space="0" w:color="auto"/>
                <w:bottom w:val="none" w:sz="0" w:space="0" w:color="auto"/>
                <w:right w:val="none" w:sz="0" w:space="0" w:color="auto"/>
              </w:divBdr>
            </w:div>
            <w:div w:id="270357726">
              <w:marLeft w:val="0"/>
              <w:marRight w:val="0"/>
              <w:marTop w:val="0"/>
              <w:marBottom w:val="240"/>
              <w:divBdr>
                <w:top w:val="none" w:sz="0" w:space="0" w:color="auto"/>
                <w:left w:val="none" w:sz="0" w:space="0" w:color="auto"/>
                <w:bottom w:val="none" w:sz="0" w:space="0" w:color="auto"/>
                <w:right w:val="none" w:sz="0" w:space="0" w:color="auto"/>
              </w:divBdr>
            </w:div>
            <w:div w:id="1875457033">
              <w:marLeft w:val="0"/>
              <w:marRight w:val="0"/>
              <w:marTop w:val="0"/>
              <w:marBottom w:val="240"/>
              <w:divBdr>
                <w:top w:val="none" w:sz="0" w:space="0" w:color="auto"/>
                <w:left w:val="none" w:sz="0" w:space="0" w:color="auto"/>
                <w:bottom w:val="none" w:sz="0" w:space="0" w:color="auto"/>
                <w:right w:val="none" w:sz="0" w:space="0" w:color="auto"/>
              </w:divBdr>
            </w:div>
            <w:div w:id="1485124420">
              <w:marLeft w:val="0"/>
              <w:marRight w:val="0"/>
              <w:marTop w:val="0"/>
              <w:marBottom w:val="240"/>
              <w:divBdr>
                <w:top w:val="none" w:sz="0" w:space="0" w:color="auto"/>
                <w:left w:val="none" w:sz="0" w:space="0" w:color="auto"/>
                <w:bottom w:val="none" w:sz="0" w:space="0" w:color="auto"/>
                <w:right w:val="none" w:sz="0" w:space="0" w:color="auto"/>
              </w:divBdr>
            </w:div>
            <w:div w:id="1608535417">
              <w:marLeft w:val="0"/>
              <w:marRight w:val="0"/>
              <w:marTop w:val="0"/>
              <w:marBottom w:val="240"/>
              <w:divBdr>
                <w:top w:val="none" w:sz="0" w:space="0" w:color="auto"/>
                <w:left w:val="none" w:sz="0" w:space="0" w:color="auto"/>
                <w:bottom w:val="none" w:sz="0" w:space="0" w:color="auto"/>
                <w:right w:val="none" w:sz="0" w:space="0" w:color="auto"/>
              </w:divBdr>
            </w:div>
            <w:div w:id="1158808370">
              <w:marLeft w:val="0"/>
              <w:marRight w:val="0"/>
              <w:marTop w:val="0"/>
              <w:marBottom w:val="240"/>
              <w:divBdr>
                <w:top w:val="none" w:sz="0" w:space="0" w:color="auto"/>
                <w:left w:val="none" w:sz="0" w:space="0" w:color="auto"/>
                <w:bottom w:val="none" w:sz="0" w:space="0" w:color="auto"/>
                <w:right w:val="none" w:sz="0" w:space="0" w:color="auto"/>
              </w:divBdr>
            </w:div>
            <w:div w:id="183439927">
              <w:marLeft w:val="0"/>
              <w:marRight w:val="0"/>
              <w:marTop w:val="0"/>
              <w:marBottom w:val="240"/>
              <w:divBdr>
                <w:top w:val="none" w:sz="0" w:space="0" w:color="auto"/>
                <w:left w:val="none" w:sz="0" w:space="0" w:color="auto"/>
                <w:bottom w:val="none" w:sz="0" w:space="0" w:color="auto"/>
                <w:right w:val="none" w:sz="0" w:space="0" w:color="auto"/>
              </w:divBdr>
            </w:div>
            <w:div w:id="1382746746">
              <w:marLeft w:val="0"/>
              <w:marRight w:val="0"/>
              <w:marTop w:val="0"/>
              <w:marBottom w:val="240"/>
              <w:divBdr>
                <w:top w:val="none" w:sz="0" w:space="0" w:color="auto"/>
                <w:left w:val="none" w:sz="0" w:space="0" w:color="auto"/>
                <w:bottom w:val="none" w:sz="0" w:space="0" w:color="auto"/>
                <w:right w:val="none" w:sz="0" w:space="0" w:color="auto"/>
              </w:divBdr>
            </w:div>
            <w:div w:id="1756128663">
              <w:marLeft w:val="0"/>
              <w:marRight w:val="0"/>
              <w:marTop w:val="0"/>
              <w:marBottom w:val="240"/>
              <w:divBdr>
                <w:top w:val="none" w:sz="0" w:space="0" w:color="auto"/>
                <w:left w:val="none" w:sz="0" w:space="0" w:color="auto"/>
                <w:bottom w:val="none" w:sz="0" w:space="0" w:color="auto"/>
                <w:right w:val="none" w:sz="0" w:space="0" w:color="auto"/>
              </w:divBdr>
            </w:div>
            <w:div w:id="1777870165">
              <w:marLeft w:val="0"/>
              <w:marRight w:val="0"/>
              <w:marTop w:val="0"/>
              <w:marBottom w:val="240"/>
              <w:divBdr>
                <w:top w:val="none" w:sz="0" w:space="0" w:color="auto"/>
                <w:left w:val="none" w:sz="0" w:space="0" w:color="auto"/>
                <w:bottom w:val="none" w:sz="0" w:space="0" w:color="auto"/>
                <w:right w:val="none" w:sz="0" w:space="0" w:color="auto"/>
              </w:divBdr>
            </w:div>
            <w:div w:id="1077746417">
              <w:marLeft w:val="0"/>
              <w:marRight w:val="0"/>
              <w:marTop w:val="0"/>
              <w:marBottom w:val="240"/>
              <w:divBdr>
                <w:top w:val="none" w:sz="0" w:space="0" w:color="auto"/>
                <w:left w:val="none" w:sz="0" w:space="0" w:color="auto"/>
                <w:bottom w:val="none" w:sz="0" w:space="0" w:color="auto"/>
                <w:right w:val="none" w:sz="0" w:space="0" w:color="auto"/>
              </w:divBdr>
            </w:div>
            <w:div w:id="283465286">
              <w:marLeft w:val="0"/>
              <w:marRight w:val="0"/>
              <w:marTop w:val="0"/>
              <w:marBottom w:val="240"/>
              <w:divBdr>
                <w:top w:val="none" w:sz="0" w:space="0" w:color="auto"/>
                <w:left w:val="none" w:sz="0" w:space="0" w:color="auto"/>
                <w:bottom w:val="none" w:sz="0" w:space="0" w:color="auto"/>
                <w:right w:val="none" w:sz="0" w:space="0" w:color="auto"/>
              </w:divBdr>
            </w:div>
            <w:div w:id="1831747936">
              <w:marLeft w:val="0"/>
              <w:marRight w:val="0"/>
              <w:marTop w:val="0"/>
              <w:marBottom w:val="240"/>
              <w:divBdr>
                <w:top w:val="none" w:sz="0" w:space="0" w:color="auto"/>
                <w:left w:val="none" w:sz="0" w:space="0" w:color="auto"/>
                <w:bottom w:val="none" w:sz="0" w:space="0" w:color="auto"/>
                <w:right w:val="none" w:sz="0" w:space="0" w:color="auto"/>
              </w:divBdr>
            </w:div>
            <w:div w:id="549458231">
              <w:marLeft w:val="0"/>
              <w:marRight w:val="0"/>
              <w:marTop w:val="0"/>
              <w:marBottom w:val="240"/>
              <w:divBdr>
                <w:top w:val="none" w:sz="0" w:space="0" w:color="auto"/>
                <w:left w:val="none" w:sz="0" w:space="0" w:color="auto"/>
                <w:bottom w:val="none" w:sz="0" w:space="0" w:color="auto"/>
                <w:right w:val="none" w:sz="0" w:space="0" w:color="auto"/>
              </w:divBdr>
            </w:div>
            <w:div w:id="1711497481">
              <w:marLeft w:val="0"/>
              <w:marRight w:val="0"/>
              <w:marTop w:val="0"/>
              <w:marBottom w:val="240"/>
              <w:divBdr>
                <w:top w:val="none" w:sz="0" w:space="0" w:color="auto"/>
                <w:left w:val="none" w:sz="0" w:space="0" w:color="auto"/>
                <w:bottom w:val="none" w:sz="0" w:space="0" w:color="auto"/>
                <w:right w:val="none" w:sz="0" w:space="0" w:color="auto"/>
              </w:divBdr>
            </w:div>
            <w:div w:id="825367178">
              <w:marLeft w:val="0"/>
              <w:marRight w:val="0"/>
              <w:marTop w:val="0"/>
              <w:marBottom w:val="240"/>
              <w:divBdr>
                <w:top w:val="none" w:sz="0" w:space="0" w:color="auto"/>
                <w:left w:val="none" w:sz="0" w:space="0" w:color="auto"/>
                <w:bottom w:val="none" w:sz="0" w:space="0" w:color="auto"/>
                <w:right w:val="none" w:sz="0" w:space="0" w:color="auto"/>
              </w:divBdr>
            </w:div>
            <w:div w:id="825978522">
              <w:marLeft w:val="0"/>
              <w:marRight w:val="0"/>
              <w:marTop w:val="0"/>
              <w:marBottom w:val="240"/>
              <w:divBdr>
                <w:top w:val="none" w:sz="0" w:space="0" w:color="auto"/>
                <w:left w:val="none" w:sz="0" w:space="0" w:color="auto"/>
                <w:bottom w:val="none" w:sz="0" w:space="0" w:color="auto"/>
                <w:right w:val="none" w:sz="0" w:space="0" w:color="auto"/>
              </w:divBdr>
            </w:div>
            <w:div w:id="832450780">
              <w:marLeft w:val="0"/>
              <w:marRight w:val="0"/>
              <w:marTop w:val="0"/>
              <w:marBottom w:val="240"/>
              <w:divBdr>
                <w:top w:val="none" w:sz="0" w:space="0" w:color="auto"/>
                <w:left w:val="none" w:sz="0" w:space="0" w:color="auto"/>
                <w:bottom w:val="none" w:sz="0" w:space="0" w:color="auto"/>
                <w:right w:val="none" w:sz="0" w:space="0" w:color="auto"/>
              </w:divBdr>
            </w:div>
            <w:div w:id="1836339345">
              <w:marLeft w:val="0"/>
              <w:marRight w:val="0"/>
              <w:marTop w:val="0"/>
              <w:marBottom w:val="240"/>
              <w:divBdr>
                <w:top w:val="none" w:sz="0" w:space="0" w:color="auto"/>
                <w:left w:val="none" w:sz="0" w:space="0" w:color="auto"/>
                <w:bottom w:val="none" w:sz="0" w:space="0" w:color="auto"/>
                <w:right w:val="none" w:sz="0" w:space="0" w:color="auto"/>
              </w:divBdr>
            </w:div>
            <w:div w:id="1944535355">
              <w:marLeft w:val="0"/>
              <w:marRight w:val="0"/>
              <w:marTop w:val="0"/>
              <w:marBottom w:val="240"/>
              <w:divBdr>
                <w:top w:val="none" w:sz="0" w:space="0" w:color="auto"/>
                <w:left w:val="none" w:sz="0" w:space="0" w:color="auto"/>
                <w:bottom w:val="none" w:sz="0" w:space="0" w:color="auto"/>
                <w:right w:val="none" w:sz="0" w:space="0" w:color="auto"/>
              </w:divBdr>
            </w:div>
            <w:div w:id="2111002032">
              <w:marLeft w:val="0"/>
              <w:marRight w:val="0"/>
              <w:marTop w:val="0"/>
              <w:marBottom w:val="240"/>
              <w:divBdr>
                <w:top w:val="none" w:sz="0" w:space="0" w:color="auto"/>
                <w:left w:val="none" w:sz="0" w:space="0" w:color="auto"/>
                <w:bottom w:val="none" w:sz="0" w:space="0" w:color="auto"/>
                <w:right w:val="none" w:sz="0" w:space="0" w:color="auto"/>
              </w:divBdr>
            </w:div>
            <w:div w:id="1893230399">
              <w:marLeft w:val="0"/>
              <w:marRight w:val="0"/>
              <w:marTop w:val="0"/>
              <w:marBottom w:val="240"/>
              <w:divBdr>
                <w:top w:val="none" w:sz="0" w:space="0" w:color="auto"/>
                <w:left w:val="none" w:sz="0" w:space="0" w:color="auto"/>
                <w:bottom w:val="none" w:sz="0" w:space="0" w:color="auto"/>
                <w:right w:val="none" w:sz="0" w:space="0" w:color="auto"/>
              </w:divBdr>
            </w:div>
            <w:div w:id="6754211">
              <w:marLeft w:val="0"/>
              <w:marRight w:val="0"/>
              <w:marTop w:val="0"/>
              <w:marBottom w:val="240"/>
              <w:divBdr>
                <w:top w:val="none" w:sz="0" w:space="0" w:color="auto"/>
                <w:left w:val="none" w:sz="0" w:space="0" w:color="auto"/>
                <w:bottom w:val="none" w:sz="0" w:space="0" w:color="auto"/>
                <w:right w:val="none" w:sz="0" w:space="0" w:color="auto"/>
              </w:divBdr>
            </w:div>
            <w:div w:id="1613510669">
              <w:marLeft w:val="0"/>
              <w:marRight w:val="0"/>
              <w:marTop w:val="0"/>
              <w:marBottom w:val="240"/>
              <w:divBdr>
                <w:top w:val="none" w:sz="0" w:space="0" w:color="auto"/>
                <w:left w:val="none" w:sz="0" w:space="0" w:color="auto"/>
                <w:bottom w:val="none" w:sz="0" w:space="0" w:color="auto"/>
                <w:right w:val="none" w:sz="0" w:space="0" w:color="auto"/>
              </w:divBdr>
            </w:div>
            <w:div w:id="1872914057">
              <w:marLeft w:val="0"/>
              <w:marRight w:val="0"/>
              <w:marTop w:val="0"/>
              <w:marBottom w:val="240"/>
              <w:divBdr>
                <w:top w:val="none" w:sz="0" w:space="0" w:color="auto"/>
                <w:left w:val="none" w:sz="0" w:space="0" w:color="auto"/>
                <w:bottom w:val="none" w:sz="0" w:space="0" w:color="auto"/>
                <w:right w:val="none" w:sz="0" w:space="0" w:color="auto"/>
              </w:divBdr>
            </w:div>
            <w:div w:id="1039550657">
              <w:marLeft w:val="0"/>
              <w:marRight w:val="0"/>
              <w:marTop w:val="0"/>
              <w:marBottom w:val="240"/>
              <w:divBdr>
                <w:top w:val="none" w:sz="0" w:space="0" w:color="auto"/>
                <w:left w:val="none" w:sz="0" w:space="0" w:color="auto"/>
                <w:bottom w:val="none" w:sz="0" w:space="0" w:color="auto"/>
                <w:right w:val="none" w:sz="0" w:space="0" w:color="auto"/>
              </w:divBdr>
            </w:div>
            <w:div w:id="530538105">
              <w:marLeft w:val="0"/>
              <w:marRight w:val="0"/>
              <w:marTop w:val="0"/>
              <w:marBottom w:val="240"/>
              <w:divBdr>
                <w:top w:val="none" w:sz="0" w:space="0" w:color="auto"/>
                <w:left w:val="none" w:sz="0" w:space="0" w:color="auto"/>
                <w:bottom w:val="none" w:sz="0" w:space="0" w:color="auto"/>
                <w:right w:val="none" w:sz="0" w:space="0" w:color="auto"/>
              </w:divBdr>
            </w:div>
            <w:div w:id="1718240832">
              <w:marLeft w:val="0"/>
              <w:marRight w:val="0"/>
              <w:marTop w:val="0"/>
              <w:marBottom w:val="240"/>
              <w:divBdr>
                <w:top w:val="none" w:sz="0" w:space="0" w:color="auto"/>
                <w:left w:val="none" w:sz="0" w:space="0" w:color="auto"/>
                <w:bottom w:val="none" w:sz="0" w:space="0" w:color="auto"/>
                <w:right w:val="none" w:sz="0" w:space="0" w:color="auto"/>
              </w:divBdr>
            </w:div>
            <w:div w:id="802117656">
              <w:marLeft w:val="0"/>
              <w:marRight w:val="0"/>
              <w:marTop w:val="0"/>
              <w:marBottom w:val="240"/>
              <w:divBdr>
                <w:top w:val="none" w:sz="0" w:space="0" w:color="auto"/>
                <w:left w:val="none" w:sz="0" w:space="0" w:color="auto"/>
                <w:bottom w:val="none" w:sz="0" w:space="0" w:color="auto"/>
                <w:right w:val="none" w:sz="0" w:space="0" w:color="auto"/>
              </w:divBdr>
            </w:div>
            <w:div w:id="736783701">
              <w:marLeft w:val="0"/>
              <w:marRight w:val="0"/>
              <w:marTop w:val="0"/>
              <w:marBottom w:val="240"/>
              <w:divBdr>
                <w:top w:val="none" w:sz="0" w:space="0" w:color="auto"/>
                <w:left w:val="none" w:sz="0" w:space="0" w:color="auto"/>
                <w:bottom w:val="none" w:sz="0" w:space="0" w:color="auto"/>
                <w:right w:val="none" w:sz="0" w:space="0" w:color="auto"/>
              </w:divBdr>
            </w:div>
            <w:div w:id="2029133083">
              <w:marLeft w:val="0"/>
              <w:marRight w:val="0"/>
              <w:marTop w:val="0"/>
              <w:marBottom w:val="240"/>
              <w:divBdr>
                <w:top w:val="none" w:sz="0" w:space="0" w:color="auto"/>
                <w:left w:val="none" w:sz="0" w:space="0" w:color="auto"/>
                <w:bottom w:val="none" w:sz="0" w:space="0" w:color="auto"/>
                <w:right w:val="none" w:sz="0" w:space="0" w:color="auto"/>
              </w:divBdr>
            </w:div>
            <w:div w:id="741677057">
              <w:marLeft w:val="0"/>
              <w:marRight w:val="0"/>
              <w:marTop w:val="0"/>
              <w:marBottom w:val="240"/>
              <w:divBdr>
                <w:top w:val="none" w:sz="0" w:space="0" w:color="auto"/>
                <w:left w:val="none" w:sz="0" w:space="0" w:color="auto"/>
                <w:bottom w:val="none" w:sz="0" w:space="0" w:color="auto"/>
                <w:right w:val="none" w:sz="0" w:space="0" w:color="auto"/>
              </w:divBdr>
            </w:div>
            <w:div w:id="1690833785">
              <w:marLeft w:val="0"/>
              <w:marRight w:val="0"/>
              <w:marTop w:val="0"/>
              <w:marBottom w:val="240"/>
              <w:divBdr>
                <w:top w:val="none" w:sz="0" w:space="0" w:color="auto"/>
                <w:left w:val="none" w:sz="0" w:space="0" w:color="auto"/>
                <w:bottom w:val="none" w:sz="0" w:space="0" w:color="auto"/>
                <w:right w:val="none" w:sz="0" w:space="0" w:color="auto"/>
              </w:divBdr>
            </w:div>
            <w:div w:id="508256892">
              <w:marLeft w:val="0"/>
              <w:marRight w:val="0"/>
              <w:marTop w:val="0"/>
              <w:marBottom w:val="240"/>
              <w:divBdr>
                <w:top w:val="none" w:sz="0" w:space="0" w:color="auto"/>
                <w:left w:val="none" w:sz="0" w:space="0" w:color="auto"/>
                <w:bottom w:val="none" w:sz="0" w:space="0" w:color="auto"/>
                <w:right w:val="none" w:sz="0" w:space="0" w:color="auto"/>
              </w:divBdr>
            </w:div>
            <w:div w:id="1478571123">
              <w:marLeft w:val="0"/>
              <w:marRight w:val="0"/>
              <w:marTop w:val="0"/>
              <w:marBottom w:val="240"/>
              <w:divBdr>
                <w:top w:val="none" w:sz="0" w:space="0" w:color="auto"/>
                <w:left w:val="none" w:sz="0" w:space="0" w:color="auto"/>
                <w:bottom w:val="none" w:sz="0" w:space="0" w:color="auto"/>
                <w:right w:val="none" w:sz="0" w:space="0" w:color="auto"/>
              </w:divBdr>
            </w:div>
            <w:div w:id="796879279">
              <w:marLeft w:val="0"/>
              <w:marRight w:val="0"/>
              <w:marTop w:val="0"/>
              <w:marBottom w:val="240"/>
              <w:divBdr>
                <w:top w:val="none" w:sz="0" w:space="0" w:color="auto"/>
                <w:left w:val="none" w:sz="0" w:space="0" w:color="auto"/>
                <w:bottom w:val="none" w:sz="0" w:space="0" w:color="auto"/>
                <w:right w:val="none" w:sz="0" w:space="0" w:color="auto"/>
              </w:divBdr>
            </w:div>
            <w:div w:id="2142385230">
              <w:marLeft w:val="0"/>
              <w:marRight w:val="0"/>
              <w:marTop w:val="0"/>
              <w:marBottom w:val="240"/>
              <w:divBdr>
                <w:top w:val="none" w:sz="0" w:space="0" w:color="auto"/>
                <w:left w:val="none" w:sz="0" w:space="0" w:color="auto"/>
                <w:bottom w:val="none" w:sz="0" w:space="0" w:color="auto"/>
                <w:right w:val="none" w:sz="0" w:space="0" w:color="auto"/>
              </w:divBdr>
            </w:div>
            <w:div w:id="541014796">
              <w:marLeft w:val="0"/>
              <w:marRight w:val="0"/>
              <w:marTop w:val="0"/>
              <w:marBottom w:val="240"/>
              <w:divBdr>
                <w:top w:val="none" w:sz="0" w:space="0" w:color="auto"/>
                <w:left w:val="none" w:sz="0" w:space="0" w:color="auto"/>
                <w:bottom w:val="none" w:sz="0" w:space="0" w:color="auto"/>
                <w:right w:val="none" w:sz="0" w:space="0" w:color="auto"/>
              </w:divBdr>
            </w:div>
            <w:div w:id="1379475640">
              <w:marLeft w:val="0"/>
              <w:marRight w:val="0"/>
              <w:marTop w:val="0"/>
              <w:marBottom w:val="240"/>
              <w:divBdr>
                <w:top w:val="none" w:sz="0" w:space="0" w:color="auto"/>
                <w:left w:val="none" w:sz="0" w:space="0" w:color="auto"/>
                <w:bottom w:val="none" w:sz="0" w:space="0" w:color="auto"/>
                <w:right w:val="none" w:sz="0" w:space="0" w:color="auto"/>
              </w:divBdr>
            </w:div>
            <w:div w:id="938105574">
              <w:marLeft w:val="0"/>
              <w:marRight w:val="0"/>
              <w:marTop w:val="0"/>
              <w:marBottom w:val="240"/>
              <w:divBdr>
                <w:top w:val="none" w:sz="0" w:space="0" w:color="auto"/>
                <w:left w:val="none" w:sz="0" w:space="0" w:color="auto"/>
                <w:bottom w:val="none" w:sz="0" w:space="0" w:color="auto"/>
                <w:right w:val="none" w:sz="0" w:space="0" w:color="auto"/>
              </w:divBdr>
            </w:div>
            <w:div w:id="1122770463">
              <w:marLeft w:val="0"/>
              <w:marRight w:val="0"/>
              <w:marTop w:val="0"/>
              <w:marBottom w:val="240"/>
              <w:divBdr>
                <w:top w:val="none" w:sz="0" w:space="0" w:color="auto"/>
                <w:left w:val="none" w:sz="0" w:space="0" w:color="auto"/>
                <w:bottom w:val="none" w:sz="0" w:space="0" w:color="auto"/>
                <w:right w:val="none" w:sz="0" w:space="0" w:color="auto"/>
              </w:divBdr>
            </w:div>
            <w:div w:id="525097245">
              <w:marLeft w:val="0"/>
              <w:marRight w:val="0"/>
              <w:marTop w:val="0"/>
              <w:marBottom w:val="240"/>
              <w:divBdr>
                <w:top w:val="none" w:sz="0" w:space="0" w:color="auto"/>
                <w:left w:val="none" w:sz="0" w:space="0" w:color="auto"/>
                <w:bottom w:val="none" w:sz="0" w:space="0" w:color="auto"/>
                <w:right w:val="none" w:sz="0" w:space="0" w:color="auto"/>
              </w:divBdr>
            </w:div>
            <w:div w:id="1504247957">
              <w:marLeft w:val="0"/>
              <w:marRight w:val="0"/>
              <w:marTop w:val="0"/>
              <w:marBottom w:val="240"/>
              <w:divBdr>
                <w:top w:val="none" w:sz="0" w:space="0" w:color="auto"/>
                <w:left w:val="none" w:sz="0" w:space="0" w:color="auto"/>
                <w:bottom w:val="none" w:sz="0" w:space="0" w:color="auto"/>
                <w:right w:val="none" w:sz="0" w:space="0" w:color="auto"/>
              </w:divBdr>
            </w:div>
            <w:div w:id="1406292964">
              <w:marLeft w:val="0"/>
              <w:marRight w:val="0"/>
              <w:marTop w:val="0"/>
              <w:marBottom w:val="240"/>
              <w:divBdr>
                <w:top w:val="none" w:sz="0" w:space="0" w:color="auto"/>
                <w:left w:val="none" w:sz="0" w:space="0" w:color="auto"/>
                <w:bottom w:val="none" w:sz="0" w:space="0" w:color="auto"/>
                <w:right w:val="none" w:sz="0" w:space="0" w:color="auto"/>
              </w:divBdr>
            </w:div>
            <w:div w:id="1720129338">
              <w:marLeft w:val="0"/>
              <w:marRight w:val="0"/>
              <w:marTop w:val="0"/>
              <w:marBottom w:val="240"/>
              <w:divBdr>
                <w:top w:val="none" w:sz="0" w:space="0" w:color="auto"/>
                <w:left w:val="none" w:sz="0" w:space="0" w:color="auto"/>
                <w:bottom w:val="none" w:sz="0" w:space="0" w:color="auto"/>
                <w:right w:val="none" w:sz="0" w:space="0" w:color="auto"/>
              </w:divBdr>
            </w:div>
            <w:div w:id="595674000">
              <w:marLeft w:val="0"/>
              <w:marRight w:val="0"/>
              <w:marTop w:val="0"/>
              <w:marBottom w:val="240"/>
              <w:divBdr>
                <w:top w:val="none" w:sz="0" w:space="0" w:color="auto"/>
                <w:left w:val="none" w:sz="0" w:space="0" w:color="auto"/>
                <w:bottom w:val="none" w:sz="0" w:space="0" w:color="auto"/>
                <w:right w:val="none" w:sz="0" w:space="0" w:color="auto"/>
              </w:divBdr>
            </w:div>
            <w:div w:id="409617159">
              <w:marLeft w:val="0"/>
              <w:marRight w:val="0"/>
              <w:marTop w:val="0"/>
              <w:marBottom w:val="240"/>
              <w:divBdr>
                <w:top w:val="none" w:sz="0" w:space="0" w:color="auto"/>
                <w:left w:val="none" w:sz="0" w:space="0" w:color="auto"/>
                <w:bottom w:val="none" w:sz="0" w:space="0" w:color="auto"/>
                <w:right w:val="none" w:sz="0" w:space="0" w:color="auto"/>
              </w:divBdr>
            </w:div>
            <w:div w:id="1999994735">
              <w:marLeft w:val="0"/>
              <w:marRight w:val="0"/>
              <w:marTop w:val="0"/>
              <w:marBottom w:val="240"/>
              <w:divBdr>
                <w:top w:val="none" w:sz="0" w:space="0" w:color="auto"/>
                <w:left w:val="none" w:sz="0" w:space="0" w:color="auto"/>
                <w:bottom w:val="none" w:sz="0" w:space="0" w:color="auto"/>
                <w:right w:val="none" w:sz="0" w:space="0" w:color="auto"/>
              </w:divBdr>
            </w:div>
            <w:div w:id="1822580851">
              <w:marLeft w:val="0"/>
              <w:marRight w:val="0"/>
              <w:marTop w:val="0"/>
              <w:marBottom w:val="240"/>
              <w:divBdr>
                <w:top w:val="none" w:sz="0" w:space="0" w:color="auto"/>
                <w:left w:val="none" w:sz="0" w:space="0" w:color="auto"/>
                <w:bottom w:val="none" w:sz="0" w:space="0" w:color="auto"/>
                <w:right w:val="none" w:sz="0" w:space="0" w:color="auto"/>
              </w:divBdr>
            </w:div>
            <w:div w:id="1206721419">
              <w:marLeft w:val="0"/>
              <w:marRight w:val="0"/>
              <w:marTop w:val="0"/>
              <w:marBottom w:val="240"/>
              <w:divBdr>
                <w:top w:val="none" w:sz="0" w:space="0" w:color="auto"/>
                <w:left w:val="none" w:sz="0" w:space="0" w:color="auto"/>
                <w:bottom w:val="none" w:sz="0" w:space="0" w:color="auto"/>
                <w:right w:val="none" w:sz="0" w:space="0" w:color="auto"/>
              </w:divBdr>
            </w:div>
            <w:div w:id="862129233">
              <w:marLeft w:val="0"/>
              <w:marRight w:val="0"/>
              <w:marTop w:val="0"/>
              <w:marBottom w:val="240"/>
              <w:divBdr>
                <w:top w:val="none" w:sz="0" w:space="0" w:color="auto"/>
                <w:left w:val="none" w:sz="0" w:space="0" w:color="auto"/>
                <w:bottom w:val="none" w:sz="0" w:space="0" w:color="auto"/>
                <w:right w:val="none" w:sz="0" w:space="0" w:color="auto"/>
              </w:divBdr>
            </w:div>
            <w:div w:id="198473720">
              <w:marLeft w:val="0"/>
              <w:marRight w:val="0"/>
              <w:marTop w:val="0"/>
              <w:marBottom w:val="240"/>
              <w:divBdr>
                <w:top w:val="none" w:sz="0" w:space="0" w:color="auto"/>
                <w:left w:val="none" w:sz="0" w:space="0" w:color="auto"/>
                <w:bottom w:val="none" w:sz="0" w:space="0" w:color="auto"/>
                <w:right w:val="none" w:sz="0" w:space="0" w:color="auto"/>
              </w:divBdr>
            </w:div>
            <w:div w:id="308021570">
              <w:marLeft w:val="0"/>
              <w:marRight w:val="0"/>
              <w:marTop w:val="0"/>
              <w:marBottom w:val="240"/>
              <w:divBdr>
                <w:top w:val="none" w:sz="0" w:space="0" w:color="auto"/>
                <w:left w:val="none" w:sz="0" w:space="0" w:color="auto"/>
                <w:bottom w:val="none" w:sz="0" w:space="0" w:color="auto"/>
                <w:right w:val="none" w:sz="0" w:space="0" w:color="auto"/>
              </w:divBdr>
            </w:div>
            <w:div w:id="717818226">
              <w:marLeft w:val="0"/>
              <w:marRight w:val="0"/>
              <w:marTop w:val="0"/>
              <w:marBottom w:val="240"/>
              <w:divBdr>
                <w:top w:val="none" w:sz="0" w:space="0" w:color="auto"/>
                <w:left w:val="none" w:sz="0" w:space="0" w:color="auto"/>
                <w:bottom w:val="none" w:sz="0" w:space="0" w:color="auto"/>
                <w:right w:val="none" w:sz="0" w:space="0" w:color="auto"/>
              </w:divBdr>
            </w:div>
            <w:div w:id="1821270033">
              <w:marLeft w:val="0"/>
              <w:marRight w:val="0"/>
              <w:marTop w:val="0"/>
              <w:marBottom w:val="240"/>
              <w:divBdr>
                <w:top w:val="none" w:sz="0" w:space="0" w:color="auto"/>
                <w:left w:val="none" w:sz="0" w:space="0" w:color="auto"/>
                <w:bottom w:val="none" w:sz="0" w:space="0" w:color="auto"/>
                <w:right w:val="none" w:sz="0" w:space="0" w:color="auto"/>
              </w:divBdr>
            </w:div>
            <w:div w:id="2133135037">
              <w:marLeft w:val="0"/>
              <w:marRight w:val="0"/>
              <w:marTop w:val="0"/>
              <w:marBottom w:val="240"/>
              <w:divBdr>
                <w:top w:val="none" w:sz="0" w:space="0" w:color="auto"/>
                <w:left w:val="none" w:sz="0" w:space="0" w:color="auto"/>
                <w:bottom w:val="none" w:sz="0" w:space="0" w:color="auto"/>
                <w:right w:val="none" w:sz="0" w:space="0" w:color="auto"/>
              </w:divBdr>
            </w:div>
            <w:div w:id="1779641475">
              <w:marLeft w:val="0"/>
              <w:marRight w:val="0"/>
              <w:marTop w:val="0"/>
              <w:marBottom w:val="240"/>
              <w:divBdr>
                <w:top w:val="none" w:sz="0" w:space="0" w:color="auto"/>
                <w:left w:val="none" w:sz="0" w:space="0" w:color="auto"/>
                <w:bottom w:val="none" w:sz="0" w:space="0" w:color="auto"/>
                <w:right w:val="none" w:sz="0" w:space="0" w:color="auto"/>
              </w:divBdr>
            </w:div>
            <w:div w:id="541943263">
              <w:marLeft w:val="0"/>
              <w:marRight w:val="0"/>
              <w:marTop w:val="0"/>
              <w:marBottom w:val="240"/>
              <w:divBdr>
                <w:top w:val="none" w:sz="0" w:space="0" w:color="auto"/>
                <w:left w:val="none" w:sz="0" w:space="0" w:color="auto"/>
                <w:bottom w:val="none" w:sz="0" w:space="0" w:color="auto"/>
                <w:right w:val="none" w:sz="0" w:space="0" w:color="auto"/>
              </w:divBdr>
            </w:div>
            <w:div w:id="963577099">
              <w:marLeft w:val="0"/>
              <w:marRight w:val="0"/>
              <w:marTop w:val="0"/>
              <w:marBottom w:val="240"/>
              <w:divBdr>
                <w:top w:val="none" w:sz="0" w:space="0" w:color="auto"/>
                <w:left w:val="none" w:sz="0" w:space="0" w:color="auto"/>
                <w:bottom w:val="none" w:sz="0" w:space="0" w:color="auto"/>
                <w:right w:val="none" w:sz="0" w:space="0" w:color="auto"/>
              </w:divBdr>
            </w:div>
            <w:div w:id="1867059019">
              <w:marLeft w:val="0"/>
              <w:marRight w:val="0"/>
              <w:marTop w:val="0"/>
              <w:marBottom w:val="240"/>
              <w:divBdr>
                <w:top w:val="none" w:sz="0" w:space="0" w:color="auto"/>
                <w:left w:val="none" w:sz="0" w:space="0" w:color="auto"/>
                <w:bottom w:val="none" w:sz="0" w:space="0" w:color="auto"/>
                <w:right w:val="none" w:sz="0" w:space="0" w:color="auto"/>
              </w:divBdr>
            </w:div>
            <w:div w:id="1136529659">
              <w:marLeft w:val="0"/>
              <w:marRight w:val="0"/>
              <w:marTop w:val="0"/>
              <w:marBottom w:val="240"/>
              <w:divBdr>
                <w:top w:val="none" w:sz="0" w:space="0" w:color="auto"/>
                <w:left w:val="none" w:sz="0" w:space="0" w:color="auto"/>
                <w:bottom w:val="none" w:sz="0" w:space="0" w:color="auto"/>
                <w:right w:val="none" w:sz="0" w:space="0" w:color="auto"/>
              </w:divBdr>
            </w:div>
            <w:div w:id="1952472641">
              <w:marLeft w:val="0"/>
              <w:marRight w:val="0"/>
              <w:marTop w:val="0"/>
              <w:marBottom w:val="240"/>
              <w:divBdr>
                <w:top w:val="none" w:sz="0" w:space="0" w:color="auto"/>
                <w:left w:val="none" w:sz="0" w:space="0" w:color="auto"/>
                <w:bottom w:val="none" w:sz="0" w:space="0" w:color="auto"/>
                <w:right w:val="none" w:sz="0" w:space="0" w:color="auto"/>
              </w:divBdr>
            </w:div>
            <w:div w:id="47648319">
              <w:marLeft w:val="0"/>
              <w:marRight w:val="0"/>
              <w:marTop w:val="0"/>
              <w:marBottom w:val="240"/>
              <w:divBdr>
                <w:top w:val="none" w:sz="0" w:space="0" w:color="auto"/>
                <w:left w:val="none" w:sz="0" w:space="0" w:color="auto"/>
                <w:bottom w:val="none" w:sz="0" w:space="0" w:color="auto"/>
                <w:right w:val="none" w:sz="0" w:space="0" w:color="auto"/>
              </w:divBdr>
            </w:div>
            <w:div w:id="231429756">
              <w:marLeft w:val="0"/>
              <w:marRight w:val="0"/>
              <w:marTop w:val="0"/>
              <w:marBottom w:val="240"/>
              <w:divBdr>
                <w:top w:val="none" w:sz="0" w:space="0" w:color="auto"/>
                <w:left w:val="none" w:sz="0" w:space="0" w:color="auto"/>
                <w:bottom w:val="none" w:sz="0" w:space="0" w:color="auto"/>
                <w:right w:val="none" w:sz="0" w:space="0" w:color="auto"/>
              </w:divBdr>
            </w:div>
            <w:div w:id="2097939599">
              <w:marLeft w:val="0"/>
              <w:marRight w:val="0"/>
              <w:marTop w:val="0"/>
              <w:marBottom w:val="240"/>
              <w:divBdr>
                <w:top w:val="none" w:sz="0" w:space="0" w:color="auto"/>
                <w:left w:val="none" w:sz="0" w:space="0" w:color="auto"/>
                <w:bottom w:val="none" w:sz="0" w:space="0" w:color="auto"/>
                <w:right w:val="none" w:sz="0" w:space="0" w:color="auto"/>
              </w:divBdr>
            </w:div>
            <w:div w:id="1780251728">
              <w:marLeft w:val="0"/>
              <w:marRight w:val="0"/>
              <w:marTop w:val="0"/>
              <w:marBottom w:val="240"/>
              <w:divBdr>
                <w:top w:val="none" w:sz="0" w:space="0" w:color="auto"/>
                <w:left w:val="none" w:sz="0" w:space="0" w:color="auto"/>
                <w:bottom w:val="none" w:sz="0" w:space="0" w:color="auto"/>
                <w:right w:val="none" w:sz="0" w:space="0" w:color="auto"/>
              </w:divBdr>
            </w:div>
            <w:div w:id="1086923195">
              <w:marLeft w:val="0"/>
              <w:marRight w:val="0"/>
              <w:marTop w:val="0"/>
              <w:marBottom w:val="240"/>
              <w:divBdr>
                <w:top w:val="none" w:sz="0" w:space="0" w:color="auto"/>
                <w:left w:val="none" w:sz="0" w:space="0" w:color="auto"/>
                <w:bottom w:val="none" w:sz="0" w:space="0" w:color="auto"/>
                <w:right w:val="none" w:sz="0" w:space="0" w:color="auto"/>
              </w:divBdr>
            </w:div>
            <w:div w:id="517936141">
              <w:marLeft w:val="0"/>
              <w:marRight w:val="0"/>
              <w:marTop w:val="0"/>
              <w:marBottom w:val="240"/>
              <w:divBdr>
                <w:top w:val="none" w:sz="0" w:space="0" w:color="auto"/>
                <w:left w:val="none" w:sz="0" w:space="0" w:color="auto"/>
                <w:bottom w:val="none" w:sz="0" w:space="0" w:color="auto"/>
                <w:right w:val="none" w:sz="0" w:space="0" w:color="auto"/>
              </w:divBdr>
            </w:div>
            <w:div w:id="1460538609">
              <w:marLeft w:val="0"/>
              <w:marRight w:val="0"/>
              <w:marTop w:val="0"/>
              <w:marBottom w:val="240"/>
              <w:divBdr>
                <w:top w:val="none" w:sz="0" w:space="0" w:color="auto"/>
                <w:left w:val="none" w:sz="0" w:space="0" w:color="auto"/>
                <w:bottom w:val="none" w:sz="0" w:space="0" w:color="auto"/>
                <w:right w:val="none" w:sz="0" w:space="0" w:color="auto"/>
              </w:divBdr>
            </w:div>
            <w:div w:id="1953512444">
              <w:marLeft w:val="0"/>
              <w:marRight w:val="0"/>
              <w:marTop w:val="0"/>
              <w:marBottom w:val="240"/>
              <w:divBdr>
                <w:top w:val="none" w:sz="0" w:space="0" w:color="auto"/>
                <w:left w:val="none" w:sz="0" w:space="0" w:color="auto"/>
                <w:bottom w:val="none" w:sz="0" w:space="0" w:color="auto"/>
                <w:right w:val="none" w:sz="0" w:space="0" w:color="auto"/>
              </w:divBdr>
            </w:div>
            <w:div w:id="1129855606">
              <w:marLeft w:val="0"/>
              <w:marRight w:val="0"/>
              <w:marTop w:val="0"/>
              <w:marBottom w:val="240"/>
              <w:divBdr>
                <w:top w:val="none" w:sz="0" w:space="0" w:color="auto"/>
                <w:left w:val="none" w:sz="0" w:space="0" w:color="auto"/>
                <w:bottom w:val="none" w:sz="0" w:space="0" w:color="auto"/>
                <w:right w:val="none" w:sz="0" w:space="0" w:color="auto"/>
              </w:divBdr>
            </w:div>
            <w:div w:id="1220939145">
              <w:marLeft w:val="0"/>
              <w:marRight w:val="0"/>
              <w:marTop w:val="0"/>
              <w:marBottom w:val="240"/>
              <w:divBdr>
                <w:top w:val="none" w:sz="0" w:space="0" w:color="auto"/>
                <w:left w:val="none" w:sz="0" w:space="0" w:color="auto"/>
                <w:bottom w:val="none" w:sz="0" w:space="0" w:color="auto"/>
                <w:right w:val="none" w:sz="0" w:space="0" w:color="auto"/>
              </w:divBdr>
            </w:div>
            <w:div w:id="1116557005">
              <w:marLeft w:val="0"/>
              <w:marRight w:val="0"/>
              <w:marTop w:val="0"/>
              <w:marBottom w:val="240"/>
              <w:divBdr>
                <w:top w:val="none" w:sz="0" w:space="0" w:color="auto"/>
                <w:left w:val="none" w:sz="0" w:space="0" w:color="auto"/>
                <w:bottom w:val="none" w:sz="0" w:space="0" w:color="auto"/>
                <w:right w:val="none" w:sz="0" w:space="0" w:color="auto"/>
              </w:divBdr>
            </w:div>
            <w:div w:id="518397110">
              <w:marLeft w:val="0"/>
              <w:marRight w:val="0"/>
              <w:marTop w:val="0"/>
              <w:marBottom w:val="240"/>
              <w:divBdr>
                <w:top w:val="none" w:sz="0" w:space="0" w:color="auto"/>
                <w:left w:val="none" w:sz="0" w:space="0" w:color="auto"/>
                <w:bottom w:val="none" w:sz="0" w:space="0" w:color="auto"/>
                <w:right w:val="none" w:sz="0" w:space="0" w:color="auto"/>
              </w:divBdr>
            </w:div>
            <w:div w:id="346836191">
              <w:marLeft w:val="0"/>
              <w:marRight w:val="0"/>
              <w:marTop w:val="0"/>
              <w:marBottom w:val="240"/>
              <w:divBdr>
                <w:top w:val="none" w:sz="0" w:space="0" w:color="auto"/>
                <w:left w:val="none" w:sz="0" w:space="0" w:color="auto"/>
                <w:bottom w:val="none" w:sz="0" w:space="0" w:color="auto"/>
                <w:right w:val="none" w:sz="0" w:space="0" w:color="auto"/>
              </w:divBdr>
            </w:div>
            <w:div w:id="864947516">
              <w:marLeft w:val="0"/>
              <w:marRight w:val="0"/>
              <w:marTop w:val="0"/>
              <w:marBottom w:val="240"/>
              <w:divBdr>
                <w:top w:val="none" w:sz="0" w:space="0" w:color="auto"/>
                <w:left w:val="none" w:sz="0" w:space="0" w:color="auto"/>
                <w:bottom w:val="none" w:sz="0" w:space="0" w:color="auto"/>
                <w:right w:val="none" w:sz="0" w:space="0" w:color="auto"/>
              </w:divBdr>
            </w:div>
            <w:div w:id="1375887657">
              <w:marLeft w:val="0"/>
              <w:marRight w:val="0"/>
              <w:marTop w:val="0"/>
              <w:marBottom w:val="240"/>
              <w:divBdr>
                <w:top w:val="none" w:sz="0" w:space="0" w:color="auto"/>
                <w:left w:val="none" w:sz="0" w:space="0" w:color="auto"/>
                <w:bottom w:val="none" w:sz="0" w:space="0" w:color="auto"/>
                <w:right w:val="none" w:sz="0" w:space="0" w:color="auto"/>
              </w:divBdr>
            </w:div>
            <w:div w:id="248125311">
              <w:marLeft w:val="0"/>
              <w:marRight w:val="0"/>
              <w:marTop w:val="0"/>
              <w:marBottom w:val="240"/>
              <w:divBdr>
                <w:top w:val="none" w:sz="0" w:space="0" w:color="auto"/>
                <w:left w:val="none" w:sz="0" w:space="0" w:color="auto"/>
                <w:bottom w:val="none" w:sz="0" w:space="0" w:color="auto"/>
                <w:right w:val="none" w:sz="0" w:space="0" w:color="auto"/>
              </w:divBdr>
            </w:div>
            <w:div w:id="1652903884">
              <w:marLeft w:val="0"/>
              <w:marRight w:val="0"/>
              <w:marTop w:val="0"/>
              <w:marBottom w:val="240"/>
              <w:divBdr>
                <w:top w:val="none" w:sz="0" w:space="0" w:color="auto"/>
                <w:left w:val="none" w:sz="0" w:space="0" w:color="auto"/>
                <w:bottom w:val="none" w:sz="0" w:space="0" w:color="auto"/>
                <w:right w:val="none" w:sz="0" w:space="0" w:color="auto"/>
              </w:divBdr>
            </w:div>
            <w:div w:id="1670399874">
              <w:marLeft w:val="0"/>
              <w:marRight w:val="0"/>
              <w:marTop w:val="0"/>
              <w:marBottom w:val="240"/>
              <w:divBdr>
                <w:top w:val="none" w:sz="0" w:space="0" w:color="auto"/>
                <w:left w:val="none" w:sz="0" w:space="0" w:color="auto"/>
                <w:bottom w:val="none" w:sz="0" w:space="0" w:color="auto"/>
                <w:right w:val="none" w:sz="0" w:space="0" w:color="auto"/>
              </w:divBdr>
            </w:div>
            <w:div w:id="1490251027">
              <w:marLeft w:val="0"/>
              <w:marRight w:val="0"/>
              <w:marTop w:val="0"/>
              <w:marBottom w:val="240"/>
              <w:divBdr>
                <w:top w:val="none" w:sz="0" w:space="0" w:color="auto"/>
                <w:left w:val="none" w:sz="0" w:space="0" w:color="auto"/>
                <w:bottom w:val="none" w:sz="0" w:space="0" w:color="auto"/>
                <w:right w:val="none" w:sz="0" w:space="0" w:color="auto"/>
              </w:divBdr>
            </w:div>
            <w:div w:id="697052345">
              <w:marLeft w:val="0"/>
              <w:marRight w:val="0"/>
              <w:marTop w:val="0"/>
              <w:marBottom w:val="240"/>
              <w:divBdr>
                <w:top w:val="none" w:sz="0" w:space="0" w:color="auto"/>
                <w:left w:val="none" w:sz="0" w:space="0" w:color="auto"/>
                <w:bottom w:val="none" w:sz="0" w:space="0" w:color="auto"/>
                <w:right w:val="none" w:sz="0" w:space="0" w:color="auto"/>
              </w:divBdr>
            </w:div>
            <w:div w:id="1080256523">
              <w:marLeft w:val="0"/>
              <w:marRight w:val="0"/>
              <w:marTop w:val="0"/>
              <w:marBottom w:val="240"/>
              <w:divBdr>
                <w:top w:val="none" w:sz="0" w:space="0" w:color="auto"/>
                <w:left w:val="none" w:sz="0" w:space="0" w:color="auto"/>
                <w:bottom w:val="none" w:sz="0" w:space="0" w:color="auto"/>
                <w:right w:val="none" w:sz="0" w:space="0" w:color="auto"/>
              </w:divBdr>
            </w:div>
            <w:div w:id="461384013">
              <w:marLeft w:val="0"/>
              <w:marRight w:val="0"/>
              <w:marTop w:val="0"/>
              <w:marBottom w:val="240"/>
              <w:divBdr>
                <w:top w:val="none" w:sz="0" w:space="0" w:color="auto"/>
                <w:left w:val="none" w:sz="0" w:space="0" w:color="auto"/>
                <w:bottom w:val="none" w:sz="0" w:space="0" w:color="auto"/>
                <w:right w:val="none" w:sz="0" w:space="0" w:color="auto"/>
              </w:divBdr>
            </w:div>
            <w:div w:id="2079015384">
              <w:marLeft w:val="0"/>
              <w:marRight w:val="0"/>
              <w:marTop w:val="0"/>
              <w:marBottom w:val="240"/>
              <w:divBdr>
                <w:top w:val="none" w:sz="0" w:space="0" w:color="auto"/>
                <w:left w:val="none" w:sz="0" w:space="0" w:color="auto"/>
                <w:bottom w:val="none" w:sz="0" w:space="0" w:color="auto"/>
                <w:right w:val="none" w:sz="0" w:space="0" w:color="auto"/>
              </w:divBdr>
            </w:div>
            <w:div w:id="640696964">
              <w:marLeft w:val="0"/>
              <w:marRight w:val="0"/>
              <w:marTop w:val="0"/>
              <w:marBottom w:val="240"/>
              <w:divBdr>
                <w:top w:val="none" w:sz="0" w:space="0" w:color="auto"/>
                <w:left w:val="none" w:sz="0" w:space="0" w:color="auto"/>
                <w:bottom w:val="none" w:sz="0" w:space="0" w:color="auto"/>
                <w:right w:val="none" w:sz="0" w:space="0" w:color="auto"/>
              </w:divBdr>
            </w:div>
            <w:div w:id="1299534532">
              <w:marLeft w:val="0"/>
              <w:marRight w:val="0"/>
              <w:marTop w:val="0"/>
              <w:marBottom w:val="240"/>
              <w:divBdr>
                <w:top w:val="none" w:sz="0" w:space="0" w:color="auto"/>
                <w:left w:val="none" w:sz="0" w:space="0" w:color="auto"/>
                <w:bottom w:val="none" w:sz="0" w:space="0" w:color="auto"/>
                <w:right w:val="none" w:sz="0" w:space="0" w:color="auto"/>
              </w:divBdr>
            </w:div>
            <w:div w:id="1232082056">
              <w:marLeft w:val="0"/>
              <w:marRight w:val="0"/>
              <w:marTop w:val="0"/>
              <w:marBottom w:val="240"/>
              <w:divBdr>
                <w:top w:val="none" w:sz="0" w:space="0" w:color="auto"/>
                <w:left w:val="none" w:sz="0" w:space="0" w:color="auto"/>
                <w:bottom w:val="none" w:sz="0" w:space="0" w:color="auto"/>
                <w:right w:val="none" w:sz="0" w:space="0" w:color="auto"/>
              </w:divBdr>
            </w:div>
            <w:div w:id="757562144">
              <w:marLeft w:val="0"/>
              <w:marRight w:val="0"/>
              <w:marTop w:val="0"/>
              <w:marBottom w:val="240"/>
              <w:divBdr>
                <w:top w:val="none" w:sz="0" w:space="0" w:color="auto"/>
                <w:left w:val="none" w:sz="0" w:space="0" w:color="auto"/>
                <w:bottom w:val="none" w:sz="0" w:space="0" w:color="auto"/>
                <w:right w:val="none" w:sz="0" w:space="0" w:color="auto"/>
              </w:divBdr>
            </w:div>
            <w:div w:id="602614233">
              <w:marLeft w:val="0"/>
              <w:marRight w:val="0"/>
              <w:marTop w:val="0"/>
              <w:marBottom w:val="240"/>
              <w:divBdr>
                <w:top w:val="none" w:sz="0" w:space="0" w:color="auto"/>
                <w:left w:val="none" w:sz="0" w:space="0" w:color="auto"/>
                <w:bottom w:val="none" w:sz="0" w:space="0" w:color="auto"/>
                <w:right w:val="none" w:sz="0" w:space="0" w:color="auto"/>
              </w:divBdr>
            </w:div>
            <w:div w:id="33892409">
              <w:marLeft w:val="0"/>
              <w:marRight w:val="0"/>
              <w:marTop w:val="0"/>
              <w:marBottom w:val="240"/>
              <w:divBdr>
                <w:top w:val="none" w:sz="0" w:space="0" w:color="auto"/>
                <w:left w:val="none" w:sz="0" w:space="0" w:color="auto"/>
                <w:bottom w:val="none" w:sz="0" w:space="0" w:color="auto"/>
                <w:right w:val="none" w:sz="0" w:space="0" w:color="auto"/>
              </w:divBdr>
            </w:div>
            <w:div w:id="620691597">
              <w:marLeft w:val="0"/>
              <w:marRight w:val="0"/>
              <w:marTop w:val="0"/>
              <w:marBottom w:val="240"/>
              <w:divBdr>
                <w:top w:val="none" w:sz="0" w:space="0" w:color="auto"/>
                <w:left w:val="none" w:sz="0" w:space="0" w:color="auto"/>
                <w:bottom w:val="none" w:sz="0" w:space="0" w:color="auto"/>
                <w:right w:val="none" w:sz="0" w:space="0" w:color="auto"/>
              </w:divBdr>
            </w:div>
            <w:div w:id="706568480">
              <w:marLeft w:val="0"/>
              <w:marRight w:val="0"/>
              <w:marTop w:val="0"/>
              <w:marBottom w:val="240"/>
              <w:divBdr>
                <w:top w:val="none" w:sz="0" w:space="0" w:color="auto"/>
                <w:left w:val="none" w:sz="0" w:space="0" w:color="auto"/>
                <w:bottom w:val="none" w:sz="0" w:space="0" w:color="auto"/>
                <w:right w:val="none" w:sz="0" w:space="0" w:color="auto"/>
              </w:divBdr>
            </w:div>
            <w:div w:id="795568434">
              <w:marLeft w:val="0"/>
              <w:marRight w:val="0"/>
              <w:marTop w:val="0"/>
              <w:marBottom w:val="240"/>
              <w:divBdr>
                <w:top w:val="none" w:sz="0" w:space="0" w:color="auto"/>
                <w:left w:val="none" w:sz="0" w:space="0" w:color="auto"/>
                <w:bottom w:val="none" w:sz="0" w:space="0" w:color="auto"/>
                <w:right w:val="none" w:sz="0" w:space="0" w:color="auto"/>
              </w:divBdr>
            </w:div>
            <w:div w:id="1411660654">
              <w:marLeft w:val="0"/>
              <w:marRight w:val="0"/>
              <w:marTop w:val="0"/>
              <w:marBottom w:val="240"/>
              <w:divBdr>
                <w:top w:val="none" w:sz="0" w:space="0" w:color="auto"/>
                <w:left w:val="none" w:sz="0" w:space="0" w:color="auto"/>
                <w:bottom w:val="none" w:sz="0" w:space="0" w:color="auto"/>
                <w:right w:val="none" w:sz="0" w:space="0" w:color="auto"/>
              </w:divBdr>
            </w:div>
            <w:div w:id="1999306964">
              <w:marLeft w:val="0"/>
              <w:marRight w:val="0"/>
              <w:marTop w:val="0"/>
              <w:marBottom w:val="240"/>
              <w:divBdr>
                <w:top w:val="none" w:sz="0" w:space="0" w:color="auto"/>
                <w:left w:val="none" w:sz="0" w:space="0" w:color="auto"/>
                <w:bottom w:val="none" w:sz="0" w:space="0" w:color="auto"/>
                <w:right w:val="none" w:sz="0" w:space="0" w:color="auto"/>
              </w:divBdr>
            </w:div>
            <w:div w:id="1015502042">
              <w:marLeft w:val="0"/>
              <w:marRight w:val="0"/>
              <w:marTop w:val="0"/>
              <w:marBottom w:val="240"/>
              <w:divBdr>
                <w:top w:val="none" w:sz="0" w:space="0" w:color="auto"/>
                <w:left w:val="none" w:sz="0" w:space="0" w:color="auto"/>
                <w:bottom w:val="none" w:sz="0" w:space="0" w:color="auto"/>
                <w:right w:val="none" w:sz="0" w:space="0" w:color="auto"/>
              </w:divBdr>
            </w:div>
            <w:div w:id="1525285500">
              <w:marLeft w:val="0"/>
              <w:marRight w:val="0"/>
              <w:marTop w:val="0"/>
              <w:marBottom w:val="240"/>
              <w:divBdr>
                <w:top w:val="none" w:sz="0" w:space="0" w:color="auto"/>
                <w:left w:val="none" w:sz="0" w:space="0" w:color="auto"/>
                <w:bottom w:val="none" w:sz="0" w:space="0" w:color="auto"/>
                <w:right w:val="none" w:sz="0" w:space="0" w:color="auto"/>
              </w:divBdr>
            </w:div>
            <w:div w:id="1636519122">
              <w:marLeft w:val="0"/>
              <w:marRight w:val="0"/>
              <w:marTop w:val="0"/>
              <w:marBottom w:val="240"/>
              <w:divBdr>
                <w:top w:val="none" w:sz="0" w:space="0" w:color="auto"/>
                <w:left w:val="none" w:sz="0" w:space="0" w:color="auto"/>
                <w:bottom w:val="none" w:sz="0" w:space="0" w:color="auto"/>
                <w:right w:val="none" w:sz="0" w:space="0" w:color="auto"/>
              </w:divBdr>
            </w:div>
            <w:div w:id="1093821758">
              <w:marLeft w:val="0"/>
              <w:marRight w:val="0"/>
              <w:marTop w:val="0"/>
              <w:marBottom w:val="240"/>
              <w:divBdr>
                <w:top w:val="none" w:sz="0" w:space="0" w:color="auto"/>
                <w:left w:val="none" w:sz="0" w:space="0" w:color="auto"/>
                <w:bottom w:val="none" w:sz="0" w:space="0" w:color="auto"/>
                <w:right w:val="none" w:sz="0" w:space="0" w:color="auto"/>
              </w:divBdr>
            </w:div>
            <w:div w:id="843663390">
              <w:marLeft w:val="0"/>
              <w:marRight w:val="0"/>
              <w:marTop w:val="0"/>
              <w:marBottom w:val="240"/>
              <w:divBdr>
                <w:top w:val="none" w:sz="0" w:space="0" w:color="auto"/>
                <w:left w:val="none" w:sz="0" w:space="0" w:color="auto"/>
                <w:bottom w:val="none" w:sz="0" w:space="0" w:color="auto"/>
                <w:right w:val="none" w:sz="0" w:space="0" w:color="auto"/>
              </w:divBdr>
            </w:div>
            <w:div w:id="1149975139">
              <w:marLeft w:val="0"/>
              <w:marRight w:val="0"/>
              <w:marTop w:val="0"/>
              <w:marBottom w:val="240"/>
              <w:divBdr>
                <w:top w:val="none" w:sz="0" w:space="0" w:color="auto"/>
                <w:left w:val="none" w:sz="0" w:space="0" w:color="auto"/>
                <w:bottom w:val="none" w:sz="0" w:space="0" w:color="auto"/>
                <w:right w:val="none" w:sz="0" w:space="0" w:color="auto"/>
              </w:divBdr>
            </w:div>
            <w:div w:id="2052873259">
              <w:marLeft w:val="0"/>
              <w:marRight w:val="0"/>
              <w:marTop w:val="0"/>
              <w:marBottom w:val="240"/>
              <w:divBdr>
                <w:top w:val="none" w:sz="0" w:space="0" w:color="auto"/>
                <w:left w:val="none" w:sz="0" w:space="0" w:color="auto"/>
                <w:bottom w:val="none" w:sz="0" w:space="0" w:color="auto"/>
                <w:right w:val="none" w:sz="0" w:space="0" w:color="auto"/>
              </w:divBdr>
            </w:div>
            <w:div w:id="1845968558">
              <w:marLeft w:val="0"/>
              <w:marRight w:val="0"/>
              <w:marTop w:val="0"/>
              <w:marBottom w:val="240"/>
              <w:divBdr>
                <w:top w:val="none" w:sz="0" w:space="0" w:color="auto"/>
                <w:left w:val="none" w:sz="0" w:space="0" w:color="auto"/>
                <w:bottom w:val="none" w:sz="0" w:space="0" w:color="auto"/>
                <w:right w:val="none" w:sz="0" w:space="0" w:color="auto"/>
              </w:divBdr>
            </w:div>
            <w:div w:id="852065286">
              <w:marLeft w:val="0"/>
              <w:marRight w:val="0"/>
              <w:marTop w:val="0"/>
              <w:marBottom w:val="240"/>
              <w:divBdr>
                <w:top w:val="none" w:sz="0" w:space="0" w:color="auto"/>
                <w:left w:val="none" w:sz="0" w:space="0" w:color="auto"/>
                <w:bottom w:val="none" w:sz="0" w:space="0" w:color="auto"/>
                <w:right w:val="none" w:sz="0" w:space="0" w:color="auto"/>
              </w:divBdr>
            </w:div>
            <w:div w:id="840658587">
              <w:marLeft w:val="0"/>
              <w:marRight w:val="0"/>
              <w:marTop w:val="0"/>
              <w:marBottom w:val="240"/>
              <w:divBdr>
                <w:top w:val="none" w:sz="0" w:space="0" w:color="auto"/>
                <w:left w:val="none" w:sz="0" w:space="0" w:color="auto"/>
                <w:bottom w:val="none" w:sz="0" w:space="0" w:color="auto"/>
                <w:right w:val="none" w:sz="0" w:space="0" w:color="auto"/>
              </w:divBdr>
            </w:div>
            <w:div w:id="1669093849">
              <w:marLeft w:val="0"/>
              <w:marRight w:val="0"/>
              <w:marTop w:val="0"/>
              <w:marBottom w:val="240"/>
              <w:divBdr>
                <w:top w:val="none" w:sz="0" w:space="0" w:color="auto"/>
                <w:left w:val="none" w:sz="0" w:space="0" w:color="auto"/>
                <w:bottom w:val="none" w:sz="0" w:space="0" w:color="auto"/>
                <w:right w:val="none" w:sz="0" w:space="0" w:color="auto"/>
              </w:divBdr>
            </w:div>
            <w:div w:id="107896721">
              <w:marLeft w:val="0"/>
              <w:marRight w:val="0"/>
              <w:marTop w:val="0"/>
              <w:marBottom w:val="240"/>
              <w:divBdr>
                <w:top w:val="none" w:sz="0" w:space="0" w:color="auto"/>
                <w:left w:val="none" w:sz="0" w:space="0" w:color="auto"/>
                <w:bottom w:val="none" w:sz="0" w:space="0" w:color="auto"/>
                <w:right w:val="none" w:sz="0" w:space="0" w:color="auto"/>
              </w:divBdr>
            </w:div>
            <w:div w:id="1406298868">
              <w:marLeft w:val="0"/>
              <w:marRight w:val="0"/>
              <w:marTop w:val="0"/>
              <w:marBottom w:val="240"/>
              <w:divBdr>
                <w:top w:val="none" w:sz="0" w:space="0" w:color="auto"/>
                <w:left w:val="none" w:sz="0" w:space="0" w:color="auto"/>
                <w:bottom w:val="none" w:sz="0" w:space="0" w:color="auto"/>
                <w:right w:val="none" w:sz="0" w:space="0" w:color="auto"/>
              </w:divBdr>
            </w:div>
            <w:div w:id="1185363261">
              <w:marLeft w:val="0"/>
              <w:marRight w:val="0"/>
              <w:marTop w:val="0"/>
              <w:marBottom w:val="240"/>
              <w:divBdr>
                <w:top w:val="none" w:sz="0" w:space="0" w:color="auto"/>
                <w:left w:val="none" w:sz="0" w:space="0" w:color="auto"/>
                <w:bottom w:val="none" w:sz="0" w:space="0" w:color="auto"/>
                <w:right w:val="none" w:sz="0" w:space="0" w:color="auto"/>
              </w:divBdr>
            </w:div>
            <w:div w:id="2112583205">
              <w:marLeft w:val="0"/>
              <w:marRight w:val="0"/>
              <w:marTop w:val="0"/>
              <w:marBottom w:val="240"/>
              <w:divBdr>
                <w:top w:val="none" w:sz="0" w:space="0" w:color="auto"/>
                <w:left w:val="none" w:sz="0" w:space="0" w:color="auto"/>
                <w:bottom w:val="none" w:sz="0" w:space="0" w:color="auto"/>
                <w:right w:val="none" w:sz="0" w:space="0" w:color="auto"/>
              </w:divBdr>
            </w:div>
            <w:div w:id="561260332">
              <w:marLeft w:val="0"/>
              <w:marRight w:val="0"/>
              <w:marTop w:val="0"/>
              <w:marBottom w:val="240"/>
              <w:divBdr>
                <w:top w:val="none" w:sz="0" w:space="0" w:color="auto"/>
                <w:left w:val="none" w:sz="0" w:space="0" w:color="auto"/>
                <w:bottom w:val="none" w:sz="0" w:space="0" w:color="auto"/>
                <w:right w:val="none" w:sz="0" w:space="0" w:color="auto"/>
              </w:divBdr>
            </w:div>
            <w:div w:id="1133712632">
              <w:marLeft w:val="0"/>
              <w:marRight w:val="0"/>
              <w:marTop w:val="0"/>
              <w:marBottom w:val="240"/>
              <w:divBdr>
                <w:top w:val="none" w:sz="0" w:space="0" w:color="auto"/>
                <w:left w:val="none" w:sz="0" w:space="0" w:color="auto"/>
                <w:bottom w:val="none" w:sz="0" w:space="0" w:color="auto"/>
                <w:right w:val="none" w:sz="0" w:space="0" w:color="auto"/>
              </w:divBdr>
            </w:div>
            <w:div w:id="2070573658">
              <w:marLeft w:val="0"/>
              <w:marRight w:val="0"/>
              <w:marTop w:val="0"/>
              <w:marBottom w:val="240"/>
              <w:divBdr>
                <w:top w:val="none" w:sz="0" w:space="0" w:color="auto"/>
                <w:left w:val="none" w:sz="0" w:space="0" w:color="auto"/>
                <w:bottom w:val="none" w:sz="0" w:space="0" w:color="auto"/>
                <w:right w:val="none" w:sz="0" w:space="0" w:color="auto"/>
              </w:divBdr>
            </w:div>
            <w:div w:id="332610362">
              <w:marLeft w:val="0"/>
              <w:marRight w:val="0"/>
              <w:marTop w:val="0"/>
              <w:marBottom w:val="240"/>
              <w:divBdr>
                <w:top w:val="none" w:sz="0" w:space="0" w:color="auto"/>
                <w:left w:val="none" w:sz="0" w:space="0" w:color="auto"/>
                <w:bottom w:val="none" w:sz="0" w:space="0" w:color="auto"/>
                <w:right w:val="none" w:sz="0" w:space="0" w:color="auto"/>
              </w:divBdr>
            </w:div>
            <w:div w:id="1161461668">
              <w:marLeft w:val="0"/>
              <w:marRight w:val="0"/>
              <w:marTop w:val="0"/>
              <w:marBottom w:val="240"/>
              <w:divBdr>
                <w:top w:val="none" w:sz="0" w:space="0" w:color="auto"/>
                <w:left w:val="none" w:sz="0" w:space="0" w:color="auto"/>
                <w:bottom w:val="none" w:sz="0" w:space="0" w:color="auto"/>
                <w:right w:val="none" w:sz="0" w:space="0" w:color="auto"/>
              </w:divBdr>
            </w:div>
            <w:div w:id="1874539216">
              <w:marLeft w:val="0"/>
              <w:marRight w:val="0"/>
              <w:marTop w:val="0"/>
              <w:marBottom w:val="240"/>
              <w:divBdr>
                <w:top w:val="none" w:sz="0" w:space="0" w:color="auto"/>
                <w:left w:val="none" w:sz="0" w:space="0" w:color="auto"/>
                <w:bottom w:val="none" w:sz="0" w:space="0" w:color="auto"/>
                <w:right w:val="none" w:sz="0" w:space="0" w:color="auto"/>
              </w:divBdr>
            </w:div>
            <w:div w:id="1819687753">
              <w:marLeft w:val="0"/>
              <w:marRight w:val="0"/>
              <w:marTop w:val="0"/>
              <w:marBottom w:val="240"/>
              <w:divBdr>
                <w:top w:val="none" w:sz="0" w:space="0" w:color="auto"/>
                <w:left w:val="none" w:sz="0" w:space="0" w:color="auto"/>
                <w:bottom w:val="none" w:sz="0" w:space="0" w:color="auto"/>
                <w:right w:val="none" w:sz="0" w:space="0" w:color="auto"/>
              </w:divBdr>
            </w:div>
            <w:div w:id="2020815700">
              <w:marLeft w:val="0"/>
              <w:marRight w:val="0"/>
              <w:marTop w:val="0"/>
              <w:marBottom w:val="240"/>
              <w:divBdr>
                <w:top w:val="none" w:sz="0" w:space="0" w:color="auto"/>
                <w:left w:val="none" w:sz="0" w:space="0" w:color="auto"/>
                <w:bottom w:val="none" w:sz="0" w:space="0" w:color="auto"/>
                <w:right w:val="none" w:sz="0" w:space="0" w:color="auto"/>
              </w:divBdr>
            </w:div>
            <w:div w:id="1107582672">
              <w:marLeft w:val="0"/>
              <w:marRight w:val="0"/>
              <w:marTop w:val="0"/>
              <w:marBottom w:val="240"/>
              <w:divBdr>
                <w:top w:val="none" w:sz="0" w:space="0" w:color="auto"/>
                <w:left w:val="none" w:sz="0" w:space="0" w:color="auto"/>
                <w:bottom w:val="none" w:sz="0" w:space="0" w:color="auto"/>
                <w:right w:val="none" w:sz="0" w:space="0" w:color="auto"/>
              </w:divBdr>
            </w:div>
            <w:div w:id="1987393452">
              <w:marLeft w:val="0"/>
              <w:marRight w:val="0"/>
              <w:marTop w:val="0"/>
              <w:marBottom w:val="240"/>
              <w:divBdr>
                <w:top w:val="none" w:sz="0" w:space="0" w:color="auto"/>
                <w:left w:val="none" w:sz="0" w:space="0" w:color="auto"/>
                <w:bottom w:val="none" w:sz="0" w:space="0" w:color="auto"/>
                <w:right w:val="none" w:sz="0" w:space="0" w:color="auto"/>
              </w:divBdr>
            </w:div>
            <w:div w:id="1822652176">
              <w:marLeft w:val="0"/>
              <w:marRight w:val="0"/>
              <w:marTop w:val="0"/>
              <w:marBottom w:val="240"/>
              <w:divBdr>
                <w:top w:val="none" w:sz="0" w:space="0" w:color="auto"/>
                <w:left w:val="none" w:sz="0" w:space="0" w:color="auto"/>
                <w:bottom w:val="none" w:sz="0" w:space="0" w:color="auto"/>
                <w:right w:val="none" w:sz="0" w:space="0" w:color="auto"/>
              </w:divBdr>
            </w:div>
            <w:div w:id="1181092001">
              <w:marLeft w:val="0"/>
              <w:marRight w:val="0"/>
              <w:marTop w:val="0"/>
              <w:marBottom w:val="240"/>
              <w:divBdr>
                <w:top w:val="none" w:sz="0" w:space="0" w:color="auto"/>
                <w:left w:val="none" w:sz="0" w:space="0" w:color="auto"/>
                <w:bottom w:val="none" w:sz="0" w:space="0" w:color="auto"/>
                <w:right w:val="none" w:sz="0" w:space="0" w:color="auto"/>
              </w:divBdr>
            </w:div>
            <w:div w:id="49765885">
              <w:marLeft w:val="0"/>
              <w:marRight w:val="0"/>
              <w:marTop w:val="0"/>
              <w:marBottom w:val="240"/>
              <w:divBdr>
                <w:top w:val="none" w:sz="0" w:space="0" w:color="auto"/>
                <w:left w:val="none" w:sz="0" w:space="0" w:color="auto"/>
                <w:bottom w:val="none" w:sz="0" w:space="0" w:color="auto"/>
                <w:right w:val="none" w:sz="0" w:space="0" w:color="auto"/>
              </w:divBdr>
            </w:div>
            <w:div w:id="1680231307">
              <w:marLeft w:val="0"/>
              <w:marRight w:val="0"/>
              <w:marTop w:val="0"/>
              <w:marBottom w:val="240"/>
              <w:divBdr>
                <w:top w:val="none" w:sz="0" w:space="0" w:color="auto"/>
                <w:left w:val="none" w:sz="0" w:space="0" w:color="auto"/>
                <w:bottom w:val="none" w:sz="0" w:space="0" w:color="auto"/>
                <w:right w:val="none" w:sz="0" w:space="0" w:color="auto"/>
              </w:divBdr>
            </w:div>
            <w:div w:id="783379615">
              <w:marLeft w:val="0"/>
              <w:marRight w:val="0"/>
              <w:marTop w:val="0"/>
              <w:marBottom w:val="240"/>
              <w:divBdr>
                <w:top w:val="none" w:sz="0" w:space="0" w:color="auto"/>
                <w:left w:val="none" w:sz="0" w:space="0" w:color="auto"/>
                <w:bottom w:val="none" w:sz="0" w:space="0" w:color="auto"/>
                <w:right w:val="none" w:sz="0" w:space="0" w:color="auto"/>
              </w:divBdr>
            </w:div>
            <w:div w:id="1068382155">
              <w:marLeft w:val="0"/>
              <w:marRight w:val="0"/>
              <w:marTop w:val="0"/>
              <w:marBottom w:val="240"/>
              <w:divBdr>
                <w:top w:val="none" w:sz="0" w:space="0" w:color="auto"/>
                <w:left w:val="none" w:sz="0" w:space="0" w:color="auto"/>
                <w:bottom w:val="none" w:sz="0" w:space="0" w:color="auto"/>
                <w:right w:val="none" w:sz="0" w:space="0" w:color="auto"/>
              </w:divBdr>
            </w:div>
            <w:div w:id="102649766">
              <w:marLeft w:val="0"/>
              <w:marRight w:val="0"/>
              <w:marTop w:val="0"/>
              <w:marBottom w:val="240"/>
              <w:divBdr>
                <w:top w:val="none" w:sz="0" w:space="0" w:color="auto"/>
                <w:left w:val="none" w:sz="0" w:space="0" w:color="auto"/>
                <w:bottom w:val="none" w:sz="0" w:space="0" w:color="auto"/>
                <w:right w:val="none" w:sz="0" w:space="0" w:color="auto"/>
              </w:divBdr>
            </w:div>
            <w:div w:id="739519127">
              <w:marLeft w:val="0"/>
              <w:marRight w:val="0"/>
              <w:marTop w:val="0"/>
              <w:marBottom w:val="240"/>
              <w:divBdr>
                <w:top w:val="none" w:sz="0" w:space="0" w:color="auto"/>
                <w:left w:val="none" w:sz="0" w:space="0" w:color="auto"/>
                <w:bottom w:val="none" w:sz="0" w:space="0" w:color="auto"/>
                <w:right w:val="none" w:sz="0" w:space="0" w:color="auto"/>
              </w:divBdr>
            </w:div>
            <w:div w:id="177891586">
              <w:marLeft w:val="0"/>
              <w:marRight w:val="0"/>
              <w:marTop w:val="0"/>
              <w:marBottom w:val="240"/>
              <w:divBdr>
                <w:top w:val="none" w:sz="0" w:space="0" w:color="auto"/>
                <w:left w:val="none" w:sz="0" w:space="0" w:color="auto"/>
                <w:bottom w:val="none" w:sz="0" w:space="0" w:color="auto"/>
                <w:right w:val="none" w:sz="0" w:space="0" w:color="auto"/>
              </w:divBdr>
            </w:div>
            <w:div w:id="325522151">
              <w:marLeft w:val="0"/>
              <w:marRight w:val="0"/>
              <w:marTop w:val="0"/>
              <w:marBottom w:val="240"/>
              <w:divBdr>
                <w:top w:val="none" w:sz="0" w:space="0" w:color="auto"/>
                <w:left w:val="none" w:sz="0" w:space="0" w:color="auto"/>
                <w:bottom w:val="none" w:sz="0" w:space="0" w:color="auto"/>
                <w:right w:val="none" w:sz="0" w:space="0" w:color="auto"/>
              </w:divBdr>
            </w:div>
            <w:div w:id="927621248">
              <w:marLeft w:val="0"/>
              <w:marRight w:val="0"/>
              <w:marTop w:val="0"/>
              <w:marBottom w:val="240"/>
              <w:divBdr>
                <w:top w:val="none" w:sz="0" w:space="0" w:color="auto"/>
                <w:left w:val="none" w:sz="0" w:space="0" w:color="auto"/>
                <w:bottom w:val="none" w:sz="0" w:space="0" w:color="auto"/>
                <w:right w:val="none" w:sz="0" w:space="0" w:color="auto"/>
              </w:divBdr>
            </w:div>
            <w:div w:id="1111364815">
              <w:marLeft w:val="0"/>
              <w:marRight w:val="0"/>
              <w:marTop w:val="0"/>
              <w:marBottom w:val="240"/>
              <w:divBdr>
                <w:top w:val="none" w:sz="0" w:space="0" w:color="auto"/>
                <w:left w:val="none" w:sz="0" w:space="0" w:color="auto"/>
                <w:bottom w:val="none" w:sz="0" w:space="0" w:color="auto"/>
                <w:right w:val="none" w:sz="0" w:space="0" w:color="auto"/>
              </w:divBdr>
            </w:div>
            <w:div w:id="140930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176529">
      <w:bodyDiv w:val="1"/>
      <w:marLeft w:val="0"/>
      <w:marRight w:val="0"/>
      <w:marTop w:val="0"/>
      <w:marBottom w:val="0"/>
      <w:divBdr>
        <w:top w:val="none" w:sz="0" w:space="0" w:color="auto"/>
        <w:left w:val="none" w:sz="0" w:space="0" w:color="auto"/>
        <w:bottom w:val="none" w:sz="0" w:space="0" w:color="auto"/>
        <w:right w:val="none" w:sz="0" w:space="0" w:color="auto"/>
      </w:divBdr>
    </w:div>
    <w:div w:id="2085494349">
      <w:bodyDiv w:val="1"/>
      <w:marLeft w:val="0"/>
      <w:marRight w:val="0"/>
      <w:marTop w:val="0"/>
      <w:marBottom w:val="0"/>
      <w:divBdr>
        <w:top w:val="none" w:sz="0" w:space="0" w:color="auto"/>
        <w:left w:val="none" w:sz="0" w:space="0" w:color="auto"/>
        <w:bottom w:val="none" w:sz="0" w:space="0" w:color="auto"/>
        <w:right w:val="none" w:sz="0" w:space="0" w:color="auto"/>
      </w:divBdr>
    </w:div>
    <w:div w:id="2094546883">
      <w:bodyDiv w:val="1"/>
      <w:marLeft w:val="0"/>
      <w:marRight w:val="0"/>
      <w:marTop w:val="0"/>
      <w:marBottom w:val="0"/>
      <w:divBdr>
        <w:top w:val="none" w:sz="0" w:space="0" w:color="auto"/>
        <w:left w:val="none" w:sz="0" w:space="0" w:color="auto"/>
        <w:bottom w:val="none" w:sz="0" w:space="0" w:color="auto"/>
        <w:right w:val="none" w:sz="0" w:space="0" w:color="auto"/>
      </w:divBdr>
      <w:divsChild>
        <w:div w:id="1048728361">
          <w:marLeft w:val="480"/>
          <w:marRight w:val="0"/>
          <w:marTop w:val="0"/>
          <w:marBottom w:val="0"/>
          <w:divBdr>
            <w:top w:val="none" w:sz="0" w:space="0" w:color="auto"/>
            <w:left w:val="none" w:sz="0" w:space="0" w:color="auto"/>
            <w:bottom w:val="none" w:sz="0" w:space="0" w:color="auto"/>
            <w:right w:val="none" w:sz="0" w:space="0" w:color="auto"/>
          </w:divBdr>
          <w:divsChild>
            <w:div w:id="596717484">
              <w:marLeft w:val="0"/>
              <w:marRight w:val="0"/>
              <w:marTop w:val="0"/>
              <w:marBottom w:val="240"/>
              <w:divBdr>
                <w:top w:val="none" w:sz="0" w:space="0" w:color="auto"/>
                <w:left w:val="none" w:sz="0" w:space="0" w:color="auto"/>
                <w:bottom w:val="none" w:sz="0" w:space="0" w:color="auto"/>
                <w:right w:val="none" w:sz="0" w:space="0" w:color="auto"/>
              </w:divBdr>
            </w:div>
            <w:div w:id="1932815602">
              <w:marLeft w:val="0"/>
              <w:marRight w:val="0"/>
              <w:marTop w:val="0"/>
              <w:marBottom w:val="240"/>
              <w:divBdr>
                <w:top w:val="none" w:sz="0" w:space="0" w:color="auto"/>
                <w:left w:val="none" w:sz="0" w:space="0" w:color="auto"/>
                <w:bottom w:val="none" w:sz="0" w:space="0" w:color="auto"/>
                <w:right w:val="none" w:sz="0" w:space="0" w:color="auto"/>
              </w:divBdr>
            </w:div>
            <w:div w:id="885289514">
              <w:marLeft w:val="0"/>
              <w:marRight w:val="0"/>
              <w:marTop w:val="0"/>
              <w:marBottom w:val="240"/>
              <w:divBdr>
                <w:top w:val="none" w:sz="0" w:space="0" w:color="auto"/>
                <w:left w:val="none" w:sz="0" w:space="0" w:color="auto"/>
                <w:bottom w:val="none" w:sz="0" w:space="0" w:color="auto"/>
                <w:right w:val="none" w:sz="0" w:space="0" w:color="auto"/>
              </w:divBdr>
            </w:div>
            <w:div w:id="1680883701">
              <w:marLeft w:val="0"/>
              <w:marRight w:val="0"/>
              <w:marTop w:val="0"/>
              <w:marBottom w:val="240"/>
              <w:divBdr>
                <w:top w:val="none" w:sz="0" w:space="0" w:color="auto"/>
                <w:left w:val="none" w:sz="0" w:space="0" w:color="auto"/>
                <w:bottom w:val="none" w:sz="0" w:space="0" w:color="auto"/>
                <w:right w:val="none" w:sz="0" w:space="0" w:color="auto"/>
              </w:divBdr>
            </w:div>
            <w:div w:id="717969996">
              <w:marLeft w:val="0"/>
              <w:marRight w:val="0"/>
              <w:marTop w:val="0"/>
              <w:marBottom w:val="240"/>
              <w:divBdr>
                <w:top w:val="none" w:sz="0" w:space="0" w:color="auto"/>
                <w:left w:val="none" w:sz="0" w:space="0" w:color="auto"/>
                <w:bottom w:val="none" w:sz="0" w:space="0" w:color="auto"/>
                <w:right w:val="none" w:sz="0" w:space="0" w:color="auto"/>
              </w:divBdr>
            </w:div>
            <w:div w:id="1228373167">
              <w:marLeft w:val="0"/>
              <w:marRight w:val="0"/>
              <w:marTop w:val="0"/>
              <w:marBottom w:val="240"/>
              <w:divBdr>
                <w:top w:val="none" w:sz="0" w:space="0" w:color="auto"/>
                <w:left w:val="none" w:sz="0" w:space="0" w:color="auto"/>
                <w:bottom w:val="none" w:sz="0" w:space="0" w:color="auto"/>
                <w:right w:val="none" w:sz="0" w:space="0" w:color="auto"/>
              </w:divBdr>
            </w:div>
            <w:div w:id="1622493632">
              <w:marLeft w:val="0"/>
              <w:marRight w:val="0"/>
              <w:marTop w:val="0"/>
              <w:marBottom w:val="240"/>
              <w:divBdr>
                <w:top w:val="none" w:sz="0" w:space="0" w:color="auto"/>
                <w:left w:val="none" w:sz="0" w:space="0" w:color="auto"/>
                <w:bottom w:val="none" w:sz="0" w:space="0" w:color="auto"/>
                <w:right w:val="none" w:sz="0" w:space="0" w:color="auto"/>
              </w:divBdr>
            </w:div>
            <w:div w:id="1952735134">
              <w:marLeft w:val="0"/>
              <w:marRight w:val="0"/>
              <w:marTop w:val="0"/>
              <w:marBottom w:val="240"/>
              <w:divBdr>
                <w:top w:val="none" w:sz="0" w:space="0" w:color="auto"/>
                <w:left w:val="none" w:sz="0" w:space="0" w:color="auto"/>
                <w:bottom w:val="none" w:sz="0" w:space="0" w:color="auto"/>
                <w:right w:val="none" w:sz="0" w:space="0" w:color="auto"/>
              </w:divBdr>
            </w:div>
            <w:div w:id="1275406317">
              <w:marLeft w:val="0"/>
              <w:marRight w:val="0"/>
              <w:marTop w:val="0"/>
              <w:marBottom w:val="240"/>
              <w:divBdr>
                <w:top w:val="none" w:sz="0" w:space="0" w:color="auto"/>
                <w:left w:val="none" w:sz="0" w:space="0" w:color="auto"/>
                <w:bottom w:val="none" w:sz="0" w:space="0" w:color="auto"/>
                <w:right w:val="none" w:sz="0" w:space="0" w:color="auto"/>
              </w:divBdr>
            </w:div>
            <w:div w:id="1025406150">
              <w:marLeft w:val="0"/>
              <w:marRight w:val="0"/>
              <w:marTop w:val="0"/>
              <w:marBottom w:val="240"/>
              <w:divBdr>
                <w:top w:val="none" w:sz="0" w:space="0" w:color="auto"/>
                <w:left w:val="none" w:sz="0" w:space="0" w:color="auto"/>
                <w:bottom w:val="none" w:sz="0" w:space="0" w:color="auto"/>
                <w:right w:val="none" w:sz="0" w:space="0" w:color="auto"/>
              </w:divBdr>
            </w:div>
            <w:div w:id="1982422475">
              <w:marLeft w:val="0"/>
              <w:marRight w:val="0"/>
              <w:marTop w:val="0"/>
              <w:marBottom w:val="240"/>
              <w:divBdr>
                <w:top w:val="none" w:sz="0" w:space="0" w:color="auto"/>
                <w:left w:val="none" w:sz="0" w:space="0" w:color="auto"/>
                <w:bottom w:val="none" w:sz="0" w:space="0" w:color="auto"/>
                <w:right w:val="none" w:sz="0" w:space="0" w:color="auto"/>
              </w:divBdr>
            </w:div>
            <w:div w:id="1784033594">
              <w:marLeft w:val="0"/>
              <w:marRight w:val="0"/>
              <w:marTop w:val="0"/>
              <w:marBottom w:val="240"/>
              <w:divBdr>
                <w:top w:val="none" w:sz="0" w:space="0" w:color="auto"/>
                <w:left w:val="none" w:sz="0" w:space="0" w:color="auto"/>
                <w:bottom w:val="none" w:sz="0" w:space="0" w:color="auto"/>
                <w:right w:val="none" w:sz="0" w:space="0" w:color="auto"/>
              </w:divBdr>
            </w:div>
            <w:div w:id="259995610">
              <w:marLeft w:val="0"/>
              <w:marRight w:val="0"/>
              <w:marTop w:val="0"/>
              <w:marBottom w:val="240"/>
              <w:divBdr>
                <w:top w:val="none" w:sz="0" w:space="0" w:color="auto"/>
                <w:left w:val="none" w:sz="0" w:space="0" w:color="auto"/>
                <w:bottom w:val="none" w:sz="0" w:space="0" w:color="auto"/>
                <w:right w:val="none" w:sz="0" w:space="0" w:color="auto"/>
              </w:divBdr>
            </w:div>
            <w:div w:id="741178877">
              <w:marLeft w:val="0"/>
              <w:marRight w:val="0"/>
              <w:marTop w:val="0"/>
              <w:marBottom w:val="240"/>
              <w:divBdr>
                <w:top w:val="none" w:sz="0" w:space="0" w:color="auto"/>
                <w:left w:val="none" w:sz="0" w:space="0" w:color="auto"/>
                <w:bottom w:val="none" w:sz="0" w:space="0" w:color="auto"/>
                <w:right w:val="none" w:sz="0" w:space="0" w:color="auto"/>
              </w:divBdr>
            </w:div>
            <w:div w:id="1880435993">
              <w:marLeft w:val="0"/>
              <w:marRight w:val="0"/>
              <w:marTop w:val="0"/>
              <w:marBottom w:val="240"/>
              <w:divBdr>
                <w:top w:val="none" w:sz="0" w:space="0" w:color="auto"/>
                <w:left w:val="none" w:sz="0" w:space="0" w:color="auto"/>
                <w:bottom w:val="none" w:sz="0" w:space="0" w:color="auto"/>
                <w:right w:val="none" w:sz="0" w:space="0" w:color="auto"/>
              </w:divBdr>
            </w:div>
            <w:div w:id="651564422">
              <w:marLeft w:val="0"/>
              <w:marRight w:val="0"/>
              <w:marTop w:val="0"/>
              <w:marBottom w:val="240"/>
              <w:divBdr>
                <w:top w:val="none" w:sz="0" w:space="0" w:color="auto"/>
                <w:left w:val="none" w:sz="0" w:space="0" w:color="auto"/>
                <w:bottom w:val="none" w:sz="0" w:space="0" w:color="auto"/>
                <w:right w:val="none" w:sz="0" w:space="0" w:color="auto"/>
              </w:divBdr>
            </w:div>
            <w:div w:id="1253666981">
              <w:marLeft w:val="0"/>
              <w:marRight w:val="0"/>
              <w:marTop w:val="0"/>
              <w:marBottom w:val="240"/>
              <w:divBdr>
                <w:top w:val="none" w:sz="0" w:space="0" w:color="auto"/>
                <w:left w:val="none" w:sz="0" w:space="0" w:color="auto"/>
                <w:bottom w:val="none" w:sz="0" w:space="0" w:color="auto"/>
                <w:right w:val="none" w:sz="0" w:space="0" w:color="auto"/>
              </w:divBdr>
            </w:div>
            <w:div w:id="287593235">
              <w:marLeft w:val="0"/>
              <w:marRight w:val="0"/>
              <w:marTop w:val="0"/>
              <w:marBottom w:val="240"/>
              <w:divBdr>
                <w:top w:val="none" w:sz="0" w:space="0" w:color="auto"/>
                <w:left w:val="none" w:sz="0" w:space="0" w:color="auto"/>
                <w:bottom w:val="none" w:sz="0" w:space="0" w:color="auto"/>
                <w:right w:val="none" w:sz="0" w:space="0" w:color="auto"/>
              </w:divBdr>
            </w:div>
            <w:div w:id="812874172">
              <w:marLeft w:val="0"/>
              <w:marRight w:val="0"/>
              <w:marTop w:val="0"/>
              <w:marBottom w:val="240"/>
              <w:divBdr>
                <w:top w:val="none" w:sz="0" w:space="0" w:color="auto"/>
                <w:left w:val="none" w:sz="0" w:space="0" w:color="auto"/>
                <w:bottom w:val="none" w:sz="0" w:space="0" w:color="auto"/>
                <w:right w:val="none" w:sz="0" w:space="0" w:color="auto"/>
              </w:divBdr>
            </w:div>
            <w:div w:id="1524242351">
              <w:marLeft w:val="0"/>
              <w:marRight w:val="0"/>
              <w:marTop w:val="0"/>
              <w:marBottom w:val="240"/>
              <w:divBdr>
                <w:top w:val="none" w:sz="0" w:space="0" w:color="auto"/>
                <w:left w:val="none" w:sz="0" w:space="0" w:color="auto"/>
                <w:bottom w:val="none" w:sz="0" w:space="0" w:color="auto"/>
                <w:right w:val="none" w:sz="0" w:space="0" w:color="auto"/>
              </w:divBdr>
            </w:div>
            <w:div w:id="333146312">
              <w:marLeft w:val="0"/>
              <w:marRight w:val="0"/>
              <w:marTop w:val="0"/>
              <w:marBottom w:val="240"/>
              <w:divBdr>
                <w:top w:val="none" w:sz="0" w:space="0" w:color="auto"/>
                <w:left w:val="none" w:sz="0" w:space="0" w:color="auto"/>
                <w:bottom w:val="none" w:sz="0" w:space="0" w:color="auto"/>
                <w:right w:val="none" w:sz="0" w:space="0" w:color="auto"/>
              </w:divBdr>
            </w:div>
            <w:div w:id="1465196447">
              <w:marLeft w:val="0"/>
              <w:marRight w:val="0"/>
              <w:marTop w:val="0"/>
              <w:marBottom w:val="240"/>
              <w:divBdr>
                <w:top w:val="none" w:sz="0" w:space="0" w:color="auto"/>
                <w:left w:val="none" w:sz="0" w:space="0" w:color="auto"/>
                <w:bottom w:val="none" w:sz="0" w:space="0" w:color="auto"/>
                <w:right w:val="none" w:sz="0" w:space="0" w:color="auto"/>
              </w:divBdr>
            </w:div>
            <w:div w:id="573055436">
              <w:marLeft w:val="0"/>
              <w:marRight w:val="0"/>
              <w:marTop w:val="0"/>
              <w:marBottom w:val="240"/>
              <w:divBdr>
                <w:top w:val="none" w:sz="0" w:space="0" w:color="auto"/>
                <w:left w:val="none" w:sz="0" w:space="0" w:color="auto"/>
                <w:bottom w:val="none" w:sz="0" w:space="0" w:color="auto"/>
                <w:right w:val="none" w:sz="0" w:space="0" w:color="auto"/>
              </w:divBdr>
            </w:div>
            <w:div w:id="673730484">
              <w:marLeft w:val="0"/>
              <w:marRight w:val="0"/>
              <w:marTop w:val="0"/>
              <w:marBottom w:val="240"/>
              <w:divBdr>
                <w:top w:val="none" w:sz="0" w:space="0" w:color="auto"/>
                <w:left w:val="none" w:sz="0" w:space="0" w:color="auto"/>
                <w:bottom w:val="none" w:sz="0" w:space="0" w:color="auto"/>
                <w:right w:val="none" w:sz="0" w:space="0" w:color="auto"/>
              </w:divBdr>
            </w:div>
            <w:div w:id="1422792745">
              <w:marLeft w:val="0"/>
              <w:marRight w:val="0"/>
              <w:marTop w:val="0"/>
              <w:marBottom w:val="240"/>
              <w:divBdr>
                <w:top w:val="none" w:sz="0" w:space="0" w:color="auto"/>
                <w:left w:val="none" w:sz="0" w:space="0" w:color="auto"/>
                <w:bottom w:val="none" w:sz="0" w:space="0" w:color="auto"/>
                <w:right w:val="none" w:sz="0" w:space="0" w:color="auto"/>
              </w:divBdr>
            </w:div>
            <w:div w:id="1964605296">
              <w:marLeft w:val="0"/>
              <w:marRight w:val="0"/>
              <w:marTop w:val="0"/>
              <w:marBottom w:val="240"/>
              <w:divBdr>
                <w:top w:val="none" w:sz="0" w:space="0" w:color="auto"/>
                <w:left w:val="none" w:sz="0" w:space="0" w:color="auto"/>
                <w:bottom w:val="none" w:sz="0" w:space="0" w:color="auto"/>
                <w:right w:val="none" w:sz="0" w:space="0" w:color="auto"/>
              </w:divBdr>
            </w:div>
            <w:div w:id="180634578">
              <w:marLeft w:val="0"/>
              <w:marRight w:val="0"/>
              <w:marTop w:val="0"/>
              <w:marBottom w:val="240"/>
              <w:divBdr>
                <w:top w:val="none" w:sz="0" w:space="0" w:color="auto"/>
                <w:left w:val="none" w:sz="0" w:space="0" w:color="auto"/>
                <w:bottom w:val="none" w:sz="0" w:space="0" w:color="auto"/>
                <w:right w:val="none" w:sz="0" w:space="0" w:color="auto"/>
              </w:divBdr>
            </w:div>
            <w:div w:id="1675839552">
              <w:marLeft w:val="0"/>
              <w:marRight w:val="0"/>
              <w:marTop w:val="0"/>
              <w:marBottom w:val="240"/>
              <w:divBdr>
                <w:top w:val="none" w:sz="0" w:space="0" w:color="auto"/>
                <w:left w:val="none" w:sz="0" w:space="0" w:color="auto"/>
                <w:bottom w:val="none" w:sz="0" w:space="0" w:color="auto"/>
                <w:right w:val="none" w:sz="0" w:space="0" w:color="auto"/>
              </w:divBdr>
            </w:div>
            <w:div w:id="1736662321">
              <w:marLeft w:val="0"/>
              <w:marRight w:val="0"/>
              <w:marTop w:val="0"/>
              <w:marBottom w:val="240"/>
              <w:divBdr>
                <w:top w:val="none" w:sz="0" w:space="0" w:color="auto"/>
                <w:left w:val="none" w:sz="0" w:space="0" w:color="auto"/>
                <w:bottom w:val="none" w:sz="0" w:space="0" w:color="auto"/>
                <w:right w:val="none" w:sz="0" w:space="0" w:color="auto"/>
              </w:divBdr>
            </w:div>
            <w:div w:id="1172988684">
              <w:marLeft w:val="0"/>
              <w:marRight w:val="0"/>
              <w:marTop w:val="0"/>
              <w:marBottom w:val="240"/>
              <w:divBdr>
                <w:top w:val="none" w:sz="0" w:space="0" w:color="auto"/>
                <w:left w:val="none" w:sz="0" w:space="0" w:color="auto"/>
                <w:bottom w:val="none" w:sz="0" w:space="0" w:color="auto"/>
                <w:right w:val="none" w:sz="0" w:space="0" w:color="auto"/>
              </w:divBdr>
            </w:div>
            <w:div w:id="1496914210">
              <w:marLeft w:val="0"/>
              <w:marRight w:val="0"/>
              <w:marTop w:val="0"/>
              <w:marBottom w:val="240"/>
              <w:divBdr>
                <w:top w:val="none" w:sz="0" w:space="0" w:color="auto"/>
                <w:left w:val="none" w:sz="0" w:space="0" w:color="auto"/>
                <w:bottom w:val="none" w:sz="0" w:space="0" w:color="auto"/>
                <w:right w:val="none" w:sz="0" w:space="0" w:color="auto"/>
              </w:divBdr>
            </w:div>
            <w:div w:id="727606894">
              <w:marLeft w:val="0"/>
              <w:marRight w:val="0"/>
              <w:marTop w:val="0"/>
              <w:marBottom w:val="240"/>
              <w:divBdr>
                <w:top w:val="none" w:sz="0" w:space="0" w:color="auto"/>
                <w:left w:val="none" w:sz="0" w:space="0" w:color="auto"/>
                <w:bottom w:val="none" w:sz="0" w:space="0" w:color="auto"/>
                <w:right w:val="none" w:sz="0" w:space="0" w:color="auto"/>
              </w:divBdr>
            </w:div>
            <w:div w:id="981884599">
              <w:marLeft w:val="0"/>
              <w:marRight w:val="0"/>
              <w:marTop w:val="0"/>
              <w:marBottom w:val="240"/>
              <w:divBdr>
                <w:top w:val="none" w:sz="0" w:space="0" w:color="auto"/>
                <w:left w:val="none" w:sz="0" w:space="0" w:color="auto"/>
                <w:bottom w:val="none" w:sz="0" w:space="0" w:color="auto"/>
                <w:right w:val="none" w:sz="0" w:space="0" w:color="auto"/>
              </w:divBdr>
            </w:div>
            <w:div w:id="1167748071">
              <w:marLeft w:val="0"/>
              <w:marRight w:val="0"/>
              <w:marTop w:val="0"/>
              <w:marBottom w:val="240"/>
              <w:divBdr>
                <w:top w:val="none" w:sz="0" w:space="0" w:color="auto"/>
                <w:left w:val="none" w:sz="0" w:space="0" w:color="auto"/>
                <w:bottom w:val="none" w:sz="0" w:space="0" w:color="auto"/>
                <w:right w:val="none" w:sz="0" w:space="0" w:color="auto"/>
              </w:divBdr>
            </w:div>
            <w:div w:id="517542893">
              <w:marLeft w:val="0"/>
              <w:marRight w:val="0"/>
              <w:marTop w:val="0"/>
              <w:marBottom w:val="240"/>
              <w:divBdr>
                <w:top w:val="none" w:sz="0" w:space="0" w:color="auto"/>
                <w:left w:val="none" w:sz="0" w:space="0" w:color="auto"/>
                <w:bottom w:val="none" w:sz="0" w:space="0" w:color="auto"/>
                <w:right w:val="none" w:sz="0" w:space="0" w:color="auto"/>
              </w:divBdr>
            </w:div>
            <w:div w:id="1850488608">
              <w:marLeft w:val="0"/>
              <w:marRight w:val="0"/>
              <w:marTop w:val="0"/>
              <w:marBottom w:val="240"/>
              <w:divBdr>
                <w:top w:val="none" w:sz="0" w:space="0" w:color="auto"/>
                <w:left w:val="none" w:sz="0" w:space="0" w:color="auto"/>
                <w:bottom w:val="none" w:sz="0" w:space="0" w:color="auto"/>
                <w:right w:val="none" w:sz="0" w:space="0" w:color="auto"/>
              </w:divBdr>
            </w:div>
            <w:div w:id="1751270052">
              <w:marLeft w:val="0"/>
              <w:marRight w:val="0"/>
              <w:marTop w:val="0"/>
              <w:marBottom w:val="240"/>
              <w:divBdr>
                <w:top w:val="none" w:sz="0" w:space="0" w:color="auto"/>
                <w:left w:val="none" w:sz="0" w:space="0" w:color="auto"/>
                <w:bottom w:val="none" w:sz="0" w:space="0" w:color="auto"/>
                <w:right w:val="none" w:sz="0" w:space="0" w:color="auto"/>
              </w:divBdr>
            </w:div>
            <w:div w:id="790906527">
              <w:marLeft w:val="0"/>
              <w:marRight w:val="0"/>
              <w:marTop w:val="0"/>
              <w:marBottom w:val="240"/>
              <w:divBdr>
                <w:top w:val="none" w:sz="0" w:space="0" w:color="auto"/>
                <w:left w:val="none" w:sz="0" w:space="0" w:color="auto"/>
                <w:bottom w:val="none" w:sz="0" w:space="0" w:color="auto"/>
                <w:right w:val="none" w:sz="0" w:space="0" w:color="auto"/>
              </w:divBdr>
            </w:div>
            <w:div w:id="1597012013">
              <w:marLeft w:val="0"/>
              <w:marRight w:val="0"/>
              <w:marTop w:val="0"/>
              <w:marBottom w:val="240"/>
              <w:divBdr>
                <w:top w:val="none" w:sz="0" w:space="0" w:color="auto"/>
                <w:left w:val="none" w:sz="0" w:space="0" w:color="auto"/>
                <w:bottom w:val="none" w:sz="0" w:space="0" w:color="auto"/>
                <w:right w:val="none" w:sz="0" w:space="0" w:color="auto"/>
              </w:divBdr>
            </w:div>
            <w:div w:id="1984238904">
              <w:marLeft w:val="0"/>
              <w:marRight w:val="0"/>
              <w:marTop w:val="0"/>
              <w:marBottom w:val="240"/>
              <w:divBdr>
                <w:top w:val="none" w:sz="0" w:space="0" w:color="auto"/>
                <w:left w:val="none" w:sz="0" w:space="0" w:color="auto"/>
                <w:bottom w:val="none" w:sz="0" w:space="0" w:color="auto"/>
                <w:right w:val="none" w:sz="0" w:space="0" w:color="auto"/>
              </w:divBdr>
            </w:div>
            <w:div w:id="342779469">
              <w:marLeft w:val="0"/>
              <w:marRight w:val="0"/>
              <w:marTop w:val="0"/>
              <w:marBottom w:val="240"/>
              <w:divBdr>
                <w:top w:val="none" w:sz="0" w:space="0" w:color="auto"/>
                <w:left w:val="none" w:sz="0" w:space="0" w:color="auto"/>
                <w:bottom w:val="none" w:sz="0" w:space="0" w:color="auto"/>
                <w:right w:val="none" w:sz="0" w:space="0" w:color="auto"/>
              </w:divBdr>
            </w:div>
            <w:div w:id="1067458621">
              <w:marLeft w:val="0"/>
              <w:marRight w:val="0"/>
              <w:marTop w:val="0"/>
              <w:marBottom w:val="240"/>
              <w:divBdr>
                <w:top w:val="none" w:sz="0" w:space="0" w:color="auto"/>
                <w:left w:val="none" w:sz="0" w:space="0" w:color="auto"/>
                <w:bottom w:val="none" w:sz="0" w:space="0" w:color="auto"/>
                <w:right w:val="none" w:sz="0" w:space="0" w:color="auto"/>
              </w:divBdr>
            </w:div>
            <w:div w:id="1596985335">
              <w:marLeft w:val="0"/>
              <w:marRight w:val="0"/>
              <w:marTop w:val="0"/>
              <w:marBottom w:val="240"/>
              <w:divBdr>
                <w:top w:val="none" w:sz="0" w:space="0" w:color="auto"/>
                <w:left w:val="none" w:sz="0" w:space="0" w:color="auto"/>
                <w:bottom w:val="none" w:sz="0" w:space="0" w:color="auto"/>
                <w:right w:val="none" w:sz="0" w:space="0" w:color="auto"/>
              </w:divBdr>
            </w:div>
            <w:div w:id="342054224">
              <w:marLeft w:val="0"/>
              <w:marRight w:val="0"/>
              <w:marTop w:val="0"/>
              <w:marBottom w:val="240"/>
              <w:divBdr>
                <w:top w:val="none" w:sz="0" w:space="0" w:color="auto"/>
                <w:left w:val="none" w:sz="0" w:space="0" w:color="auto"/>
                <w:bottom w:val="none" w:sz="0" w:space="0" w:color="auto"/>
                <w:right w:val="none" w:sz="0" w:space="0" w:color="auto"/>
              </w:divBdr>
            </w:div>
            <w:div w:id="1820146135">
              <w:marLeft w:val="0"/>
              <w:marRight w:val="0"/>
              <w:marTop w:val="0"/>
              <w:marBottom w:val="240"/>
              <w:divBdr>
                <w:top w:val="none" w:sz="0" w:space="0" w:color="auto"/>
                <w:left w:val="none" w:sz="0" w:space="0" w:color="auto"/>
                <w:bottom w:val="none" w:sz="0" w:space="0" w:color="auto"/>
                <w:right w:val="none" w:sz="0" w:space="0" w:color="auto"/>
              </w:divBdr>
            </w:div>
            <w:div w:id="2128544170">
              <w:marLeft w:val="0"/>
              <w:marRight w:val="0"/>
              <w:marTop w:val="0"/>
              <w:marBottom w:val="240"/>
              <w:divBdr>
                <w:top w:val="none" w:sz="0" w:space="0" w:color="auto"/>
                <w:left w:val="none" w:sz="0" w:space="0" w:color="auto"/>
                <w:bottom w:val="none" w:sz="0" w:space="0" w:color="auto"/>
                <w:right w:val="none" w:sz="0" w:space="0" w:color="auto"/>
              </w:divBdr>
            </w:div>
            <w:div w:id="1839924913">
              <w:marLeft w:val="0"/>
              <w:marRight w:val="0"/>
              <w:marTop w:val="0"/>
              <w:marBottom w:val="240"/>
              <w:divBdr>
                <w:top w:val="none" w:sz="0" w:space="0" w:color="auto"/>
                <w:left w:val="none" w:sz="0" w:space="0" w:color="auto"/>
                <w:bottom w:val="none" w:sz="0" w:space="0" w:color="auto"/>
                <w:right w:val="none" w:sz="0" w:space="0" w:color="auto"/>
              </w:divBdr>
            </w:div>
            <w:div w:id="941953743">
              <w:marLeft w:val="0"/>
              <w:marRight w:val="0"/>
              <w:marTop w:val="0"/>
              <w:marBottom w:val="240"/>
              <w:divBdr>
                <w:top w:val="none" w:sz="0" w:space="0" w:color="auto"/>
                <w:left w:val="none" w:sz="0" w:space="0" w:color="auto"/>
                <w:bottom w:val="none" w:sz="0" w:space="0" w:color="auto"/>
                <w:right w:val="none" w:sz="0" w:space="0" w:color="auto"/>
              </w:divBdr>
            </w:div>
            <w:div w:id="603922529">
              <w:marLeft w:val="0"/>
              <w:marRight w:val="0"/>
              <w:marTop w:val="0"/>
              <w:marBottom w:val="240"/>
              <w:divBdr>
                <w:top w:val="none" w:sz="0" w:space="0" w:color="auto"/>
                <w:left w:val="none" w:sz="0" w:space="0" w:color="auto"/>
                <w:bottom w:val="none" w:sz="0" w:space="0" w:color="auto"/>
                <w:right w:val="none" w:sz="0" w:space="0" w:color="auto"/>
              </w:divBdr>
            </w:div>
            <w:div w:id="898243834">
              <w:marLeft w:val="0"/>
              <w:marRight w:val="0"/>
              <w:marTop w:val="0"/>
              <w:marBottom w:val="240"/>
              <w:divBdr>
                <w:top w:val="none" w:sz="0" w:space="0" w:color="auto"/>
                <w:left w:val="none" w:sz="0" w:space="0" w:color="auto"/>
                <w:bottom w:val="none" w:sz="0" w:space="0" w:color="auto"/>
                <w:right w:val="none" w:sz="0" w:space="0" w:color="auto"/>
              </w:divBdr>
            </w:div>
            <w:div w:id="797140848">
              <w:marLeft w:val="0"/>
              <w:marRight w:val="0"/>
              <w:marTop w:val="0"/>
              <w:marBottom w:val="240"/>
              <w:divBdr>
                <w:top w:val="none" w:sz="0" w:space="0" w:color="auto"/>
                <w:left w:val="none" w:sz="0" w:space="0" w:color="auto"/>
                <w:bottom w:val="none" w:sz="0" w:space="0" w:color="auto"/>
                <w:right w:val="none" w:sz="0" w:space="0" w:color="auto"/>
              </w:divBdr>
            </w:div>
            <w:div w:id="1675500221">
              <w:marLeft w:val="0"/>
              <w:marRight w:val="0"/>
              <w:marTop w:val="0"/>
              <w:marBottom w:val="240"/>
              <w:divBdr>
                <w:top w:val="none" w:sz="0" w:space="0" w:color="auto"/>
                <w:left w:val="none" w:sz="0" w:space="0" w:color="auto"/>
                <w:bottom w:val="none" w:sz="0" w:space="0" w:color="auto"/>
                <w:right w:val="none" w:sz="0" w:space="0" w:color="auto"/>
              </w:divBdr>
            </w:div>
            <w:div w:id="1376007884">
              <w:marLeft w:val="0"/>
              <w:marRight w:val="0"/>
              <w:marTop w:val="0"/>
              <w:marBottom w:val="240"/>
              <w:divBdr>
                <w:top w:val="none" w:sz="0" w:space="0" w:color="auto"/>
                <w:left w:val="none" w:sz="0" w:space="0" w:color="auto"/>
                <w:bottom w:val="none" w:sz="0" w:space="0" w:color="auto"/>
                <w:right w:val="none" w:sz="0" w:space="0" w:color="auto"/>
              </w:divBdr>
            </w:div>
            <w:div w:id="1370184953">
              <w:marLeft w:val="0"/>
              <w:marRight w:val="0"/>
              <w:marTop w:val="0"/>
              <w:marBottom w:val="240"/>
              <w:divBdr>
                <w:top w:val="none" w:sz="0" w:space="0" w:color="auto"/>
                <w:left w:val="none" w:sz="0" w:space="0" w:color="auto"/>
                <w:bottom w:val="none" w:sz="0" w:space="0" w:color="auto"/>
                <w:right w:val="none" w:sz="0" w:space="0" w:color="auto"/>
              </w:divBdr>
            </w:div>
            <w:div w:id="1615552795">
              <w:marLeft w:val="0"/>
              <w:marRight w:val="0"/>
              <w:marTop w:val="0"/>
              <w:marBottom w:val="240"/>
              <w:divBdr>
                <w:top w:val="none" w:sz="0" w:space="0" w:color="auto"/>
                <w:left w:val="none" w:sz="0" w:space="0" w:color="auto"/>
                <w:bottom w:val="none" w:sz="0" w:space="0" w:color="auto"/>
                <w:right w:val="none" w:sz="0" w:space="0" w:color="auto"/>
              </w:divBdr>
            </w:div>
            <w:div w:id="1844782825">
              <w:marLeft w:val="0"/>
              <w:marRight w:val="0"/>
              <w:marTop w:val="0"/>
              <w:marBottom w:val="240"/>
              <w:divBdr>
                <w:top w:val="none" w:sz="0" w:space="0" w:color="auto"/>
                <w:left w:val="none" w:sz="0" w:space="0" w:color="auto"/>
                <w:bottom w:val="none" w:sz="0" w:space="0" w:color="auto"/>
                <w:right w:val="none" w:sz="0" w:space="0" w:color="auto"/>
              </w:divBdr>
            </w:div>
            <w:div w:id="1546989345">
              <w:marLeft w:val="0"/>
              <w:marRight w:val="0"/>
              <w:marTop w:val="0"/>
              <w:marBottom w:val="240"/>
              <w:divBdr>
                <w:top w:val="none" w:sz="0" w:space="0" w:color="auto"/>
                <w:left w:val="none" w:sz="0" w:space="0" w:color="auto"/>
                <w:bottom w:val="none" w:sz="0" w:space="0" w:color="auto"/>
                <w:right w:val="none" w:sz="0" w:space="0" w:color="auto"/>
              </w:divBdr>
            </w:div>
            <w:div w:id="346061816">
              <w:marLeft w:val="0"/>
              <w:marRight w:val="0"/>
              <w:marTop w:val="0"/>
              <w:marBottom w:val="240"/>
              <w:divBdr>
                <w:top w:val="none" w:sz="0" w:space="0" w:color="auto"/>
                <w:left w:val="none" w:sz="0" w:space="0" w:color="auto"/>
                <w:bottom w:val="none" w:sz="0" w:space="0" w:color="auto"/>
                <w:right w:val="none" w:sz="0" w:space="0" w:color="auto"/>
              </w:divBdr>
            </w:div>
            <w:div w:id="223107787">
              <w:marLeft w:val="0"/>
              <w:marRight w:val="0"/>
              <w:marTop w:val="0"/>
              <w:marBottom w:val="240"/>
              <w:divBdr>
                <w:top w:val="none" w:sz="0" w:space="0" w:color="auto"/>
                <w:left w:val="none" w:sz="0" w:space="0" w:color="auto"/>
                <w:bottom w:val="none" w:sz="0" w:space="0" w:color="auto"/>
                <w:right w:val="none" w:sz="0" w:space="0" w:color="auto"/>
              </w:divBdr>
            </w:div>
            <w:div w:id="1177230734">
              <w:marLeft w:val="0"/>
              <w:marRight w:val="0"/>
              <w:marTop w:val="0"/>
              <w:marBottom w:val="240"/>
              <w:divBdr>
                <w:top w:val="none" w:sz="0" w:space="0" w:color="auto"/>
                <w:left w:val="none" w:sz="0" w:space="0" w:color="auto"/>
                <w:bottom w:val="none" w:sz="0" w:space="0" w:color="auto"/>
                <w:right w:val="none" w:sz="0" w:space="0" w:color="auto"/>
              </w:divBdr>
            </w:div>
            <w:div w:id="1861433284">
              <w:marLeft w:val="0"/>
              <w:marRight w:val="0"/>
              <w:marTop w:val="0"/>
              <w:marBottom w:val="240"/>
              <w:divBdr>
                <w:top w:val="none" w:sz="0" w:space="0" w:color="auto"/>
                <w:left w:val="none" w:sz="0" w:space="0" w:color="auto"/>
                <w:bottom w:val="none" w:sz="0" w:space="0" w:color="auto"/>
                <w:right w:val="none" w:sz="0" w:space="0" w:color="auto"/>
              </w:divBdr>
            </w:div>
            <w:div w:id="2047370483">
              <w:marLeft w:val="0"/>
              <w:marRight w:val="0"/>
              <w:marTop w:val="0"/>
              <w:marBottom w:val="240"/>
              <w:divBdr>
                <w:top w:val="none" w:sz="0" w:space="0" w:color="auto"/>
                <w:left w:val="none" w:sz="0" w:space="0" w:color="auto"/>
                <w:bottom w:val="none" w:sz="0" w:space="0" w:color="auto"/>
                <w:right w:val="none" w:sz="0" w:space="0" w:color="auto"/>
              </w:divBdr>
            </w:div>
            <w:div w:id="1573657813">
              <w:marLeft w:val="0"/>
              <w:marRight w:val="0"/>
              <w:marTop w:val="0"/>
              <w:marBottom w:val="240"/>
              <w:divBdr>
                <w:top w:val="none" w:sz="0" w:space="0" w:color="auto"/>
                <w:left w:val="none" w:sz="0" w:space="0" w:color="auto"/>
                <w:bottom w:val="none" w:sz="0" w:space="0" w:color="auto"/>
                <w:right w:val="none" w:sz="0" w:space="0" w:color="auto"/>
              </w:divBdr>
            </w:div>
            <w:div w:id="417680350">
              <w:marLeft w:val="0"/>
              <w:marRight w:val="0"/>
              <w:marTop w:val="0"/>
              <w:marBottom w:val="240"/>
              <w:divBdr>
                <w:top w:val="none" w:sz="0" w:space="0" w:color="auto"/>
                <w:left w:val="none" w:sz="0" w:space="0" w:color="auto"/>
                <w:bottom w:val="none" w:sz="0" w:space="0" w:color="auto"/>
                <w:right w:val="none" w:sz="0" w:space="0" w:color="auto"/>
              </w:divBdr>
            </w:div>
            <w:div w:id="779836853">
              <w:marLeft w:val="0"/>
              <w:marRight w:val="0"/>
              <w:marTop w:val="0"/>
              <w:marBottom w:val="240"/>
              <w:divBdr>
                <w:top w:val="none" w:sz="0" w:space="0" w:color="auto"/>
                <w:left w:val="none" w:sz="0" w:space="0" w:color="auto"/>
                <w:bottom w:val="none" w:sz="0" w:space="0" w:color="auto"/>
                <w:right w:val="none" w:sz="0" w:space="0" w:color="auto"/>
              </w:divBdr>
            </w:div>
            <w:div w:id="2046058187">
              <w:marLeft w:val="0"/>
              <w:marRight w:val="0"/>
              <w:marTop w:val="0"/>
              <w:marBottom w:val="240"/>
              <w:divBdr>
                <w:top w:val="none" w:sz="0" w:space="0" w:color="auto"/>
                <w:left w:val="none" w:sz="0" w:space="0" w:color="auto"/>
                <w:bottom w:val="none" w:sz="0" w:space="0" w:color="auto"/>
                <w:right w:val="none" w:sz="0" w:space="0" w:color="auto"/>
              </w:divBdr>
            </w:div>
            <w:div w:id="770274390">
              <w:marLeft w:val="0"/>
              <w:marRight w:val="0"/>
              <w:marTop w:val="0"/>
              <w:marBottom w:val="240"/>
              <w:divBdr>
                <w:top w:val="none" w:sz="0" w:space="0" w:color="auto"/>
                <w:left w:val="none" w:sz="0" w:space="0" w:color="auto"/>
                <w:bottom w:val="none" w:sz="0" w:space="0" w:color="auto"/>
                <w:right w:val="none" w:sz="0" w:space="0" w:color="auto"/>
              </w:divBdr>
            </w:div>
            <w:div w:id="1045447439">
              <w:marLeft w:val="0"/>
              <w:marRight w:val="0"/>
              <w:marTop w:val="0"/>
              <w:marBottom w:val="240"/>
              <w:divBdr>
                <w:top w:val="none" w:sz="0" w:space="0" w:color="auto"/>
                <w:left w:val="none" w:sz="0" w:space="0" w:color="auto"/>
                <w:bottom w:val="none" w:sz="0" w:space="0" w:color="auto"/>
                <w:right w:val="none" w:sz="0" w:space="0" w:color="auto"/>
              </w:divBdr>
            </w:div>
            <w:div w:id="918295036">
              <w:marLeft w:val="0"/>
              <w:marRight w:val="0"/>
              <w:marTop w:val="0"/>
              <w:marBottom w:val="240"/>
              <w:divBdr>
                <w:top w:val="none" w:sz="0" w:space="0" w:color="auto"/>
                <w:left w:val="none" w:sz="0" w:space="0" w:color="auto"/>
                <w:bottom w:val="none" w:sz="0" w:space="0" w:color="auto"/>
                <w:right w:val="none" w:sz="0" w:space="0" w:color="auto"/>
              </w:divBdr>
            </w:div>
            <w:div w:id="2114127123">
              <w:marLeft w:val="0"/>
              <w:marRight w:val="0"/>
              <w:marTop w:val="0"/>
              <w:marBottom w:val="240"/>
              <w:divBdr>
                <w:top w:val="none" w:sz="0" w:space="0" w:color="auto"/>
                <w:left w:val="none" w:sz="0" w:space="0" w:color="auto"/>
                <w:bottom w:val="none" w:sz="0" w:space="0" w:color="auto"/>
                <w:right w:val="none" w:sz="0" w:space="0" w:color="auto"/>
              </w:divBdr>
            </w:div>
            <w:div w:id="544216445">
              <w:marLeft w:val="0"/>
              <w:marRight w:val="0"/>
              <w:marTop w:val="0"/>
              <w:marBottom w:val="240"/>
              <w:divBdr>
                <w:top w:val="none" w:sz="0" w:space="0" w:color="auto"/>
                <w:left w:val="none" w:sz="0" w:space="0" w:color="auto"/>
                <w:bottom w:val="none" w:sz="0" w:space="0" w:color="auto"/>
                <w:right w:val="none" w:sz="0" w:space="0" w:color="auto"/>
              </w:divBdr>
            </w:div>
            <w:div w:id="1790853555">
              <w:marLeft w:val="0"/>
              <w:marRight w:val="0"/>
              <w:marTop w:val="0"/>
              <w:marBottom w:val="240"/>
              <w:divBdr>
                <w:top w:val="none" w:sz="0" w:space="0" w:color="auto"/>
                <w:left w:val="none" w:sz="0" w:space="0" w:color="auto"/>
                <w:bottom w:val="none" w:sz="0" w:space="0" w:color="auto"/>
                <w:right w:val="none" w:sz="0" w:space="0" w:color="auto"/>
              </w:divBdr>
            </w:div>
            <w:div w:id="501774990">
              <w:marLeft w:val="0"/>
              <w:marRight w:val="0"/>
              <w:marTop w:val="0"/>
              <w:marBottom w:val="240"/>
              <w:divBdr>
                <w:top w:val="none" w:sz="0" w:space="0" w:color="auto"/>
                <w:left w:val="none" w:sz="0" w:space="0" w:color="auto"/>
                <w:bottom w:val="none" w:sz="0" w:space="0" w:color="auto"/>
                <w:right w:val="none" w:sz="0" w:space="0" w:color="auto"/>
              </w:divBdr>
            </w:div>
            <w:div w:id="1041127595">
              <w:marLeft w:val="0"/>
              <w:marRight w:val="0"/>
              <w:marTop w:val="0"/>
              <w:marBottom w:val="240"/>
              <w:divBdr>
                <w:top w:val="none" w:sz="0" w:space="0" w:color="auto"/>
                <w:left w:val="none" w:sz="0" w:space="0" w:color="auto"/>
                <w:bottom w:val="none" w:sz="0" w:space="0" w:color="auto"/>
                <w:right w:val="none" w:sz="0" w:space="0" w:color="auto"/>
              </w:divBdr>
            </w:div>
            <w:div w:id="1093278330">
              <w:marLeft w:val="0"/>
              <w:marRight w:val="0"/>
              <w:marTop w:val="0"/>
              <w:marBottom w:val="240"/>
              <w:divBdr>
                <w:top w:val="none" w:sz="0" w:space="0" w:color="auto"/>
                <w:left w:val="none" w:sz="0" w:space="0" w:color="auto"/>
                <w:bottom w:val="none" w:sz="0" w:space="0" w:color="auto"/>
                <w:right w:val="none" w:sz="0" w:space="0" w:color="auto"/>
              </w:divBdr>
            </w:div>
            <w:div w:id="1226527646">
              <w:marLeft w:val="0"/>
              <w:marRight w:val="0"/>
              <w:marTop w:val="0"/>
              <w:marBottom w:val="240"/>
              <w:divBdr>
                <w:top w:val="none" w:sz="0" w:space="0" w:color="auto"/>
                <w:left w:val="none" w:sz="0" w:space="0" w:color="auto"/>
                <w:bottom w:val="none" w:sz="0" w:space="0" w:color="auto"/>
                <w:right w:val="none" w:sz="0" w:space="0" w:color="auto"/>
              </w:divBdr>
            </w:div>
            <w:div w:id="1756780689">
              <w:marLeft w:val="0"/>
              <w:marRight w:val="0"/>
              <w:marTop w:val="0"/>
              <w:marBottom w:val="240"/>
              <w:divBdr>
                <w:top w:val="none" w:sz="0" w:space="0" w:color="auto"/>
                <w:left w:val="none" w:sz="0" w:space="0" w:color="auto"/>
                <w:bottom w:val="none" w:sz="0" w:space="0" w:color="auto"/>
                <w:right w:val="none" w:sz="0" w:space="0" w:color="auto"/>
              </w:divBdr>
            </w:div>
            <w:div w:id="1270116177">
              <w:marLeft w:val="0"/>
              <w:marRight w:val="0"/>
              <w:marTop w:val="0"/>
              <w:marBottom w:val="240"/>
              <w:divBdr>
                <w:top w:val="none" w:sz="0" w:space="0" w:color="auto"/>
                <w:left w:val="none" w:sz="0" w:space="0" w:color="auto"/>
                <w:bottom w:val="none" w:sz="0" w:space="0" w:color="auto"/>
                <w:right w:val="none" w:sz="0" w:space="0" w:color="auto"/>
              </w:divBdr>
            </w:div>
            <w:div w:id="485821737">
              <w:marLeft w:val="0"/>
              <w:marRight w:val="0"/>
              <w:marTop w:val="0"/>
              <w:marBottom w:val="240"/>
              <w:divBdr>
                <w:top w:val="none" w:sz="0" w:space="0" w:color="auto"/>
                <w:left w:val="none" w:sz="0" w:space="0" w:color="auto"/>
                <w:bottom w:val="none" w:sz="0" w:space="0" w:color="auto"/>
                <w:right w:val="none" w:sz="0" w:space="0" w:color="auto"/>
              </w:divBdr>
            </w:div>
            <w:div w:id="1938125864">
              <w:marLeft w:val="0"/>
              <w:marRight w:val="0"/>
              <w:marTop w:val="0"/>
              <w:marBottom w:val="240"/>
              <w:divBdr>
                <w:top w:val="none" w:sz="0" w:space="0" w:color="auto"/>
                <w:left w:val="none" w:sz="0" w:space="0" w:color="auto"/>
                <w:bottom w:val="none" w:sz="0" w:space="0" w:color="auto"/>
                <w:right w:val="none" w:sz="0" w:space="0" w:color="auto"/>
              </w:divBdr>
            </w:div>
            <w:div w:id="1377510768">
              <w:marLeft w:val="0"/>
              <w:marRight w:val="0"/>
              <w:marTop w:val="0"/>
              <w:marBottom w:val="240"/>
              <w:divBdr>
                <w:top w:val="none" w:sz="0" w:space="0" w:color="auto"/>
                <w:left w:val="none" w:sz="0" w:space="0" w:color="auto"/>
                <w:bottom w:val="none" w:sz="0" w:space="0" w:color="auto"/>
                <w:right w:val="none" w:sz="0" w:space="0" w:color="auto"/>
              </w:divBdr>
            </w:div>
            <w:div w:id="1175992764">
              <w:marLeft w:val="0"/>
              <w:marRight w:val="0"/>
              <w:marTop w:val="0"/>
              <w:marBottom w:val="240"/>
              <w:divBdr>
                <w:top w:val="none" w:sz="0" w:space="0" w:color="auto"/>
                <w:left w:val="none" w:sz="0" w:space="0" w:color="auto"/>
                <w:bottom w:val="none" w:sz="0" w:space="0" w:color="auto"/>
                <w:right w:val="none" w:sz="0" w:space="0" w:color="auto"/>
              </w:divBdr>
            </w:div>
            <w:div w:id="45643040">
              <w:marLeft w:val="0"/>
              <w:marRight w:val="0"/>
              <w:marTop w:val="0"/>
              <w:marBottom w:val="240"/>
              <w:divBdr>
                <w:top w:val="none" w:sz="0" w:space="0" w:color="auto"/>
                <w:left w:val="none" w:sz="0" w:space="0" w:color="auto"/>
                <w:bottom w:val="none" w:sz="0" w:space="0" w:color="auto"/>
                <w:right w:val="none" w:sz="0" w:space="0" w:color="auto"/>
              </w:divBdr>
            </w:div>
            <w:div w:id="2089573015">
              <w:marLeft w:val="0"/>
              <w:marRight w:val="0"/>
              <w:marTop w:val="0"/>
              <w:marBottom w:val="240"/>
              <w:divBdr>
                <w:top w:val="none" w:sz="0" w:space="0" w:color="auto"/>
                <w:left w:val="none" w:sz="0" w:space="0" w:color="auto"/>
                <w:bottom w:val="none" w:sz="0" w:space="0" w:color="auto"/>
                <w:right w:val="none" w:sz="0" w:space="0" w:color="auto"/>
              </w:divBdr>
            </w:div>
            <w:div w:id="40713664">
              <w:marLeft w:val="0"/>
              <w:marRight w:val="0"/>
              <w:marTop w:val="0"/>
              <w:marBottom w:val="240"/>
              <w:divBdr>
                <w:top w:val="none" w:sz="0" w:space="0" w:color="auto"/>
                <w:left w:val="none" w:sz="0" w:space="0" w:color="auto"/>
                <w:bottom w:val="none" w:sz="0" w:space="0" w:color="auto"/>
                <w:right w:val="none" w:sz="0" w:space="0" w:color="auto"/>
              </w:divBdr>
            </w:div>
            <w:div w:id="2054498265">
              <w:marLeft w:val="0"/>
              <w:marRight w:val="0"/>
              <w:marTop w:val="0"/>
              <w:marBottom w:val="240"/>
              <w:divBdr>
                <w:top w:val="none" w:sz="0" w:space="0" w:color="auto"/>
                <w:left w:val="none" w:sz="0" w:space="0" w:color="auto"/>
                <w:bottom w:val="none" w:sz="0" w:space="0" w:color="auto"/>
                <w:right w:val="none" w:sz="0" w:space="0" w:color="auto"/>
              </w:divBdr>
            </w:div>
            <w:div w:id="869954062">
              <w:marLeft w:val="0"/>
              <w:marRight w:val="0"/>
              <w:marTop w:val="0"/>
              <w:marBottom w:val="240"/>
              <w:divBdr>
                <w:top w:val="none" w:sz="0" w:space="0" w:color="auto"/>
                <w:left w:val="none" w:sz="0" w:space="0" w:color="auto"/>
                <w:bottom w:val="none" w:sz="0" w:space="0" w:color="auto"/>
                <w:right w:val="none" w:sz="0" w:space="0" w:color="auto"/>
              </w:divBdr>
            </w:div>
            <w:div w:id="779253692">
              <w:marLeft w:val="0"/>
              <w:marRight w:val="0"/>
              <w:marTop w:val="0"/>
              <w:marBottom w:val="240"/>
              <w:divBdr>
                <w:top w:val="none" w:sz="0" w:space="0" w:color="auto"/>
                <w:left w:val="none" w:sz="0" w:space="0" w:color="auto"/>
                <w:bottom w:val="none" w:sz="0" w:space="0" w:color="auto"/>
                <w:right w:val="none" w:sz="0" w:space="0" w:color="auto"/>
              </w:divBdr>
            </w:div>
            <w:div w:id="397048446">
              <w:marLeft w:val="0"/>
              <w:marRight w:val="0"/>
              <w:marTop w:val="0"/>
              <w:marBottom w:val="240"/>
              <w:divBdr>
                <w:top w:val="none" w:sz="0" w:space="0" w:color="auto"/>
                <w:left w:val="none" w:sz="0" w:space="0" w:color="auto"/>
                <w:bottom w:val="none" w:sz="0" w:space="0" w:color="auto"/>
                <w:right w:val="none" w:sz="0" w:space="0" w:color="auto"/>
              </w:divBdr>
            </w:div>
            <w:div w:id="1483741303">
              <w:marLeft w:val="0"/>
              <w:marRight w:val="0"/>
              <w:marTop w:val="0"/>
              <w:marBottom w:val="240"/>
              <w:divBdr>
                <w:top w:val="none" w:sz="0" w:space="0" w:color="auto"/>
                <w:left w:val="none" w:sz="0" w:space="0" w:color="auto"/>
                <w:bottom w:val="none" w:sz="0" w:space="0" w:color="auto"/>
                <w:right w:val="none" w:sz="0" w:space="0" w:color="auto"/>
              </w:divBdr>
            </w:div>
            <w:div w:id="567543423">
              <w:marLeft w:val="0"/>
              <w:marRight w:val="0"/>
              <w:marTop w:val="0"/>
              <w:marBottom w:val="240"/>
              <w:divBdr>
                <w:top w:val="none" w:sz="0" w:space="0" w:color="auto"/>
                <w:left w:val="none" w:sz="0" w:space="0" w:color="auto"/>
                <w:bottom w:val="none" w:sz="0" w:space="0" w:color="auto"/>
                <w:right w:val="none" w:sz="0" w:space="0" w:color="auto"/>
              </w:divBdr>
            </w:div>
            <w:div w:id="858935886">
              <w:marLeft w:val="0"/>
              <w:marRight w:val="0"/>
              <w:marTop w:val="0"/>
              <w:marBottom w:val="240"/>
              <w:divBdr>
                <w:top w:val="none" w:sz="0" w:space="0" w:color="auto"/>
                <w:left w:val="none" w:sz="0" w:space="0" w:color="auto"/>
                <w:bottom w:val="none" w:sz="0" w:space="0" w:color="auto"/>
                <w:right w:val="none" w:sz="0" w:space="0" w:color="auto"/>
              </w:divBdr>
            </w:div>
            <w:div w:id="633171855">
              <w:marLeft w:val="0"/>
              <w:marRight w:val="0"/>
              <w:marTop w:val="0"/>
              <w:marBottom w:val="240"/>
              <w:divBdr>
                <w:top w:val="none" w:sz="0" w:space="0" w:color="auto"/>
                <w:left w:val="none" w:sz="0" w:space="0" w:color="auto"/>
                <w:bottom w:val="none" w:sz="0" w:space="0" w:color="auto"/>
                <w:right w:val="none" w:sz="0" w:space="0" w:color="auto"/>
              </w:divBdr>
            </w:div>
            <w:div w:id="1841697687">
              <w:marLeft w:val="0"/>
              <w:marRight w:val="0"/>
              <w:marTop w:val="0"/>
              <w:marBottom w:val="240"/>
              <w:divBdr>
                <w:top w:val="none" w:sz="0" w:space="0" w:color="auto"/>
                <w:left w:val="none" w:sz="0" w:space="0" w:color="auto"/>
                <w:bottom w:val="none" w:sz="0" w:space="0" w:color="auto"/>
                <w:right w:val="none" w:sz="0" w:space="0" w:color="auto"/>
              </w:divBdr>
            </w:div>
            <w:div w:id="191305156">
              <w:marLeft w:val="0"/>
              <w:marRight w:val="0"/>
              <w:marTop w:val="0"/>
              <w:marBottom w:val="240"/>
              <w:divBdr>
                <w:top w:val="none" w:sz="0" w:space="0" w:color="auto"/>
                <w:left w:val="none" w:sz="0" w:space="0" w:color="auto"/>
                <w:bottom w:val="none" w:sz="0" w:space="0" w:color="auto"/>
                <w:right w:val="none" w:sz="0" w:space="0" w:color="auto"/>
              </w:divBdr>
            </w:div>
            <w:div w:id="54016097">
              <w:marLeft w:val="0"/>
              <w:marRight w:val="0"/>
              <w:marTop w:val="0"/>
              <w:marBottom w:val="240"/>
              <w:divBdr>
                <w:top w:val="none" w:sz="0" w:space="0" w:color="auto"/>
                <w:left w:val="none" w:sz="0" w:space="0" w:color="auto"/>
                <w:bottom w:val="none" w:sz="0" w:space="0" w:color="auto"/>
                <w:right w:val="none" w:sz="0" w:space="0" w:color="auto"/>
              </w:divBdr>
            </w:div>
            <w:div w:id="2009937422">
              <w:marLeft w:val="0"/>
              <w:marRight w:val="0"/>
              <w:marTop w:val="0"/>
              <w:marBottom w:val="240"/>
              <w:divBdr>
                <w:top w:val="none" w:sz="0" w:space="0" w:color="auto"/>
                <w:left w:val="none" w:sz="0" w:space="0" w:color="auto"/>
                <w:bottom w:val="none" w:sz="0" w:space="0" w:color="auto"/>
                <w:right w:val="none" w:sz="0" w:space="0" w:color="auto"/>
              </w:divBdr>
            </w:div>
            <w:div w:id="1115947804">
              <w:marLeft w:val="0"/>
              <w:marRight w:val="0"/>
              <w:marTop w:val="0"/>
              <w:marBottom w:val="240"/>
              <w:divBdr>
                <w:top w:val="none" w:sz="0" w:space="0" w:color="auto"/>
                <w:left w:val="none" w:sz="0" w:space="0" w:color="auto"/>
                <w:bottom w:val="none" w:sz="0" w:space="0" w:color="auto"/>
                <w:right w:val="none" w:sz="0" w:space="0" w:color="auto"/>
              </w:divBdr>
            </w:div>
            <w:div w:id="1297686871">
              <w:marLeft w:val="0"/>
              <w:marRight w:val="0"/>
              <w:marTop w:val="0"/>
              <w:marBottom w:val="240"/>
              <w:divBdr>
                <w:top w:val="none" w:sz="0" w:space="0" w:color="auto"/>
                <w:left w:val="none" w:sz="0" w:space="0" w:color="auto"/>
                <w:bottom w:val="none" w:sz="0" w:space="0" w:color="auto"/>
                <w:right w:val="none" w:sz="0" w:space="0" w:color="auto"/>
              </w:divBdr>
            </w:div>
            <w:div w:id="287207164">
              <w:marLeft w:val="0"/>
              <w:marRight w:val="0"/>
              <w:marTop w:val="0"/>
              <w:marBottom w:val="240"/>
              <w:divBdr>
                <w:top w:val="none" w:sz="0" w:space="0" w:color="auto"/>
                <w:left w:val="none" w:sz="0" w:space="0" w:color="auto"/>
                <w:bottom w:val="none" w:sz="0" w:space="0" w:color="auto"/>
                <w:right w:val="none" w:sz="0" w:space="0" w:color="auto"/>
              </w:divBdr>
            </w:div>
            <w:div w:id="1451974499">
              <w:marLeft w:val="0"/>
              <w:marRight w:val="0"/>
              <w:marTop w:val="0"/>
              <w:marBottom w:val="240"/>
              <w:divBdr>
                <w:top w:val="none" w:sz="0" w:space="0" w:color="auto"/>
                <w:left w:val="none" w:sz="0" w:space="0" w:color="auto"/>
                <w:bottom w:val="none" w:sz="0" w:space="0" w:color="auto"/>
                <w:right w:val="none" w:sz="0" w:space="0" w:color="auto"/>
              </w:divBdr>
            </w:div>
            <w:div w:id="1914468701">
              <w:marLeft w:val="0"/>
              <w:marRight w:val="0"/>
              <w:marTop w:val="0"/>
              <w:marBottom w:val="240"/>
              <w:divBdr>
                <w:top w:val="none" w:sz="0" w:space="0" w:color="auto"/>
                <w:left w:val="none" w:sz="0" w:space="0" w:color="auto"/>
                <w:bottom w:val="none" w:sz="0" w:space="0" w:color="auto"/>
                <w:right w:val="none" w:sz="0" w:space="0" w:color="auto"/>
              </w:divBdr>
            </w:div>
            <w:div w:id="349766930">
              <w:marLeft w:val="0"/>
              <w:marRight w:val="0"/>
              <w:marTop w:val="0"/>
              <w:marBottom w:val="240"/>
              <w:divBdr>
                <w:top w:val="none" w:sz="0" w:space="0" w:color="auto"/>
                <w:left w:val="none" w:sz="0" w:space="0" w:color="auto"/>
                <w:bottom w:val="none" w:sz="0" w:space="0" w:color="auto"/>
                <w:right w:val="none" w:sz="0" w:space="0" w:color="auto"/>
              </w:divBdr>
            </w:div>
            <w:div w:id="24913084">
              <w:marLeft w:val="0"/>
              <w:marRight w:val="0"/>
              <w:marTop w:val="0"/>
              <w:marBottom w:val="240"/>
              <w:divBdr>
                <w:top w:val="none" w:sz="0" w:space="0" w:color="auto"/>
                <w:left w:val="none" w:sz="0" w:space="0" w:color="auto"/>
                <w:bottom w:val="none" w:sz="0" w:space="0" w:color="auto"/>
                <w:right w:val="none" w:sz="0" w:space="0" w:color="auto"/>
              </w:divBdr>
            </w:div>
            <w:div w:id="1092049955">
              <w:marLeft w:val="0"/>
              <w:marRight w:val="0"/>
              <w:marTop w:val="0"/>
              <w:marBottom w:val="240"/>
              <w:divBdr>
                <w:top w:val="none" w:sz="0" w:space="0" w:color="auto"/>
                <w:left w:val="none" w:sz="0" w:space="0" w:color="auto"/>
                <w:bottom w:val="none" w:sz="0" w:space="0" w:color="auto"/>
                <w:right w:val="none" w:sz="0" w:space="0" w:color="auto"/>
              </w:divBdr>
            </w:div>
            <w:div w:id="1611817269">
              <w:marLeft w:val="0"/>
              <w:marRight w:val="0"/>
              <w:marTop w:val="0"/>
              <w:marBottom w:val="240"/>
              <w:divBdr>
                <w:top w:val="none" w:sz="0" w:space="0" w:color="auto"/>
                <w:left w:val="none" w:sz="0" w:space="0" w:color="auto"/>
                <w:bottom w:val="none" w:sz="0" w:space="0" w:color="auto"/>
                <w:right w:val="none" w:sz="0" w:space="0" w:color="auto"/>
              </w:divBdr>
            </w:div>
            <w:div w:id="1109547233">
              <w:marLeft w:val="0"/>
              <w:marRight w:val="0"/>
              <w:marTop w:val="0"/>
              <w:marBottom w:val="240"/>
              <w:divBdr>
                <w:top w:val="none" w:sz="0" w:space="0" w:color="auto"/>
                <w:left w:val="none" w:sz="0" w:space="0" w:color="auto"/>
                <w:bottom w:val="none" w:sz="0" w:space="0" w:color="auto"/>
                <w:right w:val="none" w:sz="0" w:space="0" w:color="auto"/>
              </w:divBdr>
            </w:div>
            <w:div w:id="1067609261">
              <w:marLeft w:val="0"/>
              <w:marRight w:val="0"/>
              <w:marTop w:val="0"/>
              <w:marBottom w:val="240"/>
              <w:divBdr>
                <w:top w:val="none" w:sz="0" w:space="0" w:color="auto"/>
                <w:left w:val="none" w:sz="0" w:space="0" w:color="auto"/>
                <w:bottom w:val="none" w:sz="0" w:space="0" w:color="auto"/>
                <w:right w:val="none" w:sz="0" w:space="0" w:color="auto"/>
              </w:divBdr>
            </w:div>
            <w:div w:id="1229849009">
              <w:marLeft w:val="0"/>
              <w:marRight w:val="0"/>
              <w:marTop w:val="0"/>
              <w:marBottom w:val="240"/>
              <w:divBdr>
                <w:top w:val="none" w:sz="0" w:space="0" w:color="auto"/>
                <w:left w:val="none" w:sz="0" w:space="0" w:color="auto"/>
                <w:bottom w:val="none" w:sz="0" w:space="0" w:color="auto"/>
                <w:right w:val="none" w:sz="0" w:space="0" w:color="auto"/>
              </w:divBdr>
            </w:div>
            <w:div w:id="1632437457">
              <w:marLeft w:val="0"/>
              <w:marRight w:val="0"/>
              <w:marTop w:val="0"/>
              <w:marBottom w:val="240"/>
              <w:divBdr>
                <w:top w:val="none" w:sz="0" w:space="0" w:color="auto"/>
                <w:left w:val="none" w:sz="0" w:space="0" w:color="auto"/>
                <w:bottom w:val="none" w:sz="0" w:space="0" w:color="auto"/>
                <w:right w:val="none" w:sz="0" w:space="0" w:color="auto"/>
              </w:divBdr>
            </w:div>
            <w:div w:id="1240604510">
              <w:marLeft w:val="0"/>
              <w:marRight w:val="0"/>
              <w:marTop w:val="0"/>
              <w:marBottom w:val="240"/>
              <w:divBdr>
                <w:top w:val="none" w:sz="0" w:space="0" w:color="auto"/>
                <w:left w:val="none" w:sz="0" w:space="0" w:color="auto"/>
                <w:bottom w:val="none" w:sz="0" w:space="0" w:color="auto"/>
                <w:right w:val="none" w:sz="0" w:space="0" w:color="auto"/>
              </w:divBdr>
            </w:div>
            <w:div w:id="1890652667">
              <w:marLeft w:val="0"/>
              <w:marRight w:val="0"/>
              <w:marTop w:val="0"/>
              <w:marBottom w:val="240"/>
              <w:divBdr>
                <w:top w:val="none" w:sz="0" w:space="0" w:color="auto"/>
                <w:left w:val="none" w:sz="0" w:space="0" w:color="auto"/>
                <w:bottom w:val="none" w:sz="0" w:space="0" w:color="auto"/>
                <w:right w:val="none" w:sz="0" w:space="0" w:color="auto"/>
              </w:divBdr>
            </w:div>
            <w:div w:id="1633362982">
              <w:marLeft w:val="0"/>
              <w:marRight w:val="0"/>
              <w:marTop w:val="0"/>
              <w:marBottom w:val="240"/>
              <w:divBdr>
                <w:top w:val="none" w:sz="0" w:space="0" w:color="auto"/>
                <w:left w:val="none" w:sz="0" w:space="0" w:color="auto"/>
                <w:bottom w:val="none" w:sz="0" w:space="0" w:color="auto"/>
                <w:right w:val="none" w:sz="0" w:space="0" w:color="auto"/>
              </w:divBdr>
            </w:div>
            <w:div w:id="1418868993">
              <w:marLeft w:val="0"/>
              <w:marRight w:val="0"/>
              <w:marTop w:val="0"/>
              <w:marBottom w:val="240"/>
              <w:divBdr>
                <w:top w:val="none" w:sz="0" w:space="0" w:color="auto"/>
                <w:left w:val="none" w:sz="0" w:space="0" w:color="auto"/>
                <w:bottom w:val="none" w:sz="0" w:space="0" w:color="auto"/>
                <w:right w:val="none" w:sz="0" w:space="0" w:color="auto"/>
              </w:divBdr>
            </w:div>
            <w:div w:id="2023623696">
              <w:marLeft w:val="0"/>
              <w:marRight w:val="0"/>
              <w:marTop w:val="0"/>
              <w:marBottom w:val="240"/>
              <w:divBdr>
                <w:top w:val="none" w:sz="0" w:space="0" w:color="auto"/>
                <w:left w:val="none" w:sz="0" w:space="0" w:color="auto"/>
                <w:bottom w:val="none" w:sz="0" w:space="0" w:color="auto"/>
                <w:right w:val="none" w:sz="0" w:space="0" w:color="auto"/>
              </w:divBdr>
            </w:div>
            <w:div w:id="1357972368">
              <w:marLeft w:val="0"/>
              <w:marRight w:val="0"/>
              <w:marTop w:val="0"/>
              <w:marBottom w:val="240"/>
              <w:divBdr>
                <w:top w:val="none" w:sz="0" w:space="0" w:color="auto"/>
                <w:left w:val="none" w:sz="0" w:space="0" w:color="auto"/>
                <w:bottom w:val="none" w:sz="0" w:space="0" w:color="auto"/>
                <w:right w:val="none" w:sz="0" w:space="0" w:color="auto"/>
              </w:divBdr>
            </w:div>
            <w:div w:id="986083189">
              <w:marLeft w:val="0"/>
              <w:marRight w:val="0"/>
              <w:marTop w:val="0"/>
              <w:marBottom w:val="240"/>
              <w:divBdr>
                <w:top w:val="none" w:sz="0" w:space="0" w:color="auto"/>
                <w:left w:val="none" w:sz="0" w:space="0" w:color="auto"/>
                <w:bottom w:val="none" w:sz="0" w:space="0" w:color="auto"/>
                <w:right w:val="none" w:sz="0" w:space="0" w:color="auto"/>
              </w:divBdr>
            </w:div>
            <w:div w:id="85856155">
              <w:marLeft w:val="0"/>
              <w:marRight w:val="0"/>
              <w:marTop w:val="0"/>
              <w:marBottom w:val="240"/>
              <w:divBdr>
                <w:top w:val="none" w:sz="0" w:space="0" w:color="auto"/>
                <w:left w:val="none" w:sz="0" w:space="0" w:color="auto"/>
                <w:bottom w:val="none" w:sz="0" w:space="0" w:color="auto"/>
                <w:right w:val="none" w:sz="0" w:space="0" w:color="auto"/>
              </w:divBdr>
            </w:div>
            <w:div w:id="1183977128">
              <w:marLeft w:val="0"/>
              <w:marRight w:val="0"/>
              <w:marTop w:val="0"/>
              <w:marBottom w:val="240"/>
              <w:divBdr>
                <w:top w:val="none" w:sz="0" w:space="0" w:color="auto"/>
                <w:left w:val="none" w:sz="0" w:space="0" w:color="auto"/>
                <w:bottom w:val="none" w:sz="0" w:space="0" w:color="auto"/>
                <w:right w:val="none" w:sz="0" w:space="0" w:color="auto"/>
              </w:divBdr>
            </w:div>
            <w:div w:id="1641839644">
              <w:marLeft w:val="0"/>
              <w:marRight w:val="0"/>
              <w:marTop w:val="0"/>
              <w:marBottom w:val="240"/>
              <w:divBdr>
                <w:top w:val="none" w:sz="0" w:space="0" w:color="auto"/>
                <w:left w:val="none" w:sz="0" w:space="0" w:color="auto"/>
                <w:bottom w:val="none" w:sz="0" w:space="0" w:color="auto"/>
                <w:right w:val="none" w:sz="0" w:space="0" w:color="auto"/>
              </w:divBdr>
            </w:div>
            <w:div w:id="2117631012">
              <w:marLeft w:val="0"/>
              <w:marRight w:val="0"/>
              <w:marTop w:val="0"/>
              <w:marBottom w:val="240"/>
              <w:divBdr>
                <w:top w:val="none" w:sz="0" w:space="0" w:color="auto"/>
                <w:left w:val="none" w:sz="0" w:space="0" w:color="auto"/>
                <w:bottom w:val="none" w:sz="0" w:space="0" w:color="auto"/>
                <w:right w:val="none" w:sz="0" w:space="0" w:color="auto"/>
              </w:divBdr>
            </w:div>
            <w:div w:id="443967436">
              <w:marLeft w:val="0"/>
              <w:marRight w:val="0"/>
              <w:marTop w:val="0"/>
              <w:marBottom w:val="240"/>
              <w:divBdr>
                <w:top w:val="none" w:sz="0" w:space="0" w:color="auto"/>
                <w:left w:val="none" w:sz="0" w:space="0" w:color="auto"/>
                <w:bottom w:val="none" w:sz="0" w:space="0" w:color="auto"/>
                <w:right w:val="none" w:sz="0" w:space="0" w:color="auto"/>
              </w:divBdr>
            </w:div>
            <w:div w:id="702750656">
              <w:marLeft w:val="0"/>
              <w:marRight w:val="0"/>
              <w:marTop w:val="0"/>
              <w:marBottom w:val="240"/>
              <w:divBdr>
                <w:top w:val="none" w:sz="0" w:space="0" w:color="auto"/>
                <w:left w:val="none" w:sz="0" w:space="0" w:color="auto"/>
                <w:bottom w:val="none" w:sz="0" w:space="0" w:color="auto"/>
                <w:right w:val="none" w:sz="0" w:space="0" w:color="auto"/>
              </w:divBdr>
            </w:div>
            <w:div w:id="243998625">
              <w:marLeft w:val="0"/>
              <w:marRight w:val="0"/>
              <w:marTop w:val="0"/>
              <w:marBottom w:val="240"/>
              <w:divBdr>
                <w:top w:val="none" w:sz="0" w:space="0" w:color="auto"/>
                <w:left w:val="none" w:sz="0" w:space="0" w:color="auto"/>
                <w:bottom w:val="none" w:sz="0" w:space="0" w:color="auto"/>
                <w:right w:val="none" w:sz="0" w:space="0" w:color="auto"/>
              </w:divBdr>
            </w:div>
            <w:div w:id="1917589099">
              <w:marLeft w:val="0"/>
              <w:marRight w:val="0"/>
              <w:marTop w:val="0"/>
              <w:marBottom w:val="240"/>
              <w:divBdr>
                <w:top w:val="none" w:sz="0" w:space="0" w:color="auto"/>
                <w:left w:val="none" w:sz="0" w:space="0" w:color="auto"/>
                <w:bottom w:val="none" w:sz="0" w:space="0" w:color="auto"/>
                <w:right w:val="none" w:sz="0" w:space="0" w:color="auto"/>
              </w:divBdr>
            </w:div>
            <w:div w:id="535968417">
              <w:marLeft w:val="0"/>
              <w:marRight w:val="0"/>
              <w:marTop w:val="0"/>
              <w:marBottom w:val="240"/>
              <w:divBdr>
                <w:top w:val="none" w:sz="0" w:space="0" w:color="auto"/>
                <w:left w:val="none" w:sz="0" w:space="0" w:color="auto"/>
                <w:bottom w:val="none" w:sz="0" w:space="0" w:color="auto"/>
                <w:right w:val="none" w:sz="0" w:space="0" w:color="auto"/>
              </w:divBdr>
            </w:div>
            <w:div w:id="1047872930">
              <w:marLeft w:val="0"/>
              <w:marRight w:val="0"/>
              <w:marTop w:val="0"/>
              <w:marBottom w:val="240"/>
              <w:divBdr>
                <w:top w:val="none" w:sz="0" w:space="0" w:color="auto"/>
                <w:left w:val="none" w:sz="0" w:space="0" w:color="auto"/>
                <w:bottom w:val="none" w:sz="0" w:space="0" w:color="auto"/>
                <w:right w:val="none" w:sz="0" w:space="0" w:color="auto"/>
              </w:divBdr>
            </w:div>
            <w:div w:id="1874612492">
              <w:marLeft w:val="0"/>
              <w:marRight w:val="0"/>
              <w:marTop w:val="0"/>
              <w:marBottom w:val="240"/>
              <w:divBdr>
                <w:top w:val="none" w:sz="0" w:space="0" w:color="auto"/>
                <w:left w:val="none" w:sz="0" w:space="0" w:color="auto"/>
                <w:bottom w:val="none" w:sz="0" w:space="0" w:color="auto"/>
                <w:right w:val="none" w:sz="0" w:space="0" w:color="auto"/>
              </w:divBdr>
            </w:div>
            <w:div w:id="1534611001">
              <w:marLeft w:val="0"/>
              <w:marRight w:val="0"/>
              <w:marTop w:val="0"/>
              <w:marBottom w:val="240"/>
              <w:divBdr>
                <w:top w:val="none" w:sz="0" w:space="0" w:color="auto"/>
                <w:left w:val="none" w:sz="0" w:space="0" w:color="auto"/>
                <w:bottom w:val="none" w:sz="0" w:space="0" w:color="auto"/>
                <w:right w:val="none" w:sz="0" w:space="0" w:color="auto"/>
              </w:divBdr>
            </w:div>
            <w:div w:id="2020697379">
              <w:marLeft w:val="0"/>
              <w:marRight w:val="0"/>
              <w:marTop w:val="0"/>
              <w:marBottom w:val="240"/>
              <w:divBdr>
                <w:top w:val="none" w:sz="0" w:space="0" w:color="auto"/>
                <w:left w:val="none" w:sz="0" w:space="0" w:color="auto"/>
                <w:bottom w:val="none" w:sz="0" w:space="0" w:color="auto"/>
                <w:right w:val="none" w:sz="0" w:space="0" w:color="auto"/>
              </w:divBdr>
            </w:div>
            <w:div w:id="641931174">
              <w:marLeft w:val="0"/>
              <w:marRight w:val="0"/>
              <w:marTop w:val="0"/>
              <w:marBottom w:val="240"/>
              <w:divBdr>
                <w:top w:val="none" w:sz="0" w:space="0" w:color="auto"/>
                <w:left w:val="none" w:sz="0" w:space="0" w:color="auto"/>
                <w:bottom w:val="none" w:sz="0" w:space="0" w:color="auto"/>
                <w:right w:val="none" w:sz="0" w:space="0" w:color="auto"/>
              </w:divBdr>
            </w:div>
            <w:div w:id="934292686">
              <w:marLeft w:val="0"/>
              <w:marRight w:val="0"/>
              <w:marTop w:val="0"/>
              <w:marBottom w:val="240"/>
              <w:divBdr>
                <w:top w:val="none" w:sz="0" w:space="0" w:color="auto"/>
                <w:left w:val="none" w:sz="0" w:space="0" w:color="auto"/>
                <w:bottom w:val="none" w:sz="0" w:space="0" w:color="auto"/>
                <w:right w:val="none" w:sz="0" w:space="0" w:color="auto"/>
              </w:divBdr>
            </w:div>
            <w:div w:id="2097358860">
              <w:marLeft w:val="0"/>
              <w:marRight w:val="0"/>
              <w:marTop w:val="0"/>
              <w:marBottom w:val="240"/>
              <w:divBdr>
                <w:top w:val="none" w:sz="0" w:space="0" w:color="auto"/>
                <w:left w:val="none" w:sz="0" w:space="0" w:color="auto"/>
                <w:bottom w:val="none" w:sz="0" w:space="0" w:color="auto"/>
                <w:right w:val="none" w:sz="0" w:space="0" w:color="auto"/>
              </w:divBdr>
            </w:div>
            <w:div w:id="1995912169">
              <w:marLeft w:val="0"/>
              <w:marRight w:val="0"/>
              <w:marTop w:val="0"/>
              <w:marBottom w:val="240"/>
              <w:divBdr>
                <w:top w:val="none" w:sz="0" w:space="0" w:color="auto"/>
                <w:left w:val="none" w:sz="0" w:space="0" w:color="auto"/>
                <w:bottom w:val="none" w:sz="0" w:space="0" w:color="auto"/>
                <w:right w:val="none" w:sz="0" w:space="0" w:color="auto"/>
              </w:divBdr>
            </w:div>
            <w:div w:id="207573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246607">
      <w:bodyDiv w:val="1"/>
      <w:marLeft w:val="0"/>
      <w:marRight w:val="0"/>
      <w:marTop w:val="0"/>
      <w:marBottom w:val="0"/>
      <w:divBdr>
        <w:top w:val="none" w:sz="0" w:space="0" w:color="auto"/>
        <w:left w:val="none" w:sz="0" w:space="0" w:color="auto"/>
        <w:bottom w:val="none" w:sz="0" w:space="0" w:color="auto"/>
        <w:right w:val="none" w:sz="0" w:space="0" w:color="auto"/>
      </w:divBdr>
    </w:div>
    <w:div w:id="2105374515">
      <w:bodyDiv w:val="1"/>
      <w:marLeft w:val="0"/>
      <w:marRight w:val="0"/>
      <w:marTop w:val="0"/>
      <w:marBottom w:val="0"/>
      <w:divBdr>
        <w:top w:val="none" w:sz="0" w:space="0" w:color="auto"/>
        <w:left w:val="none" w:sz="0" w:space="0" w:color="auto"/>
        <w:bottom w:val="none" w:sz="0" w:space="0" w:color="auto"/>
        <w:right w:val="none" w:sz="0" w:space="0" w:color="auto"/>
      </w:divBdr>
    </w:div>
    <w:div w:id="2109108271">
      <w:bodyDiv w:val="1"/>
      <w:marLeft w:val="0"/>
      <w:marRight w:val="0"/>
      <w:marTop w:val="0"/>
      <w:marBottom w:val="0"/>
      <w:divBdr>
        <w:top w:val="none" w:sz="0" w:space="0" w:color="auto"/>
        <w:left w:val="none" w:sz="0" w:space="0" w:color="auto"/>
        <w:bottom w:val="none" w:sz="0" w:space="0" w:color="auto"/>
        <w:right w:val="none" w:sz="0" w:space="0" w:color="auto"/>
      </w:divBdr>
    </w:div>
    <w:div w:id="2112627881">
      <w:bodyDiv w:val="1"/>
      <w:marLeft w:val="0"/>
      <w:marRight w:val="0"/>
      <w:marTop w:val="0"/>
      <w:marBottom w:val="0"/>
      <w:divBdr>
        <w:top w:val="none" w:sz="0" w:space="0" w:color="auto"/>
        <w:left w:val="none" w:sz="0" w:space="0" w:color="auto"/>
        <w:bottom w:val="none" w:sz="0" w:space="0" w:color="auto"/>
        <w:right w:val="none" w:sz="0" w:space="0" w:color="auto"/>
      </w:divBdr>
    </w:div>
    <w:div w:id="2121223645">
      <w:bodyDiv w:val="1"/>
      <w:marLeft w:val="0"/>
      <w:marRight w:val="0"/>
      <w:marTop w:val="0"/>
      <w:marBottom w:val="0"/>
      <w:divBdr>
        <w:top w:val="none" w:sz="0" w:space="0" w:color="auto"/>
        <w:left w:val="none" w:sz="0" w:space="0" w:color="auto"/>
        <w:bottom w:val="none" w:sz="0" w:space="0" w:color="auto"/>
        <w:right w:val="none" w:sz="0" w:space="0" w:color="auto"/>
      </w:divBdr>
    </w:div>
    <w:div w:id="2135058611">
      <w:bodyDiv w:val="1"/>
      <w:marLeft w:val="0"/>
      <w:marRight w:val="0"/>
      <w:marTop w:val="0"/>
      <w:marBottom w:val="0"/>
      <w:divBdr>
        <w:top w:val="none" w:sz="0" w:space="0" w:color="auto"/>
        <w:left w:val="none" w:sz="0" w:space="0" w:color="auto"/>
        <w:bottom w:val="none" w:sz="0" w:space="0" w:color="auto"/>
        <w:right w:val="none" w:sz="0" w:space="0" w:color="auto"/>
      </w:divBdr>
    </w:div>
    <w:div w:id="214014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S0012-821X(03)00375-3" TargetMode="External"/><Relationship Id="rId299" Type="http://schemas.openxmlformats.org/officeDocument/2006/relationships/hyperlink" Target="https://doi.org/10.1029/RG017i001p00073" TargetMode="External"/><Relationship Id="rId21" Type="http://schemas.openxmlformats.org/officeDocument/2006/relationships/hyperlink" Target="https://doi.org/10.1016/j.epsl.2005.07.029" TargetMode="External"/><Relationship Id="rId63" Type="http://schemas.openxmlformats.org/officeDocument/2006/relationships/hyperlink" Target="https://doi.org/10.1016/j.epsl.2019.07.008" TargetMode="External"/><Relationship Id="rId159" Type="http://schemas.openxmlformats.org/officeDocument/2006/relationships/hyperlink" Target="https://doi.org/10.1029/93JB00422" TargetMode="External"/><Relationship Id="rId324" Type="http://schemas.openxmlformats.org/officeDocument/2006/relationships/hyperlink" Target="https://doi.org/10.1007/BF00307281" TargetMode="External"/><Relationship Id="rId366" Type="http://schemas.openxmlformats.org/officeDocument/2006/relationships/hyperlink" Target="https://doi.org/10.1029/JB089iS02p0B525" TargetMode="External"/><Relationship Id="rId170" Type="http://schemas.openxmlformats.org/officeDocument/2006/relationships/image" Target="media/image16.png"/><Relationship Id="rId226" Type="http://schemas.openxmlformats.org/officeDocument/2006/relationships/hyperlink" Target="https://doi.org/10.1016/j.gca.2014.01.042" TargetMode="External"/><Relationship Id="rId433" Type="http://schemas.openxmlformats.org/officeDocument/2006/relationships/hyperlink" Target="https://doi.org/10.2138/rmg.2006.60.3" TargetMode="External"/><Relationship Id="rId268" Type="http://schemas.openxmlformats.org/officeDocument/2006/relationships/hyperlink" Target="https://doi.org/10.1016/S0012-821X(02)00726-4" TargetMode="External"/><Relationship Id="rId475" Type="http://schemas.openxmlformats.org/officeDocument/2006/relationships/hyperlink" Target="https://doi.org/10.1016/j.chemgeo.2006.05.005" TargetMode="External"/><Relationship Id="rId32" Type="http://schemas.openxmlformats.org/officeDocument/2006/relationships/hyperlink" Target="https://doi.org/10.1016/j.epsl.2007.07.035" TargetMode="External"/><Relationship Id="rId74" Type="http://schemas.openxmlformats.org/officeDocument/2006/relationships/hyperlink" Target="https://doi.org/10.2475/ajs.265.6.475" TargetMode="External"/><Relationship Id="rId128" Type="http://schemas.openxmlformats.org/officeDocument/2006/relationships/hyperlink" Target="https://doi.org/10.1016/j.gca.2004.02.024" TargetMode="External"/><Relationship Id="rId335" Type="http://schemas.openxmlformats.org/officeDocument/2006/relationships/hyperlink" Target="https://doi.org/10.1016/j.gca.2019.02.014" TargetMode="External"/><Relationship Id="rId377" Type="http://schemas.openxmlformats.org/officeDocument/2006/relationships/hyperlink" Target="https://doi.org/10.1016/j.gca.2006.04.013" TargetMode="External"/><Relationship Id="rId500" Type="http://schemas.openxmlformats.org/officeDocument/2006/relationships/hyperlink" Target="https://doi.org/10.1016/j.gca.2006.06.262" TargetMode="External"/><Relationship Id="rId5" Type="http://schemas.openxmlformats.org/officeDocument/2006/relationships/webSettings" Target="webSettings.xml"/><Relationship Id="rId181" Type="http://schemas.openxmlformats.org/officeDocument/2006/relationships/hyperlink" Target="https://doi.org/10.1111/j.1945-5100.2003.tb00024.x" TargetMode="External"/><Relationship Id="rId237" Type="http://schemas.openxmlformats.org/officeDocument/2006/relationships/hyperlink" Target="https://doi.org/10.1016/j.gca.2014.05.028" TargetMode="External"/><Relationship Id="rId402" Type="http://schemas.openxmlformats.org/officeDocument/2006/relationships/hyperlink" Target="https://doi.org/10.1016/j.gca.2009.10.024" TargetMode="External"/><Relationship Id="rId279" Type="http://schemas.openxmlformats.org/officeDocument/2006/relationships/hyperlink" Target="https://doi.org/10.1007/s00410-022-01957-y" TargetMode="External"/><Relationship Id="rId444" Type="http://schemas.openxmlformats.org/officeDocument/2006/relationships/image" Target="media/image48.png"/><Relationship Id="rId486" Type="http://schemas.openxmlformats.org/officeDocument/2006/relationships/hyperlink" Target="https://utk.idm.oclc.org/login?url=https://www.proquest.com/dissertations-theses/partitioning-trace-elements-between-plagioclase/docview/2083996420/se-2?accountid=14766" TargetMode="External"/><Relationship Id="rId43" Type="http://schemas.openxmlformats.org/officeDocument/2006/relationships/hyperlink" Target="https://doi.org/10.1002/2017GL073702" TargetMode="External"/><Relationship Id="rId139" Type="http://schemas.openxmlformats.org/officeDocument/2006/relationships/hyperlink" Target="https://doi.org/10.1007/BF00375484" TargetMode="External"/><Relationship Id="rId290" Type="http://schemas.openxmlformats.org/officeDocument/2006/relationships/hyperlink" Target="https://doi.org/10.1098/rsta.2013.0242" TargetMode="External"/><Relationship Id="rId304" Type="http://schemas.openxmlformats.org/officeDocument/2006/relationships/image" Target="media/image34.png"/><Relationship Id="rId346" Type="http://schemas.openxmlformats.org/officeDocument/2006/relationships/hyperlink" Target="https://doi.org/10.1016/j.chemgeo.2013.08.045" TargetMode="External"/><Relationship Id="rId388" Type="http://schemas.openxmlformats.org/officeDocument/2006/relationships/hyperlink" Target="https://doi.org/10.1016/0012-821X(73)90149-0" TargetMode="External"/><Relationship Id="rId85" Type="http://schemas.openxmlformats.org/officeDocument/2006/relationships/hyperlink" Target="https://doi.org/10.1016/S0012-821X(01)00613-6" TargetMode="External"/><Relationship Id="rId150" Type="http://schemas.openxmlformats.org/officeDocument/2006/relationships/hyperlink" Target="https://doi.org/10.1130/0091-7613(1977)5%3c425:PFALCF%3e2.0.CO;2" TargetMode="External"/><Relationship Id="rId192" Type="http://schemas.openxmlformats.org/officeDocument/2006/relationships/image" Target="media/image23.png"/><Relationship Id="rId206" Type="http://schemas.openxmlformats.org/officeDocument/2006/relationships/hyperlink" Target="https://doi.org/10.1016/j.gca.2012.12.035" TargetMode="External"/><Relationship Id="rId413" Type="http://schemas.openxmlformats.org/officeDocument/2006/relationships/hyperlink" Target="https://doi.org/10.1016/0016-7037(93)90200-G" TargetMode="External"/><Relationship Id="rId248" Type="http://schemas.openxmlformats.org/officeDocument/2006/relationships/hyperlink" Target="https://doi.org/10.1016/0016-7037(89)90402-X" TargetMode="External"/><Relationship Id="rId455" Type="http://schemas.openxmlformats.org/officeDocument/2006/relationships/hyperlink" Target="https://doi.org/10.1007/s00410-011-0688-2" TargetMode="External"/><Relationship Id="rId497" Type="http://schemas.openxmlformats.org/officeDocument/2006/relationships/hyperlink" Target="https://doi.org/10.1007/BF00200318" TargetMode="External"/><Relationship Id="rId12" Type="http://schemas.openxmlformats.org/officeDocument/2006/relationships/hyperlink" Target="https://doi.org/10.1146/annurev-earth-031621-060538" TargetMode="External"/><Relationship Id="rId108" Type="http://schemas.openxmlformats.org/officeDocument/2006/relationships/hyperlink" Target="https://doi.org/10.2138/rmg.2010.72.9" TargetMode="External"/><Relationship Id="rId315" Type="http://schemas.openxmlformats.org/officeDocument/2006/relationships/hyperlink" Target="https://doi.org/10.1016/0022-0248(75)90241-9" TargetMode="External"/><Relationship Id="rId357" Type="http://schemas.openxmlformats.org/officeDocument/2006/relationships/hyperlink" Target="https://doi.org/10.1016/0012-821X(75)90178-8" TargetMode="External"/><Relationship Id="rId54" Type="http://schemas.openxmlformats.org/officeDocument/2006/relationships/image" Target="media/image10.png"/><Relationship Id="rId96" Type="http://schemas.openxmlformats.org/officeDocument/2006/relationships/hyperlink" Target="https://doi.org/10.1016/j.gca.2023.11.004" TargetMode="External"/><Relationship Id="rId161" Type="http://schemas.openxmlformats.org/officeDocument/2006/relationships/hyperlink" Target="https://doi.org/10.1002/2017GL073702" TargetMode="External"/><Relationship Id="rId217" Type="http://schemas.openxmlformats.org/officeDocument/2006/relationships/hyperlink" Target="https://doi.org/10.1016/j.gca.2018.05.006" TargetMode="External"/><Relationship Id="rId399" Type="http://schemas.openxmlformats.org/officeDocument/2006/relationships/hyperlink" Target="https://doi.org/10.1029/2020JE006589" TargetMode="External"/><Relationship Id="rId259" Type="http://schemas.openxmlformats.org/officeDocument/2006/relationships/hyperlink" Target="https://doi.org/10.1029/97JE03146" TargetMode="External"/><Relationship Id="rId424" Type="http://schemas.openxmlformats.org/officeDocument/2006/relationships/hyperlink" Target="https://doi.org/10.1016/j.gca.2006.06.262" TargetMode="External"/><Relationship Id="rId466" Type="http://schemas.openxmlformats.org/officeDocument/2006/relationships/hyperlink" Target="https://doi.org/10.1111/j.1945-5100.2006.tb00195.x" TargetMode="External"/><Relationship Id="rId23" Type="http://schemas.openxmlformats.org/officeDocument/2006/relationships/hyperlink" Target="https://doi.org/10.1016/0012-821X(95)00138-3" TargetMode="External"/><Relationship Id="rId119" Type="http://schemas.openxmlformats.org/officeDocument/2006/relationships/hyperlink" Target="https://doi.org/10.1016/j.gca.2006.04.027" TargetMode="External"/><Relationship Id="rId270" Type="http://schemas.openxmlformats.org/officeDocument/2006/relationships/hyperlink" Target="https://doi.org/10.1016/j.gca.2006.06.162" TargetMode="External"/><Relationship Id="rId326" Type="http://schemas.openxmlformats.org/officeDocument/2006/relationships/hyperlink" Target="https://doi.org/10.1029/2023JE008239" TargetMode="External"/><Relationship Id="rId65" Type="http://schemas.openxmlformats.org/officeDocument/2006/relationships/hyperlink" Target="https://doi.org/10.2475/ajs.269.2.169" TargetMode="External"/><Relationship Id="rId130" Type="http://schemas.openxmlformats.org/officeDocument/2006/relationships/hyperlink" Target="https://doi.org/10.1007/BF00371276" TargetMode="External"/><Relationship Id="rId368" Type="http://schemas.openxmlformats.org/officeDocument/2006/relationships/hyperlink" Target="https://doi.org/10.1126/science.adt1093" TargetMode="External"/><Relationship Id="rId172" Type="http://schemas.openxmlformats.org/officeDocument/2006/relationships/image" Target="media/image18.jpeg"/><Relationship Id="rId228" Type="http://schemas.openxmlformats.org/officeDocument/2006/relationships/hyperlink" Target="https://doi.org/10.1016/j.gca.2011.02.033" TargetMode="External"/><Relationship Id="rId435" Type="http://schemas.openxmlformats.org/officeDocument/2006/relationships/hyperlink" Target="https://doi.org/10.1111/j.1945-5100.2005.tb00174.x" TargetMode="External"/><Relationship Id="rId477" Type="http://schemas.openxmlformats.org/officeDocument/2006/relationships/hyperlink" Target="https://doi.org/10.1016/j.chemgeo.2016.07.011" TargetMode="External"/><Relationship Id="rId281" Type="http://schemas.openxmlformats.org/officeDocument/2006/relationships/hyperlink" Target="https://doi.org/10.1016/j.epsl.2020.116219" TargetMode="External"/><Relationship Id="rId337" Type="http://schemas.openxmlformats.org/officeDocument/2006/relationships/hyperlink" Target="https://doi.org/10.1093/petrology/egae026" TargetMode="External"/><Relationship Id="rId502" Type="http://schemas.openxmlformats.org/officeDocument/2006/relationships/hyperlink" Target="https://doi.org/10.1016/j.lithos.2010.04.001" TargetMode="External"/><Relationship Id="rId34" Type="http://schemas.openxmlformats.org/officeDocument/2006/relationships/hyperlink" Target="https://doi.org/10.1126/sciadv.aba8949" TargetMode="External"/><Relationship Id="rId76" Type="http://schemas.openxmlformats.org/officeDocument/2006/relationships/hyperlink" Target="https://doi.org/10.1029/JB091iB04p0D201" TargetMode="External"/><Relationship Id="rId141" Type="http://schemas.openxmlformats.org/officeDocument/2006/relationships/hyperlink" Target="https://doi.org/10.1016/S0016-7037(00)00361-6" TargetMode="External"/><Relationship Id="rId379" Type="http://schemas.openxmlformats.org/officeDocument/2006/relationships/hyperlink" Target="https://doi.org/10.1029/2023JE008239" TargetMode="External"/><Relationship Id="rId7" Type="http://schemas.openxmlformats.org/officeDocument/2006/relationships/endnotes" Target="endnotes.xml"/><Relationship Id="rId183" Type="http://schemas.openxmlformats.org/officeDocument/2006/relationships/hyperlink" Target="https://doi.org/10.1007/s00269-015-0747-8" TargetMode="External"/><Relationship Id="rId239" Type="http://schemas.openxmlformats.org/officeDocument/2006/relationships/hyperlink" Target="https://doi.org/10.1111/j.1945-5100.2000.tb01985.x" TargetMode="External"/><Relationship Id="rId390" Type="http://schemas.openxmlformats.org/officeDocument/2006/relationships/hyperlink" Target="https://doi.org/10.1016/j.epsl.2014.05.057" TargetMode="External"/><Relationship Id="rId404" Type="http://schemas.openxmlformats.org/officeDocument/2006/relationships/hyperlink" Target="https://doi.org/10.1016/0016-7037(91)90040-C" TargetMode="External"/><Relationship Id="rId446" Type="http://schemas.openxmlformats.org/officeDocument/2006/relationships/image" Target="media/image50.png"/><Relationship Id="rId250" Type="http://schemas.openxmlformats.org/officeDocument/2006/relationships/hyperlink" Target="https://doi.org/10.1029/91JB02840" TargetMode="External"/><Relationship Id="rId292" Type="http://schemas.openxmlformats.org/officeDocument/2006/relationships/hyperlink" Target="https://doi.org/10.1038/s41561-019-0398-3" TargetMode="External"/><Relationship Id="rId306" Type="http://schemas.openxmlformats.org/officeDocument/2006/relationships/image" Target="media/image36.png"/><Relationship Id="rId488" Type="http://schemas.openxmlformats.org/officeDocument/2006/relationships/hyperlink" Target="https://doi.org/10.1107/S0567739476001551" TargetMode="External"/><Relationship Id="rId45" Type="http://schemas.openxmlformats.org/officeDocument/2006/relationships/image" Target="media/image1.png"/><Relationship Id="rId87" Type="http://schemas.openxmlformats.org/officeDocument/2006/relationships/hyperlink" Target="https://doi.org/10.1016/j.epsl.2011.02.004" TargetMode="External"/><Relationship Id="rId110" Type="http://schemas.openxmlformats.org/officeDocument/2006/relationships/hyperlink" Target="https://doi.org/10.1016/j.gca.2006.09.023" TargetMode="External"/><Relationship Id="rId348" Type="http://schemas.openxmlformats.org/officeDocument/2006/relationships/hyperlink" Target="https://doi.org/10.1093/petrology/44.7.1163" TargetMode="External"/><Relationship Id="rId152" Type="http://schemas.openxmlformats.org/officeDocument/2006/relationships/hyperlink" Target="https://doi.org/10.1007/978-1-4612-3128-8_4" TargetMode="External"/><Relationship Id="rId194" Type="http://schemas.openxmlformats.org/officeDocument/2006/relationships/image" Target="media/image25.png"/><Relationship Id="rId208" Type="http://schemas.openxmlformats.org/officeDocument/2006/relationships/hyperlink" Target="https://doi.org/10.1016/j.gca.2020.09.013" TargetMode="External"/><Relationship Id="rId415" Type="http://schemas.openxmlformats.org/officeDocument/2006/relationships/hyperlink" Target="https://doi.org/10.1016/0016-7037(93)90178-Y" TargetMode="External"/><Relationship Id="rId457" Type="http://schemas.openxmlformats.org/officeDocument/2006/relationships/hyperlink" Target="https://doi.org/10.1016/0016-7037(94)90501-0" TargetMode="External"/><Relationship Id="rId261" Type="http://schemas.openxmlformats.org/officeDocument/2006/relationships/hyperlink" Target="https://doi.org/10.1029/2019JE005966" TargetMode="External"/><Relationship Id="rId499" Type="http://schemas.openxmlformats.org/officeDocument/2006/relationships/hyperlink" Target="https://doi.org/10.1007/s002690050138" TargetMode="External"/><Relationship Id="rId14" Type="http://schemas.openxmlformats.org/officeDocument/2006/relationships/hyperlink" Target="https://doi.org/10.1098/rsta.2008.0101" TargetMode="External"/><Relationship Id="rId56" Type="http://schemas.openxmlformats.org/officeDocument/2006/relationships/image" Target="media/image12.png"/><Relationship Id="rId317" Type="http://schemas.openxmlformats.org/officeDocument/2006/relationships/hyperlink" Target="https://doi.org/10.1007/s00410-011-0688-2" TargetMode="External"/><Relationship Id="rId359" Type="http://schemas.openxmlformats.org/officeDocument/2006/relationships/hyperlink" Target="https://doi.org/10.1016/j.epsl.2019.07.008" TargetMode="External"/><Relationship Id="rId98" Type="http://schemas.openxmlformats.org/officeDocument/2006/relationships/hyperlink" Target="https://doi.org/10.1007/BF00371460" TargetMode="External"/><Relationship Id="rId121" Type="http://schemas.openxmlformats.org/officeDocument/2006/relationships/hyperlink" Target="https://doi.org/10.1016/0016-7037(92)90291-P" TargetMode="External"/><Relationship Id="rId163" Type="http://schemas.openxmlformats.org/officeDocument/2006/relationships/hyperlink" Target="https://doi.org/10.2138/rmg.2010.72.8" TargetMode="External"/><Relationship Id="rId219" Type="http://schemas.openxmlformats.org/officeDocument/2006/relationships/hyperlink" Target="https://doi.org/10.1016/j.gca.2006.12.001" TargetMode="External"/><Relationship Id="rId370" Type="http://schemas.openxmlformats.org/officeDocument/2006/relationships/hyperlink" Target="https://doi.org/10.1111/j.1945-5100.2003.tb00024.x" TargetMode="External"/><Relationship Id="rId426" Type="http://schemas.openxmlformats.org/officeDocument/2006/relationships/hyperlink" Target="https://doi.org/10.1016/0012-821X(74)90059-4" TargetMode="External"/><Relationship Id="rId230" Type="http://schemas.openxmlformats.org/officeDocument/2006/relationships/hyperlink" Target="https://doi.org/10.1146/annurev-earth-042711-105503" TargetMode="External"/><Relationship Id="rId468" Type="http://schemas.openxmlformats.org/officeDocument/2006/relationships/hyperlink" Target="https://doi.org/10.1016/j.pepi.2012.09.001" TargetMode="External"/><Relationship Id="rId25" Type="http://schemas.openxmlformats.org/officeDocument/2006/relationships/hyperlink" Target="https://doi.org/10.1016/j.gca.2004.01.009" TargetMode="External"/><Relationship Id="rId67" Type="http://schemas.openxmlformats.org/officeDocument/2006/relationships/hyperlink" Target="https://doi.org/10.1029/JB078i029p06852" TargetMode="External"/><Relationship Id="rId272" Type="http://schemas.openxmlformats.org/officeDocument/2006/relationships/hyperlink" Target="https://doi.org/10.1029/2022JE007187" TargetMode="External"/><Relationship Id="rId328" Type="http://schemas.openxmlformats.org/officeDocument/2006/relationships/hyperlink" Target="https://doi.org/10.1016/j.gca.2023.11.004" TargetMode="External"/><Relationship Id="rId132" Type="http://schemas.openxmlformats.org/officeDocument/2006/relationships/hyperlink" Target="https://doi.org/10.2138/am-2015-4817" TargetMode="External"/><Relationship Id="rId174" Type="http://schemas.openxmlformats.org/officeDocument/2006/relationships/image" Target="media/image20.png"/><Relationship Id="rId381" Type="http://schemas.openxmlformats.org/officeDocument/2006/relationships/hyperlink" Target="https://doi.org/10.1051/0004-6361/201527687" TargetMode="External"/><Relationship Id="rId241" Type="http://schemas.openxmlformats.org/officeDocument/2006/relationships/hyperlink" Target="https://doi.org/10.1016/0009-2541(86)90053-7" TargetMode="External"/><Relationship Id="rId437" Type="http://schemas.openxmlformats.org/officeDocument/2006/relationships/hyperlink" Target="https://doi.org/10.1038/s41561-021-00872-4" TargetMode="External"/><Relationship Id="rId479" Type="http://schemas.openxmlformats.org/officeDocument/2006/relationships/hyperlink" Target="https://doi.org/10.1093/petrology/egt001" TargetMode="External"/><Relationship Id="rId36" Type="http://schemas.openxmlformats.org/officeDocument/2006/relationships/hyperlink" Target="https://doi.org/10.1016/S0016-7037(02)00911-0" TargetMode="External"/><Relationship Id="rId283" Type="http://schemas.openxmlformats.org/officeDocument/2006/relationships/hyperlink" Target="https://doi.org/10.1016/S0016-7037(97)00082-3" TargetMode="External"/><Relationship Id="rId339" Type="http://schemas.openxmlformats.org/officeDocument/2006/relationships/hyperlink" Target="https://doi.org/10.1007/BF01046533" TargetMode="External"/><Relationship Id="rId490" Type="http://schemas.openxmlformats.org/officeDocument/2006/relationships/hyperlink" Target="https://doi.org/10.1007/s00410-022-01957-y" TargetMode="External"/><Relationship Id="rId504" Type="http://schemas.openxmlformats.org/officeDocument/2006/relationships/hyperlink" Target="https://doi.org/10.1007/s00410-015-1128-5" TargetMode="External"/><Relationship Id="rId78" Type="http://schemas.openxmlformats.org/officeDocument/2006/relationships/hyperlink" Target="https://doi.org/10.1007/s00269-007-0158-6" TargetMode="External"/><Relationship Id="rId101" Type="http://schemas.openxmlformats.org/officeDocument/2006/relationships/hyperlink" Target="https://doi.org/10.1016/j.gca.2011.10.043" TargetMode="External"/><Relationship Id="rId143" Type="http://schemas.openxmlformats.org/officeDocument/2006/relationships/hyperlink" Target="https://doi.org/10.1016/j.gca.2008.10.038" TargetMode="External"/><Relationship Id="rId185" Type="http://schemas.openxmlformats.org/officeDocument/2006/relationships/hyperlink" Target="https://doi.org/10.1038/ngeo2845" TargetMode="External"/><Relationship Id="rId350" Type="http://schemas.openxmlformats.org/officeDocument/2006/relationships/image" Target="media/image42.png"/><Relationship Id="rId406" Type="http://schemas.openxmlformats.org/officeDocument/2006/relationships/hyperlink" Target="https://doi.org/10.1029/2017JE005512" TargetMode="External"/><Relationship Id="rId9" Type="http://schemas.openxmlformats.org/officeDocument/2006/relationships/footer" Target="footer2.xml"/><Relationship Id="rId210" Type="http://schemas.openxmlformats.org/officeDocument/2006/relationships/hyperlink" Target="https://doi.org/10.1016/j.epsl.2008.06.010" TargetMode="External"/><Relationship Id="rId392" Type="http://schemas.openxmlformats.org/officeDocument/2006/relationships/hyperlink" Target="https://doi.org/10.1016/j.chemgeo.2016.07.011" TargetMode="External"/><Relationship Id="rId448" Type="http://schemas.openxmlformats.org/officeDocument/2006/relationships/hyperlink" Target="https://doi.org/10.1016/S0016-7037(00)00389-6" TargetMode="External"/><Relationship Id="rId252" Type="http://schemas.openxmlformats.org/officeDocument/2006/relationships/hyperlink" Target="https://doi.org/10.1016/j.chemgeo.2006.05.005" TargetMode="External"/><Relationship Id="rId294" Type="http://schemas.openxmlformats.org/officeDocument/2006/relationships/hyperlink" Target="https://doi.org/10.1111/j.1945-5100.2000.tb01462.x" TargetMode="External"/><Relationship Id="rId308" Type="http://schemas.openxmlformats.org/officeDocument/2006/relationships/image" Target="media/image38.png"/><Relationship Id="rId47" Type="http://schemas.openxmlformats.org/officeDocument/2006/relationships/image" Target="media/image3.png"/><Relationship Id="rId89" Type="http://schemas.openxmlformats.org/officeDocument/2006/relationships/hyperlink" Target="https://doi.org/10.1029/94JB01250" TargetMode="External"/><Relationship Id="rId112" Type="http://schemas.openxmlformats.org/officeDocument/2006/relationships/hyperlink" Target="https://doi.org/10.1007/BF00373040" TargetMode="External"/><Relationship Id="rId154" Type="http://schemas.openxmlformats.org/officeDocument/2006/relationships/hyperlink" Target="https://doi.org/10.1016/S0016-7037(97)00119-1" TargetMode="External"/><Relationship Id="rId361" Type="http://schemas.openxmlformats.org/officeDocument/2006/relationships/hyperlink" Target="https://doi.org/10.1098/rsta.2008.0101" TargetMode="External"/><Relationship Id="rId196" Type="http://schemas.openxmlformats.org/officeDocument/2006/relationships/image" Target="media/image27.png"/><Relationship Id="rId417" Type="http://schemas.openxmlformats.org/officeDocument/2006/relationships/hyperlink" Target="https://doi.org/10.1029/2022JE007182" TargetMode="External"/><Relationship Id="rId459" Type="http://schemas.openxmlformats.org/officeDocument/2006/relationships/hyperlink" Target="https://doi.org/10.1016/j.gca.2012.12.005" TargetMode="External"/><Relationship Id="rId16" Type="http://schemas.openxmlformats.org/officeDocument/2006/relationships/hyperlink" Target="https://doi.org/10.1016/j.gca.2018.05.006" TargetMode="External"/><Relationship Id="rId221" Type="http://schemas.openxmlformats.org/officeDocument/2006/relationships/hyperlink" Target="https://doi.org/10.1007/s00410-011-0688-2" TargetMode="External"/><Relationship Id="rId263" Type="http://schemas.openxmlformats.org/officeDocument/2006/relationships/hyperlink" Target="https://doi.org/10.1093/petrology/egae026" TargetMode="External"/><Relationship Id="rId319" Type="http://schemas.openxmlformats.org/officeDocument/2006/relationships/hyperlink" Target="https://doi.org/10.1016/j.gca.2020.03.037" TargetMode="External"/><Relationship Id="rId470" Type="http://schemas.openxmlformats.org/officeDocument/2006/relationships/hyperlink" Target="https://doi.org/10.1007/s00410-009-0435-0" TargetMode="External"/><Relationship Id="rId58" Type="http://schemas.openxmlformats.org/officeDocument/2006/relationships/hyperlink" Target="https://doi.org/10.1007/s002690000119" TargetMode="External"/><Relationship Id="rId123" Type="http://schemas.openxmlformats.org/officeDocument/2006/relationships/hyperlink" Target="https://doi.org/10.1029/2000JE001386" TargetMode="External"/><Relationship Id="rId330" Type="http://schemas.openxmlformats.org/officeDocument/2006/relationships/hyperlink" Target="https://doi.org/10.1016/j.gca.2011.04.031" TargetMode="External"/><Relationship Id="rId165" Type="http://schemas.openxmlformats.org/officeDocument/2006/relationships/hyperlink" Target="https://doi.org/10.1016/S0012-821X(03)00297-8" TargetMode="External"/><Relationship Id="rId372" Type="http://schemas.openxmlformats.org/officeDocument/2006/relationships/hyperlink" Target="https://doi.org/10.1016/j.compchemeng.2014.05.022" TargetMode="External"/><Relationship Id="rId428" Type="http://schemas.openxmlformats.org/officeDocument/2006/relationships/hyperlink" Target="https://doi.org/10.1029/JB089iS02p0B459" TargetMode="External"/><Relationship Id="rId232" Type="http://schemas.openxmlformats.org/officeDocument/2006/relationships/hyperlink" Target="https://doi.org/10.1111/j.1945-5100.2003.tb00024.x" TargetMode="External"/><Relationship Id="rId274" Type="http://schemas.openxmlformats.org/officeDocument/2006/relationships/hyperlink" Target="https://doi.org/10.1007/s00410-024-02134-z" TargetMode="External"/><Relationship Id="rId481" Type="http://schemas.openxmlformats.org/officeDocument/2006/relationships/hyperlink" Target="https://doi.org/10.1016/0009-2541(94)00140-4" TargetMode="External"/><Relationship Id="rId27" Type="http://schemas.openxmlformats.org/officeDocument/2006/relationships/hyperlink" Target="https://doi.org/10.1016/j.epsl.2017.07.021" TargetMode="External"/><Relationship Id="rId69" Type="http://schemas.openxmlformats.org/officeDocument/2006/relationships/hyperlink" Target="https://doi.org/10.1029/97JB00208" TargetMode="External"/><Relationship Id="rId134" Type="http://schemas.openxmlformats.org/officeDocument/2006/relationships/hyperlink" Target="https://doi.org/10.1016/0012-821X(91)90003-Z" TargetMode="External"/><Relationship Id="rId80" Type="http://schemas.openxmlformats.org/officeDocument/2006/relationships/hyperlink" Target="https://doi.org/10.1002/2015GL066546" TargetMode="External"/><Relationship Id="rId176" Type="http://schemas.openxmlformats.org/officeDocument/2006/relationships/hyperlink" Target="https://doi.org/10.1016/j.gca.2012.12.035" TargetMode="External"/><Relationship Id="rId341" Type="http://schemas.openxmlformats.org/officeDocument/2006/relationships/hyperlink" Target="https://doi.org/10.1107/S0567739476001551" TargetMode="External"/><Relationship Id="rId383" Type="http://schemas.openxmlformats.org/officeDocument/2006/relationships/hyperlink" Target="https://doi.org/10.1029/GL002i001p00029" TargetMode="External"/><Relationship Id="rId439" Type="http://schemas.openxmlformats.org/officeDocument/2006/relationships/hyperlink" Target="https://doi.org/10.1002/jgre.20121" TargetMode="External"/><Relationship Id="rId201" Type="http://schemas.openxmlformats.org/officeDocument/2006/relationships/image" Target="media/image32.png"/><Relationship Id="rId243" Type="http://schemas.openxmlformats.org/officeDocument/2006/relationships/hyperlink" Target="https://doi.org/10.1016/0012-821X(95)00138-3" TargetMode="External"/><Relationship Id="rId285" Type="http://schemas.openxmlformats.org/officeDocument/2006/relationships/hyperlink" Target="https://doi.org/10.1016/j.epsl.2013.08.018" TargetMode="External"/><Relationship Id="rId450" Type="http://schemas.openxmlformats.org/officeDocument/2006/relationships/hyperlink" Target="https://doi.org/10.1016/S0016-7037(98)00131-8" TargetMode="External"/><Relationship Id="rId506" Type="http://schemas.openxmlformats.org/officeDocument/2006/relationships/hyperlink" Target="https://doi.org/10.1007/s00410-012-0737-5" TargetMode="External"/><Relationship Id="rId38" Type="http://schemas.openxmlformats.org/officeDocument/2006/relationships/hyperlink" Target="https://doi.org/10.1038/s41561-019-0398-3" TargetMode="External"/><Relationship Id="rId103" Type="http://schemas.openxmlformats.org/officeDocument/2006/relationships/hyperlink" Target="https://doi.org/10.1016/0012-821X(94)90264-X" TargetMode="External"/><Relationship Id="rId310" Type="http://schemas.openxmlformats.org/officeDocument/2006/relationships/image" Target="media/image40.png"/><Relationship Id="rId492" Type="http://schemas.openxmlformats.org/officeDocument/2006/relationships/hyperlink" Target="https://doi.org/10.1029/2022JE007182" TargetMode="External"/><Relationship Id="rId91" Type="http://schemas.openxmlformats.org/officeDocument/2006/relationships/hyperlink" Target="https://doi.org/10.1007/s004100050386" TargetMode="External"/><Relationship Id="rId145" Type="http://schemas.openxmlformats.org/officeDocument/2006/relationships/hyperlink" Target="https://doi.org/10.1029/JB089iS02p0B459" TargetMode="External"/><Relationship Id="rId187" Type="http://schemas.openxmlformats.org/officeDocument/2006/relationships/hyperlink" Target="https://doi.org/10.1111/j.1945-5100.2000.tb01462.x" TargetMode="External"/><Relationship Id="rId352" Type="http://schemas.openxmlformats.org/officeDocument/2006/relationships/image" Target="media/image44.png"/><Relationship Id="rId394" Type="http://schemas.openxmlformats.org/officeDocument/2006/relationships/hyperlink" Target="https://doi.org/10.1093/mnras/staa1149" TargetMode="External"/><Relationship Id="rId408" Type="http://schemas.openxmlformats.org/officeDocument/2006/relationships/hyperlink" Target="https://doi.org/10.1007/BF00577902" TargetMode="External"/><Relationship Id="rId212" Type="http://schemas.openxmlformats.org/officeDocument/2006/relationships/hyperlink" Target="https://doi.org/10.1007/s00410-015-1166-z" TargetMode="External"/><Relationship Id="rId254" Type="http://schemas.openxmlformats.org/officeDocument/2006/relationships/hyperlink" Target="https://doi.org/10.1016/j.gca.2011.10.043" TargetMode="External"/><Relationship Id="rId49" Type="http://schemas.openxmlformats.org/officeDocument/2006/relationships/image" Target="media/image5.jpeg"/><Relationship Id="rId114" Type="http://schemas.openxmlformats.org/officeDocument/2006/relationships/hyperlink" Target="https://doi.org/10.1016/j.gca.2019.02.014" TargetMode="External"/><Relationship Id="rId296" Type="http://schemas.openxmlformats.org/officeDocument/2006/relationships/hyperlink" Target="https://doi.org/10.1130/0091-7613(1977)5%3c425:PFALCF%3e2.0.CO;2" TargetMode="External"/><Relationship Id="rId461" Type="http://schemas.openxmlformats.org/officeDocument/2006/relationships/hyperlink" Target="https://doi.org/10.1016/j.gca.2011.02.033" TargetMode="External"/><Relationship Id="rId60" Type="http://schemas.openxmlformats.org/officeDocument/2006/relationships/hyperlink" Target="https://doi.org/10.1016/S0016-7037(97)00373-6" TargetMode="External"/><Relationship Id="rId156" Type="http://schemas.openxmlformats.org/officeDocument/2006/relationships/hyperlink" Target="https://doi.org/10.1016/j.lithos.2006.07.009" TargetMode="External"/><Relationship Id="rId198" Type="http://schemas.openxmlformats.org/officeDocument/2006/relationships/image" Target="media/image29.png"/><Relationship Id="rId321" Type="http://schemas.openxmlformats.org/officeDocument/2006/relationships/hyperlink" Target="https://doi.org/10.1016/j.gca.2011.02.033" TargetMode="External"/><Relationship Id="rId363" Type="http://schemas.openxmlformats.org/officeDocument/2006/relationships/hyperlink" Target="https://doi.org/10.1111/maps.13741" TargetMode="External"/><Relationship Id="rId419" Type="http://schemas.openxmlformats.org/officeDocument/2006/relationships/hyperlink" Target="https://doi.org/10.1086/183473" TargetMode="External"/><Relationship Id="rId223" Type="http://schemas.openxmlformats.org/officeDocument/2006/relationships/hyperlink" Target="https://doi.org/10.1016/j.gca.2006.01.027" TargetMode="External"/><Relationship Id="rId430" Type="http://schemas.openxmlformats.org/officeDocument/2006/relationships/hyperlink" Target="https://doi.org/10.1016/j.gca.2015.12.039" TargetMode="External"/><Relationship Id="rId18" Type="http://schemas.openxmlformats.org/officeDocument/2006/relationships/hyperlink" Target="https://doi.org/10.1016/j.gca.2011.02.033" TargetMode="External"/><Relationship Id="rId265" Type="http://schemas.openxmlformats.org/officeDocument/2006/relationships/hyperlink" Target="https://doi.org/10.1029/2000JE001386" TargetMode="External"/><Relationship Id="rId472" Type="http://schemas.openxmlformats.org/officeDocument/2006/relationships/hyperlink" Target="https://doi.org/10.1016/j.gca.2011.04.031" TargetMode="External"/><Relationship Id="rId125" Type="http://schemas.openxmlformats.org/officeDocument/2006/relationships/hyperlink" Target="https://doi.org/10.1016/0016-7037(91)90040-C" TargetMode="External"/><Relationship Id="rId167" Type="http://schemas.openxmlformats.org/officeDocument/2006/relationships/image" Target="media/image13.png"/><Relationship Id="rId332" Type="http://schemas.openxmlformats.org/officeDocument/2006/relationships/hyperlink" Target="https://doi.org/10.1016/j.chemgeo.2006.05.005" TargetMode="External"/><Relationship Id="rId374" Type="http://schemas.openxmlformats.org/officeDocument/2006/relationships/hyperlink" Target="https://doi.org/10.1016/j.gca.2014.05.028" TargetMode="External"/><Relationship Id="rId71" Type="http://schemas.openxmlformats.org/officeDocument/2006/relationships/hyperlink" Target="https://doi.org/10.1007/BF00296579" TargetMode="External"/><Relationship Id="rId234" Type="http://schemas.openxmlformats.org/officeDocument/2006/relationships/hyperlink" Target="https://doi.org/10.1016/j.chemgeo.2020.119967" TargetMode="External"/><Relationship Id="rId2" Type="http://schemas.openxmlformats.org/officeDocument/2006/relationships/numbering" Target="numbering.xml"/><Relationship Id="rId29" Type="http://schemas.openxmlformats.org/officeDocument/2006/relationships/hyperlink" Target="https://doi.org/10.1029/GL003i001p00041" TargetMode="External"/><Relationship Id="rId276" Type="http://schemas.openxmlformats.org/officeDocument/2006/relationships/hyperlink" Target="https://doi.org/10.2138/am-2015-4817" TargetMode="External"/><Relationship Id="rId441" Type="http://schemas.openxmlformats.org/officeDocument/2006/relationships/hyperlink" Target="https://doi.org/10.1016/S0012-821X(00)00041-8" TargetMode="External"/><Relationship Id="rId483" Type="http://schemas.openxmlformats.org/officeDocument/2006/relationships/hyperlink" Target="https://doi.org/10.1007/s00410-008-0336-7" TargetMode="External"/><Relationship Id="rId40" Type="http://schemas.openxmlformats.org/officeDocument/2006/relationships/hyperlink" Target="https://doi.org/10.1130/0091-7613(1977)5%3c425:PFALCF%3e2.0.CO;2" TargetMode="External"/><Relationship Id="rId136" Type="http://schemas.openxmlformats.org/officeDocument/2006/relationships/hyperlink" Target="https://doi.org/10.1016/j.epsl.2008.01.019" TargetMode="External"/><Relationship Id="rId178" Type="http://schemas.openxmlformats.org/officeDocument/2006/relationships/hyperlink" Target="https://doi.org/10.1007/s00269-007-0158-6" TargetMode="External"/><Relationship Id="rId301" Type="http://schemas.openxmlformats.org/officeDocument/2006/relationships/hyperlink" Target="https://doi.org/10.1126/science.1231530" TargetMode="External"/><Relationship Id="rId343" Type="http://schemas.openxmlformats.org/officeDocument/2006/relationships/hyperlink" Target="https://doi.org/10.1016/0012-821X(91)90003-Z" TargetMode="External"/><Relationship Id="rId82" Type="http://schemas.openxmlformats.org/officeDocument/2006/relationships/hyperlink" Target="https://doi.org/10.1016/j.gca.2014.01.042" TargetMode="External"/><Relationship Id="rId203" Type="http://schemas.openxmlformats.org/officeDocument/2006/relationships/hyperlink" Target="https://zenodo.org/records/14172014?preview=1&amp;token=eyJhbGciOiJIUzUxMiJ9.eyJpZCI6ImI2MGVjNzQ4LTFhNDctNGQwYi04NGNlLWRiZjUzNzNjMGY0YSIsImRhdGEiOnt9LCJyYW5kb20iOiIyYzM3MjlmMWM0NjNmNTI4M2NmNjViNmI3YmVjN2JjZCJ9.CXo1S1ZpNEZzYuDTzX61WTZxZ4HJOmdDdpP5aGtT4w4ZiRMfTtBAIZY-z-SPuRQ4xMspsTvRsnUN0ky6v9NSqw" TargetMode="External"/><Relationship Id="rId385" Type="http://schemas.openxmlformats.org/officeDocument/2006/relationships/hyperlink" Target="https://doi.org/10.1016/j.chemgeo.2011.02.007" TargetMode="External"/><Relationship Id="rId245" Type="http://schemas.openxmlformats.org/officeDocument/2006/relationships/hyperlink" Target="https://doi.org/10.1016/j.gca.2023.11.004" TargetMode="External"/><Relationship Id="rId287" Type="http://schemas.openxmlformats.org/officeDocument/2006/relationships/hyperlink" Target="https://doi.org/10.1016/j.gca.2017.03.003" TargetMode="External"/><Relationship Id="rId410" Type="http://schemas.openxmlformats.org/officeDocument/2006/relationships/hyperlink" Target="https://doi.org/10.1002/2017GC006997" TargetMode="External"/><Relationship Id="rId452" Type="http://schemas.openxmlformats.org/officeDocument/2006/relationships/hyperlink" Target="https://doi.org/10.1016/S0016-7037(01)00784-0" TargetMode="External"/><Relationship Id="rId494" Type="http://schemas.openxmlformats.org/officeDocument/2006/relationships/hyperlink" Target="https://doi.org/10.1016/j.gca.2017.03.003" TargetMode="External"/><Relationship Id="rId508" Type="http://schemas.openxmlformats.org/officeDocument/2006/relationships/fontTable" Target="fontTable.xml"/><Relationship Id="rId105" Type="http://schemas.openxmlformats.org/officeDocument/2006/relationships/hyperlink" Target="https://doi.org/10.1007/s11631-017-0187-x" TargetMode="External"/><Relationship Id="rId147" Type="http://schemas.openxmlformats.org/officeDocument/2006/relationships/hyperlink" Target="https://doi.org/10.1029/93GL01382" TargetMode="External"/><Relationship Id="rId312" Type="http://schemas.openxmlformats.org/officeDocument/2006/relationships/hyperlink" Target="https://doi.org/10.1016/j.gca.2012.12.035" TargetMode="External"/><Relationship Id="rId354" Type="http://schemas.openxmlformats.org/officeDocument/2006/relationships/hyperlink" Target="https://doi.org/10.1016/0016-7037(89)90286-X" TargetMode="External"/><Relationship Id="rId51" Type="http://schemas.openxmlformats.org/officeDocument/2006/relationships/image" Target="media/image7.png"/><Relationship Id="rId93" Type="http://schemas.openxmlformats.org/officeDocument/2006/relationships/hyperlink" Target="https://doi.org/10.2113/gselements.5.1.29" TargetMode="External"/><Relationship Id="rId189" Type="http://schemas.openxmlformats.org/officeDocument/2006/relationships/hyperlink" Target="https://doi.org/10.1007/BF00371090" TargetMode="External"/><Relationship Id="rId396" Type="http://schemas.openxmlformats.org/officeDocument/2006/relationships/hyperlink" Target="https://doi.org/10.1086/375492" TargetMode="External"/><Relationship Id="rId214" Type="http://schemas.openxmlformats.org/officeDocument/2006/relationships/hyperlink" Target="https://doi.org/10.1038/s41561-020-0550-0" TargetMode="External"/><Relationship Id="rId256" Type="http://schemas.openxmlformats.org/officeDocument/2006/relationships/hyperlink" Target="https://doi.org/10.1029/2018JE005905" TargetMode="External"/><Relationship Id="rId298" Type="http://schemas.openxmlformats.org/officeDocument/2006/relationships/hyperlink" Target="https://doi.org/10.1111/j.1945-5100.2005.tb00395.x" TargetMode="External"/><Relationship Id="rId421" Type="http://schemas.openxmlformats.org/officeDocument/2006/relationships/hyperlink" Target="https://doi.org/10.1016/j.epsl.2013.08.018" TargetMode="External"/><Relationship Id="rId463" Type="http://schemas.openxmlformats.org/officeDocument/2006/relationships/hyperlink" Target="https://doi.org/10.1016/j.epsl.2014.07.015" TargetMode="External"/><Relationship Id="rId116" Type="http://schemas.openxmlformats.org/officeDocument/2006/relationships/hyperlink" Target="https://doi.org/10.1126/sciadv.aba8949" TargetMode="External"/><Relationship Id="rId158" Type="http://schemas.openxmlformats.org/officeDocument/2006/relationships/hyperlink" Target="https://doi.org/10.2138/am-2002-5-608" TargetMode="External"/><Relationship Id="rId323" Type="http://schemas.openxmlformats.org/officeDocument/2006/relationships/hyperlink" Target="https://doi.org/doi:10.1515/9781501508684-004" TargetMode="External"/><Relationship Id="rId20" Type="http://schemas.openxmlformats.org/officeDocument/2006/relationships/hyperlink" Target="https://doi.org/10.1016/j.epsl.2011.02.004" TargetMode="External"/><Relationship Id="rId62" Type="http://schemas.openxmlformats.org/officeDocument/2006/relationships/hyperlink" Target="https://doi.org/10.1146/annurev-earth-031621-060538" TargetMode="External"/><Relationship Id="rId365" Type="http://schemas.openxmlformats.org/officeDocument/2006/relationships/hyperlink" Target="https://doi.org/10.1016/0012-821X(81)90112-6" TargetMode="External"/><Relationship Id="rId225" Type="http://schemas.openxmlformats.org/officeDocument/2006/relationships/hyperlink" Target="https://doi.org/10.1016/j.gca.2012.12.005" TargetMode="External"/><Relationship Id="rId267" Type="http://schemas.openxmlformats.org/officeDocument/2006/relationships/hyperlink" Target="https://doi.org/10.1007/BF01046533" TargetMode="External"/><Relationship Id="rId432" Type="http://schemas.openxmlformats.org/officeDocument/2006/relationships/hyperlink" Target="https://doi.org/10.1126/science.1199375" TargetMode="External"/><Relationship Id="rId474" Type="http://schemas.openxmlformats.org/officeDocument/2006/relationships/hyperlink" Target="https://doi.org/10.1016/S0016-7037(02)00859-1" TargetMode="External"/><Relationship Id="rId127" Type="http://schemas.openxmlformats.org/officeDocument/2006/relationships/hyperlink" Target="https://doi.org/10.1007/s00410-008-0353-6" TargetMode="External"/><Relationship Id="rId31" Type="http://schemas.openxmlformats.org/officeDocument/2006/relationships/hyperlink" Target="https://doi.org/10.1038/ngeo2845" TargetMode="External"/><Relationship Id="rId73" Type="http://schemas.openxmlformats.org/officeDocument/2006/relationships/hyperlink" Target="https://doi.org/10.1016/j.gca.2018.05.006" TargetMode="External"/><Relationship Id="rId169" Type="http://schemas.openxmlformats.org/officeDocument/2006/relationships/image" Target="media/image15.png"/><Relationship Id="rId334" Type="http://schemas.openxmlformats.org/officeDocument/2006/relationships/hyperlink" Target="https://doi.org/10.1016/j.chemgeo.2016.07.011" TargetMode="External"/><Relationship Id="rId376" Type="http://schemas.openxmlformats.org/officeDocument/2006/relationships/hyperlink" Target="https://doi.org/10.1126/science.1193424" TargetMode="External"/><Relationship Id="rId4" Type="http://schemas.openxmlformats.org/officeDocument/2006/relationships/settings" Target="settings.xml"/><Relationship Id="rId180" Type="http://schemas.openxmlformats.org/officeDocument/2006/relationships/hyperlink" Target="https://doi.org/10.1016/j.epsl.2011.02.004" TargetMode="External"/><Relationship Id="rId236" Type="http://schemas.openxmlformats.org/officeDocument/2006/relationships/hyperlink" Target="https://doi.org/10.1016/0016-7037(95)00119-0" TargetMode="External"/><Relationship Id="rId278" Type="http://schemas.openxmlformats.org/officeDocument/2006/relationships/hyperlink" Target="https://doi.org/10.1016/0012-821X(91)90003-Z" TargetMode="External"/><Relationship Id="rId401" Type="http://schemas.openxmlformats.org/officeDocument/2006/relationships/hyperlink" Target="https://doi.org/10.1111/j.1945-5100.2003.tb00031.x" TargetMode="External"/><Relationship Id="rId443" Type="http://schemas.openxmlformats.org/officeDocument/2006/relationships/image" Target="media/image47.png"/><Relationship Id="rId303" Type="http://schemas.openxmlformats.org/officeDocument/2006/relationships/hyperlink" Target="https://doi.org/10.1002/2017GL073702" TargetMode="External"/><Relationship Id="rId485" Type="http://schemas.openxmlformats.org/officeDocument/2006/relationships/hyperlink" Target="https://doi.org/10.1007/s00410-024-02134-z" TargetMode="External"/><Relationship Id="rId42" Type="http://schemas.openxmlformats.org/officeDocument/2006/relationships/hyperlink" Target="https://doi.org/10.1126/science.aad0525" TargetMode="External"/><Relationship Id="rId84" Type="http://schemas.openxmlformats.org/officeDocument/2006/relationships/hyperlink" Target="https://doi.org/10.1016/j.gca.2011.02.033" TargetMode="External"/><Relationship Id="rId138" Type="http://schemas.openxmlformats.org/officeDocument/2006/relationships/hyperlink" Target="https://doi.org/10.1016/j.epsl.2013.08.018" TargetMode="External"/><Relationship Id="rId345" Type="http://schemas.openxmlformats.org/officeDocument/2006/relationships/hyperlink" Target="https://doi.org/10.1016/j.gca.2022.04.008" TargetMode="External"/><Relationship Id="rId387" Type="http://schemas.openxmlformats.org/officeDocument/2006/relationships/hyperlink" Target="https://doi.org/10.1111/maps.12898" TargetMode="External"/><Relationship Id="rId191" Type="http://schemas.openxmlformats.org/officeDocument/2006/relationships/image" Target="media/image22.png"/><Relationship Id="rId205" Type="http://schemas.openxmlformats.org/officeDocument/2006/relationships/hyperlink" Target="https://doi.org/10.1016/0016-7037(94)90116-3" TargetMode="External"/><Relationship Id="rId247" Type="http://schemas.openxmlformats.org/officeDocument/2006/relationships/hyperlink" Target="https://doi.org/10.1016/j.epsl.2020.116721" TargetMode="External"/><Relationship Id="rId412" Type="http://schemas.openxmlformats.org/officeDocument/2006/relationships/hyperlink" Target="https://doi.org/10.1098/rsta.1977.0049" TargetMode="External"/><Relationship Id="rId107" Type="http://schemas.openxmlformats.org/officeDocument/2006/relationships/hyperlink" Target="https://doi.org/10.1016/S0016-7037(00)00331-8" TargetMode="External"/><Relationship Id="rId289" Type="http://schemas.openxmlformats.org/officeDocument/2006/relationships/hyperlink" Target="https://doi.org/10.1016/j.chemgeo.2013.08.045" TargetMode="External"/><Relationship Id="rId454" Type="http://schemas.openxmlformats.org/officeDocument/2006/relationships/hyperlink" Target="https://doi.org/10.2138/am-2022-7971" TargetMode="External"/><Relationship Id="rId496" Type="http://schemas.openxmlformats.org/officeDocument/2006/relationships/hyperlink" Target="https://doi.org/10.1016/j.chemgeo.2013.08.045" TargetMode="External"/><Relationship Id="rId11" Type="http://schemas.openxmlformats.org/officeDocument/2006/relationships/hyperlink" Target="https://doi.org/10.1073/pnas.2115726119" TargetMode="External"/><Relationship Id="rId53" Type="http://schemas.openxmlformats.org/officeDocument/2006/relationships/image" Target="media/image9.png"/><Relationship Id="rId149" Type="http://schemas.openxmlformats.org/officeDocument/2006/relationships/hyperlink" Target="https://doi.org/10.1016/S0016-7037(96)00387-0" TargetMode="External"/><Relationship Id="rId314" Type="http://schemas.openxmlformats.org/officeDocument/2006/relationships/hyperlink" Target="https://doi.org/10.1016/j.epsl.2019.07.008" TargetMode="External"/><Relationship Id="rId356" Type="http://schemas.openxmlformats.org/officeDocument/2006/relationships/hyperlink" Target="https://doi.org/10.1016/S0016-7037(97)00373-6" TargetMode="External"/><Relationship Id="rId398" Type="http://schemas.openxmlformats.org/officeDocument/2006/relationships/hyperlink" Target="https://doi.org/10.1093/petrology/egae026" TargetMode="External"/><Relationship Id="rId95" Type="http://schemas.openxmlformats.org/officeDocument/2006/relationships/hyperlink" Target="https://doi.org/10.1029/GM014p0303" TargetMode="External"/><Relationship Id="rId160" Type="http://schemas.openxmlformats.org/officeDocument/2006/relationships/hyperlink" Target="https://doi.org/10.1038/s41561-021-00872-4" TargetMode="External"/><Relationship Id="rId216" Type="http://schemas.openxmlformats.org/officeDocument/2006/relationships/hyperlink" Target="https://doi.org/10.1098/rsta.2013.0246" TargetMode="External"/><Relationship Id="rId423" Type="http://schemas.openxmlformats.org/officeDocument/2006/relationships/hyperlink" Target="https://doi.org/10.1016/j.gca.2017.03.003" TargetMode="External"/><Relationship Id="rId258" Type="http://schemas.openxmlformats.org/officeDocument/2006/relationships/hyperlink" Target="https://doi.org/10.1016/j.gca.2006.09.023" TargetMode="External"/><Relationship Id="rId465" Type="http://schemas.openxmlformats.org/officeDocument/2006/relationships/hyperlink" Target="https://doi.org/10.1029/2023JE008239" TargetMode="External"/><Relationship Id="rId22" Type="http://schemas.openxmlformats.org/officeDocument/2006/relationships/hyperlink" Target="https://doi.org/10.1086/146918" TargetMode="External"/><Relationship Id="rId64" Type="http://schemas.openxmlformats.org/officeDocument/2006/relationships/hyperlink" Target="https://doi.org/10.1007/s00410-012-0758-0" TargetMode="External"/><Relationship Id="rId118" Type="http://schemas.openxmlformats.org/officeDocument/2006/relationships/hyperlink" Target="https://doi.org/10.1007/s00410-005-0033-8" TargetMode="External"/><Relationship Id="rId325" Type="http://schemas.openxmlformats.org/officeDocument/2006/relationships/hyperlink" Target="https://doi.org/10.1016/j.gca.2014.01.012" TargetMode="External"/><Relationship Id="rId367" Type="http://schemas.openxmlformats.org/officeDocument/2006/relationships/hyperlink" Target="https://doi.org/10.1111/ter.12195" TargetMode="External"/><Relationship Id="rId171" Type="http://schemas.openxmlformats.org/officeDocument/2006/relationships/image" Target="media/image17.png"/><Relationship Id="rId227" Type="http://schemas.openxmlformats.org/officeDocument/2006/relationships/hyperlink" Target="https://doi.org/10.1002/2017GL075703" TargetMode="External"/><Relationship Id="rId269" Type="http://schemas.openxmlformats.org/officeDocument/2006/relationships/hyperlink" Target="https://doi.org/10.1016/S0016-7037(02)00890-6" TargetMode="External"/><Relationship Id="rId434" Type="http://schemas.openxmlformats.org/officeDocument/2006/relationships/hyperlink" Target="https://doi.org/10.1126/science.1231530" TargetMode="External"/><Relationship Id="rId476" Type="http://schemas.openxmlformats.org/officeDocument/2006/relationships/hyperlink" Target="https://doi.org/10.1016/j.gca.2011.10.043" TargetMode="External"/><Relationship Id="rId33" Type="http://schemas.openxmlformats.org/officeDocument/2006/relationships/hyperlink" Target="https://doi.org/10.1029/2023JE008060" TargetMode="External"/><Relationship Id="rId129" Type="http://schemas.openxmlformats.org/officeDocument/2006/relationships/hyperlink" Target="https://doi.org/10.1111/maps.13086" TargetMode="External"/><Relationship Id="rId280" Type="http://schemas.openxmlformats.org/officeDocument/2006/relationships/hyperlink" Target="https://doi.org/10.1016/j.epsl.2008.01.019" TargetMode="External"/><Relationship Id="rId336" Type="http://schemas.openxmlformats.org/officeDocument/2006/relationships/hyperlink" Target="https://doi.org/10.1093/petrology/egt001" TargetMode="External"/><Relationship Id="rId501" Type="http://schemas.openxmlformats.org/officeDocument/2006/relationships/hyperlink" Target="https://doi.org/10.1098/rsta.2013.0242" TargetMode="External"/><Relationship Id="rId75" Type="http://schemas.openxmlformats.org/officeDocument/2006/relationships/hyperlink" Target="https://doi.org/10.1002/2017GC006944" TargetMode="External"/><Relationship Id="rId140" Type="http://schemas.openxmlformats.org/officeDocument/2006/relationships/hyperlink" Target="https://doi.org/10.1016/j.chemgeo.2014.11.014" TargetMode="External"/><Relationship Id="rId182" Type="http://schemas.openxmlformats.org/officeDocument/2006/relationships/hyperlink" Target="https://doi.org/10.1029/94JB01250" TargetMode="External"/><Relationship Id="rId378" Type="http://schemas.openxmlformats.org/officeDocument/2006/relationships/hyperlink" Target="https://doi.org/10.1016/j.gca.2014.01.012" TargetMode="External"/><Relationship Id="rId403" Type="http://schemas.openxmlformats.org/officeDocument/2006/relationships/hyperlink" Target="https://doi.org/10.1016/j.gca.2006.07.042" TargetMode="External"/><Relationship Id="rId6" Type="http://schemas.openxmlformats.org/officeDocument/2006/relationships/footnotes" Target="footnotes.xml"/><Relationship Id="rId238" Type="http://schemas.openxmlformats.org/officeDocument/2006/relationships/hyperlink" Target="https://doi.org/10.1007/BF00307281" TargetMode="External"/><Relationship Id="rId445" Type="http://schemas.openxmlformats.org/officeDocument/2006/relationships/image" Target="media/image49.png"/><Relationship Id="rId487" Type="http://schemas.openxmlformats.org/officeDocument/2006/relationships/hyperlink" Target="https://doi.org/10.1007/s00410-019-1548-8" TargetMode="External"/><Relationship Id="rId291" Type="http://schemas.openxmlformats.org/officeDocument/2006/relationships/hyperlink" Target="https://doi.org/10.1016/j.gca.2008.10.038" TargetMode="External"/><Relationship Id="rId305" Type="http://schemas.openxmlformats.org/officeDocument/2006/relationships/image" Target="media/image35.png"/><Relationship Id="rId347" Type="http://schemas.openxmlformats.org/officeDocument/2006/relationships/hyperlink" Target="https://doi.org/10.1007/s002690050138" TargetMode="External"/><Relationship Id="rId44" Type="http://schemas.openxmlformats.org/officeDocument/2006/relationships/hyperlink" Target="https://doi.org/10.1007/s00410-024-02134-z" TargetMode="External"/><Relationship Id="rId86" Type="http://schemas.openxmlformats.org/officeDocument/2006/relationships/hyperlink" Target="https://doi.org/10.1146/annurev-earth-042711-105503" TargetMode="External"/><Relationship Id="rId151" Type="http://schemas.openxmlformats.org/officeDocument/2006/relationships/hyperlink" Target="https://doi.org/10.1007/s00410-013-0938-6" TargetMode="External"/><Relationship Id="rId389" Type="http://schemas.openxmlformats.org/officeDocument/2006/relationships/hyperlink" Target="https://doi.org/10.1029/2018JE005742" TargetMode="External"/><Relationship Id="rId193" Type="http://schemas.openxmlformats.org/officeDocument/2006/relationships/image" Target="media/image24.png"/><Relationship Id="rId207" Type="http://schemas.openxmlformats.org/officeDocument/2006/relationships/hyperlink" Target="https://doi.org/10.1016/S0016-7037(97)00373-6" TargetMode="External"/><Relationship Id="rId249" Type="http://schemas.openxmlformats.org/officeDocument/2006/relationships/hyperlink" Target="https://doi.org/10.1016/j.gca.2011.04.031" TargetMode="External"/><Relationship Id="rId414" Type="http://schemas.openxmlformats.org/officeDocument/2006/relationships/hyperlink" Target="https://doi.org/10.1016/0012-821X(91)90003-Z" TargetMode="External"/><Relationship Id="rId456" Type="http://schemas.openxmlformats.org/officeDocument/2006/relationships/hyperlink" Target="https://doi.org/10.1016/j.gca.2012.11.009" TargetMode="External"/><Relationship Id="rId498" Type="http://schemas.openxmlformats.org/officeDocument/2006/relationships/hyperlink" Target="https://doi.org/10.1016/j.pepi.2012.07.008" TargetMode="External"/><Relationship Id="rId13" Type="http://schemas.openxmlformats.org/officeDocument/2006/relationships/hyperlink" Target="https://doi.org/10.1038/s41561-020-0550-0" TargetMode="External"/><Relationship Id="rId109" Type="http://schemas.openxmlformats.org/officeDocument/2006/relationships/hyperlink" Target="https://doi.org/10.1038/ngeo2845" TargetMode="External"/><Relationship Id="rId260" Type="http://schemas.openxmlformats.org/officeDocument/2006/relationships/hyperlink" Target="https://doi.org/10.1016/j.gca.2019.02.014" TargetMode="External"/><Relationship Id="rId316" Type="http://schemas.openxmlformats.org/officeDocument/2006/relationships/hyperlink" Target="https://doi.org/10.1016/j.gca.2018.05.006" TargetMode="External"/><Relationship Id="rId55" Type="http://schemas.openxmlformats.org/officeDocument/2006/relationships/image" Target="media/image11.png"/><Relationship Id="rId97" Type="http://schemas.openxmlformats.org/officeDocument/2006/relationships/hyperlink" Target="https://doi.org/10.1016/j.epsl.2022.117491" TargetMode="External"/><Relationship Id="rId120" Type="http://schemas.openxmlformats.org/officeDocument/2006/relationships/hyperlink" Target="https://doi.org/10.1007/s00410-013-0941-y" TargetMode="External"/><Relationship Id="rId358" Type="http://schemas.openxmlformats.org/officeDocument/2006/relationships/hyperlink" Target="https://doi.org/10.1016/j.gca.2020.09.013" TargetMode="External"/><Relationship Id="rId162" Type="http://schemas.openxmlformats.org/officeDocument/2006/relationships/hyperlink" Target="https://doi.org/10.1007/s00410-009-0422-5" TargetMode="External"/><Relationship Id="rId218" Type="http://schemas.openxmlformats.org/officeDocument/2006/relationships/hyperlink" Target="https://doi.org/10.2138/am.2010.3345" TargetMode="External"/><Relationship Id="rId425" Type="http://schemas.openxmlformats.org/officeDocument/2006/relationships/hyperlink" Target="https://doi.org/10.1098/rsta.2013.0242" TargetMode="External"/><Relationship Id="rId467" Type="http://schemas.openxmlformats.org/officeDocument/2006/relationships/hyperlink" Target="https://doi.org/10.1007/s00410-010-0540-0" TargetMode="External"/><Relationship Id="rId271" Type="http://schemas.openxmlformats.org/officeDocument/2006/relationships/hyperlink" Target="https://doi.org/10.1111/maps.13086" TargetMode="External"/><Relationship Id="rId24" Type="http://schemas.openxmlformats.org/officeDocument/2006/relationships/hyperlink" Target="https://doi.org/10.2138/rmg.2006.60.1" TargetMode="External"/><Relationship Id="rId66" Type="http://schemas.openxmlformats.org/officeDocument/2006/relationships/hyperlink" Target="https://doi.org/10.1016/j.gca.2015.09.001" TargetMode="External"/><Relationship Id="rId131" Type="http://schemas.openxmlformats.org/officeDocument/2006/relationships/hyperlink" Target="https://doi.org/10.1029/2022JE007187" TargetMode="External"/><Relationship Id="rId327" Type="http://schemas.openxmlformats.org/officeDocument/2006/relationships/hyperlink" Target="https://doi.org/10.1016/j.pepi.2012.09.001" TargetMode="External"/><Relationship Id="rId369" Type="http://schemas.openxmlformats.org/officeDocument/2006/relationships/hyperlink" Target="https://doi.org/10.1016/j.epsl.2011.02.004" TargetMode="External"/><Relationship Id="rId173" Type="http://schemas.openxmlformats.org/officeDocument/2006/relationships/image" Target="media/image19.jpeg"/><Relationship Id="rId229" Type="http://schemas.openxmlformats.org/officeDocument/2006/relationships/hyperlink" Target="https://doi.org/10.1016/S0012-821X(01)00613-6" TargetMode="External"/><Relationship Id="rId380" Type="http://schemas.openxmlformats.org/officeDocument/2006/relationships/hyperlink" Target="https://doi.org/10.1016/j.icarus.2023.115853" TargetMode="External"/><Relationship Id="rId436" Type="http://schemas.openxmlformats.org/officeDocument/2006/relationships/hyperlink" Target="https://doi.org/10.1038/s41586-024-08382-0" TargetMode="External"/><Relationship Id="rId240" Type="http://schemas.openxmlformats.org/officeDocument/2006/relationships/hyperlink" Target="https://doi.org/10.1016/j.gca.2014.01.012" TargetMode="External"/><Relationship Id="rId478" Type="http://schemas.openxmlformats.org/officeDocument/2006/relationships/hyperlink" Target="https://doi.org/10.1016/j.gca.2019.02.014" TargetMode="External"/><Relationship Id="rId35" Type="http://schemas.openxmlformats.org/officeDocument/2006/relationships/hyperlink" Target="https://doi.org/10.1111/maps.13086" TargetMode="External"/><Relationship Id="rId77" Type="http://schemas.openxmlformats.org/officeDocument/2006/relationships/hyperlink" Target="https://doi.org/10.1127/0935-1221/2006/0018-0705" TargetMode="External"/><Relationship Id="rId100" Type="http://schemas.openxmlformats.org/officeDocument/2006/relationships/hyperlink" Target="https://doi.org/10.1016/j.icarus.2021.114699" TargetMode="External"/><Relationship Id="rId282" Type="http://schemas.openxmlformats.org/officeDocument/2006/relationships/hyperlink" Target="https://doi.org/10.1016/j.gca.2022.04.008" TargetMode="External"/><Relationship Id="rId338" Type="http://schemas.openxmlformats.org/officeDocument/2006/relationships/hyperlink" Target="https://doi.org/10.1029/JB091iB04p0D229" TargetMode="External"/><Relationship Id="rId503" Type="http://schemas.openxmlformats.org/officeDocument/2006/relationships/hyperlink" Target="https://doi.org/10.1093/petrology/44.7.1163" TargetMode="External"/><Relationship Id="rId8" Type="http://schemas.openxmlformats.org/officeDocument/2006/relationships/footer" Target="footer1.xml"/><Relationship Id="rId142" Type="http://schemas.openxmlformats.org/officeDocument/2006/relationships/hyperlink" Target="https://doi.org/10.1098/rsta.2013.0242" TargetMode="External"/><Relationship Id="rId184" Type="http://schemas.openxmlformats.org/officeDocument/2006/relationships/hyperlink" Target="https://doi.org/10.1016/j.gca.2011.10.043" TargetMode="External"/><Relationship Id="rId391" Type="http://schemas.openxmlformats.org/officeDocument/2006/relationships/hyperlink" Target="https://doi.org/10.1002/jgre.20103" TargetMode="External"/><Relationship Id="rId405" Type="http://schemas.openxmlformats.org/officeDocument/2006/relationships/hyperlink" Target="https://doi.org/10.1016/S0012-821X(02)00726-4" TargetMode="External"/><Relationship Id="rId447" Type="http://schemas.openxmlformats.org/officeDocument/2006/relationships/hyperlink" Target="https://doi.org/10.1007/s00410-006-0168-2" TargetMode="External"/><Relationship Id="rId251" Type="http://schemas.openxmlformats.org/officeDocument/2006/relationships/hyperlink" Target="https://doi.org/10.1038/s41561-023-01362-5" TargetMode="External"/><Relationship Id="rId489" Type="http://schemas.openxmlformats.org/officeDocument/2006/relationships/hyperlink" Target="https://doi.org/10.1111/maps.12396" TargetMode="External"/><Relationship Id="rId46" Type="http://schemas.openxmlformats.org/officeDocument/2006/relationships/image" Target="media/image2.jpeg"/><Relationship Id="rId293" Type="http://schemas.openxmlformats.org/officeDocument/2006/relationships/hyperlink" Target="https://doi.org/10.1029/JB089iS02p0B459" TargetMode="External"/><Relationship Id="rId307" Type="http://schemas.openxmlformats.org/officeDocument/2006/relationships/image" Target="media/image37.png"/><Relationship Id="rId349" Type="http://schemas.openxmlformats.org/officeDocument/2006/relationships/hyperlink" Target="https://doi.org/10.1007/s004100050330" TargetMode="External"/><Relationship Id="rId88" Type="http://schemas.openxmlformats.org/officeDocument/2006/relationships/hyperlink" Target="https://doi.org/10.1111/j.1945-5100.2003.tb00024.x" TargetMode="External"/><Relationship Id="rId111" Type="http://schemas.openxmlformats.org/officeDocument/2006/relationships/hyperlink" Target="https://doi.org/10.1016/0016-7037(78)90025-X" TargetMode="External"/><Relationship Id="rId153" Type="http://schemas.openxmlformats.org/officeDocument/2006/relationships/hyperlink" Target="https://doi.org/10.1016/0012-821X(82)90065-6" TargetMode="External"/><Relationship Id="rId195" Type="http://schemas.openxmlformats.org/officeDocument/2006/relationships/image" Target="media/image26.png"/><Relationship Id="rId209" Type="http://schemas.openxmlformats.org/officeDocument/2006/relationships/hyperlink" Target="https://doi.org/10.1016/j.epsl.2019.07.008" TargetMode="External"/><Relationship Id="rId360" Type="http://schemas.openxmlformats.org/officeDocument/2006/relationships/hyperlink" Target="https://doi.org/10.1016/j.gca.2015.09.001" TargetMode="External"/><Relationship Id="rId416" Type="http://schemas.openxmlformats.org/officeDocument/2006/relationships/hyperlink" Target="https://doi.org/10.1002/2013JE004453" TargetMode="External"/><Relationship Id="rId220" Type="http://schemas.openxmlformats.org/officeDocument/2006/relationships/hyperlink" Target="https://doi.org/10.2475/ajs.265.6.475" TargetMode="External"/><Relationship Id="rId458" Type="http://schemas.openxmlformats.org/officeDocument/2006/relationships/hyperlink" Target="https://doi.org/10.1016/j.gca.2020.03.037" TargetMode="External"/><Relationship Id="rId15" Type="http://schemas.openxmlformats.org/officeDocument/2006/relationships/hyperlink" Target="https://doi.org/10.1126/science.1226073" TargetMode="External"/><Relationship Id="rId57" Type="http://schemas.openxmlformats.org/officeDocument/2006/relationships/hyperlink" Target="https://doi.org/10.1016/0016-7037(85)90061-4" TargetMode="External"/><Relationship Id="rId262" Type="http://schemas.openxmlformats.org/officeDocument/2006/relationships/hyperlink" Target="https://doi.org/10.1016/0009-2541(94)00140-4" TargetMode="External"/><Relationship Id="rId318" Type="http://schemas.openxmlformats.org/officeDocument/2006/relationships/hyperlink" Target="https://doi.org/10.1016/j.gca.2012.11.009" TargetMode="External"/><Relationship Id="rId99" Type="http://schemas.openxmlformats.org/officeDocument/2006/relationships/hyperlink" Target="https://doi.org/10.1007/BF02688239" TargetMode="External"/><Relationship Id="rId122" Type="http://schemas.openxmlformats.org/officeDocument/2006/relationships/hyperlink" Target="https://doi.org/10.1002/bbpc.19840880212" TargetMode="External"/><Relationship Id="rId164" Type="http://schemas.openxmlformats.org/officeDocument/2006/relationships/hyperlink" Target="https://doi.org/10.1007/BF00371090" TargetMode="External"/><Relationship Id="rId371" Type="http://schemas.openxmlformats.org/officeDocument/2006/relationships/hyperlink" Target="https://doi.org/10.1016/j.gca.2020.02.010" TargetMode="External"/><Relationship Id="rId427" Type="http://schemas.openxmlformats.org/officeDocument/2006/relationships/hyperlink" Target="https://doi.org/10.1007/BF00896484" TargetMode="External"/><Relationship Id="rId469" Type="http://schemas.openxmlformats.org/officeDocument/2006/relationships/hyperlink" Target="https://doi.org/10.1016/j.gca.2024.03.028" TargetMode="External"/><Relationship Id="rId26" Type="http://schemas.openxmlformats.org/officeDocument/2006/relationships/hyperlink" Target="https://doi.org/10.1038/nature00982" TargetMode="External"/><Relationship Id="rId231" Type="http://schemas.openxmlformats.org/officeDocument/2006/relationships/hyperlink" Target="https://doi.org/10.1016/j.epsl.2011.02.004" TargetMode="External"/><Relationship Id="rId273" Type="http://schemas.openxmlformats.org/officeDocument/2006/relationships/hyperlink" Target="https://doi.org/10.5281/zenodo.14172014" TargetMode="External"/><Relationship Id="rId329" Type="http://schemas.openxmlformats.org/officeDocument/2006/relationships/hyperlink" Target="https://doi.org/10.1016/j.gca.2024.03.028" TargetMode="External"/><Relationship Id="rId480" Type="http://schemas.openxmlformats.org/officeDocument/2006/relationships/hyperlink" Target="https://doi.org/10.1016/S0031-9201(03)00149-3" TargetMode="External"/><Relationship Id="rId68" Type="http://schemas.openxmlformats.org/officeDocument/2006/relationships/hyperlink" Target="https://doi.org/10.1016/j.lithos.2008.02.011" TargetMode="External"/><Relationship Id="rId133" Type="http://schemas.openxmlformats.org/officeDocument/2006/relationships/hyperlink" Target="https://doi.org/10.1016/0016-7037(93)90200-G" TargetMode="External"/><Relationship Id="rId175" Type="http://schemas.openxmlformats.org/officeDocument/2006/relationships/image" Target="media/image21.png"/><Relationship Id="rId340" Type="http://schemas.openxmlformats.org/officeDocument/2006/relationships/hyperlink" Target="https://doi.org/10.1029/2001GC000148" TargetMode="External"/><Relationship Id="rId200" Type="http://schemas.openxmlformats.org/officeDocument/2006/relationships/image" Target="media/image31.png"/><Relationship Id="rId382" Type="http://schemas.openxmlformats.org/officeDocument/2006/relationships/hyperlink" Target="https://doi.org/10.1111/j.1945-5100.2006.tb00195.x" TargetMode="External"/><Relationship Id="rId438" Type="http://schemas.openxmlformats.org/officeDocument/2006/relationships/hyperlink" Target="https://doi.org/10.1002/2017GL073702" TargetMode="External"/><Relationship Id="rId242" Type="http://schemas.openxmlformats.org/officeDocument/2006/relationships/hyperlink" Target="https://doi.org/10.1029/2023JE008239" TargetMode="External"/><Relationship Id="rId284" Type="http://schemas.openxmlformats.org/officeDocument/2006/relationships/hyperlink" Target="https://doi.org/10.1007/s004100050263" TargetMode="External"/><Relationship Id="rId491" Type="http://schemas.openxmlformats.org/officeDocument/2006/relationships/hyperlink" Target="https://doi.org/10.2343/geochemj.16.107" TargetMode="External"/><Relationship Id="rId505" Type="http://schemas.openxmlformats.org/officeDocument/2006/relationships/hyperlink" Target="https://doi.org/10.1007/s004100050330" TargetMode="External"/><Relationship Id="rId37" Type="http://schemas.openxmlformats.org/officeDocument/2006/relationships/hyperlink" Target="https://doi.org/10.2138/rmg.2006.60.4" TargetMode="External"/><Relationship Id="rId79" Type="http://schemas.openxmlformats.org/officeDocument/2006/relationships/hyperlink" Target="https://doi.org/10.1016/j.gca.2006.01.027" TargetMode="External"/><Relationship Id="rId102" Type="http://schemas.openxmlformats.org/officeDocument/2006/relationships/hyperlink" Target="https://doi.org/10.1007/BF00307328" TargetMode="External"/><Relationship Id="rId144" Type="http://schemas.openxmlformats.org/officeDocument/2006/relationships/hyperlink" Target="https://doi.org/10.1029/2020JE006494" TargetMode="External"/><Relationship Id="rId90" Type="http://schemas.openxmlformats.org/officeDocument/2006/relationships/hyperlink" Target="https://doi.org/10.1016/0016-7037(77)90268-X" TargetMode="External"/><Relationship Id="rId186" Type="http://schemas.openxmlformats.org/officeDocument/2006/relationships/hyperlink" Target="https://doi.org/10.1016/j.pepi.2006.04.003" TargetMode="External"/><Relationship Id="rId351" Type="http://schemas.openxmlformats.org/officeDocument/2006/relationships/image" Target="media/image43.png"/><Relationship Id="rId393" Type="http://schemas.openxmlformats.org/officeDocument/2006/relationships/hyperlink" Target="https://doi.org/10.1038/s41586-021-04100-2" TargetMode="External"/><Relationship Id="rId407" Type="http://schemas.openxmlformats.org/officeDocument/2006/relationships/hyperlink" Target="https://doi.org/10.1038/322323a0" TargetMode="External"/><Relationship Id="rId449" Type="http://schemas.openxmlformats.org/officeDocument/2006/relationships/hyperlink" Target="https://doi.org/10.1038/372452a0" TargetMode="External"/><Relationship Id="rId211" Type="http://schemas.openxmlformats.org/officeDocument/2006/relationships/hyperlink" Target="https://doi.org/10.1016/j.gca.2014.09.021" TargetMode="External"/><Relationship Id="rId253" Type="http://schemas.openxmlformats.org/officeDocument/2006/relationships/hyperlink" Target="https://doi.org/10.1016/j.icarus.2021.114699" TargetMode="External"/><Relationship Id="rId295" Type="http://schemas.openxmlformats.org/officeDocument/2006/relationships/hyperlink" Target="https://doi.org/10.1016/S0016-7037(96)00387-0" TargetMode="External"/><Relationship Id="rId309" Type="http://schemas.openxmlformats.org/officeDocument/2006/relationships/image" Target="media/image39.png"/><Relationship Id="rId460" Type="http://schemas.openxmlformats.org/officeDocument/2006/relationships/hyperlink" Target="https://doi.org/10.1016/j.gca.2014.01.042" TargetMode="External"/><Relationship Id="rId48" Type="http://schemas.openxmlformats.org/officeDocument/2006/relationships/image" Target="media/image4.png"/><Relationship Id="rId113" Type="http://schemas.openxmlformats.org/officeDocument/2006/relationships/hyperlink" Target="https://doi.org/10.1029/97JE03146" TargetMode="External"/><Relationship Id="rId320" Type="http://schemas.openxmlformats.org/officeDocument/2006/relationships/hyperlink" Target="https://doi.org/10.1016/j.gca.2012.12.005" TargetMode="External"/><Relationship Id="rId155" Type="http://schemas.openxmlformats.org/officeDocument/2006/relationships/hyperlink" Target="https://doi.org/10.1007/BF00375941" TargetMode="External"/><Relationship Id="rId197" Type="http://schemas.openxmlformats.org/officeDocument/2006/relationships/image" Target="media/image28.png"/><Relationship Id="rId362" Type="http://schemas.openxmlformats.org/officeDocument/2006/relationships/hyperlink" Target="https://doi.org/10.1146/annurev.astro.41.082201.113457" TargetMode="External"/><Relationship Id="rId418" Type="http://schemas.openxmlformats.org/officeDocument/2006/relationships/hyperlink" Target="https://doi.org/10.1016/j.epsl.2020.116219" TargetMode="External"/><Relationship Id="rId222" Type="http://schemas.openxmlformats.org/officeDocument/2006/relationships/hyperlink" Target="https://doi.org/10.1029/JB091iB04p0D201" TargetMode="External"/><Relationship Id="rId264" Type="http://schemas.openxmlformats.org/officeDocument/2006/relationships/hyperlink" Target="https://doi.org/10.1093/petrology/egr009" TargetMode="External"/><Relationship Id="rId471" Type="http://schemas.openxmlformats.org/officeDocument/2006/relationships/hyperlink" Target="https://doi.org/10.1016/j.chemgeo.2011.02.007" TargetMode="External"/><Relationship Id="rId17" Type="http://schemas.openxmlformats.org/officeDocument/2006/relationships/hyperlink" Target="https://doi.org/10.1002/2017GL075703" TargetMode="External"/><Relationship Id="rId59" Type="http://schemas.openxmlformats.org/officeDocument/2006/relationships/hyperlink" Target="https://doi.org/10.1016/j.gca.2012.12.035" TargetMode="External"/><Relationship Id="rId124" Type="http://schemas.openxmlformats.org/officeDocument/2006/relationships/hyperlink" Target="https://doi.org/10.1016/j.gca.2009.06.022" TargetMode="External"/><Relationship Id="rId70" Type="http://schemas.openxmlformats.org/officeDocument/2006/relationships/hyperlink" Target="https://doi.org/10.1007/BF00203923" TargetMode="External"/><Relationship Id="rId166" Type="http://schemas.openxmlformats.org/officeDocument/2006/relationships/hyperlink" Target="https://doi.org/10.1016/j.epsl.2019.01.022" TargetMode="External"/><Relationship Id="rId331" Type="http://schemas.openxmlformats.org/officeDocument/2006/relationships/hyperlink" Target="https://doi.org/10.1016/0012-821X(93)90221-T" TargetMode="External"/><Relationship Id="rId373" Type="http://schemas.openxmlformats.org/officeDocument/2006/relationships/hyperlink" Target="https://doi.org/10.1111/maps.13743" TargetMode="External"/><Relationship Id="rId429" Type="http://schemas.openxmlformats.org/officeDocument/2006/relationships/hyperlink" Target="https://doi.org/10.1016/S0016-7037(96)00387-0" TargetMode="External"/><Relationship Id="rId1" Type="http://schemas.openxmlformats.org/officeDocument/2006/relationships/customXml" Target="../customXml/item1.xml"/><Relationship Id="rId233" Type="http://schemas.openxmlformats.org/officeDocument/2006/relationships/hyperlink" Target="https://doi.org/10.1016/j.epsl.2005.07.029" TargetMode="External"/><Relationship Id="rId440" Type="http://schemas.openxmlformats.org/officeDocument/2006/relationships/hyperlink" Target="https://doi.org/10.1016/j.epsl.2019.01.022" TargetMode="External"/><Relationship Id="rId28" Type="http://schemas.openxmlformats.org/officeDocument/2006/relationships/hyperlink" Target="https://doi.org/10.1016/S0012-821X(98)00048-X" TargetMode="External"/><Relationship Id="rId275" Type="http://schemas.openxmlformats.org/officeDocument/2006/relationships/hyperlink" Target="https://doi.org/10.2138/rmg.2006.60.4" TargetMode="External"/><Relationship Id="rId300" Type="http://schemas.openxmlformats.org/officeDocument/2006/relationships/hyperlink" Target="https://doi.org/10.2138/rmg.2006.60.3" TargetMode="External"/><Relationship Id="rId482" Type="http://schemas.openxmlformats.org/officeDocument/2006/relationships/hyperlink" Target="https://doi.org/10.1029/JB091iB04p0D229" TargetMode="External"/><Relationship Id="rId81" Type="http://schemas.openxmlformats.org/officeDocument/2006/relationships/hyperlink" Target="https://doi.org/10.1016/j.gca.2012.12.005" TargetMode="External"/><Relationship Id="rId135" Type="http://schemas.openxmlformats.org/officeDocument/2006/relationships/hyperlink" Target="https://doi.org/10.1007/s00410-022-01957-y" TargetMode="External"/><Relationship Id="rId177" Type="http://schemas.openxmlformats.org/officeDocument/2006/relationships/hyperlink" Target="https://doi.org/10.1016/j.gca.2015.09.001" TargetMode="External"/><Relationship Id="rId342" Type="http://schemas.openxmlformats.org/officeDocument/2006/relationships/hyperlink" Target="https://doi.org/10.1016/0016-7037(93)90200-G" TargetMode="External"/><Relationship Id="rId384" Type="http://schemas.openxmlformats.org/officeDocument/2006/relationships/hyperlink" Target="https://doi.org/10.1126/sciadv.abm8475" TargetMode="External"/><Relationship Id="rId202" Type="http://schemas.openxmlformats.org/officeDocument/2006/relationships/image" Target="media/image33.png"/><Relationship Id="rId244" Type="http://schemas.openxmlformats.org/officeDocument/2006/relationships/hyperlink" Target="https://doi.org/10.2138/rmg.2006.60.1" TargetMode="External"/><Relationship Id="rId39" Type="http://schemas.openxmlformats.org/officeDocument/2006/relationships/hyperlink" Target="https://doi.org/10.1073/pnas.41.3.127" TargetMode="External"/><Relationship Id="rId286" Type="http://schemas.openxmlformats.org/officeDocument/2006/relationships/hyperlink" Target="https://doi.org/10.1029/2012JE004067" TargetMode="External"/><Relationship Id="rId451" Type="http://schemas.openxmlformats.org/officeDocument/2006/relationships/hyperlink" Target="https://doi.org/10.1016/0022-0248(75)90241-9" TargetMode="External"/><Relationship Id="rId493" Type="http://schemas.openxmlformats.org/officeDocument/2006/relationships/hyperlink" Target="https://doi.org/10.1016/j.gca.2022.04.008" TargetMode="External"/><Relationship Id="rId507" Type="http://schemas.openxmlformats.org/officeDocument/2006/relationships/hyperlink" Target="https://doi.org/10.1016/j.lithos.2003.12.022" TargetMode="External"/><Relationship Id="rId50" Type="http://schemas.openxmlformats.org/officeDocument/2006/relationships/image" Target="media/image6.jpeg"/><Relationship Id="rId104" Type="http://schemas.openxmlformats.org/officeDocument/2006/relationships/hyperlink" Target="https://doi.org/10.1016/0016-7037(87)90368-1" TargetMode="External"/><Relationship Id="rId146" Type="http://schemas.openxmlformats.org/officeDocument/2006/relationships/hyperlink" Target="https://doi.org/10.1093/petrology/egp066" TargetMode="External"/><Relationship Id="rId188" Type="http://schemas.openxmlformats.org/officeDocument/2006/relationships/hyperlink" Target="https://doi.org/10.1002/2017GL073702" TargetMode="External"/><Relationship Id="rId311" Type="http://schemas.openxmlformats.org/officeDocument/2006/relationships/image" Target="media/image41.png"/><Relationship Id="rId353" Type="http://schemas.openxmlformats.org/officeDocument/2006/relationships/image" Target="media/image45.png"/><Relationship Id="rId395" Type="http://schemas.openxmlformats.org/officeDocument/2006/relationships/hyperlink" Target="https://doi.org/10.1029/2018JE005905" TargetMode="External"/><Relationship Id="rId409" Type="http://schemas.openxmlformats.org/officeDocument/2006/relationships/hyperlink" Target="https://doi.org/10.1016/j.icarus.2016.10.007" TargetMode="External"/><Relationship Id="rId92" Type="http://schemas.openxmlformats.org/officeDocument/2006/relationships/hyperlink" Target="https://doi.org/10.1111/j.1945-5100.2000.tb01985.x" TargetMode="External"/><Relationship Id="rId213" Type="http://schemas.openxmlformats.org/officeDocument/2006/relationships/hyperlink" Target="https://doi.org/10.1016/j.gca.2015.09.001" TargetMode="External"/><Relationship Id="rId420" Type="http://schemas.openxmlformats.org/officeDocument/2006/relationships/hyperlink" Target="https://doi.org/10.1016/j.gca.2022.04.008" TargetMode="External"/><Relationship Id="rId255" Type="http://schemas.openxmlformats.org/officeDocument/2006/relationships/hyperlink" Target="https://doi.org/10.1007/s00410-022-01985-8" TargetMode="External"/><Relationship Id="rId297" Type="http://schemas.openxmlformats.org/officeDocument/2006/relationships/hyperlink" Target="https://doi.org/10.1093/petroj/39.1.29" TargetMode="External"/><Relationship Id="rId462" Type="http://schemas.openxmlformats.org/officeDocument/2006/relationships/hyperlink" Target="https://doi.org/10.2138/am.2009.3047" TargetMode="External"/><Relationship Id="rId115" Type="http://schemas.openxmlformats.org/officeDocument/2006/relationships/hyperlink" Target="https://doi.org/10.1029/2023JE008060" TargetMode="External"/><Relationship Id="rId157" Type="http://schemas.openxmlformats.org/officeDocument/2006/relationships/hyperlink" Target="https://doi.org/10.1016/S0016-7037(00)00549-4" TargetMode="External"/><Relationship Id="rId322" Type="http://schemas.openxmlformats.org/officeDocument/2006/relationships/hyperlink" Target="https://doi.org/10.2138/am.2009.3047" TargetMode="External"/><Relationship Id="rId364" Type="http://schemas.openxmlformats.org/officeDocument/2006/relationships/hyperlink" Target="https://doi.org/10.1098/rsta.2013.0246" TargetMode="External"/><Relationship Id="rId61" Type="http://schemas.openxmlformats.org/officeDocument/2006/relationships/hyperlink" Target="https://doi.org/10.1029/2005GL024008" TargetMode="External"/><Relationship Id="rId199" Type="http://schemas.openxmlformats.org/officeDocument/2006/relationships/image" Target="media/image30.png"/><Relationship Id="rId19" Type="http://schemas.openxmlformats.org/officeDocument/2006/relationships/hyperlink" Target="https://doi.org/10.1146/annurev-earth-042711-105503" TargetMode="External"/><Relationship Id="rId224" Type="http://schemas.openxmlformats.org/officeDocument/2006/relationships/hyperlink" Target="https://doi.org/10.1016/j.gca.2020.03.037" TargetMode="External"/><Relationship Id="rId266" Type="http://schemas.openxmlformats.org/officeDocument/2006/relationships/hyperlink" Target="https://doi.org/10.1016/0016-7037(91)90169-6" TargetMode="External"/><Relationship Id="rId431" Type="http://schemas.openxmlformats.org/officeDocument/2006/relationships/hyperlink" Target="https://doi.org/10.1038/nature19341" TargetMode="External"/><Relationship Id="rId473" Type="http://schemas.openxmlformats.org/officeDocument/2006/relationships/hyperlink" Target="https://doi.org/10.1016/0012-821X(93)90221-T" TargetMode="External"/><Relationship Id="rId30" Type="http://schemas.openxmlformats.org/officeDocument/2006/relationships/hyperlink" Target="https://doi.org/10.1029/2018JE005905" TargetMode="External"/><Relationship Id="rId126" Type="http://schemas.openxmlformats.org/officeDocument/2006/relationships/hyperlink" Target="https://doi.org/10.1029/2020GC008937" TargetMode="External"/><Relationship Id="rId168" Type="http://schemas.openxmlformats.org/officeDocument/2006/relationships/image" Target="media/image14.png"/><Relationship Id="rId333" Type="http://schemas.openxmlformats.org/officeDocument/2006/relationships/hyperlink" Target="https://doi.org/10.1016/j.gca.2011.10.043" TargetMode="External"/><Relationship Id="rId72" Type="http://schemas.openxmlformats.org/officeDocument/2006/relationships/hyperlink" Target="https://doi.org/10.1007/s004100050136" TargetMode="External"/><Relationship Id="rId375" Type="http://schemas.openxmlformats.org/officeDocument/2006/relationships/hyperlink" Target="https://doi.org/10.1016/j.pepi.2006.05.009" TargetMode="External"/><Relationship Id="rId3" Type="http://schemas.openxmlformats.org/officeDocument/2006/relationships/styles" Target="styles.xml"/><Relationship Id="rId235" Type="http://schemas.openxmlformats.org/officeDocument/2006/relationships/hyperlink" Target="https://doi.org/doi:10.1515/9781501508684-004" TargetMode="External"/><Relationship Id="rId277" Type="http://schemas.openxmlformats.org/officeDocument/2006/relationships/hyperlink" Target="https://doi.org/10.1016/0016-7037(93)90200-G" TargetMode="External"/><Relationship Id="rId400" Type="http://schemas.openxmlformats.org/officeDocument/2006/relationships/hyperlink" Target="https://doi.org/10.1016/0016-7037(85)90231-5" TargetMode="External"/><Relationship Id="rId442" Type="http://schemas.openxmlformats.org/officeDocument/2006/relationships/image" Target="media/image46.png"/><Relationship Id="rId484" Type="http://schemas.openxmlformats.org/officeDocument/2006/relationships/hyperlink" Target="https://doi.org/10.1029/2001GC000148" TargetMode="External"/><Relationship Id="rId137" Type="http://schemas.openxmlformats.org/officeDocument/2006/relationships/hyperlink" Target="https://doi.org/10.1007/s004100050263" TargetMode="External"/><Relationship Id="rId302" Type="http://schemas.openxmlformats.org/officeDocument/2006/relationships/hyperlink" Target="https://doi.org/10.1126/science.aad0525" TargetMode="External"/><Relationship Id="rId344" Type="http://schemas.openxmlformats.org/officeDocument/2006/relationships/hyperlink" Target="https://doi.org/10.1007/s00410-022-01957-y" TargetMode="External"/><Relationship Id="rId41" Type="http://schemas.openxmlformats.org/officeDocument/2006/relationships/hyperlink" Target="https://doi.org/10.1038/nature00995" TargetMode="External"/><Relationship Id="rId83" Type="http://schemas.openxmlformats.org/officeDocument/2006/relationships/hyperlink" Target="https://doi.org/10.1002/2017GL075703" TargetMode="External"/><Relationship Id="rId179" Type="http://schemas.openxmlformats.org/officeDocument/2006/relationships/hyperlink" Target="https://doi.org/10.1016/j.gca.2006.01.027" TargetMode="External"/><Relationship Id="rId386" Type="http://schemas.openxmlformats.org/officeDocument/2006/relationships/hyperlink" Target="https://doi.org/10.1029/2002GC000433" TargetMode="External"/><Relationship Id="rId190" Type="http://schemas.openxmlformats.org/officeDocument/2006/relationships/hyperlink" Target="https://zenodo.org/records/14172014?preview=1&amp;token=eyJhbGciOiJIUzUxMiJ9.eyJpZCI6ImViMTljZTA5LTM5NWItNDljZi05OTI5LWIzODY2ZWM5MTQ1NiIsImRhdGEiOnt9LCJyYW5kb20iOiIxZTYwMjBiNmJhMjMxZmJmMDQ2MDU3MWEyYjMwMDBjOSJ9.uko63beJUEjOrq85by4Yje5jSJqMJdLUsB-0U_BBVJycznoIYFhK56Tbz0rsiu_k6qF0_9GpDoh4cfcqx1h31Q" TargetMode="External"/><Relationship Id="rId204" Type="http://schemas.openxmlformats.org/officeDocument/2006/relationships/hyperlink" Target="https://doi.org/10.1016/0016-7037(89)90286-X" TargetMode="External"/><Relationship Id="rId246" Type="http://schemas.openxmlformats.org/officeDocument/2006/relationships/hyperlink" Target="https://doi.org/10.1016/j.epsl.2022.117491" TargetMode="External"/><Relationship Id="rId288" Type="http://schemas.openxmlformats.org/officeDocument/2006/relationships/hyperlink" Target="https://doi.org/10.1016/j.gca.2013.05.036" TargetMode="External"/><Relationship Id="rId411" Type="http://schemas.openxmlformats.org/officeDocument/2006/relationships/hyperlink" Target="https://doi.org/10.1029/2000JE001368" TargetMode="External"/><Relationship Id="rId453" Type="http://schemas.openxmlformats.org/officeDocument/2006/relationships/hyperlink" Target="https://doi.org/10.1016/j.gca.2018.05.006" TargetMode="External"/><Relationship Id="rId509" Type="http://schemas.openxmlformats.org/officeDocument/2006/relationships/theme" Target="theme/theme1.xml"/><Relationship Id="rId106" Type="http://schemas.openxmlformats.org/officeDocument/2006/relationships/hyperlink" Target="https://doi.org/10.1029/2018JE005905" TargetMode="External"/><Relationship Id="rId313" Type="http://schemas.openxmlformats.org/officeDocument/2006/relationships/hyperlink" Target="https://doi.org/10.1038/372452a0" TargetMode="External"/><Relationship Id="rId495" Type="http://schemas.openxmlformats.org/officeDocument/2006/relationships/hyperlink" Target="https://doi.org/10.1016/j.gca.2013.05.036" TargetMode="External"/><Relationship Id="rId10" Type="http://schemas.openxmlformats.org/officeDocument/2006/relationships/footer" Target="footer3.xml"/><Relationship Id="rId52" Type="http://schemas.openxmlformats.org/officeDocument/2006/relationships/image" Target="media/image8.png"/><Relationship Id="rId94" Type="http://schemas.openxmlformats.org/officeDocument/2006/relationships/hyperlink" Target="https://doi.org/10.1016/0012-821X(95)00138-3" TargetMode="External"/><Relationship Id="rId148" Type="http://schemas.openxmlformats.org/officeDocument/2006/relationships/hyperlink" Target="https://doi.org/10.1111/j.1945-5100.2000.tb01462.x" TargetMode="External"/><Relationship Id="rId355" Type="http://schemas.openxmlformats.org/officeDocument/2006/relationships/hyperlink" Target="https://doi.org/10.1016/j.gca.2012.12.035" TargetMode="External"/><Relationship Id="rId397" Type="http://schemas.openxmlformats.org/officeDocument/2006/relationships/hyperlink" Target="https://doi.org/10.1016/0009-2541(94)00140-4" TargetMode="External"/><Relationship Id="rId215" Type="http://schemas.openxmlformats.org/officeDocument/2006/relationships/hyperlink" Target="https://doi.org/10.1126/science.1226073" TargetMode="External"/><Relationship Id="rId257" Type="http://schemas.openxmlformats.org/officeDocument/2006/relationships/hyperlink" Target="https://doi.org/10.1038/ngeo2845" TargetMode="External"/><Relationship Id="rId422" Type="http://schemas.openxmlformats.org/officeDocument/2006/relationships/hyperlink" Target="https://doi.org/10.1038/s41598-018-25505-6" TargetMode="External"/><Relationship Id="rId464" Type="http://schemas.openxmlformats.org/officeDocument/2006/relationships/hyperlink" Target="https://doi.org/10.1007/s00410-008-034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erm10\Documents\etd-word-template-1%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EA974-FF3F-4132-8400-478EEB0FE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etd-word-template-1 (1)</Template>
  <TotalTime>53</TotalTime>
  <Pages>338</Pages>
  <Words>71503</Words>
  <Characters>407570</Characters>
  <Application>Microsoft Office Word</Application>
  <DocSecurity>0</DocSecurity>
  <Lines>3396</Lines>
  <Paragraphs>956</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478117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creator>Sherman, Abby L</dc:creator>
  <cp:lastModifiedBy>Sherman, Abby L</cp:lastModifiedBy>
  <cp:revision>26</cp:revision>
  <cp:lastPrinted>2005-09-22T13:02:00Z</cp:lastPrinted>
  <dcterms:created xsi:type="dcterms:W3CDTF">2024-12-18T22:21:00Z</dcterms:created>
  <dcterms:modified xsi:type="dcterms:W3CDTF">2025-01-02T12:48:00Z</dcterms:modified>
</cp:coreProperties>
</file>