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586155845"/>
        <w:docPartObj>
          <w:docPartGallery w:val="Cover Pages"/>
          <w:docPartUnique/>
        </w:docPartObj>
      </w:sdtPr>
      <w:sdtEndPr/>
      <w:sdtContent>
        <w:p w:rsidR="00557B38" w:rsidRPr="00557B38" w:rsidRDefault="00557B38"/>
        <w:tbl>
          <w:tblPr>
            <w:tblpPr w:leftFromText="187" w:rightFromText="187" w:horzAnchor="margin" w:tblpXSpec="center" w:tblpY="2881"/>
            <w:tblW w:w="3988" w:type="pct"/>
            <w:tblBorders>
              <w:left w:val="single" w:sz="12" w:space="0" w:color="5B9BD5" w:themeColor="accent1"/>
            </w:tblBorders>
            <w:tblCellMar>
              <w:left w:w="144" w:type="dxa"/>
              <w:right w:w="115" w:type="dxa"/>
            </w:tblCellMar>
            <w:tblLook w:val="04A0" w:firstRow="1" w:lastRow="0" w:firstColumn="1" w:lastColumn="0" w:noHBand="0" w:noVBand="1"/>
          </w:tblPr>
          <w:tblGrid>
            <w:gridCol w:w="7672"/>
          </w:tblGrid>
          <w:tr w:rsidR="00557B38" w:rsidRPr="00557B38" w:rsidTr="00557B38">
            <w:trPr>
              <w:trHeight w:val="1170"/>
            </w:trPr>
            <w:tc>
              <w:tcPr>
                <w:tcW w:w="7672" w:type="dxa"/>
                <w:tcBorders>
                  <w:left w:val="single" w:sz="4" w:space="0" w:color="auto"/>
                </w:tcBorders>
              </w:tcPr>
              <w:p w:rsidR="00557B38" w:rsidRPr="00557B38" w:rsidRDefault="00557B38" w:rsidP="00557B38">
                <w:pPr>
                  <w:pStyle w:val="NoSpacing"/>
                  <w:spacing w:line="216" w:lineRule="auto"/>
                  <w:rPr>
                    <w:rFonts w:asciiTheme="majorHAnsi" w:eastAsiaTheme="majorEastAsia" w:hAnsiTheme="majorHAnsi" w:cstheme="majorBidi"/>
                    <w:sz w:val="88"/>
                    <w:szCs w:val="88"/>
                  </w:rPr>
                </w:pPr>
                <w:r w:rsidRPr="00557B38">
                  <w:rPr>
                    <w:rFonts w:asciiTheme="majorHAnsi" w:eastAsiaTheme="majorEastAsia" w:hAnsiTheme="majorHAnsi" w:cstheme="majorBidi"/>
                    <w:sz w:val="88"/>
                    <w:szCs w:val="88"/>
                  </w:rPr>
                  <w:t xml:space="preserve">Targeting Cancer: The pH-Responsive Binding and Insertion of Roxy7 </w:t>
                </w:r>
              </w:p>
            </w:tc>
          </w:tr>
          <w:tr w:rsidR="00557B38" w:rsidRPr="00557B38" w:rsidTr="00557B38">
            <w:sdt>
              <w:sdtPr>
                <w:rPr>
                  <w:sz w:val="24"/>
                  <w:szCs w:val="24"/>
                </w:rPr>
                <w:alias w:val="Subtitle"/>
                <w:id w:val="13406923"/>
                <w:placeholder>
                  <w:docPart w:val="28B93030F2FD433BBB67146A8B1C51B6"/>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Borders>
                      <w:left w:val="single" w:sz="4" w:space="0" w:color="auto"/>
                    </w:tcBorders>
                    <w:tcMar>
                      <w:top w:w="216" w:type="dxa"/>
                      <w:left w:w="115" w:type="dxa"/>
                      <w:bottom w:w="216" w:type="dxa"/>
                      <w:right w:w="115" w:type="dxa"/>
                    </w:tcMar>
                  </w:tcPr>
                  <w:p w:rsidR="00557B38" w:rsidRPr="00557B38" w:rsidRDefault="00557B38" w:rsidP="00557B38">
                    <w:pPr>
                      <w:pStyle w:val="NoSpacing"/>
                      <w:rPr>
                        <w:sz w:val="24"/>
                      </w:rPr>
                    </w:pPr>
                    <w:r w:rsidRPr="00557B38">
                      <w:rPr>
                        <w:sz w:val="24"/>
                        <w:szCs w:val="24"/>
                      </w:rPr>
                      <w:t>BCMB 457</w:t>
                    </w:r>
                    <w:r>
                      <w:rPr>
                        <w:sz w:val="24"/>
                        <w:szCs w:val="24"/>
                      </w:rPr>
                      <w:t>: Honors Thesis</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398"/>
          </w:tblGrid>
          <w:tr w:rsidR="00557B38" w:rsidRPr="00557B38">
            <w:tc>
              <w:tcPr>
                <w:tcW w:w="7221" w:type="dxa"/>
                <w:tcMar>
                  <w:top w:w="216" w:type="dxa"/>
                  <w:left w:w="115" w:type="dxa"/>
                  <w:bottom w:w="216" w:type="dxa"/>
                  <w:right w:w="115" w:type="dxa"/>
                </w:tcMar>
              </w:tcPr>
              <w:sdt>
                <w:sdtPr>
                  <w:rPr>
                    <w:sz w:val="28"/>
                    <w:szCs w:val="28"/>
                  </w:rPr>
                  <w:alias w:val="Author"/>
                  <w:id w:val="13406928"/>
                  <w:placeholder>
                    <w:docPart w:val="8C2B4D8AB03547D2AB4095F7E9F90E39"/>
                  </w:placeholder>
                  <w:dataBinding w:prefixMappings="xmlns:ns0='http://schemas.openxmlformats.org/package/2006/metadata/core-properties' xmlns:ns1='http://purl.org/dc/elements/1.1/'" w:xpath="/ns0:coreProperties[1]/ns1:creator[1]" w:storeItemID="{6C3C8BC8-F283-45AE-878A-BAB7291924A1}"/>
                  <w:text/>
                </w:sdtPr>
                <w:sdtEndPr/>
                <w:sdtContent>
                  <w:p w:rsidR="00557B38" w:rsidRPr="00557B38" w:rsidRDefault="00557B38">
                    <w:pPr>
                      <w:pStyle w:val="NoSpacing"/>
                      <w:rPr>
                        <w:sz w:val="28"/>
                        <w:szCs w:val="28"/>
                      </w:rPr>
                    </w:pPr>
                    <w:r w:rsidRPr="00557B38">
                      <w:rPr>
                        <w:sz w:val="28"/>
                        <w:szCs w:val="28"/>
                      </w:rPr>
                      <w:t>Kristen Booth</w:t>
                    </w:r>
                  </w:p>
                </w:sdtContent>
              </w:sdt>
              <w:sdt>
                <w:sdtPr>
                  <w:rPr>
                    <w:sz w:val="28"/>
                    <w:szCs w:val="28"/>
                  </w:rPr>
                  <w:alias w:val="Date"/>
                  <w:tag w:val="Date"/>
                  <w:id w:val="13406932"/>
                  <w:placeholder>
                    <w:docPart w:val="023B5B39BAB54E78AF0BD1196453645E"/>
                  </w:placeholde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rsidR="00557B38" w:rsidRPr="00557B38" w:rsidRDefault="00557B38">
                    <w:pPr>
                      <w:pStyle w:val="NoSpacing"/>
                      <w:rPr>
                        <w:sz w:val="28"/>
                        <w:szCs w:val="28"/>
                      </w:rPr>
                    </w:pPr>
                    <w:r>
                      <w:rPr>
                        <w:sz w:val="28"/>
                        <w:szCs w:val="28"/>
                      </w:rPr>
                      <w:t>Spring 2016</w:t>
                    </w:r>
                  </w:p>
                </w:sdtContent>
              </w:sdt>
              <w:p w:rsidR="00557B38" w:rsidRPr="00557B38" w:rsidRDefault="00557B38">
                <w:pPr>
                  <w:pStyle w:val="NoSpacing"/>
                </w:pPr>
              </w:p>
            </w:tc>
          </w:tr>
        </w:tbl>
        <w:p w:rsidR="00557B38" w:rsidRPr="00557B38" w:rsidRDefault="00557B38" w:rsidP="00175B35">
          <w:r w:rsidRPr="00557B38">
            <w:br w:type="page"/>
          </w:r>
        </w:p>
      </w:sdtContent>
    </w:sdt>
    <w:p w:rsidR="000C5EC6" w:rsidRPr="00557B38" w:rsidRDefault="000C5EC6" w:rsidP="005D7CED">
      <w:pPr>
        <w:spacing w:line="360" w:lineRule="auto"/>
        <w:contextualSpacing/>
      </w:pPr>
      <w:r w:rsidRPr="00557B38">
        <w:rPr>
          <w:b/>
        </w:rPr>
        <w:lastRenderedPageBreak/>
        <w:t>Abstract</w:t>
      </w:r>
      <w:r w:rsidRPr="00557B38">
        <w:t>:</w:t>
      </w:r>
    </w:p>
    <w:p w:rsidR="007B38D2" w:rsidRPr="00557B38" w:rsidRDefault="007B38D2" w:rsidP="005D7CED">
      <w:pPr>
        <w:spacing w:line="360" w:lineRule="auto"/>
        <w:contextualSpacing/>
      </w:pPr>
      <w:r w:rsidRPr="00557B38">
        <w:t>The expression of the EphA2 tyrosine kinase receptor differs between normal and malignant cells, with many human carcinomas presenting an overexpression of EphA2</w:t>
      </w:r>
      <w:r w:rsidR="00072C25">
        <w:t xml:space="preserve"> [1]</w:t>
      </w:r>
      <w:r w:rsidRPr="00557B38">
        <w:t>. Normal expression of EphA2 results in tumor suppression, whereas overexpression promotes tumor progression by ligand-independent activation of EphA2 through the phosphorylation of S897 by Akt. However, by inducing EphA2 activation, Akt is inhibited, ultimately resulting in a decrease in the migration and invasiveness of cancer cells</w:t>
      </w:r>
      <w:r w:rsidR="00D90388">
        <w:t xml:space="preserve"> [2]</w:t>
      </w:r>
      <w:r w:rsidRPr="00557B38">
        <w:t>. Here, we designed a peptide, Roxy7, to specifically target the transmembrane domain of EphA2 in cancer cells in a pH-dependent manner in order to induce clustering and therefore activation. Biophysical studies suggest that at pH 8 Roxy7 binds to the lipid membrane and, upon acidification, will insert as a transmembrane ɑ-helix. To determine the affinity of Roxy7 for lipid bilayers, we conjugated Roxy7 with nitrobenzoxadiole (NBD) and used an NBD binding assay to compare the fluorescence intensity of Roxy7 to the negative control peptide Roxy8 as both lipid concentration and pH varied. Our results indicate that Roxy7 partitions to lipid bilayers with greater affinity at acidic pH. Since the extracellular pH of tumors is known to be more acidic than healthy cells, our results suggest th</w:t>
      </w:r>
      <w:r w:rsidR="00873424">
        <w:t xml:space="preserve">at Roxy7 is capable of </w:t>
      </w:r>
      <w:r w:rsidR="00C63470">
        <w:t xml:space="preserve">targeting tumors and </w:t>
      </w:r>
      <w:r w:rsidR="00873424">
        <w:t>binding to the membrane of cancer cells.</w:t>
      </w:r>
      <w:r w:rsidRPr="00557B38">
        <w:t xml:space="preserve"> </w:t>
      </w:r>
    </w:p>
    <w:p w:rsidR="007061BF" w:rsidRPr="00557B38" w:rsidRDefault="007061BF" w:rsidP="009F1B85">
      <w:pPr>
        <w:spacing w:line="360" w:lineRule="auto"/>
        <w:rPr>
          <w:b/>
        </w:rPr>
      </w:pPr>
    </w:p>
    <w:p w:rsidR="006B30A9" w:rsidRDefault="000C5EC6" w:rsidP="005C6C16">
      <w:pPr>
        <w:spacing w:line="360" w:lineRule="auto"/>
      </w:pPr>
      <w:r w:rsidRPr="00557B38">
        <w:rPr>
          <w:b/>
        </w:rPr>
        <w:t>Introduction</w:t>
      </w:r>
      <w:r w:rsidRPr="00557B38">
        <w:t>:</w:t>
      </w:r>
      <w:r w:rsidR="009F1B85" w:rsidRPr="00557B38">
        <w:t xml:space="preserve"> </w:t>
      </w:r>
    </w:p>
    <w:p w:rsidR="00AB4D44" w:rsidRDefault="00896B06" w:rsidP="006B30A9">
      <w:pPr>
        <w:spacing w:line="360" w:lineRule="auto"/>
        <w:ind w:firstLine="360"/>
      </w:pPr>
      <w:r w:rsidRPr="00557B38">
        <w:t xml:space="preserve">Both normal and oncogenic development is </w:t>
      </w:r>
      <w:r w:rsidR="00294408">
        <w:t xml:space="preserve">partly </w:t>
      </w:r>
      <w:r w:rsidRPr="00557B38">
        <w:t>regulated</w:t>
      </w:r>
      <w:r w:rsidR="00294408">
        <w:t xml:space="preserve"> </w:t>
      </w:r>
      <w:r w:rsidRPr="00557B38">
        <w:t xml:space="preserve">by </w:t>
      </w:r>
      <w:r w:rsidR="00AB4D44">
        <w:t>Erythropoietin</w:t>
      </w:r>
      <w:r w:rsidR="00294408">
        <w:t xml:space="preserve">-producing </w:t>
      </w:r>
      <w:r w:rsidR="00AB4D44">
        <w:t>hepatocellular</w:t>
      </w:r>
      <w:r w:rsidR="00294408">
        <w:t xml:space="preserve"> (Eph) </w:t>
      </w:r>
      <w:r w:rsidRPr="00557B38">
        <w:t>receptor tyrosine kinases and their associated ligands, called ephrins</w:t>
      </w:r>
      <w:r w:rsidR="002E6143">
        <w:t xml:space="preserve"> [1]</w:t>
      </w:r>
      <w:r w:rsidRPr="00557B38">
        <w:t xml:space="preserve">. One member of this </w:t>
      </w:r>
      <w:r w:rsidR="001F5D5D">
        <w:t xml:space="preserve">receptor </w:t>
      </w:r>
      <w:r w:rsidRPr="00557B38">
        <w:t>family is EphA2</w:t>
      </w:r>
      <w:r w:rsidR="00914CC4">
        <w:t xml:space="preserve">, </w:t>
      </w:r>
      <w:r w:rsidR="009B7677">
        <w:t xml:space="preserve">with its </w:t>
      </w:r>
      <w:r w:rsidR="00914CC4">
        <w:t xml:space="preserve">associated </w:t>
      </w:r>
      <w:r w:rsidR="009B7677">
        <w:t xml:space="preserve">ligand </w:t>
      </w:r>
      <w:r w:rsidR="001F5D5D">
        <w:t>ephrin-A1</w:t>
      </w:r>
      <w:r w:rsidRPr="00557B38">
        <w:t xml:space="preserve">. </w:t>
      </w:r>
      <w:r w:rsidR="00AB4D44" w:rsidRPr="00557B38">
        <w:t>EphA2 expression differs between normal and malignant cells, with many human carcinomas presenting with an overexpression of EphA2</w:t>
      </w:r>
      <w:r w:rsidR="00AB4D44">
        <w:t xml:space="preserve">. </w:t>
      </w:r>
      <w:r w:rsidR="00AB4D44" w:rsidRPr="00557B38">
        <w:t>In epithelial cells with regular levels of EphA2 expression, ligand-dependent activa</w:t>
      </w:r>
      <w:r w:rsidR="00AB4D44">
        <w:t xml:space="preserve">tion of EphA2 leads to a reduction in the </w:t>
      </w:r>
      <w:r w:rsidR="00AB4D44" w:rsidRPr="00557B38">
        <w:t xml:space="preserve">amount of extracellular matrix attachments, </w:t>
      </w:r>
      <w:r w:rsidR="00AB4D44">
        <w:t>a decrease in cell migration, and inhibition of</w:t>
      </w:r>
      <w:r w:rsidR="00AB4D44" w:rsidRPr="00557B38">
        <w:t xml:space="preserve"> malignant growth through the inactivation of the Ras/ERK, RSK,</w:t>
      </w:r>
      <w:r w:rsidR="00AB4D44">
        <w:t xml:space="preserve"> and </w:t>
      </w:r>
      <w:r w:rsidR="00AB4D44" w:rsidRPr="00557B38">
        <w:t>Akt pathways</w:t>
      </w:r>
      <w:r w:rsidR="009A6EE8">
        <w:t xml:space="preserve"> [2,3,4]</w:t>
      </w:r>
      <w:r w:rsidR="00AB4D44">
        <w:t>. On the other hand, cancer cells with</w:t>
      </w:r>
      <w:r w:rsidRPr="00557B38">
        <w:t xml:space="preserve"> overexpress</w:t>
      </w:r>
      <w:r w:rsidR="00AB4D44">
        <w:t>ion of</w:t>
      </w:r>
      <w:r w:rsidRPr="00557B38">
        <w:t xml:space="preserve"> EphA2 </w:t>
      </w:r>
      <w:r w:rsidR="00AB4D44">
        <w:t xml:space="preserve">are often accompanied by the loss of ephrin-A1, and thus </w:t>
      </w:r>
      <w:r w:rsidRPr="00557B38">
        <w:t>do not participate in</w:t>
      </w:r>
      <w:r w:rsidR="00AB4D44">
        <w:t xml:space="preserve"> this stable ligand-binding. I</w:t>
      </w:r>
      <w:r w:rsidRPr="00557B38">
        <w:t>nstead</w:t>
      </w:r>
      <w:r w:rsidR="00AB4D44">
        <w:t>, these cancer cells</w:t>
      </w:r>
      <w:r w:rsidRPr="00557B38">
        <w:t xml:space="preserve"> can acquire ligand-independent pro-oncogenic functions </w:t>
      </w:r>
      <w:r w:rsidR="00F145F5">
        <w:t>by</w:t>
      </w:r>
      <w:r w:rsidRPr="00557B38">
        <w:t xml:space="preserve"> activati</w:t>
      </w:r>
      <w:r w:rsidR="00F145F5">
        <w:t>ng</w:t>
      </w:r>
      <w:r w:rsidRPr="00557B38">
        <w:t xml:space="preserve"> </w:t>
      </w:r>
      <w:r w:rsidR="001F5D5D">
        <w:t>EphA2</w:t>
      </w:r>
      <w:r w:rsidR="00F145F5">
        <w:t xml:space="preserve"> through</w:t>
      </w:r>
      <w:r w:rsidR="00F145F5" w:rsidRPr="00557B38">
        <w:t xml:space="preserve"> the phosphorylation of S897 </w:t>
      </w:r>
      <w:r w:rsidR="001F5D5D">
        <w:t>by Akt or RSK</w:t>
      </w:r>
      <w:r w:rsidR="0068539D">
        <w:t xml:space="preserve"> [2,4]</w:t>
      </w:r>
      <w:r w:rsidRPr="00557B38">
        <w:t xml:space="preserve">. </w:t>
      </w:r>
    </w:p>
    <w:p w:rsidR="005C6C16" w:rsidRPr="00557B38" w:rsidRDefault="009C6E00" w:rsidP="005C6C16">
      <w:pPr>
        <w:spacing w:line="360" w:lineRule="auto"/>
        <w:ind w:firstLine="720"/>
      </w:pPr>
      <w:r>
        <w:lastRenderedPageBreak/>
        <w:t>W</w:t>
      </w:r>
      <w:r w:rsidR="000E7A25" w:rsidRPr="00557B38">
        <w:t>e designed a peptide, Roxy7, to specifically target the transmembrane domain of EphA2 in cancer cells in a pH-dependent manner in order to induce clustering and</w:t>
      </w:r>
      <w:r>
        <w:t xml:space="preserve"> </w:t>
      </w:r>
      <w:r w:rsidRPr="001119FF">
        <w:t xml:space="preserve">activate </w:t>
      </w:r>
      <w:r w:rsidR="001119FF" w:rsidRPr="001119FF">
        <w:t>ligand-dependent type signaling in EphA2</w:t>
      </w:r>
      <w:r w:rsidR="001119FF">
        <w:rPr>
          <w:color w:val="FF0000"/>
        </w:rPr>
        <w:t>.</w:t>
      </w:r>
      <w:r w:rsidR="000E7A25" w:rsidRPr="009C6E00">
        <w:rPr>
          <w:color w:val="FF0000"/>
        </w:rPr>
        <w:t xml:space="preserve"> </w:t>
      </w:r>
      <w:r w:rsidR="004760B2">
        <w:t>However, before we could move forward with the EphA2 effects,</w:t>
      </w:r>
      <w:r w:rsidR="00827A2A">
        <w:t xml:space="preserve"> we needed to know if Roxy7 could target and bind to cancer cells. </w:t>
      </w:r>
      <w:r>
        <w:t xml:space="preserve">In this study, I sought to </w:t>
      </w:r>
      <w:r w:rsidR="00EC631B">
        <w:t>determine the insertion</w:t>
      </w:r>
      <w:r w:rsidR="00E4476F">
        <w:t xml:space="preserve"> a</w:t>
      </w:r>
      <w:r w:rsidR="00EC631B">
        <w:t xml:space="preserve">nd </w:t>
      </w:r>
      <w:r w:rsidR="00E4476F">
        <w:t xml:space="preserve">the </w:t>
      </w:r>
      <w:r w:rsidR="00EC631B">
        <w:t xml:space="preserve">binding affinity of </w:t>
      </w:r>
      <w:r w:rsidR="00E4476F">
        <w:t>Roxy7. Circular dichroism was used to monitor insertion of Roxy7 into a lipid bilayer, and</w:t>
      </w:r>
      <w:r w:rsidR="00E4476F" w:rsidRPr="00E4476F">
        <w:t xml:space="preserve"> </w:t>
      </w:r>
      <w:r w:rsidR="00827A2A">
        <w:t>fluorimetry</w:t>
      </w:r>
      <w:r w:rsidR="00E4476F">
        <w:t xml:space="preserve"> was employed to</w:t>
      </w:r>
      <w:r w:rsidR="00E4476F" w:rsidRPr="00557B38">
        <w:t xml:space="preserve"> determine the </w:t>
      </w:r>
      <w:r w:rsidR="00E4476F">
        <w:t xml:space="preserve">binding </w:t>
      </w:r>
      <w:r w:rsidR="00E4476F" w:rsidRPr="00557B38">
        <w:t>affin</w:t>
      </w:r>
      <w:r w:rsidR="00827A2A">
        <w:t xml:space="preserve">ity of Roxy7 </w:t>
      </w:r>
      <w:r w:rsidR="00E4476F">
        <w:t xml:space="preserve">through the use of an NBD binding assay. Studies </w:t>
      </w:r>
      <w:r w:rsidR="00E4476F" w:rsidRPr="00557B38">
        <w:t>suggest</w:t>
      </w:r>
      <w:r w:rsidR="000E7A25" w:rsidRPr="00557B38">
        <w:t xml:space="preserve"> that at pH 8 Roxy7 binds to the lipid membra</w:t>
      </w:r>
      <w:r w:rsidR="00E4476F">
        <w:t>ne and, upon acidification,</w:t>
      </w:r>
      <w:r w:rsidR="000E7A25" w:rsidRPr="00557B38">
        <w:t xml:space="preserve"> insert</w:t>
      </w:r>
      <w:r w:rsidR="00E4476F">
        <w:t>s</w:t>
      </w:r>
      <w:r w:rsidR="000E7A25" w:rsidRPr="00557B38">
        <w:t xml:space="preserve"> as a transmembrane </w:t>
      </w:r>
      <w:r w:rsidR="00E4476F">
        <w:t>ɑ-helix.</w:t>
      </w:r>
      <w:r w:rsidR="00827A2A">
        <w:t xml:space="preserve"> Additionally, the </w:t>
      </w:r>
      <w:r w:rsidR="000E7A25" w:rsidRPr="00557B38">
        <w:t>results indicate that Roxy7 partitions to lipid bilayers with greater affinity at acidic pH. Since the extracellular pH of tumors is known to be more acidic than healthy cells, our results suggest that Roxy7 is capable of binding</w:t>
      </w:r>
      <w:r w:rsidR="00827A2A">
        <w:t xml:space="preserve"> to</w:t>
      </w:r>
      <w:r w:rsidR="00873424">
        <w:t xml:space="preserve"> the membrane of cancer cells.</w:t>
      </w:r>
    </w:p>
    <w:p w:rsidR="00804E01" w:rsidRPr="005C6C16" w:rsidRDefault="00804E01" w:rsidP="00933C05">
      <w:pPr>
        <w:spacing w:line="360" w:lineRule="auto"/>
        <w:rPr>
          <w:color w:val="FF0000"/>
        </w:rPr>
      </w:pPr>
    </w:p>
    <w:p w:rsidR="005D7CED" w:rsidRDefault="00BB2042" w:rsidP="005D7CED">
      <w:pPr>
        <w:spacing w:line="360" w:lineRule="auto"/>
        <w:rPr>
          <w:b/>
        </w:rPr>
      </w:pPr>
      <w:r w:rsidRPr="006D57B8">
        <w:rPr>
          <w:b/>
          <w:noProof/>
        </w:rPr>
        <w:drawing>
          <wp:anchor distT="0" distB="0" distL="114300" distR="114300" simplePos="0" relativeHeight="251655680" behindDoc="1" locked="0" layoutInCell="1" allowOverlap="1" wp14:anchorId="1419433E" wp14:editId="2835681C">
            <wp:simplePos x="0" y="0"/>
            <wp:positionH relativeFrom="column">
              <wp:posOffset>0</wp:posOffset>
            </wp:positionH>
            <wp:positionV relativeFrom="paragraph">
              <wp:posOffset>186690</wp:posOffset>
            </wp:positionV>
            <wp:extent cx="1219200" cy="1844675"/>
            <wp:effectExtent l="0" t="0" r="0" b="3175"/>
            <wp:wrapTight wrapText="bothSides">
              <wp:wrapPolygon edited="0">
                <wp:start x="0" y="0"/>
                <wp:lineTo x="0" y="21414"/>
                <wp:lineTo x="21263" y="21414"/>
                <wp:lineTo x="21263" y="0"/>
                <wp:lineTo x="0" y="0"/>
              </wp:wrapPolygon>
            </wp:wrapTight>
            <wp:docPr id="20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8446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1" locked="0" layoutInCell="1" allowOverlap="1" wp14:anchorId="30984731" wp14:editId="5CEFFBE4">
                <wp:simplePos x="0" y="0"/>
                <wp:positionH relativeFrom="column">
                  <wp:posOffset>2647315</wp:posOffset>
                </wp:positionH>
                <wp:positionV relativeFrom="paragraph">
                  <wp:posOffset>2360930</wp:posOffset>
                </wp:positionV>
                <wp:extent cx="2997835" cy="635"/>
                <wp:effectExtent l="0" t="0" r="0" b="0"/>
                <wp:wrapTight wrapText="bothSides">
                  <wp:wrapPolygon edited="0">
                    <wp:start x="0" y="0"/>
                    <wp:lineTo x="0" y="21600"/>
                    <wp:lineTo x="21600" y="21600"/>
                    <wp:lineTo x="21600" y="0"/>
                  </wp:wrapPolygon>
                </wp:wrapTight>
                <wp:docPr id="2" name="Text Box 2"/>
                <wp:cNvGraphicFramePr/>
                <a:graphic xmlns:a="http://schemas.openxmlformats.org/drawingml/2006/main">
                  <a:graphicData uri="http://schemas.microsoft.com/office/word/2010/wordprocessingShape">
                    <wps:wsp>
                      <wps:cNvSpPr txBox="1"/>
                      <wps:spPr>
                        <a:xfrm>
                          <a:off x="0" y="0"/>
                          <a:ext cx="2997835" cy="635"/>
                        </a:xfrm>
                        <a:prstGeom prst="rect">
                          <a:avLst/>
                        </a:prstGeom>
                        <a:solidFill>
                          <a:prstClr val="white"/>
                        </a:solidFill>
                        <a:ln>
                          <a:noFill/>
                        </a:ln>
                        <a:effectLst/>
                      </wps:spPr>
                      <wps:txbx>
                        <w:txbxContent>
                          <w:p w:rsidR="00BB2042" w:rsidRPr="005609E2" w:rsidRDefault="00BB2042" w:rsidP="00BB2042">
                            <w:pPr>
                              <w:pStyle w:val="Caption"/>
                              <w:rPr>
                                <w:b/>
                                <w:noProof/>
                                <w:sz w:val="24"/>
                              </w:rPr>
                            </w:pPr>
                            <w:r>
                              <w:t>Figure 2. The re-activation of ligand-dependent signaling inhibits Akt</w:t>
                            </w:r>
                            <w:r w:rsidR="00310A9A">
                              <w:t xml:space="preserve"> and ligand-independent signaling.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0984731" id="_x0000_t202" coordsize="21600,21600" o:spt="202" path="m,l,21600r21600,l21600,xe">
                <v:stroke joinstyle="miter"/>
                <v:path gradientshapeok="t" o:connecttype="rect"/>
              </v:shapetype>
              <v:shape id="Text Box 2" o:spid="_x0000_s1026" type="#_x0000_t202" style="position:absolute;margin-left:208.45pt;margin-top:185.9pt;width:236.05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OaFMQIAAGsEAAAOAAAAZHJzL2Uyb0RvYy54bWysVMFu2zAMvQ/YPwi6L04yrGuNOEWWIsOA&#10;oi2QDD0rshwLkEWNUmJnXz9KttOu22nYRaFI6tF8j8zitmsMOyn0GmzBZ5MpZ8pKKLU9FPz7bvPh&#10;mjMfhC2FAasKflae3y7fv1u0LldzqMGUChmBWJ+3ruB1CC7PMi9r1Qg/AacsBSvARgS64iErUbSE&#10;3phsPp1eZS1g6RCk8p68d32QLxN+VSkZHqvKq8BMwenbQjoxnft4ZsuFyA8oXK3l8BniH76iEdpS&#10;0QvUnQiCHVH/AdVoieChChMJTQZVpaVKPVA3s+mbbra1cCr1QuR4d6HJ/z9Y+XB6QqbLgs85s6Ih&#10;iXaqC+wLdGwe2Wmdzylp6ygtdOQmlUe/J2dsuquwib/UDqM48Xy+cBvBJDnnNzefrz9+4kxS7IoM&#10;ws5enjr04auChkWj4EjCJT7F6d6HPnVMiZU8GF1utDHxEgNrg+wkSOS21kEN4L9lGRtzLcRXPWDv&#10;UWlKhiqx276raIVu3w0U7KE8EwMI/QR5Jzeayt4LH54E0shQ07QG4ZGOykBbcBgszmrAn3/zx3xS&#10;kqKctTSCBfc/jgIVZ+abJY3jvI4GjsZ+NOyxWQM1PKMFczKZ9ACDGc0KoXmm7VjFKhQSVlKtgofR&#10;XId+EWi7pFqtUhJNpRPh3m6djNAjvbvuWaAbxAmk6QOMwynyNxr1uUkltzoGIjwJGAntWSTh44Um&#10;Oo3AsH1xZV7fU9bLf8TyFwAAAP//AwBQSwMEFAAGAAgAAAAhAIfqmGfhAAAACwEAAA8AAABkcnMv&#10;ZG93bnJldi54bWxMj7FOwzAQhnck3sE6JBZEndAoJCFOVVUwwFIRurC58TUOxHYUO2369lxZYLy7&#10;T/99f7maTc+OOPrOWQHxIgKGtnGqs62A3cfLfQbMB2mV7J1FAWf0sKqur0pZKHey73isQ8soxPpC&#10;CtAhDAXnvtFopF+4AS3dDm40MtA4tlyN8kThpucPUZRyIztLH7QccKOx+a4nI2CbfG713XR4flsn&#10;y/F1N23Sr7YW4vZmXj8BCziHPxgu+qQOFTnt3WSVZ72AJE5zQgUsH2PqQESW5dRu/7vJgVcl/9+h&#10;+gEAAP//AwBQSwECLQAUAAYACAAAACEAtoM4kv4AAADhAQAAEwAAAAAAAAAAAAAAAAAAAAAAW0Nv&#10;bnRlbnRfVHlwZXNdLnhtbFBLAQItABQABgAIAAAAIQA4/SH/1gAAAJQBAAALAAAAAAAAAAAAAAAA&#10;AC8BAABfcmVscy8ucmVsc1BLAQItABQABgAIAAAAIQBAAOaFMQIAAGsEAAAOAAAAAAAAAAAAAAAA&#10;AC4CAABkcnMvZTJvRG9jLnhtbFBLAQItABQABgAIAAAAIQCH6phn4QAAAAsBAAAPAAAAAAAAAAAA&#10;AAAAAIsEAABkcnMvZG93bnJldi54bWxQSwUGAAAAAAQABADzAAAAmQUAAAAA&#10;" stroked="f">
                <v:textbox style="mso-fit-shape-to-text:t" inset="0,0,0,0">
                  <w:txbxContent>
                    <w:p w:rsidR="00BB2042" w:rsidRPr="005609E2" w:rsidRDefault="00BB2042" w:rsidP="00BB2042">
                      <w:pPr>
                        <w:pStyle w:val="Caption"/>
                        <w:rPr>
                          <w:b/>
                          <w:noProof/>
                          <w:sz w:val="24"/>
                        </w:rPr>
                      </w:pPr>
                      <w:r>
                        <w:t>Figure 2. The re-activation of ligand-dependent signaling inhibits Akt</w:t>
                      </w:r>
                      <w:r w:rsidR="00310A9A">
                        <w:t xml:space="preserve"> and ligand-independent signaling.</w:t>
                      </w:r>
                    </w:p>
                  </w:txbxContent>
                </v:textbox>
                <w10:wrap type="tight"/>
              </v:shape>
            </w:pict>
          </mc:Fallback>
        </mc:AlternateContent>
      </w:r>
      <w:r w:rsidR="00512EB3" w:rsidRPr="00512EB3">
        <w:rPr>
          <w:b/>
          <w:noProof/>
        </w:rPr>
        <w:drawing>
          <wp:anchor distT="0" distB="0" distL="114300" distR="114300" simplePos="0" relativeHeight="251658752" behindDoc="1" locked="0" layoutInCell="1" allowOverlap="1" wp14:anchorId="0F2012DC" wp14:editId="5C804581">
            <wp:simplePos x="0" y="0"/>
            <wp:positionH relativeFrom="column">
              <wp:posOffset>2647315</wp:posOffset>
            </wp:positionH>
            <wp:positionV relativeFrom="paragraph">
              <wp:posOffset>161615</wp:posOffset>
            </wp:positionV>
            <wp:extent cx="2997835" cy="2142490"/>
            <wp:effectExtent l="0" t="0" r="0" b="0"/>
            <wp:wrapTight wrapText="bothSides">
              <wp:wrapPolygon edited="0">
                <wp:start x="0" y="0"/>
                <wp:lineTo x="0" y="21318"/>
                <wp:lineTo x="21412" y="21318"/>
                <wp:lineTo x="21412" y="0"/>
                <wp:lineTo x="0" y="0"/>
              </wp:wrapPolygon>
            </wp:wrapTight>
            <wp:docPr id="20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7835" cy="214249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7D0E6F" w:rsidRPr="007D0E6F">
        <w:rPr>
          <w:b/>
          <w:noProof/>
        </w:rPr>
        <mc:AlternateContent>
          <mc:Choice Requires="wps">
            <w:drawing>
              <wp:anchor distT="0" distB="0" distL="114300" distR="114300" simplePos="0" relativeHeight="251657728" behindDoc="0" locked="0" layoutInCell="1" allowOverlap="1" wp14:anchorId="3FF75FEC" wp14:editId="1027B675">
                <wp:simplePos x="0" y="0"/>
                <wp:positionH relativeFrom="column">
                  <wp:posOffset>297713</wp:posOffset>
                </wp:positionH>
                <wp:positionV relativeFrom="paragraph">
                  <wp:posOffset>162678</wp:posOffset>
                </wp:positionV>
                <wp:extent cx="1297172" cy="138223"/>
                <wp:effectExtent l="0" t="19050" r="36830" b="33655"/>
                <wp:wrapNone/>
                <wp:docPr id="17" name="Right Arrow 16"/>
                <wp:cNvGraphicFramePr/>
                <a:graphic xmlns:a="http://schemas.openxmlformats.org/drawingml/2006/main">
                  <a:graphicData uri="http://schemas.microsoft.com/office/word/2010/wordprocessingShape">
                    <wps:wsp>
                      <wps:cNvSpPr/>
                      <wps:spPr>
                        <a:xfrm>
                          <a:off x="0" y="0"/>
                          <a:ext cx="1297172" cy="138223"/>
                        </a:xfrm>
                        <a:prstGeom prst="rightArrow">
                          <a:avLst/>
                        </a:prstGeom>
                        <a:solidFill>
                          <a:srgbClr val="C00000"/>
                        </a:solidFill>
                      </wps:spPr>
                      <wps:style>
                        <a:lnRef idx="1">
                          <a:schemeClr val="accent1"/>
                        </a:lnRef>
                        <a:fillRef idx="3">
                          <a:schemeClr val="accent1"/>
                        </a:fillRef>
                        <a:effectRef idx="2">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shapetype w14:anchorId="386E24D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23.45pt;margin-top:12.8pt;width:102.15pt;height:10.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SL2AEAAAoEAAAOAAAAZHJzL2Uyb0RvYy54bWysU9tu2zAMfR+wfxD0vjh2gKYL4hRFi+5l&#10;2Iq2+wBFpmwBuoHS4uTvRymeG2wDCgz1gyyJPIc8JLW9OVrDDoBRe9fyerHkDJz0nXZ9y3+8PHy6&#10;5iwm4TphvIOWnyDym93HD9sxbKDxgzcdICMSFzdjaPmQUthUVZQDWBEXPoAjo/JoRaIj9lWHYiR2&#10;a6pmubyqRo9dQC8hRrq9Pxv5rvArBTJ9VypCYqbllFsqK5Z1n9dqtxWbHkUYtJzSEP+RhRXaUdCZ&#10;6l4kwX6i/ovKaok+epUW0tvKK6UlFA2kpl7+oeZ5EAGKFipODHOZ4vvRym+HR2S6o96tOXPCUo+e&#10;dD8kdovoR1Zf5RKNIW7I8zk84nSKtM16jwpt/pMSdixlPc1lhWNiki7r5vO6XjecSbLVq+umWWXS&#10;6hUdMKYv4C3Lm5ZjTqDELzUVh68xnQG/HXPI6I3uHrQx5YD9/s4gOwhq9N0yf1OMC7cq6zhnXnbp&#10;ZCCDjXsCRUXIuZaIZfxg5hNSgkv1RFi8M0xR7Bm4ehs4+WcolNGcwc3b4BlRInuXZrDVzuO/CMyc&#10;sjr7U80vdOft3ncn6r9wcvD0KmTCIjKbaOBKj6bHkSf68ly4Xp/w7hcAAAD//wMAUEsDBBQABgAI&#10;AAAAIQB0xEm+3QAAAAgBAAAPAAAAZHJzL2Rvd25yZXYueG1sTI/BTsMwEETvSPyDtUjcqJOoDRDi&#10;VKhSD9xIWnF2420S1V4nttuEv8ec4Lh6o5m35XYxmt3Q+cGSgHSVAENqrRqoE3A87J9egPkgSUlt&#10;CQV8o4dtdX9XykLZmWq8NaFjsYR8IQX0IYwF577t0Ui/siNSZGfrjAzxdB1XTs6x3GieJUnOjRwo&#10;LvRyxF2P7aW5GgHTJZ0/vupJN/X5gJ8ubfYT3wnx+LC8vwELuIS/MPzqR3WootPJXkl5pgWs89eY&#10;FJBtcmCRZ5s0A3aK4HkNvCr5/weqHwAAAP//AwBQSwECLQAUAAYACAAAACEAtoM4kv4AAADhAQAA&#10;EwAAAAAAAAAAAAAAAAAAAAAAW0NvbnRlbnRfVHlwZXNdLnhtbFBLAQItABQABgAIAAAAIQA4/SH/&#10;1gAAAJQBAAALAAAAAAAAAAAAAAAAAC8BAABfcmVscy8ucmVsc1BLAQItABQABgAIAAAAIQAAKoSL&#10;2AEAAAoEAAAOAAAAAAAAAAAAAAAAAC4CAABkcnMvZTJvRG9jLnhtbFBLAQItABQABgAIAAAAIQB0&#10;xEm+3QAAAAgBAAAPAAAAAAAAAAAAAAAAADIEAABkcnMvZG93bnJldi54bWxQSwUGAAAAAAQABADz&#10;AAAAPAUAAAAA&#10;" adj="20449" fillcolor="#c00000" strokecolor="#5b9bd5 [3204]" strokeweight=".5pt"/>
            </w:pict>
          </mc:Fallback>
        </mc:AlternateContent>
      </w:r>
      <w:r w:rsidR="007D0E6F">
        <w:rPr>
          <w:b/>
        </w:rPr>
        <w:t xml:space="preserve">       </w:t>
      </w:r>
      <w:r w:rsidR="00512EB3">
        <w:rPr>
          <w:b/>
        </w:rPr>
        <w:t xml:space="preserve"> </w:t>
      </w:r>
      <w:r w:rsidR="007D0E6F">
        <w:rPr>
          <w:b/>
        </w:rPr>
        <w:t xml:space="preserve">  </w:t>
      </w:r>
      <w:r w:rsidR="007D0E6F" w:rsidRPr="00512EB3">
        <w:rPr>
          <w:b/>
          <w:sz w:val="22"/>
        </w:rPr>
        <w:t>Increasing Acidity</w:t>
      </w:r>
      <w:r w:rsidR="00512EB3" w:rsidRPr="00512EB3">
        <w:rPr>
          <w:b/>
          <w:sz w:val="22"/>
        </w:rPr>
        <w:tab/>
      </w:r>
      <w:r w:rsidR="00512EB3" w:rsidRPr="00512EB3">
        <w:rPr>
          <w:b/>
          <w:sz w:val="22"/>
        </w:rPr>
        <w:tab/>
      </w:r>
      <w:r w:rsidR="00512EB3" w:rsidRPr="00512EB3">
        <w:rPr>
          <w:b/>
          <w:sz w:val="22"/>
        </w:rPr>
        <w:tab/>
        <w:t xml:space="preserve">       EphA2</w:t>
      </w:r>
    </w:p>
    <w:p w:rsidR="00A95715" w:rsidRDefault="006D57B8" w:rsidP="005D7CED">
      <w:pPr>
        <w:spacing w:line="360" w:lineRule="auto"/>
        <w:rPr>
          <w:b/>
        </w:rPr>
      </w:pPr>
      <w:r w:rsidRPr="006D57B8">
        <w:rPr>
          <w:b/>
          <w:noProof/>
        </w:rPr>
        <w:drawing>
          <wp:anchor distT="0" distB="0" distL="114300" distR="114300" simplePos="0" relativeHeight="251656704" behindDoc="1" locked="0" layoutInCell="1" allowOverlap="1" wp14:anchorId="0016CF46" wp14:editId="061A6A81">
            <wp:simplePos x="0" y="0"/>
            <wp:positionH relativeFrom="column">
              <wp:posOffset>-97790</wp:posOffset>
            </wp:positionH>
            <wp:positionV relativeFrom="paragraph">
              <wp:posOffset>99060</wp:posOffset>
            </wp:positionV>
            <wp:extent cx="882503" cy="2048293"/>
            <wp:effectExtent l="0" t="0" r="0" b="0"/>
            <wp:wrapTight wrapText="bothSides">
              <wp:wrapPolygon edited="0">
                <wp:start x="0" y="0"/>
                <wp:lineTo x="0" y="21299"/>
                <wp:lineTo x="20994" y="21299"/>
                <wp:lineTo x="20994" y="0"/>
                <wp:lineTo x="0" y="0"/>
              </wp:wrapPolygon>
            </wp:wrapTight>
            <wp:docPr id="20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Picture 6"/>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2503" cy="2048293"/>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A95715" w:rsidRDefault="00A95715" w:rsidP="005D7CED">
      <w:pPr>
        <w:spacing w:line="360" w:lineRule="auto"/>
        <w:rPr>
          <w:b/>
        </w:rPr>
      </w:pPr>
    </w:p>
    <w:p w:rsidR="006D57B8" w:rsidRDefault="006D57B8" w:rsidP="005D7CED">
      <w:pPr>
        <w:spacing w:line="360" w:lineRule="auto"/>
        <w:rPr>
          <w:b/>
        </w:rPr>
      </w:pPr>
    </w:p>
    <w:p w:rsidR="006D57B8" w:rsidRDefault="006D57B8" w:rsidP="005D7CED">
      <w:pPr>
        <w:spacing w:line="360" w:lineRule="auto"/>
        <w:rPr>
          <w:b/>
        </w:rPr>
      </w:pPr>
    </w:p>
    <w:p w:rsidR="006D57B8" w:rsidRDefault="006D57B8" w:rsidP="005D7CED">
      <w:pPr>
        <w:spacing w:line="360" w:lineRule="auto"/>
        <w:rPr>
          <w:b/>
        </w:rPr>
      </w:pPr>
    </w:p>
    <w:p w:rsidR="006D57B8" w:rsidRDefault="006D57B8" w:rsidP="005D7CED">
      <w:pPr>
        <w:spacing w:line="360" w:lineRule="auto"/>
        <w:rPr>
          <w:b/>
        </w:rPr>
      </w:pPr>
    </w:p>
    <w:p w:rsidR="006D57B8" w:rsidRDefault="006D57B8" w:rsidP="005D7CED">
      <w:pPr>
        <w:spacing w:line="360" w:lineRule="auto"/>
        <w:rPr>
          <w:b/>
        </w:rPr>
      </w:pPr>
    </w:p>
    <w:p w:rsidR="006D57B8" w:rsidRDefault="00BB2042" w:rsidP="005D7CED">
      <w:pPr>
        <w:spacing w:line="360" w:lineRule="auto"/>
        <w:rPr>
          <w:b/>
        </w:rPr>
      </w:pPr>
      <w:r>
        <w:rPr>
          <w:noProof/>
        </w:rPr>
        <mc:AlternateContent>
          <mc:Choice Requires="wps">
            <w:drawing>
              <wp:anchor distT="0" distB="0" distL="114300" distR="114300" simplePos="0" relativeHeight="251660800" behindDoc="1" locked="0" layoutInCell="1" allowOverlap="1" wp14:anchorId="43E12096" wp14:editId="2EABE38C">
                <wp:simplePos x="0" y="0"/>
                <wp:positionH relativeFrom="column">
                  <wp:posOffset>-635</wp:posOffset>
                </wp:positionH>
                <wp:positionV relativeFrom="paragraph">
                  <wp:posOffset>235585</wp:posOffset>
                </wp:positionV>
                <wp:extent cx="2333625" cy="635"/>
                <wp:effectExtent l="0" t="0" r="9525" b="0"/>
                <wp:wrapTight wrapText="bothSides">
                  <wp:wrapPolygon edited="0">
                    <wp:start x="0" y="0"/>
                    <wp:lineTo x="0" y="20052"/>
                    <wp:lineTo x="21512" y="20052"/>
                    <wp:lineTo x="21512"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2333625" cy="635"/>
                        </a:xfrm>
                        <a:prstGeom prst="rect">
                          <a:avLst/>
                        </a:prstGeom>
                        <a:solidFill>
                          <a:prstClr val="white"/>
                        </a:solidFill>
                        <a:ln>
                          <a:noFill/>
                        </a:ln>
                        <a:effectLst/>
                      </wps:spPr>
                      <wps:txbx>
                        <w:txbxContent>
                          <w:p w:rsidR="00BB2042" w:rsidRPr="00AA13DF" w:rsidRDefault="00BB2042" w:rsidP="00BB2042">
                            <w:pPr>
                              <w:pStyle w:val="Caption"/>
                              <w:rPr>
                                <w:b/>
                                <w:noProof/>
                                <w:sz w:val="24"/>
                              </w:rPr>
                            </w:pPr>
                            <w:r>
                              <w:t>Figure1. The pH responsive insertion of the peptide as the environment acidifies.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3E12096" id="Text Box 1" o:spid="_x0000_s1027" type="#_x0000_t202" style="position:absolute;margin-left:-.05pt;margin-top:18.55pt;width:183.75pt;height:.0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pBhMgIAAHIEAAAOAAAAZHJzL2Uyb0RvYy54bWysVE1v2zAMvQ/YfxB0X5wPNBiCOEWWIsOA&#10;oC2QFD0rshwLkEWNUmJnv36UbKdbt9Owi0KRz6T4HpnlfVsbdlHoNdicT0ZjzpSVUGh7yvnLYfvp&#10;M2c+CFsIA1bl/Ko8v199/LBs3EJNoQJTKGSUxPpF43JeheAWWeZlpWrhR+CUpWAJWItAVzxlBYqG&#10;stcmm47H86wBLByCVN6T96EL8lXKX5ZKhqey9Cowk3N6W0gnpvMYz2y1FIsTCldp2T9D/MMraqEt&#10;Fb2lehBBsDPqP1LVWiJ4KMNIQp1BWWqpUg/UzWT8rpt9JZxKvRA53t1o8v8vrXy8PCPTBWnHmRU1&#10;SXRQbWBfoGWTyE7j/IJAe0ew0JI7Inu/J2dsui2xjr/UDqM48Xy9cRuTSXJOZ7PZfHrHmaTYfHYX&#10;c2Rvnzr04auCmkUj50jCJT7FZedDBx0gsZIHo4utNiZeYmBjkF0EidxUOqg++W8oYyPWQvyqS9h5&#10;VJqSvkrstusqWqE9tj03fcdHKK5EBEI3SN7JrabqO+HDs0CaHOqdtiE80VEaaHIOvcVZBfjjb/6I&#10;J0EpyllDk5hz//0sUHFmvlmSOo7tYOBgHAfDnusNUN8kH70mmfQBBjOYJUL9SkuyjlUoJKykWjkP&#10;g7kJ3T7Qkkm1XicQDacTYWf3TsbUA8uH9lWg6zUKJO0jDDMqFu+k6rBJLLc+B+I96Rh57Vgk/eOF&#10;BjtNQr+EcXN+vSfU21/F6icAAAD//wMAUEsDBBQABgAIAAAAIQCibACq3gAAAAcBAAAPAAAAZHJz&#10;L2Rvd25yZXYueG1sTI7BTsMwEETvSPyDtUhcUOu0idIqjVNVFRzgUhF64ebGbhyI15HttOHv2Z7g&#10;NNqZ0ewrt5Pt2UX70DkUsJgnwDQ2TnXYCjh+vMzWwEKUqGTvUAv40QG21f1dKQvlrviuL3VsGY1g&#10;KKQAE+NQcB4ao60MczdopOzsvJWRTt9y5eWVxm3Pl0mScys7pA9GDnpvdPNdj1bAIfs8mKfx/Py2&#10;y1L/ehz3+VdbC/H4MO02wKKe4l8ZbviEDhUxndyIKrBewGxBRQHpipTiNF9lwE43Ywm8Kvl//uoX&#10;AAD//wMAUEsBAi0AFAAGAAgAAAAhALaDOJL+AAAA4QEAABMAAAAAAAAAAAAAAAAAAAAAAFtDb250&#10;ZW50X1R5cGVzXS54bWxQSwECLQAUAAYACAAAACEAOP0h/9YAAACUAQAACwAAAAAAAAAAAAAAAAAv&#10;AQAAX3JlbHMvLnJlbHNQSwECLQAUAAYACAAAACEAWTqQYTICAAByBAAADgAAAAAAAAAAAAAAAAAu&#10;AgAAZHJzL2Uyb0RvYy54bWxQSwECLQAUAAYACAAAACEAomwAqt4AAAAHAQAADwAAAAAAAAAAAAAA&#10;AACMBAAAZHJzL2Rvd25yZXYueG1sUEsFBgAAAAAEAAQA8wAAAJcFAAAAAA==&#10;" stroked="f">
                <v:textbox style="mso-fit-shape-to-text:t" inset="0,0,0,0">
                  <w:txbxContent>
                    <w:p w:rsidR="00BB2042" w:rsidRPr="00AA13DF" w:rsidRDefault="00BB2042" w:rsidP="00BB2042">
                      <w:pPr>
                        <w:pStyle w:val="Caption"/>
                        <w:rPr>
                          <w:b/>
                          <w:noProof/>
                          <w:sz w:val="24"/>
                        </w:rPr>
                      </w:pPr>
                      <w:r>
                        <w:t>Figure1. The pH responsive insertion of the peptide as the environment acidifies.</w:t>
                      </w:r>
                    </w:p>
                  </w:txbxContent>
                </v:textbox>
                <w10:wrap type="tight"/>
              </v:shape>
            </w:pict>
          </mc:Fallback>
        </mc:AlternateContent>
      </w:r>
      <w:r>
        <w:rPr>
          <w:b/>
        </w:rPr>
        <w:t xml:space="preserve"> </w:t>
      </w:r>
    </w:p>
    <w:p w:rsidR="005D7CED" w:rsidRPr="00557B38" w:rsidRDefault="005D7CED" w:rsidP="005D7CED">
      <w:pPr>
        <w:spacing w:line="360" w:lineRule="auto"/>
      </w:pPr>
      <w:r w:rsidRPr="00557B38">
        <w:rPr>
          <w:b/>
        </w:rPr>
        <w:t>Materials and Methods:</w:t>
      </w:r>
    </w:p>
    <w:p w:rsidR="005D7CED" w:rsidRPr="00557B38" w:rsidRDefault="005D7CED" w:rsidP="005D7CED">
      <w:pPr>
        <w:spacing w:line="360" w:lineRule="auto"/>
        <w:rPr>
          <w:u w:val="single"/>
        </w:rPr>
      </w:pPr>
      <w:r w:rsidRPr="00557B38">
        <w:rPr>
          <w:u w:val="single"/>
        </w:rPr>
        <w:t>Circular Dichroism</w:t>
      </w:r>
    </w:p>
    <w:p w:rsidR="005D7CED" w:rsidRPr="00557B38" w:rsidRDefault="005D7CED" w:rsidP="005D7CED">
      <w:pPr>
        <w:spacing w:line="360" w:lineRule="auto"/>
        <w:ind w:firstLine="720"/>
      </w:pPr>
      <w:r w:rsidRPr="00557B38">
        <w:t xml:space="preserve">Peptide stocks were made for both Roxy7 and Roxy8. Dried POPC lipid was resuspended in a 1 mM sodium phosphate buffer at neutral pH, and extruded using a 100 nm filter to make 100 nm large unimellar </w:t>
      </w:r>
      <w:r w:rsidR="00DE2612">
        <w:t>vesicles. A master mix was made</w:t>
      </w:r>
      <w:r w:rsidRPr="00557B38">
        <w:t xml:space="preserve"> containing the lipid, the peptide, and the 1 mM buffer at a neutral pH, and allowed to incubate for one hour. A lipid blank, a peptide blank, and a buffer blank were </w:t>
      </w:r>
      <w:r w:rsidR="00E567FC">
        <w:t>prepared</w:t>
      </w:r>
      <w:r w:rsidRPr="00557B38">
        <w:t xml:space="preserve"> in addition to the four samples (two at pH</w:t>
      </w:r>
      <w:r w:rsidR="00E567FC">
        <w:t xml:space="preserve"> </w:t>
      </w:r>
      <w:r w:rsidRPr="00557B38">
        <w:t>4, two at pH</w:t>
      </w:r>
      <w:r w:rsidR="00E567FC">
        <w:t xml:space="preserve"> </w:t>
      </w:r>
      <w:r w:rsidRPr="00557B38">
        <w:lastRenderedPageBreak/>
        <w:t xml:space="preserve">8). Samples consisted of the Master Mix, a 10 mM (Roxy8) or a 100mM buffer (Roxy7) at either pH4 or pH8, and water. Circular dichroism was performed at room temperature across the wavelength range from 260nm-190nm. Data was normalized to give ellipticity, and ellipticiy was plotted against wavelength to determine the secondary structure of the peptide. </w:t>
      </w:r>
    </w:p>
    <w:p w:rsidR="005D7CED" w:rsidRPr="00557B38" w:rsidRDefault="005D7CED" w:rsidP="005D7CED">
      <w:pPr>
        <w:spacing w:line="360" w:lineRule="auto"/>
      </w:pPr>
    </w:p>
    <w:p w:rsidR="005D7CED" w:rsidRPr="00557B38" w:rsidRDefault="005D7CED" w:rsidP="005D7CED">
      <w:pPr>
        <w:spacing w:line="360" w:lineRule="auto"/>
        <w:rPr>
          <w:u w:val="single"/>
        </w:rPr>
      </w:pPr>
      <w:r w:rsidRPr="00557B38">
        <w:rPr>
          <w:u w:val="single"/>
        </w:rPr>
        <w:t>Fluorimetry</w:t>
      </w:r>
    </w:p>
    <w:p w:rsidR="005D7CED" w:rsidRPr="00557B38" w:rsidRDefault="005D7CED" w:rsidP="005D7CED">
      <w:pPr>
        <w:spacing w:line="360" w:lineRule="auto"/>
        <w:ind w:firstLine="720"/>
      </w:pPr>
      <w:r w:rsidRPr="00557B38">
        <w:t>Roxy7 and Roxy8 were conjugated with NBD at the N terminal by using NBD-X succimidyl ester, which specifically targets primary amines, and then lyophilized in</w:t>
      </w:r>
      <w:r w:rsidR="001E7AA4">
        <w:t>to</w:t>
      </w:r>
      <w:r w:rsidRPr="00557B38">
        <w:t xml:space="preserve"> aliquots. A dried POPC sample was resuspended in a 10 mM buffer at the pH for that experiment in order to make a 1mM POPC solution. The lipid solution was extruded using a 100 nm filter to make 100 nm large unimellar vesicles. The dried Roxy7-NBD or Roxy8-NBD was resuspended in 400 microliters of MiliQ water and quantified using a spectrophotometer and the Beer-Lambert Law.</w:t>
      </w:r>
    </w:p>
    <w:p w:rsidR="005D7CED" w:rsidRDefault="005D7CED" w:rsidP="005D7CED">
      <w:pPr>
        <w:spacing w:line="360" w:lineRule="auto"/>
        <w:ind w:firstLine="720"/>
      </w:pPr>
      <w:r w:rsidRPr="00557B38">
        <w:t xml:space="preserve">The same buffer used for the </w:t>
      </w:r>
      <w:r w:rsidR="001E7AA4">
        <w:t>lipid resuspension was used to prepare</w:t>
      </w:r>
      <w:r w:rsidRPr="00557B38">
        <w:t xml:space="preserve"> the samples. The final volume for the sample was 130 microliters. The final concentration of peptide in the sample was 1 micromolar. The lipid concentration in the sample ranged from 0 to 800 micromolar. Lipid blanks were </w:t>
      </w:r>
      <w:r w:rsidR="001E7AA4">
        <w:t>prepared</w:t>
      </w:r>
      <w:r w:rsidRPr="00557B38">
        <w:t xml:space="preserve"> to match the lipid concentration in each sample. Fluorimetry was used to measure the fluorescence intensity across a 60</w:t>
      </w:r>
      <w:r w:rsidR="001E7AA4">
        <w:t xml:space="preserve"> </w:t>
      </w:r>
      <w:r w:rsidRPr="00557B38">
        <w:t>nm range (520nm-580nm). The max</w:t>
      </w:r>
      <w:r w:rsidR="008F273C">
        <w:t>imum</w:t>
      </w:r>
      <w:r w:rsidRPr="00557B38">
        <w:t xml:space="preserve"> fluorescence intensity at 540nm for each sample was plotted versus the varying lipid concentration. The subsequent binding curve was fitted</w:t>
      </w:r>
      <w:r w:rsidR="00C63470">
        <w:t xml:space="preserve"> to the following equation</w:t>
      </w:r>
      <w:r w:rsidRPr="00557B38">
        <w:t>, which gave the partition c</w:t>
      </w:r>
      <w:r w:rsidR="00C63470">
        <w:t>oefficient:</w:t>
      </w:r>
    </w:p>
    <w:p w:rsidR="000E7A25" w:rsidRDefault="00C63470" w:rsidP="00C63470">
      <w:pPr>
        <w:spacing w:line="360" w:lineRule="auto"/>
        <w:ind w:firstLine="720"/>
        <w:jc w:val="center"/>
      </w:pPr>
      <w:r>
        <w:t>F</w:t>
      </w:r>
      <w:r>
        <w:rPr>
          <w:vertAlign w:val="subscript"/>
        </w:rPr>
        <w:t>0</w:t>
      </w:r>
      <w:r>
        <w:t xml:space="preserve"> + F</w:t>
      </w:r>
      <w:r>
        <w:rPr>
          <w:vertAlign w:val="subscript"/>
        </w:rPr>
        <w:t>max</w:t>
      </w:r>
      <w:r>
        <w:t xml:space="preserve"> * [</w:t>
      </w:r>
      <m:oMath>
        <m:f>
          <m:fPr>
            <m:ctrlPr>
              <w:rPr>
                <w:rFonts w:ascii="Cambria Math" w:hAnsi="Cambria Math"/>
                <w:i/>
                <w:sz w:val="28"/>
              </w:rPr>
            </m:ctrlPr>
          </m:fPr>
          <m:num>
            <m:r>
              <w:rPr>
                <w:rFonts w:ascii="Cambria Math" w:hAnsi="Cambria Math"/>
                <w:sz w:val="28"/>
              </w:rPr>
              <m:t>Kp</m:t>
            </m:r>
            <m:r>
              <w:rPr>
                <w:rFonts w:ascii="Cambria Math" w:hAnsi="Cambria Math"/>
                <w:sz w:val="28"/>
              </w:rPr>
              <m:t>×</m:t>
            </m:r>
            <m:r>
              <w:rPr>
                <w:rFonts w:ascii="Cambria Math" w:hAnsi="Cambria Math"/>
                <w:sz w:val="28"/>
              </w:rPr>
              <m:t>x</m:t>
            </m:r>
          </m:num>
          <m:den>
            <m:r>
              <w:rPr>
                <w:rFonts w:ascii="Cambria Math" w:hAnsi="Cambria Math"/>
                <w:sz w:val="28"/>
              </w:rPr>
              <m:t>55.3+Kp</m:t>
            </m:r>
            <m:r>
              <w:rPr>
                <w:rFonts w:ascii="Cambria Math" w:hAnsi="Cambria Math"/>
                <w:sz w:val="28"/>
              </w:rPr>
              <m:t>×</m:t>
            </m:r>
            <m:r>
              <w:rPr>
                <w:rFonts w:ascii="Cambria Math" w:hAnsi="Cambria Math"/>
                <w:sz w:val="28"/>
              </w:rPr>
              <m:t>x</m:t>
            </m:r>
          </m:den>
        </m:f>
      </m:oMath>
      <w:r>
        <w:rPr>
          <w:rFonts w:eastAsiaTheme="minorEastAsia"/>
        </w:rPr>
        <w:t>]</w:t>
      </w:r>
    </w:p>
    <w:p w:rsidR="00C63470" w:rsidRPr="00557B38" w:rsidRDefault="00C63470" w:rsidP="00C63470">
      <w:pPr>
        <w:spacing w:line="360" w:lineRule="auto"/>
        <w:ind w:firstLine="720"/>
        <w:jc w:val="center"/>
      </w:pPr>
    </w:p>
    <w:p w:rsidR="000C5EC6" w:rsidRPr="00557B38" w:rsidRDefault="000C5EC6" w:rsidP="00933C05">
      <w:pPr>
        <w:spacing w:line="360" w:lineRule="auto"/>
      </w:pPr>
      <w:r w:rsidRPr="00557B38">
        <w:rPr>
          <w:b/>
        </w:rPr>
        <w:t>Results</w:t>
      </w:r>
      <w:r w:rsidRPr="00557B38">
        <w:t>:</w:t>
      </w:r>
      <w:r w:rsidR="00C23D04" w:rsidRPr="00557B38">
        <w:t xml:space="preserve"> </w:t>
      </w:r>
    </w:p>
    <w:p w:rsidR="00D31307" w:rsidRDefault="00D31307" w:rsidP="00B33BF0">
      <w:pPr>
        <w:spacing w:line="360" w:lineRule="auto"/>
        <w:ind w:firstLine="720"/>
        <w:jc w:val="both"/>
      </w:pPr>
      <w:r w:rsidRPr="00557B38">
        <w:t xml:space="preserve">Circular dichroism of Roxy7 suggests the formation of an ɑ-helix at acidic pH (Figure </w:t>
      </w:r>
      <w:r w:rsidR="00CE51BB">
        <w:t>3</w:t>
      </w:r>
      <w:r w:rsidRPr="00557B38">
        <w:t xml:space="preserve">). This secondary structure is denoted by the negative minima at 208nm and 222nm. The similar structure of the peptide at both pH 8 and in buffer suggests that at a basic pH the peptide is in solution. </w:t>
      </w:r>
    </w:p>
    <w:p w:rsidR="005D7CED" w:rsidRDefault="005D7CED" w:rsidP="005D7CED">
      <w:pPr>
        <w:spacing w:line="360" w:lineRule="auto"/>
        <w:ind w:firstLine="720"/>
        <w:jc w:val="center"/>
      </w:pPr>
      <w:r w:rsidRPr="00557B38">
        <w:rPr>
          <w:noProof/>
        </w:rPr>
        <w:lastRenderedPageBreak/>
        <w:drawing>
          <wp:inline distT="0" distB="0" distL="0" distR="0" wp14:anchorId="0D4ECC18" wp14:editId="22F87456">
            <wp:extent cx="4701584" cy="3004141"/>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D7CED" w:rsidRPr="005D7CED" w:rsidRDefault="005D7CED" w:rsidP="005D7CED">
      <w:pPr>
        <w:pStyle w:val="Caption"/>
        <w:jc w:val="center"/>
        <w:rPr>
          <w:color w:val="auto"/>
        </w:rPr>
      </w:pPr>
      <w:r w:rsidRPr="00557B38">
        <w:rPr>
          <w:color w:val="auto"/>
        </w:rPr>
        <w:t xml:space="preserve">Figure </w:t>
      </w:r>
      <w:r w:rsidRPr="00557B38">
        <w:rPr>
          <w:color w:val="auto"/>
        </w:rPr>
        <w:fldChar w:fldCharType="begin"/>
      </w:r>
      <w:r w:rsidRPr="00557B38">
        <w:rPr>
          <w:color w:val="auto"/>
        </w:rPr>
        <w:instrText xml:space="preserve"> SEQ Figure \* ARABIC </w:instrText>
      </w:r>
      <w:r w:rsidRPr="00557B38">
        <w:rPr>
          <w:color w:val="auto"/>
        </w:rPr>
        <w:fldChar w:fldCharType="separate"/>
      </w:r>
      <w:r w:rsidR="00BB2042">
        <w:rPr>
          <w:noProof/>
          <w:color w:val="auto"/>
        </w:rPr>
        <w:t>3</w:t>
      </w:r>
      <w:r w:rsidRPr="00557B38">
        <w:rPr>
          <w:color w:val="auto"/>
        </w:rPr>
        <w:fldChar w:fldCharType="end"/>
      </w:r>
      <w:r w:rsidRPr="00557B38">
        <w:rPr>
          <w:color w:val="auto"/>
        </w:rPr>
        <w:t>. Circular dichroism of Roxy7 in POPC vesicles shows ɑ-helix formation in acidic conditions, denoted by the minima at 208 nm and 222 nm.</w:t>
      </w:r>
    </w:p>
    <w:p w:rsidR="005D7CED" w:rsidRPr="00557B38" w:rsidRDefault="005D7CED" w:rsidP="00B33BF0">
      <w:pPr>
        <w:spacing w:line="360" w:lineRule="auto"/>
        <w:ind w:firstLine="720"/>
        <w:jc w:val="both"/>
      </w:pPr>
    </w:p>
    <w:p w:rsidR="003E1DDB" w:rsidRDefault="00EB77CD" w:rsidP="00641B50">
      <w:pPr>
        <w:spacing w:line="360" w:lineRule="auto"/>
        <w:ind w:firstLine="720"/>
        <w:jc w:val="both"/>
      </w:pPr>
      <w:r w:rsidRPr="00557B38">
        <w:rPr>
          <w:noProof/>
        </w:rPr>
        <w:drawing>
          <wp:anchor distT="0" distB="0" distL="114300" distR="114300" simplePos="0" relativeHeight="251648000" behindDoc="1" locked="0" layoutInCell="1" allowOverlap="1" wp14:anchorId="2387A01A" wp14:editId="2515D924">
            <wp:simplePos x="0" y="0"/>
            <wp:positionH relativeFrom="column">
              <wp:posOffset>137131</wp:posOffset>
            </wp:positionH>
            <wp:positionV relativeFrom="paragraph">
              <wp:posOffset>1024993</wp:posOffset>
            </wp:positionV>
            <wp:extent cx="5626100" cy="3061970"/>
            <wp:effectExtent l="0" t="0" r="0" b="0"/>
            <wp:wrapTight wrapText="bothSides">
              <wp:wrapPolygon edited="0">
                <wp:start x="1390" y="2688"/>
                <wp:lineTo x="219" y="4972"/>
                <wp:lineTo x="219" y="12632"/>
                <wp:lineTo x="2414" y="13707"/>
                <wp:lineTo x="4461" y="13707"/>
                <wp:lineTo x="1609" y="14379"/>
                <wp:lineTo x="1609" y="14782"/>
                <wp:lineTo x="4461" y="15857"/>
                <wp:lineTo x="1682" y="15992"/>
                <wp:lineTo x="1609" y="16529"/>
                <wp:lineTo x="2852" y="18007"/>
                <wp:lineTo x="2852" y="18411"/>
                <wp:lineTo x="9215" y="20158"/>
                <wp:lineTo x="9435" y="20964"/>
                <wp:lineTo x="10459" y="21233"/>
                <wp:lineTo x="15432" y="21233"/>
                <wp:lineTo x="15578" y="20426"/>
                <wp:lineTo x="13677" y="20158"/>
                <wp:lineTo x="20552" y="18679"/>
                <wp:lineTo x="20479" y="18007"/>
                <wp:lineTo x="19455" y="15589"/>
                <wp:lineTo x="19308" y="14648"/>
                <wp:lineTo x="18943" y="13707"/>
                <wp:lineTo x="19235" y="13170"/>
                <wp:lineTo x="18211" y="12901"/>
                <wp:lineTo x="10605" y="11557"/>
                <wp:lineTo x="10751" y="9273"/>
                <wp:lineTo x="8265" y="8332"/>
                <wp:lineTo x="5705" y="7122"/>
                <wp:lineTo x="5412" y="4703"/>
                <wp:lineTo x="3364" y="2688"/>
                <wp:lineTo x="1390" y="2688"/>
              </wp:wrapPolygon>
            </wp:wrapTight>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972FA1" w:rsidRPr="00557B38">
        <w:t xml:space="preserve">NBD binding assays </w:t>
      </w:r>
      <w:r w:rsidR="007B61A0" w:rsidRPr="00557B38">
        <w:t>across multiple pH values for both Roxy7 and its n</w:t>
      </w:r>
      <w:r w:rsidR="00B33BF0" w:rsidRPr="00557B38">
        <w:t xml:space="preserve">egative control, Roxy8, suggest greater binding for Roxy7 at acidic pH. Binding was assessed by comparing </w:t>
      </w:r>
      <w:r w:rsidR="004760B2">
        <w:t>partition coefficient (</w:t>
      </w:r>
      <w:r w:rsidR="00B33BF0" w:rsidRPr="00557B38">
        <w:t>Kp</w:t>
      </w:r>
      <w:r w:rsidR="004760B2">
        <w:t>)</w:t>
      </w:r>
      <w:r w:rsidR="00CE51BB">
        <w:t xml:space="preserve"> values (Figure 4</w:t>
      </w:r>
      <w:r w:rsidR="00B33BF0" w:rsidRPr="00557B38">
        <w:t>). In addition, the max</w:t>
      </w:r>
      <w:r w:rsidR="008F273C">
        <w:t>imum</w:t>
      </w:r>
      <w:r w:rsidR="00B33BF0" w:rsidRPr="00557B38">
        <w:t xml:space="preserve"> fluorescent intensity of the pH 5 and pH 7 experiments were averaged, normalized, and then plotted against lipid concentration to further view the tighter binding</w:t>
      </w:r>
      <w:r w:rsidR="00CE51BB">
        <w:t xml:space="preserve"> of Roxy7 at lower pHs (Figure 5</w:t>
      </w:r>
      <w:r w:rsidR="00B33BF0" w:rsidRPr="00557B38">
        <w:t>).</w:t>
      </w:r>
      <w:r w:rsidR="005D7CED" w:rsidRPr="005D7CED">
        <w:rPr>
          <w:noProof/>
        </w:rPr>
        <w:t xml:space="preserve"> </w:t>
      </w:r>
    </w:p>
    <w:p w:rsidR="005D7CED" w:rsidRPr="00557B38" w:rsidRDefault="005D7CED" w:rsidP="00641B50">
      <w:pPr>
        <w:spacing w:line="360" w:lineRule="auto"/>
        <w:ind w:firstLine="720"/>
        <w:jc w:val="both"/>
      </w:pPr>
      <w:r w:rsidRPr="00557B38">
        <w:rPr>
          <w:noProof/>
        </w:rPr>
        <w:drawing>
          <wp:anchor distT="0" distB="0" distL="114300" distR="114300" simplePos="0" relativeHeight="251651072" behindDoc="1" locked="0" layoutInCell="1" allowOverlap="1" wp14:anchorId="31B938E5" wp14:editId="29C8777E">
            <wp:simplePos x="0" y="0"/>
            <wp:positionH relativeFrom="column">
              <wp:posOffset>3113228</wp:posOffset>
            </wp:positionH>
            <wp:positionV relativeFrom="paragraph">
              <wp:posOffset>199567</wp:posOffset>
            </wp:positionV>
            <wp:extent cx="2291080" cy="1371600"/>
            <wp:effectExtent l="0" t="0" r="0" b="0"/>
            <wp:wrapTight wrapText="bothSides">
              <wp:wrapPolygon edited="0">
                <wp:start x="0" y="0"/>
                <wp:lineTo x="0" y="4800"/>
                <wp:lineTo x="2155" y="5700"/>
                <wp:lineTo x="2155" y="7500"/>
                <wp:lineTo x="10776" y="9600"/>
                <wp:lineTo x="2694" y="9900"/>
                <wp:lineTo x="1976" y="10200"/>
                <wp:lineTo x="1976" y="19200"/>
                <wp:lineTo x="0" y="20100"/>
                <wp:lineTo x="0" y="21300"/>
                <wp:lineTo x="21373" y="21300"/>
                <wp:lineTo x="21373" y="20400"/>
                <wp:lineTo x="21013" y="17100"/>
                <wp:lineTo x="12033" y="14700"/>
                <wp:lineTo x="3233" y="14400"/>
                <wp:lineTo x="20475" y="12900"/>
                <wp:lineTo x="20834" y="10800"/>
                <wp:lineTo x="10776" y="9600"/>
                <wp:lineTo x="21013" y="7500"/>
                <wp:lineTo x="21373" y="4800"/>
                <wp:lineTo x="2137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1080" cy="1371600"/>
                    </a:xfrm>
                    <a:prstGeom prst="rect">
                      <a:avLst/>
                    </a:prstGeom>
                    <a:noFill/>
                  </pic:spPr>
                </pic:pic>
              </a:graphicData>
            </a:graphic>
            <wp14:sizeRelH relativeFrom="page">
              <wp14:pctWidth>0</wp14:pctWidth>
            </wp14:sizeRelH>
            <wp14:sizeRelV relativeFrom="page">
              <wp14:pctHeight>0</wp14:pctHeight>
            </wp14:sizeRelV>
          </wp:anchor>
        </w:drawing>
      </w:r>
    </w:p>
    <w:p w:rsidR="007F6AB3" w:rsidRPr="00557B38" w:rsidRDefault="007F6AB3" w:rsidP="00641B50">
      <w:pPr>
        <w:spacing w:line="360" w:lineRule="auto"/>
        <w:ind w:firstLine="720"/>
        <w:jc w:val="both"/>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p>
    <w:p w:rsidR="005D7CED" w:rsidRDefault="005D7CED" w:rsidP="00000312">
      <w:pPr>
        <w:spacing w:line="360" w:lineRule="auto"/>
        <w:rPr>
          <w:b/>
        </w:rPr>
      </w:pPr>
      <w:r w:rsidRPr="00557B38">
        <w:rPr>
          <w:noProof/>
        </w:rPr>
        <mc:AlternateContent>
          <mc:Choice Requires="wps">
            <w:drawing>
              <wp:anchor distT="0" distB="0" distL="114300" distR="114300" simplePos="0" relativeHeight="251656192" behindDoc="1" locked="0" layoutInCell="1" allowOverlap="1" wp14:anchorId="5581FD7B" wp14:editId="76E640F4">
                <wp:simplePos x="0" y="0"/>
                <wp:positionH relativeFrom="column">
                  <wp:posOffset>287020</wp:posOffset>
                </wp:positionH>
                <wp:positionV relativeFrom="paragraph">
                  <wp:posOffset>148369</wp:posOffset>
                </wp:positionV>
                <wp:extent cx="5381625" cy="635"/>
                <wp:effectExtent l="0" t="0" r="0" b="0"/>
                <wp:wrapTight wrapText="bothSides">
                  <wp:wrapPolygon edited="0">
                    <wp:start x="0" y="0"/>
                    <wp:lineTo x="0" y="21600"/>
                    <wp:lineTo x="21600" y="21600"/>
                    <wp:lineTo x="21600" y="0"/>
                  </wp:wrapPolygon>
                </wp:wrapTight>
                <wp:docPr id="9" name="Text Box 9"/>
                <wp:cNvGraphicFramePr/>
                <a:graphic xmlns:a="http://schemas.openxmlformats.org/drawingml/2006/main">
                  <a:graphicData uri="http://schemas.microsoft.com/office/word/2010/wordprocessingShape">
                    <wps:wsp>
                      <wps:cNvSpPr txBox="1"/>
                      <wps:spPr>
                        <a:xfrm>
                          <a:off x="0" y="0"/>
                          <a:ext cx="5381625" cy="635"/>
                        </a:xfrm>
                        <a:prstGeom prst="rect">
                          <a:avLst/>
                        </a:prstGeom>
                        <a:solidFill>
                          <a:prstClr val="white"/>
                        </a:solidFill>
                        <a:ln>
                          <a:noFill/>
                        </a:ln>
                        <a:effectLst/>
                      </wps:spPr>
                      <wps:txbx>
                        <w:txbxContent>
                          <w:p w:rsidR="005D7CED" w:rsidRPr="001052E1" w:rsidRDefault="005D7CED" w:rsidP="005D7CED">
                            <w:pPr>
                              <w:pStyle w:val="Caption"/>
                              <w:jc w:val="center"/>
                              <w:rPr>
                                <w:noProof/>
                                <w:sz w:val="24"/>
                              </w:rPr>
                            </w:pPr>
                            <w:r>
                              <w:t xml:space="preserve">Figure </w:t>
                            </w:r>
                            <w:r w:rsidR="00A14BEC">
                              <w:fldChar w:fldCharType="begin"/>
                            </w:r>
                            <w:r w:rsidR="00A14BEC">
                              <w:instrText xml:space="preserve"> SEQ Figure \* ARABIC </w:instrText>
                            </w:r>
                            <w:r w:rsidR="00A14BEC">
                              <w:fldChar w:fldCharType="separate"/>
                            </w:r>
                            <w:r w:rsidR="00BB2042">
                              <w:rPr>
                                <w:noProof/>
                              </w:rPr>
                              <w:t>4</w:t>
                            </w:r>
                            <w:r w:rsidR="00A14BEC">
                              <w:rPr>
                                <w:noProof/>
                              </w:rPr>
                              <w:fldChar w:fldCharType="end"/>
                            </w:r>
                            <w:r>
                              <w:t>.</w:t>
                            </w:r>
                            <w:r w:rsidRPr="002C4A29">
                              <w:t>Comparison of partition coefficient (Kp) values for Roxy7 and Roxy8 at varying pH values. Suggests increased binding of Roxy 7 at lower pH values. Asterisk denotes n=1.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81FD7B" id="Text Box 9" o:spid="_x0000_s1028" type="#_x0000_t202" style="position:absolute;margin-left:22.6pt;margin-top:11.7pt;width:423.7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NAIAAHIEAAAOAAAAZHJzL2Uyb0RvYy54bWysVFFv2jAQfp+0/2D5fQSoQC0iVIyKaRJq&#10;K8HUZ+M4xJLj886GpPv1OzsJ3bo9TXsx57vzd7nvu2N539aGXRR6DTbnk9GYM2UlFNqecv7tsP10&#10;y5kPwhbCgFU5f1We368+flg2bqGmUIEpFDICsX7RuJxXIbhFlnlZqVr4EThlKVgC1iLQFU9ZgaIh&#10;9Npk0/F4njWAhUOQynvyPnRBvkr4ZalkeCpLrwIzOadvC+nEdB7jma2WYnFC4Sot+88Q//AVtdCW&#10;il6hHkQQ7Iz6D6haSwQPZRhJqDMoSy1V6oG6mYzfdbOvhFOpFyLHuytN/v/BysfLMzJd5PyOMytq&#10;kuig2sA+Q8vuIjuN8wtK2jtKCy25SeXB78kZm25LrOMvtcMoTjy/XrmNYJKcs5vbyXw640xSbH4z&#10;ixjZ21OHPnxRULNo5BxJuMSnuOx86FKHlFjJg9HFVhsTLzGwMcgugkRuKh1UD/5blrEx10J81QF2&#10;HpWmpK8Su+26ilZoj23iZjp0fITilYhA6AbJO7nVVH0nfHgWSJNDvdM2hCc6SgNNzqG3OKsAf/zN&#10;H/NJUIpy1tAk5tx/PwtUnJmvlqSOYzsYOBjHwbDnegPU94T2zMlk0gMMZjBLhPqFlmQdq1BIWEm1&#10;ch4GcxO6faAlk2q9Tkk0nE6End07GaEHlg/ti0DXaxRI2kcYZlQs3knV5Sax3PociPekY+S1Y5H0&#10;jxca7DQJ/RLGzfn1nrLe/ipWPwEAAP//AwBQSwMEFAAGAAgAAAAhAP1Aya7gAAAACAEAAA8AAABk&#10;cnMvZG93bnJldi54bWxMj81OwzAQhO9IvIO1SFwQdUjTH0KcqqrgQC8VaS/c3HgbB+J1ZDtteHvc&#10;ExxnZzTzbbEaTcfO6HxrScDTJAGGVFvVUiPgsH97XALzQZKSnSUU8IMeVuXtTSFzZS/0gecqNCyW&#10;kM+lAB1Cn3Pua41G+ontkaJ3ss7IEKVruHLyEstNx9MkmXMjW4oLWva40Vh/V4MRsMs+d/phOL1u&#10;19nUvR+GzfyrqYS4vxvXL8ACjuEvDFf8iA5lZDragZRnnYBslsakgHSaAYv+8jldADteDzPgZcH/&#10;P1D+AgAA//8DAFBLAQItABQABgAIAAAAIQC2gziS/gAAAOEBAAATAAAAAAAAAAAAAAAAAAAAAABb&#10;Q29udGVudF9UeXBlc10ueG1sUEsBAi0AFAAGAAgAAAAhADj9If/WAAAAlAEAAAsAAAAAAAAAAAAA&#10;AAAALwEAAF9yZWxzLy5yZWxzUEsBAi0AFAAGAAgAAAAhAC63j/40AgAAcgQAAA4AAAAAAAAAAAAA&#10;AAAALgIAAGRycy9lMm9Eb2MueG1sUEsBAi0AFAAGAAgAAAAhAP1Aya7gAAAACAEAAA8AAAAAAAAA&#10;AAAAAAAAjgQAAGRycy9kb3ducmV2LnhtbFBLBQYAAAAABAAEAPMAAACbBQAAAAA=&#10;" stroked="f">
                <v:textbox style="mso-fit-shape-to-text:t" inset="0,0,0,0">
                  <w:txbxContent>
                    <w:p w:rsidR="005D7CED" w:rsidRPr="001052E1" w:rsidRDefault="005D7CED" w:rsidP="005D7CED">
                      <w:pPr>
                        <w:pStyle w:val="Caption"/>
                        <w:jc w:val="center"/>
                        <w:rPr>
                          <w:noProof/>
                          <w:sz w:val="24"/>
                        </w:rPr>
                      </w:pPr>
                      <w:r>
                        <w:t xml:space="preserve">Figure </w:t>
                      </w:r>
                      <w:r w:rsidR="00A14BEC">
                        <w:fldChar w:fldCharType="begin"/>
                      </w:r>
                      <w:r w:rsidR="00A14BEC">
                        <w:instrText xml:space="preserve"> SEQ Figure \* ARABIC </w:instrText>
                      </w:r>
                      <w:r w:rsidR="00A14BEC">
                        <w:fldChar w:fldCharType="separate"/>
                      </w:r>
                      <w:r w:rsidR="00BB2042">
                        <w:rPr>
                          <w:noProof/>
                        </w:rPr>
                        <w:t>4</w:t>
                      </w:r>
                      <w:r w:rsidR="00A14BEC">
                        <w:rPr>
                          <w:noProof/>
                        </w:rPr>
                        <w:fldChar w:fldCharType="end"/>
                      </w:r>
                      <w:r>
                        <w:t>.</w:t>
                      </w:r>
                      <w:r w:rsidRPr="002C4A29">
                        <w:t>Comparison of partition coefficient (Kp) values for Roxy7 and Roxy8 at varying pH values. Suggests increased binding of Roxy 7 at lower pH values. Asterisk denotes n=1.</w:t>
                      </w:r>
                    </w:p>
                  </w:txbxContent>
                </v:textbox>
                <w10:wrap type="tight"/>
              </v:shape>
            </w:pict>
          </mc:Fallback>
        </mc:AlternateContent>
      </w:r>
    </w:p>
    <w:p w:rsidR="000E2B8B" w:rsidRDefault="000E2B8B" w:rsidP="000E2B8B">
      <w:pPr>
        <w:spacing w:line="360" w:lineRule="auto"/>
        <w:jc w:val="center"/>
      </w:pPr>
      <w:r w:rsidRPr="00557B38">
        <w:object w:dxaOrig="16385" w:dyaOrig="12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262.65pt" o:ole="">
            <v:imagedata r:id="rId14" o:title=""/>
          </v:shape>
          <o:OLEObject Type="Embed" ProgID="Unknown" ShapeID="_x0000_i1025" DrawAspect="Content" ObjectID="_1523459386" r:id="rId15"/>
        </w:object>
      </w:r>
    </w:p>
    <w:p w:rsidR="000E2B8B" w:rsidRPr="0082730C" w:rsidRDefault="000E2B8B" w:rsidP="0082730C">
      <w:pPr>
        <w:pStyle w:val="Caption"/>
        <w:rPr>
          <w:color w:val="auto"/>
        </w:rPr>
      </w:pPr>
      <w:r w:rsidRPr="00557B38">
        <w:rPr>
          <w:color w:val="auto"/>
        </w:rPr>
        <w:t xml:space="preserve">Figure </w:t>
      </w:r>
      <w:r w:rsidRPr="00557B38">
        <w:rPr>
          <w:color w:val="auto"/>
        </w:rPr>
        <w:fldChar w:fldCharType="begin"/>
      </w:r>
      <w:r w:rsidRPr="00557B38">
        <w:rPr>
          <w:color w:val="auto"/>
        </w:rPr>
        <w:instrText xml:space="preserve"> SEQ Figure \* ARABIC </w:instrText>
      </w:r>
      <w:r w:rsidRPr="00557B38">
        <w:rPr>
          <w:color w:val="auto"/>
        </w:rPr>
        <w:fldChar w:fldCharType="separate"/>
      </w:r>
      <w:r w:rsidR="00BB2042">
        <w:rPr>
          <w:noProof/>
          <w:color w:val="auto"/>
        </w:rPr>
        <w:t>5</w:t>
      </w:r>
      <w:r w:rsidRPr="00557B38">
        <w:rPr>
          <w:color w:val="auto"/>
        </w:rPr>
        <w:fldChar w:fldCharType="end"/>
      </w:r>
      <w:r w:rsidRPr="00557B38">
        <w:rPr>
          <w:color w:val="auto"/>
        </w:rPr>
        <w:t>.Overlay of average Roxy7-NBD binding assay at pH 5 (red) and pH 7 (blue) demonstrating tighter binding at lower pH.</w:t>
      </w:r>
    </w:p>
    <w:p w:rsidR="001335F1" w:rsidRDefault="001335F1" w:rsidP="00000312">
      <w:pPr>
        <w:spacing w:line="360" w:lineRule="auto"/>
        <w:rPr>
          <w:b/>
        </w:rPr>
      </w:pPr>
    </w:p>
    <w:p w:rsidR="003E1DDB" w:rsidRPr="00557B38" w:rsidRDefault="003E1DDB" w:rsidP="00000312">
      <w:pPr>
        <w:spacing w:line="360" w:lineRule="auto"/>
      </w:pPr>
      <w:r w:rsidRPr="00557B38">
        <w:rPr>
          <w:b/>
        </w:rPr>
        <w:t>Discussion</w:t>
      </w:r>
      <w:r w:rsidR="00E24575" w:rsidRPr="00557B38">
        <w:rPr>
          <w:b/>
        </w:rPr>
        <w:t xml:space="preserve"> and Conclusions</w:t>
      </w:r>
      <w:r w:rsidRPr="00557B38">
        <w:t>:</w:t>
      </w:r>
    </w:p>
    <w:p w:rsidR="007F6AB3" w:rsidRPr="00557B38" w:rsidRDefault="007F6AB3" w:rsidP="00000312">
      <w:pPr>
        <w:spacing w:line="360" w:lineRule="auto"/>
      </w:pPr>
      <w:r w:rsidRPr="00557B38">
        <w:tab/>
      </w:r>
      <w:r w:rsidR="00A37603" w:rsidRPr="00557B38">
        <w:t xml:space="preserve">The circular dichroism of Roxy7 suggests that </w:t>
      </w:r>
      <w:r w:rsidR="00E6231B" w:rsidRPr="00557B38">
        <w:t>the interaction of the peptide with POPC lipid vesicles is controlled by pH. This pH-respons</w:t>
      </w:r>
      <w:r w:rsidR="0024643C" w:rsidRPr="00557B38">
        <w:t>ive property suggests that the peptide</w:t>
      </w:r>
      <w:r w:rsidR="00E6231B" w:rsidRPr="00557B38">
        <w:t xml:space="preserve"> could be used to target c</w:t>
      </w:r>
      <w:r w:rsidR="0024643C" w:rsidRPr="00557B38">
        <w:t>ancer cells because it w</w:t>
      </w:r>
      <w:r w:rsidR="00E6231B" w:rsidRPr="00557B38">
        <w:t xml:space="preserve">ould remain in solution until it reached an acidic environment. </w:t>
      </w:r>
      <w:r w:rsidR="0024643C" w:rsidRPr="00557B38">
        <w:t>The CD spectra further suggests that i</w:t>
      </w:r>
      <w:r w:rsidR="00E6231B" w:rsidRPr="00557B38">
        <w:t>n</w:t>
      </w:r>
      <w:r w:rsidR="0024643C" w:rsidRPr="00557B38">
        <w:t xml:space="preserve"> an</w:t>
      </w:r>
      <w:r w:rsidR="00E6231B" w:rsidRPr="00557B38">
        <w:t xml:space="preserve"> </w:t>
      </w:r>
      <w:r w:rsidR="0024643C" w:rsidRPr="00557B38">
        <w:t>acidic environment</w:t>
      </w:r>
      <w:r w:rsidR="00E6231B" w:rsidRPr="00557B38">
        <w:t>, Roxy7</w:t>
      </w:r>
      <w:r w:rsidR="0024643C" w:rsidRPr="00557B38">
        <w:t xml:space="preserve"> would </w:t>
      </w:r>
      <w:r w:rsidR="00A37603" w:rsidRPr="00557B38">
        <w:t>insert into a membrane as a transmembrane</w:t>
      </w:r>
      <w:r w:rsidR="001F2BAB" w:rsidRPr="00557B38">
        <w:t xml:space="preserve"> ɑ-</w:t>
      </w:r>
      <w:r w:rsidR="00951E49" w:rsidRPr="00557B38">
        <w:t xml:space="preserve">helix, and thus could interact with and activate overexpressed EphA2. </w:t>
      </w:r>
    </w:p>
    <w:p w:rsidR="003E1DDB" w:rsidRPr="00557B38" w:rsidRDefault="0098429A" w:rsidP="00D81C59">
      <w:pPr>
        <w:spacing w:line="360" w:lineRule="auto"/>
      </w:pPr>
      <w:r w:rsidRPr="00557B38">
        <w:tab/>
        <w:t xml:space="preserve">In addition to the CD spectra of Roxy7, the NBD binding assays suggest that acidic environments also allow for tighter binding of the peptide to the membrane. </w:t>
      </w:r>
      <w:r w:rsidR="00FE4E64" w:rsidRPr="00557B38">
        <w:t>The binding was assessed by the Kp value, which measures the partitioning of the peptide. If the peptide partitions more toward the lipid, the Kp value is high. If the peptide partitions more toward the s</w:t>
      </w:r>
      <w:r w:rsidR="009E32F6" w:rsidRPr="00557B38">
        <w:t>olution, the Kp value is low</w:t>
      </w:r>
      <w:r w:rsidR="00ED79AF">
        <w:t>. Figure 4</w:t>
      </w:r>
      <w:r w:rsidR="009E32F6" w:rsidRPr="00557B38">
        <w:t xml:space="preserve"> suggest</w:t>
      </w:r>
      <w:r w:rsidR="001D6054" w:rsidRPr="00557B38">
        <w:t>s</w:t>
      </w:r>
      <w:r w:rsidR="009E32F6" w:rsidRPr="00557B38">
        <w:t xml:space="preserve"> that a</w:t>
      </w:r>
      <w:r w:rsidR="00FE4E64" w:rsidRPr="00557B38">
        <w:t>s the pH of the environment acidifies, the Kp value of Roxy7 increases</w:t>
      </w:r>
      <w:r w:rsidR="009E32F6" w:rsidRPr="00557B38">
        <w:t>, meaning the peptide is favoring the lipid membrane more than the solution</w:t>
      </w:r>
      <w:r w:rsidR="00D327A7" w:rsidRPr="00557B38">
        <w:t xml:space="preserve"> and thus has tighter binding</w:t>
      </w:r>
      <w:r w:rsidR="009E32F6" w:rsidRPr="00557B38">
        <w:t xml:space="preserve">. </w:t>
      </w:r>
      <w:r w:rsidR="00123325" w:rsidRPr="00557B38">
        <w:t>Additionally, the bindin</w:t>
      </w:r>
      <w:r w:rsidR="00ED79AF">
        <w:t>g curves represented in Figure 5</w:t>
      </w:r>
      <w:bookmarkStart w:id="0" w:name="_GoBack"/>
      <w:bookmarkEnd w:id="0"/>
      <w:r w:rsidR="00123325" w:rsidRPr="00557B38">
        <w:t xml:space="preserve"> further collaborate these findings. The slope of the curve of the pH 5 experiments is </w:t>
      </w:r>
      <w:r w:rsidR="009E3F78" w:rsidRPr="00557B38">
        <w:t>steeper</w:t>
      </w:r>
      <w:r w:rsidR="00123325" w:rsidRPr="00557B38">
        <w:t xml:space="preserve"> than that of the pH 7 experiments, illustrating a tighter binding at the lower pH. </w:t>
      </w:r>
      <w:r w:rsidR="005B665F" w:rsidRPr="00557B38">
        <w:t xml:space="preserve"> </w:t>
      </w:r>
    </w:p>
    <w:p w:rsidR="00B43C0F" w:rsidRPr="00557B38" w:rsidRDefault="00B43C0F" w:rsidP="00D81C59">
      <w:pPr>
        <w:spacing w:line="360" w:lineRule="auto"/>
      </w:pPr>
      <w:r w:rsidRPr="00557B38">
        <w:lastRenderedPageBreak/>
        <w:tab/>
        <w:t xml:space="preserve">Together, these experiments suggest that Roxy7 can be used to target cancer cell membranes, and that Roxy7 has a potential pH delivery property that can be useful for targeting tumor cells. </w:t>
      </w:r>
    </w:p>
    <w:p w:rsidR="003E1DDB" w:rsidRPr="00557B38" w:rsidRDefault="003E1DDB" w:rsidP="003E1DDB">
      <w:pPr>
        <w:pStyle w:val="ListParagraph"/>
        <w:spacing w:line="360" w:lineRule="auto"/>
      </w:pPr>
    </w:p>
    <w:p w:rsidR="003E1DDB" w:rsidRPr="00557B38" w:rsidRDefault="003E1DDB" w:rsidP="003E1DDB">
      <w:pPr>
        <w:spacing w:line="360" w:lineRule="auto"/>
        <w:rPr>
          <w:b/>
        </w:rPr>
      </w:pPr>
      <w:r w:rsidRPr="00557B38">
        <w:rPr>
          <w:b/>
        </w:rPr>
        <w:t>Acknowledgements:</w:t>
      </w:r>
    </w:p>
    <w:p w:rsidR="003E1DDB" w:rsidRPr="00557B38" w:rsidRDefault="002E7135" w:rsidP="003E1DDB">
      <w:pPr>
        <w:spacing w:line="360" w:lineRule="auto"/>
      </w:pPr>
      <w:r>
        <w:t>T</w:t>
      </w:r>
      <w:r w:rsidR="00046E79">
        <w:t xml:space="preserve">hank you </w:t>
      </w:r>
      <w:r>
        <w:t xml:space="preserve">to the Barrera Lab for their help and support. I want to acknowledge </w:t>
      </w:r>
      <w:r w:rsidR="00046E79">
        <w:t xml:space="preserve">Justin </w:t>
      </w:r>
      <w:r w:rsidR="003348D0">
        <w:t xml:space="preserve">Westerfield </w:t>
      </w:r>
      <w:r w:rsidR="00046E79">
        <w:t xml:space="preserve">and Vanessa </w:t>
      </w:r>
      <w:r w:rsidR="003348D0">
        <w:t xml:space="preserve">Nguyen </w:t>
      </w:r>
      <w:r w:rsidR="003E1DDB" w:rsidRPr="00557B38">
        <w:t>for conjugations</w:t>
      </w:r>
      <w:r>
        <w:t xml:space="preserve">, and </w:t>
      </w:r>
      <w:r w:rsidR="003E1DDB" w:rsidRPr="00557B38">
        <w:t>Jacob Gallaher and Forrest Davis for initial Roxy7-NBD pH8 and pH7 experiments.</w:t>
      </w:r>
      <w:r>
        <w:t xml:space="preserve"> </w:t>
      </w:r>
    </w:p>
    <w:p w:rsidR="008362B4" w:rsidRDefault="008362B4" w:rsidP="003E1DDB">
      <w:pPr>
        <w:spacing w:line="360" w:lineRule="auto"/>
        <w:rPr>
          <w:b/>
        </w:rPr>
      </w:pPr>
    </w:p>
    <w:p w:rsidR="003E1DDB" w:rsidRPr="00557B38" w:rsidRDefault="003E1DDB" w:rsidP="003E1DDB">
      <w:pPr>
        <w:spacing w:line="360" w:lineRule="auto"/>
      </w:pPr>
      <w:r w:rsidRPr="00557B38">
        <w:rPr>
          <w:b/>
        </w:rPr>
        <w:t>References</w:t>
      </w:r>
      <w:r w:rsidRPr="00557B38">
        <w:t>:</w:t>
      </w:r>
    </w:p>
    <w:p w:rsidR="00072C25" w:rsidRDefault="00072C25" w:rsidP="00072C25">
      <w:pPr>
        <w:pStyle w:val="ListParagraph"/>
        <w:numPr>
          <w:ilvl w:val="0"/>
          <w:numId w:val="7"/>
        </w:numPr>
      </w:pPr>
      <w:r w:rsidRPr="006B0B12">
        <w:t>Liu Y, Yu C, Qiu Y, Huang D, Zhou X, Zhang X, and Tian Y. (2012) Dow</w:t>
      </w:r>
      <w:r>
        <w:t>nregulation of EphA2 Expression Suppresses the Growth and Metastasis in Squamous-Cell Carcinoma of the Head and Neck In Vitro and In Vivo. J Cancer Res Clin Oncol 138:195-202. doi: 10.1007/s00432-011-1087-9</w:t>
      </w:r>
    </w:p>
    <w:p w:rsidR="00072C25" w:rsidRDefault="00072C25" w:rsidP="00072C25">
      <w:pPr>
        <w:pStyle w:val="ListParagraph"/>
      </w:pPr>
    </w:p>
    <w:p w:rsidR="00B33BF0" w:rsidRDefault="00040265" w:rsidP="00040265">
      <w:pPr>
        <w:pStyle w:val="ListParagraph"/>
        <w:numPr>
          <w:ilvl w:val="0"/>
          <w:numId w:val="7"/>
        </w:numPr>
      </w:pPr>
      <w:r>
        <w:t>Petty A, Myshkin E, Qin H, Guo H, Miao H, et al. (2012) A Small Molecule Agonist of EphA2 Receptor Tyrosine Kinase Inhibits Tumor Cell Migration In Vitro and Prostate Cancer Metastasis In Vivo. PLoS ONE 7(8): e42120. doi: 10.1371/jounal.pone.0042120</w:t>
      </w:r>
    </w:p>
    <w:p w:rsidR="00B86A64" w:rsidRDefault="00B86A64" w:rsidP="00B86A64"/>
    <w:p w:rsidR="006B0B12" w:rsidRDefault="00E63024" w:rsidP="00040265">
      <w:pPr>
        <w:pStyle w:val="ListParagraph"/>
        <w:numPr>
          <w:ilvl w:val="0"/>
          <w:numId w:val="7"/>
        </w:numPr>
      </w:pPr>
      <w:r>
        <w:t>Pratt R and Kinch M (2002). Activation of the EphA2 Tyrosine Kinase Stimulates the MAP/ERK Kinase Signaling Cascade. Oncogene 21:7690-7699. doi: 10.1038/sj.onc.1205758</w:t>
      </w:r>
    </w:p>
    <w:p w:rsidR="00FC3B27" w:rsidRPr="006B0B12" w:rsidRDefault="00FC3B27" w:rsidP="00FC3B27"/>
    <w:p w:rsidR="00040265" w:rsidRPr="006B0B12" w:rsidRDefault="00E36128" w:rsidP="009A6EE8">
      <w:pPr>
        <w:pStyle w:val="ListParagraph"/>
        <w:numPr>
          <w:ilvl w:val="0"/>
          <w:numId w:val="7"/>
        </w:numPr>
      </w:pPr>
      <w:r>
        <w:t>Arnato K, Wang S, Hastings A, Youngblood V, Santapuram P, Chen H, et a</w:t>
      </w:r>
      <w:r w:rsidR="005F65FE">
        <w:t>l. (2014) Genetic and Pharmacologic Inhibition of EphA2 Promotes Apoptosis in NSCLC</w:t>
      </w:r>
      <w:r>
        <w:t>. J Clin Invest 124(5):2037-2049. doi: 10.1172/JCI72522</w:t>
      </w:r>
    </w:p>
    <w:sectPr w:rsidR="00040265" w:rsidRPr="006B0B12" w:rsidSect="00557B38">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B38" w:rsidRDefault="00557B38" w:rsidP="00557B38">
      <w:r>
        <w:separator/>
      </w:r>
    </w:p>
  </w:endnote>
  <w:endnote w:type="continuationSeparator" w:id="0">
    <w:p w:rsidR="00557B38" w:rsidRDefault="00557B38" w:rsidP="00557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B38" w:rsidRDefault="00557B38" w:rsidP="00557B38">
      <w:r>
        <w:separator/>
      </w:r>
    </w:p>
  </w:footnote>
  <w:footnote w:type="continuationSeparator" w:id="0">
    <w:p w:rsidR="00557B38" w:rsidRDefault="00557B38" w:rsidP="00557B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F2EF3"/>
    <w:multiLevelType w:val="hybridMultilevel"/>
    <w:tmpl w:val="81F299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93582"/>
    <w:multiLevelType w:val="hybridMultilevel"/>
    <w:tmpl w:val="978E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54169"/>
    <w:multiLevelType w:val="hybridMultilevel"/>
    <w:tmpl w:val="51189826"/>
    <w:lvl w:ilvl="0" w:tplc="76226A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9A779F"/>
    <w:multiLevelType w:val="hybridMultilevel"/>
    <w:tmpl w:val="1A36EEFC"/>
    <w:lvl w:ilvl="0" w:tplc="C8560B7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041780"/>
    <w:multiLevelType w:val="hybridMultilevel"/>
    <w:tmpl w:val="D52A46F8"/>
    <w:lvl w:ilvl="0" w:tplc="7FF66C2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D674DB"/>
    <w:multiLevelType w:val="hybridMultilevel"/>
    <w:tmpl w:val="BD96D9B4"/>
    <w:lvl w:ilvl="0" w:tplc="4C1EA634">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BF1DB4"/>
    <w:multiLevelType w:val="hybridMultilevel"/>
    <w:tmpl w:val="53765C9C"/>
    <w:lvl w:ilvl="0" w:tplc="772E7E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89A"/>
    <w:rsid w:val="00000312"/>
    <w:rsid w:val="00003C9F"/>
    <w:rsid w:val="00013D46"/>
    <w:rsid w:val="00020C32"/>
    <w:rsid w:val="00021F7D"/>
    <w:rsid w:val="00022AA9"/>
    <w:rsid w:val="00036525"/>
    <w:rsid w:val="00040265"/>
    <w:rsid w:val="000422EF"/>
    <w:rsid w:val="00046E79"/>
    <w:rsid w:val="00072C25"/>
    <w:rsid w:val="000B23C6"/>
    <w:rsid w:val="000C5EC6"/>
    <w:rsid w:val="000D1721"/>
    <w:rsid w:val="000E2B8B"/>
    <w:rsid w:val="000E4F4E"/>
    <w:rsid w:val="000E7A25"/>
    <w:rsid w:val="0010188B"/>
    <w:rsid w:val="001119FF"/>
    <w:rsid w:val="00123325"/>
    <w:rsid w:val="001335F1"/>
    <w:rsid w:val="0015173E"/>
    <w:rsid w:val="00155555"/>
    <w:rsid w:val="00164DFC"/>
    <w:rsid w:val="00171A39"/>
    <w:rsid w:val="00173440"/>
    <w:rsid w:val="00175B35"/>
    <w:rsid w:val="001765BD"/>
    <w:rsid w:val="00184B0B"/>
    <w:rsid w:val="00192C85"/>
    <w:rsid w:val="001A6310"/>
    <w:rsid w:val="001C4AAD"/>
    <w:rsid w:val="001D513F"/>
    <w:rsid w:val="001D6054"/>
    <w:rsid w:val="001E1C52"/>
    <w:rsid w:val="001E7AA4"/>
    <w:rsid w:val="001F2BAB"/>
    <w:rsid w:val="001F5D5D"/>
    <w:rsid w:val="00211248"/>
    <w:rsid w:val="0021382B"/>
    <w:rsid w:val="0023513B"/>
    <w:rsid w:val="0023712E"/>
    <w:rsid w:val="0024397F"/>
    <w:rsid w:val="0024643C"/>
    <w:rsid w:val="00260E65"/>
    <w:rsid w:val="00262492"/>
    <w:rsid w:val="00265ABD"/>
    <w:rsid w:val="00271832"/>
    <w:rsid w:val="00274AFB"/>
    <w:rsid w:val="0027649B"/>
    <w:rsid w:val="00294408"/>
    <w:rsid w:val="002A1E2F"/>
    <w:rsid w:val="002A609A"/>
    <w:rsid w:val="002B3294"/>
    <w:rsid w:val="002E08F7"/>
    <w:rsid w:val="002E6143"/>
    <w:rsid w:val="002E6CBE"/>
    <w:rsid w:val="002E7135"/>
    <w:rsid w:val="002F60ED"/>
    <w:rsid w:val="00310A9A"/>
    <w:rsid w:val="003114BA"/>
    <w:rsid w:val="003127C6"/>
    <w:rsid w:val="00312ED1"/>
    <w:rsid w:val="0032437A"/>
    <w:rsid w:val="003348D0"/>
    <w:rsid w:val="003742BC"/>
    <w:rsid w:val="00396AB0"/>
    <w:rsid w:val="003A4A45"/>
    <w:rsid w:val="003A7FBB"/>
    <w:rsid w:val="003E1DDB"/>
    <w:rsid w:val="003F2531"/>
    <w:rsid w:val="00432425"/>
    <w:rsid w:val="0043634E"/>
    <w:rsid w:val="004532D0"/>
    <w:rsid w:val="00454511"/>
    <w:rsid w:val="004546FD"/>
    <w:rsid w:val="00461276"/>
    <w:rsid w:val="004760B2"/>
    <w:rsid w:val="0048379B"/>
    <w:rsid w:val="00495A9A"/>
    <w:rsid w:val="004C6CD3"/>
    <w:rsid w:val="00512407"/>
    <w:rsid w:val="00512EB3"/>
    <w:rsid w:val="00530ECF"/>
    <w:rsid w:val="00557B38"/>
    <w:rsid w:val="00561FEF"/>
    <w:rsid w:val="00562352"/>
    <w:rsid w:val="005B665F"/>
    <w:rsid w:val="005C6C16"/>
    <w:rsid w:val="005D7CED"/>
    <w:rsid w:val="005D7D32"/>
    <w:rsid w:val="005E26FF"/>
    <w:rsid w:val="005F65FE"/>
    <w:rsid w:val="006031E3"/>
    <w:rsid w:val="00617539"/>
    <w:rsid w:val="0062108D"/>
    <w:rsid w:val="00623BC0"/>
    <w:rsid w:val="0063436F"/>
    <w:rsid w:val="00641B50"/>
    <w:rsid w:val="0065462A"/>
    <w:rsid w:val="006766FC"/>
    <w:rsid w:val="0068539D"/>
    <w:rsid w:val="00687B97"/>
    <w:rsid w:val="006965BD"/>
    <w:rsid w:val="006B0B12"/>
    <w:rsid w:val="006B30A9"/>
    <w:rsid w:val="006B3C77"/>
    <w:rsid w:val="006D57B8"/>
    <w:rsid w:val="006E413A"/>
    <w:rsid w:val="007061BF"/>
    <w:rsid w:val="0070731E"/>
    <w:rsid w:val="0072229F"/>
    <w:rsid w:val="00747EAD"/>
    <w:rsid w:val="00754D78"/>
    <w:rsid w:val="0075651F"/>
    <w:rsid w:val="00756FFB"/>
    <w:rsid w:val="007709AE"/>
    <w:rsid w:val="007A08B2"/>
    <w:rsid w:val="007B38D2"/>
    <w:rsid w:val="007B61A0"/>
    <w:rsid w:val="007D0E6F"/>
    <w:rsid w:val="007D0E81"/>
    <w:rsid w:val="007D15CB"/>
    <w:rsid w:val="007D5C26"/>
    <w:rsid w:val="007E76EF"/>
    <w:rsid w:val="007F6AB3"/>
    <w:rsid w:val="008024D6"/>
    <w:rsid w:val="00804E01"/>
    <w:rsid w:val="008111DA"/>
    <w:rsid w:val="00820022"/>
    <w:rsid w:val="00823791"/>
    <w:rsid w:val="008237DB"/>
    <w:rsid w:val="0082730C"/>
    <w:rsid w:val="00827A2A"/>
    <w:rsid w:val="008362B4"/>
    <w:rsid w:val="00843328"/>
    <w:rsid w:val="00851FD1"/>
    <w:rsid w:val="0085595C"/>
    <w:rsid w:val="008571E9"/>
    <w:rsid w:val="00867C4D"/>
    <w:rsid w:val="00873424"/>
    <w:rsid w:val="008849E5"/>
    <w:rsid w:val="008941BF"/>
    <w:rsid w:val="00895818"/>
    <w:rsid w:val="00896B06"/>
    <w:rsid w:val="008B2632"/>
    <w:rsid w:val="008C0549"/>
    <w:rsid w:val="008C685B"/>
    <w:rsid w:val="008D2747"/>
    <w:rsid w:val="008E18A8"/>
    <w:rsid w:val="008F273C"/>
    <w:rsid w:val="008F290C"/>
    <w:rsid w:val="008F79B2"/>
    <w:rsid w:val="00913F16"/>
    <w:rsid w:val="00914CC4"/>
    <w:rsid w:val="00933C05"/>
    <w:rsid w:val="009434B3"/>
    <w:rsid w:val="00943BE5"/>
    <w:rsid w:val="00950B94"/>
    <w:rsid w:val="00951E49"/>
    <w:rsid w:val="00955AB9"/>
    <w:rsid w:val="00960659"/>
    <w:rsid w:val="0096344D"/>
    <w:rsid w:val="00966D89"/>
    <w:rsid w:val="00972FA1"/>
    <w:rsid w:val="0098429A"/>
    <w:rsid w:val="00986394"/>
    <w:rsid w:val="00992E4F"/>
    <w:rsid w:val="009A6EE8"/>
    <w:rsid w:val="009B6ABE"/>
    <w:rsid w:val="009B7677"/>
    <w:rsid w:val="009C6E00"/>
    <w:rsid w:val="009D1503"/>
    <w:rsid w:val="009E32F6"/>
    <w:rsid w:val="009E3F78"/>
    <w:rsid w:val="009F1B85"/>
    <w:rsid w:val="009F3487"/>
    <w:rsid w:val="009F7187"/>
    <w:rsid w:val="00A14BEC"/>
    <w:rsid w:val="00A16612"/>
    <w:rsid w:val="00A174EF"/>
    <w:rsid w:val="00A37603"/>
    <w:rsid w:val="00A438B0"/>
    <w:rsid w:val="00A6423C"/>
    <w:rsid w:val="00A674F8"/>
    <w:rsid w:val="00A91E7D"/>
    <w:rsid w:val="00A95715"/>
    <w:rsid w:val="00AB4D44"/>
    <w:rsid w:val="00AE263C"/>
    <w:rsid w:val="00AE51DA"/>
    <w:rsid w:val="00AE627D"/>
    <w:rsid w:val="00B01397"/>
    <w:rsid w:val="00B0237A"/>
    <w:rsid w:val="00B1589A"/>
    <w:rsid w:val="00B26DBE"/>
    <w:rsid w:val="00B33BF0"/>
    <w:rsid w:val="00B43C0F"/>
    <w:rsid w:val="00B47F05"/>
    <w:rsid w:val="00B7736A"/>
    <w:rsid w:val="00B86A64"/>
    <w:rsid w:val="00BA6D04"/>
    <w:rsid w:val="00BB2042"/>
    <w:rsid w:val="00BC67FE"/>
    <w:rsid w:val="00BC6A1B"/>
    <w:rsid w:val="00BE3FCC"/>
    <w:rsid w:val="00C009AA"/>
    <w:rsid w:val="00C23D04"/>
    <w:rsid w:val="00C35C76"/>
    <w:rsid w:val="00C41FE5"/>
    <w:rsid w:val="00C63470"/>
    <w:rsid w:val="00C73160"/>
    <w:rsid w:val="00C951E6"/>
    <w:rsid w:val="00CB29F4"/>
    <w:rsid w:val="00CE51BB"/>
    <w:rsid w:val="00CF0B60"/>
    <w:rsid w:val="00D31307"/>
    <w:rsid w:val="00D327A7"/>
    <w:rsid w:val="00D329E8"/>
    <w:rsid w:val="00D353DC"/>
    <w:rsid w:val="00D42689"/>
    <w:rsid w:val="00D50E73"/>
    <w:rsid w:val="00D51A13"/>
    <w:rsid w:val="00D5203A"/>
    <w:rsid w:val="00D76945"/>
    <w:rsid w:val="00D76E36"/>
    <w:rsid w:val="00D81C59"/>
    <w:rsid w:val="00D84CB3"/>
    <w:rsid w:val="00D90388"/>
    <w:rsid w:val="00D921B2"/>
    <w:rsid w:val="00DA7251"/>
    <w:rsid w:val="00DB02CE"/>
    <w:rsid w:val="00DB2721"/>
    <w:rsid w:val="00DE2612"/>
    <w:rsid w:val="00DE3320"/>
    <w:rsid w:val="00DF70D3"/>
    <w:rsid w:val="00E0396B"/>
    <w:rsid w:val="00E133FB"/>
    <w:rsid w:val="00E24575"/>
    <w:rsid w:val="00E36128"/>
    <w:rsid w:val="00E41F82"/>
    <w:rsid w:val="00E4476F"/>
    <w:rsid w:val="00E51A72"/>
    <w:rsid w:val="00E567FC"/>
    <w:rsid w:val="00E6231B"/>
    <w:rsid w:val="00E63024"/>
    <w:rsid w:val="00E640DD"/>
    <w:rsid w:val="00E86F0B"/>
    <w:rsid w:val="00E974AF"/>
    <w:rsid w:val="00EA3A5D"/>
    <w:rsid w:val="00EB77CD"/>
    <w:rsid w:val="00EC631B"/>
    <w:rsid w:val="00ED077C"/>
    <w:rsid w:val="00ED3C99"/>
    <w:rsid w:val="00ED79AF"/>
    <w:rsid w:val="00F145F5"/>
    <w:rsid w:val="00F43D9A"/>
    <w:rsid w:val="00F43FEF"/>
    <w:rsid w:val="00F52130"/>
    <w:rsid w:val="00F64A70"/>
    <w:rsid w:val="00F71BEB"/>
    <w:rsid w:val="00F72ABD"/>
    <w:rsid w:val="00F802DF"/>
    <w:rsid w:val="00F90D39"/>
    <w:rsid w:val="00F97736"/>
    <w:rsid w:val="00FA0302"/>
    <w:rsid w:val="00FB2498"/>
    <w:rsid w:val="00FC3B27"/>
    <w:rsid w:val="00FC76BA"/>
    <w:rsid w:val="00FC7992"/>
    <w:rsid w:val="00FD422B"/>
    <w:rsid w:val="00FE4E64"/>
    <w:rsid w:val="00FF17AA"/>
    <w:rsid w:val="00FF62FA"/>
    <w:rsid w:val="00FF7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1F5BDC0-6FEE-4853-A867-2E807125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89A"/>
    <w:pPr>
      <w:ind w:left="720"/>
      <w:contextualSpacing/>
    </w:pPr>
  </w:style>
  <w:style w:type="paragraph" w:styleId="Caption">
    <w:name w:val="caption"/>
    <w:basedOn w:val="Normal"/>
    <w:next w:val="Normal"/>
    <w:uiPriority w:val="35"/>
    <w:unhideWhenUsed/>
    <w:qFormat/>
    <w:rsid w:val="000B23C6"/>
    <w:pPr>
      <w:spacing w:after="200"/>
    </w:pPr>
    <w:rPr>
      <w:i/>
      <w:iCs/>
      <w:color w:val="44546A" w:themeColor="text2"/>
      <w:sz w:val="18"/>
      <w:szCs w:val="18"/>
    </w:rPr>
  </w:style>
  <w:style w:type="paragraph" w:styleId="NoSpacing">
    <w:name w:val="No Spacing"/>
    <w:link w:val="NoSpacingChar"/>
    <w:uiPriority w:val="1"/>
    <w:qFormat/>
    <w:rsid w:val="00557B38"/>
    <w:rPr>
      <w:rFonts w:asciiTheme="minorHAnsi" w:eastAsiaTheme="minorEastAsia" w:hAnsiTheme="minorHAnsi" w:cstheme="minorBidi"/>
      <w:sz w:val="22"/>
    </w:rPr>
  </w:style>
  <w:style w:type="character" w:customStyle="1" w:styleId="NoSpacingChar">
    <w:name w:val="No Spacing Char"/>
    <w:basedOn w:val="DefaultParagraphFont"/>
    <w:link w:val="NoSpacing"/>
    <w:uiPriority w:val="1"/>
    <w:rsid w:val="00557B38"/>
    <w:rPr>
      <w:rFonts w:asciiTheme="minorHAnsi" w:eastAsiaTheme="minorEastAsia" w:hAnsiTheme="minorHAnsi" w:cstheme="minorBidi"/>
      <w:sz w:val="22"/>
    </w:rPr>
  </w:style>
  <w:style w:type="paragraph" w:styleId="Header">
    <w:name w:val="header"/>
    <w:basedOn w:val="Normal"/>
    <w:link w:val="HeaderChar"/>
    <w:uiPriority w:val="99"/>
    <w:unhideWhenUsed/>
    <w:rsid w:val="00557B38"/>
    <w:pPr>
      <w:tabs>
        <w:tab w:val="center" w:pos="4680"/>
        <w:tab w:val="right" w:pos="9360"/>
      </w:tabs>
    </w:pPr>
  </w:style>
  <w:style w:type="character" w:customStyle="1" w:styleId="HeaderChar">
    <w:name w:val="Header Char"/>
    <w:basedOn w:val="DefaultParagraphFont"/>
    <w:link w:val="Header"/>
    <w:uiPriority w:val="99"/>
    <w:rsid w:val="00557B38"/>
  </w:style>
  <w:style w:type="paragraph" w:styleId="Footer">
    <w:name w:val="footer"/>
    <w:basedOn w:val="Normal"/>
    <w:link w:val="FooterChar"/>
    <w:uiPriority w:val="99"/>
    <w:unhideWhenUsed/>
    <w:rsid w:val="00557B38"/>
    <w:pPr>
      <w:tabs>
        <w:tab w:val="center" w:pos="4680"/>
        <w:tab w:val="right" w:pos="9360"/>
      </w:tabs>
    </w:pPr>
  </w:style>
  <w:style w:type="character" w:customStyle="1" w:styleId="FooterChar">
    <w:name w:val="Footer Char"/>
    <w:basedOn w:val="DefaultParagraphFont"/>
    <w:link w:val="Footer"/>
    <w:uiPriority w:val="99"/>
    <w:rsid w:val="00557B38"/>
  </w:style>
  <w:style w:type="character" w:styleId="PlaceholderText">
    <w:name w:val="Placeholder Text"/>
    <w:basedOn w:val="DefaultParagraphFont"/>
    <w:uiPriority w:val="99"/>
    <w:semiHidden/>
    <w:rsid w:val="00C634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505880">
      <w:bodyDiv w:val="1"/>
      <w:marLeft w:val="0"/>
      <w:marRight w:val="0"/>
      <w:marTop w:val="0"/>
      <w:marBottom w:val="0"/>
      <w:divBdr>
        <w:top w:val="none" w:sz="0" w:space="0" w:color="auto"/>
        <w:left w:val="none" w:sz="0" w:space="0" w:color="auto"/>
        <w:bottom w:val="none" w:sz="0" w:space="0" w:color="auto"/>
        <w:right w:val="none" w:sz="0" w:space="0" w:color="auto"/>
      </w:divBdr>
    </w:div>
    <w:div w:id="808715672">
      <w:bodyDiv w:val="1"/>
      <w:marLeft w:val="0"/>
      <w:marRight w:val="0"/>
      <w:marTop w:val="0"/>
      <w:marBottom w:val="0"/>
      <w:divBdr>
        <w:top w:val="none" w:sz="0" w:space="0" w:color="auto"/>
        <w:left w:val="none" w:sz="0" w:space="0" w:color="auto"/>
        <w:bottom w:val="none" w:sz="0" w:space="0" w:color="auto"/>
        <w:right w:val="none" w:sz="0" w:space="0" w:color="auto"/>
      </w:divBdr>
    </w:div>
    <w:div w:id="1059136142">
      <w:bodyDiv w:val="1"/>
      <w:marLeft w:val="0"/>
      <w:marRight w:val="0"/>
      <w:marTop w:val="0"/>
      <w:marBottom w:val="0"/>
      <w:divBdr>
        <w:top w:val="none" w:sz="0" w:space="0" w:color="auto"/>
        <w:left w:val="none" w:sz="0" w:space="0" w:color="auto"/>
        <w:bottom w:val="none" w:sz="0" w:space="0" w:color="auto"/>
        <w:right w:val="none" w:sz="0" w:space="0" w:color="auto"/>
      </w:divBdr>
    </w:div>
    <w:div w:id="190783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Barerra%20Lab\Roxys\Fluorescence\FI%20Data%20Roxy%207%20and%208.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55386501409477"/>
          <c:y val="0.11118957799664758"/>
          <c:w val="0.84412801565358486"/>
          <c:h val="0.76349225842182566"/>
        </c:manualLayout>
      </c:layout>
      <c:scatterChart>
        <c:scatterStyle val="smoothMarker"/>
        <c:varyColors val="0"/>
        <c:ser>
          <c:idx val="0"/>
          <c:order val="0"/>
          <c:tx>
            <c:strRef>
              <c:f>Sheet1!$A$2</c:f>
              <c:strCache>
                <c:ptCount val="1"/>
                <c:pt idx="0">
                  <c:v>pH 4</c:v>
                </c:pt>
              </c:strCache>
            </c:strRef>
          </c:tx>
          <c:spPr>
            <a:ln w="28575" cap="rnd">
              <a:solidFill>
                <a:srgbClr val="C00000"/>
              </a:solidFill>
              <a:round/>
            </a:ln>
            <a:effectLst/>
          </c:spPr>
          <c:marker>
            <c:symbol val="none"/>
          </c:marker>
          <c:xVal>
            <c:numRef>
              <c:f>Sheet1!$A$4:$A$69</c:f>
              <c:numCache>
                <c:formatCode>General</c:formatCode>
                <c:ptCount val="66"/>
                <c:pt idx="0">
                  <c:v>260</c:v>
                </c:pt>
                <c:pt idx="1">
                  <c:v>259</c:v>
                </c:pt>
                <c:pt idx="2">
                  <c:v>258</c:v>
                </c:pt>
                <c:pt idx="3">
                  <c:v>257</c:v>
                </c:pt>
                <c:pt idx="4">
                  <c:v>256</c:v>
                </c:pt>
                <c:pt idx="5">
                  <c:v>255</c:v>
                </c:pt>
                <c:pt idx="6">
                  <c:v>254</c:v>
                </c:pt>
                <c:pt idx="7">
                  <c:v>253</c:v>
                </c:pt>
                <c:pt idx="8">
                  <c:v>252</c:v>
                </c:pt>
                <c:pt idx="9">
                  <c:v>251</c:v>
                </c:pt>
                <c:pt idx="10">
                  <c:v>250</c:v>
                </c:pt>
                <c:pt idx="11">
                  <c:v>249</c:v>
                </c:pt>
                <c:pt idx="12">
                  <c:v>248</c:v>
                </c:pt>
                <c:pt idx="13">
                  <c:v>247</c:v>
                </c:pt>
                <c:pt idx="14">
                  <c:v>246</c:v>
                </c:pt>
                <c:pt idx="15">
                  <c:v>245</c:v>
                </c:pt>
                <c:pt idx="16">
                  <c:v>244</c:v>
                </c:pt>
                <c:pt idx="17">
                  <c:v>243</c:v>
                </c:pt>
                <c:pt idx="18">
                  <c:v>242</c:v>
                </c:pt>
                <c:pt idx="19">
                  <c:v>241</c:v>
                </c:pt>
                <c:pt idx="20">
                  <c:v>240</c:v>
                </c:pt>
                <c:pt idx="21">
                  <c:v>239</c:v>
                </c:pt>
                <c:pt idx="22">
                  <c:v>238</c:v>
                </c:pt>
                <c:pt idx="23">
                  <c:v>237</c:v>
                </c:pt>
                <c:pt idx="24">
                  <c:v>236</c:v>
                </c:pt>
                <c:pt idx="25">
                  <c:v>235</c:v>
                </c:pt>
                <c:pt idx="26">
                  <c:v>234</c:v>
                </c:pt>
                <c:pt idx="27">
                  <c:v>233</c:v>
                </c:pt>
                <c:pt idx="28">
                  <c:v>232</c:v>
                </c:pt>
                <c:pt idx="29">
                  <c:v>231</c:v>
                </c:pt>
                <c:pt idx="30">
                  <c:v>230</c:v>
                </c:pt>
                <c:pt idx="31">
                  <c:v>229</c:v>
                </c:pt>
                <c:pt idx="32">
                  <c:v>228</c:v>
                </c:pt>
                <c:pt idx="33">
                  <c:v>227</c:v>
                </c:pt>
                <c:pt idx="34">
                  <c:v>226</c:v>
                </c:pt>
                <c:pt idx="35">
                  <c:v>225</c:v>
                </c:pt>
                <c:pt idx="36">
                  <c:v>224</c:v>
                </c:pt>
                <c:pt idx="37">
                  <c:v>223</c:v>
                </c:pt>
                <c:pt idx="38">
                  <c:v>222</c:v>
                </c:pt>
                <c:pt idx="39">
                  <c:v>221</c:v>
                </c:pt>
                <c:pt idx="40">
                  <c:v>220</c:v>
                </c:pt>
                <c:pt idx="41">
                  <c:v>219</c:v>
                </c:pt>
                <c:pt idx="42">
                  <c:v>218</c:v>
                </c:pt>
                <c:pt idx="43">
                  <c:v>217</c:v>
                </c:pt>
                <c:pt idx="44">
                  <c:v>216</c:v>
                </c:pt>
                <c:pt idx="45">
                  <c:v>215</c:v>
                </c:pt>
                <c:pt idx="46">
                  <c:v>214</c:v>
                </c:pt>
                <c:pt idx="47">
                  <c:v>213</c:v>
                </c:pt>
                <c:pt idx="48">
                  <c:v>212</c:v>
                </c:pt>
                <c:pt idx="49">
                  <c:v>211</c:v>
                </c:pt>
                <c:pt idx="50">
                  <c:v>210</c:v>
                </c:pt>
                <c:pt idx="51">
                  <c:v>209</c:v>
                </c:pt>
                <c:pt idx="52">
                  <c:v>208</c:v>
                </c:pt>
                <c:pt idx="53">
                  <c:v>207</c:v>
                </c:pt>
                <c:pt idx="54">
                  <c:v>206</c:v>
                </c:pt>
                <c:pt idx="55">
                  <c:v>205</c:v>
                </c:pt>
                <c:pt idx="56">
                  <c:v>204</c:v>
                </c:pt>
                <c:pt idx="57">
                  <c:v>203</c:v>
                </c:pt>
                <c:pt idx="58">
                  <c:v>202</c:v>
                </c:pt>
                <c:pt idx="59">
                  <c:v>201</c:v>
                </c:pt>
                <c:pt idx="60">
                  <c:v>200</c:v>
                </c:pt>
                <c:pt idx="61">
                  <c:v>199</c:v>
                </c:pt>
                <c:pt idx="62">
                  <c:v>198</c:v>
                </c:pt>
                <c:pt idx="63">
                  <c:v>197</c:v>
                </c:pt>
                <c:pt idx="64">
                  <c:v>196</c:v>
                </c:pt>
                <c:pt idx="65">
                  <c:v>195</c:v>
                </c:pt>
              </c:numCache>
            </c:numRef>
          </c:xVal>
          <c:yVal>
            <c:numRef>
              <c:f>Sheet1!$C$4:$C$69</c:f>
              <c:numCache>
                <c:formatCode>General</c:formatCode>
                <c:ptCount val="66"/>
                <c:pt idx="0">
                  <c:v>0</c:v>
                </c:pt>
                <c:pt idx="1">
                  <c:v>-1.13326669332268</c:v>
                </c:pt>
                <c:pt idx="2">
                  <c:v>-0.19607656937225459</c:v>
                </c:pt>
                <c:pt idx="3">
                  <c:v>-7.7084166333470039E-2</c:v>
                </c:pt>
                <c:pt idx="4">
                  <c:v>0.12759896041583008</c:v>
                </c:pt>
                <c:pt idx="5">
                  <c:v>6.5818672530983724E-2</c:v>
                </c:pt>
                <c:pt idx="6">
                  <c:v>-0.15138944422231426</c:v>
                </c:pt>
                <c:pt idx="7">
                  <c:v>0.16058076769291874</c:v>
                </c:pt>
                <c:pt idx="8">
                  <c:v>0.15916133546581013</c:v>
                </c:pt>
                <c:pt idx="9">
                  <c:v>0.34401739304277945</c:v>
                </c:pt>
                <c:pt idx="10">
                  <c:v>0.3275189924030355</c:v>
                </c:pt>
                <c:pt idx="11">
                  <c:v>0.47080667732906467</c:v>
                </c:pt>
                <c:pt idx="12">
                  <c:v>0.36092063174729794</c:v>
                </c:pt>
                <c:pt idx="13">
                  <c:v>0.51963714514193993</c:v>
                </c:pt>
                <c:pt idx="14">
                  <c:v>0.45148440623750141</c:v>
                </c:pt>
                <c:pt idx="15">
                  <c:v>0.32028688524589821</c:v>
                </c:pt>
                <c:pt idx="16">
                  <c:v>9.3112754898003747E-3</c:v>
                </c:pt>
                <c:pt idx="17">
                  <c:v>-0.32027688924430531</c:v>
                </c:pt>
                <c:pt idx="18">
                  <c:v>-0.97976309476209922</c:v>
                </c:pt>
                <c:pt idx="19">
                  <c:v>-0.93237205117953192</c:v>
                </c:pt>
                <c:pt idx="20">
                  <c:v>-1.7204318272690957</c:v>
                </c:pt>
                <c:pt idx="21">
                  <c:v>-2.1767193122750936</c:v>
                </c:pt>
                <c:pt idx="22">
                  <c:v>-3.1299180327868887</c:v>
                </c:pt>
                <c:pt idx="23">
                  <c:v>-3.484936025589767</c:v>
                </c:pt>
                <c:pt idx="24">
                  <c:v>-4.8081677329068411</c:v>
                </c:pt>
                <c:pt idx="25">
                  <c:v>-5.678209216313479</c:v>
                </c:pt>
                <c:pt idx="26">
                  <c:v>-7.0774065373850501</c:v>
                </c:pt>
                <c:pt idx="27">
                  <c:v>-8.241853758496605</c:v>
                </c:pt>
                <c:pt idx="28">
                  <c:v>-10.355792682926833</c:v>
                </c:pt>
                <c:pt idx="29">
                  <c:v>-11.688119752099166</c:v>
                </c:pt>
                <c:pt idx="30">
                  <c:v>-12.955147940823675</c:v>
                </c:pt>
                <c:pt idx="31">
                  <c:v>-14.895456817273093</c:v>
                </c:pt>
                <c:pt idx="32">
                  <c:v>-16.240428828468616</c:v>
                </c:pt>
                <c:pt idx="33">
                  <c:v>-17.299860055977614</c:v>
                </c:pt>
                <c:pt idx="34">
                  <c:v>-18.304273290683728</c:v>
                </c:pt>
                <c:pt idx="35">
                  <c:v>-19.593317672930834</c:v>
                </c:pt>
                <c:pt idx="36">
                  <c:v>-19.810010995601761</c:v>
                </c:pt>
                <c:pt idx="37">
                  <c:v>-20.599060375849664</c:v>
                </c:pt>
                <c:pt idx="38">
                  <c:v>-20.851469412235112</c:v>
                </c:pt>
                <c:pt idx="39">
                  <c:v>-20.683566573370655</c:v>
                </c:pt>
                <c:pt idx="40">
                  <c:v>-20.841463414634152</c:v>
                </c:pt>
                <c:pt idx="41">
                  <c:v>-20.253923430627754</c:v>
                </c:pt>
                <c:pt idx="42">
                  <c:v>-19.14151339464215</c:v>
                </c:pt>
                <c:pt idx="43">
                  <c:v>-19.134486205517799</c:v>
                </c:pt>
                <c:pt idx="44">
                  <c:v>-19.176539384246304</c:v>
                </c:pt>
                <c:pt idx="45">
                  <c:v>-18.803428628548584</c:v>
                </c:pt>
                <c:pt idx="46">
                  <c:v>-18.608751499400245</c:v>
                </c:pt>
                <c:pt idx="47">
                  <c:v>-18.810685725709721</c:v>
                </c:pt>
                <c:pt idx="48">
                  <c:v>-17.943842463014796</c:v>
                </c:pt>
                <c:pt idx="49">
                  <c:v>-18.735710715713719</c:v>
                </c:pt>
                <c:pt idx="50">
                  <c:v>-18.22836865253899</c:v>
                </c:pt>
                <c:pt idx="51">
                  <c:v>-18.752049180327873</c:v>
                </c:pt>
                <c:pt idx="52">
                  <c:v>-18.705502798880456</c:v>
                </c:pt>
                <c:pt idx="53">
                  <c:v>-16.057916833266695</c:v>
                </c:pt>
                <c:pt idx="54">
                  <c:v>-14.708580067972816</c:v>
                </c:pt>
                <c:pt idx="55">
                  <c:v>-10.094099360255903</c:v>
                </c:pt>
                <c:pt idx="56">
                  <c:v>-4.1666283486605389</c:v>
                </c:pt>
                <c:pt idx="57">
                  <c:v>1.4697421031587317</c:v>
                </c:pt>
                <c:pt idx="58">
                  <c:v>8.5346961215513772</c:v>
                </c:pt>
                <c:pt idx="59">
                  <c:v>11.473850459816068</c:v>
                </c:pt>
                <c:pt idx="60">
                  <c:v>23.225199920031987</c:v>
                </c:pt>
                <c:pt idx="61">
                  <c:v>29.336675329868051</c:v>
                </c:pt>
                <c:pt idx="62">
                  <c:v>50.61639344262295</c:v>
                </c:pt>
                <c:pt idx="63">
                  <c:v>38.53917433026789</c:v>
                </c:pt>
                <c:pt idx="64">
                  <c:v>59.632085165933631</c:v>
                </c:pt>
                <c:pt idx="65">
                  <c:v>43.155527788884449</c:v>
                </c:pt>
              </c:numCache>
            </c:numRef>
          </c:yVal>
          <c:smooth val="1"/>
        </c:ser>
        <c:ser>
          <c:idx val="1"/>
          <c:order val="1"/>
          <c:tx>
            <c:strRef>
              <c:f>Sheet1!$F$2</c:f>
              <c:strCache>
                <c:ptCount val="1"/>
                <c:pt idx="0">
                  <c:v>pH 8</c:v>
                </c:pt>
              </c:strCache>
            </c:strRef>
          </c:tx>
          <c:spPr>
            <a:ln w="28575" cap="rnd">
              <a:solidFill>
                <a:srgbClr val="002060"/>
              </a:solidFill>
              <a:round/>
            </a:ln>
            <a:effectLst/>
          </c:spPr>
          <c:marker>
            <c:symbol val="none"/>
          </c:marker>
          <c:xVal>
            <c:numRef>
              <c:f>Sheet1!$F$4:$F$54</c:f>
              <c:numCache>
                <c:formatCode>General</c:formatCode>
                <c:ptCount val="51"/>
                <c:pt idx="0">
                  <c:v>260</c:v>
                </c:pt>
                <c:pt idx="1">
                  <c:v>259</c:v>
                </c:pt>
                <c:pt idx="2">
                  <c:v>258</c:v>
                </c:pt>
                <c:pt idx="3">
                  <c:v>257</c:v>
                </c:pt>
                <c:pt idx="4">
                  <c:v>256</c:v>
                </c:pt>
                <c:pt idx="5">
                  <c:v>255</c:v>
                </c:pt>
                <c:pt idx="6">
                  <c:v>254</c:v>
                </c:pt>
                <c:pt idx="7">
                  <c:v>253</c:v>
                </c:pt>
                <c:pt idx="8">
                  <c:v>252</c:v>
                </c:pt>
                <c:pt idx="9">
                  <c:v>251</c:v>
                </c:pt>
                <c:pt idx="10">
                  <c:v>250</c:v>
                </c:pt>
                <c:pt idx="11">
                  <c:v>249</c:v>
                </c:pt>
                <c:pt idx="12">
                  <c:v>248</c:v>
                </c:pt>
                <c:pt idx="13">
                  <c:v>247</c:v>
                </c:pt>
                <c:pt idx="14">
                  <c:v>246</c:v>
                </c:pt>
                <c:pt idx="15">
                  <c:v>245</c:v>
                </c:pt>
                <c:pt idx="16">
                  <c:v>244</c:v>
                </c:pt>
                <c:pt idx="17">
                  <c:v>243</c:v>
                </c:pt>
                <c:pt idx="18">
                  <c:v>242</c:v>
                </c:pt>
                <c:pt idx="19">
                  <c:v>241</c:v>
                </c:pt>
                <c:pt idx="20">
                  <c:v>240</c:v>
                </c:pt>
                <c:pt idx="21">
                  <c:v>239</c:v>
                </c:pt>
                <c:pt idx="22">
                  <c:v>238</c:v>
                </c:pt>
                <c:pt idx="23">
                  <c:v>237</c:v>
                </c:pt>
                <c:pt idx="24">
                  <c:v>236</c:v>
                </c:pt>
                <c:pt idx="25">
                  <c:v>235</c:v>
                </c:pt>
                <c:pt idx="26">
                  <c:v>234</c:v>
                </c:pt>
                <c:pt idx="27">
                  <c:v>233</c:v>
                </c:pt>
                <c:pt idx="28">
                  <c:v>232</c:v>
                </c:pt>
                <c:pt idx="29">
                  <c:v>231</c:v>
                </c:pt>
                <c:pt idx="30">
                  <c:v>230</c:v>
                </c:pt>
                <c:pt idx="31">
                  <c:v>229</c:v>
                </c:pt>
                <c:pt idx="32">
                  <c:v>228</c:v>
                </c:pt>
                <c:pt idx="33">
                  <c:v>227</c:v>
                </c:pt>
                <c:pt idx="34">
                  <c:v>226</c:v>
                </c:pt>
                <c:pt idx="35">
                  <c:v>225</c:v>
                </c:pt>
                <c:pt idx="36">
                  <c:v>224</c:v>
                </c:pt>
                <c:pt idx="37">
                  <c:v>223</c:v>
                </c:pt>
                <c:pt idx="38">
                  <c:v>222</c:v>
                </c:pt>
                <c:pt idx="39">
                  <c:v>221</c:v>
                </c:pt>
                <c:pt idx="40">
                  <c:v>220</c:v>
                </c:pt>
                <c:pt idx="41">
                  <c:v>219</c:v>
                </c:pt>
                <c:pt idx="42">
                  <c:v>218</c:v>
                </c:pt>
                <c:pt idx="43">
                  <c:v>217</c:v>
                </c:pt>
                <c:pt idx="44">
                  <c:v>216</c:v>
                </c:pt>
                <c:pt idx="45">
                  <c:v>215</c:v>
                </c:pt>
                <c:pt idx="46">
                  <c:v>214</c:v>
                </c:pt>
                <c:pt idx="47">
                  <c:v>213</c:v>
                </c:pt>
                <c:pt idx="48">
                  <c:v>212</c:v>
                </c:pt>
                <c:pt idx="49">
                  <c:v>211</c:v>
                </c:pt>
                <c:pt idx="50">
                  <c:v>210</c:v>
                </c:pt>
              </c:numCache>
            </c:numRef>
          </c:xVal>
          <c:yVal>
            <c:numRef>
              <c:f>Sheet1!$H$4:$H$54</c:f>
              <c:numCache>
                <c:formatCode>General</c:formatCode>
                <c:ptCount val="51"/>
                <c:pt idx="0">
                  <c:v>0</c:v>
                </c:pt>
                <c:pt idx="1">
                  <c:v>0.10136445421831208</c:v>
                </c:pt>
                <c:pt idx="2">
                  <c:v>-0.17100659736105506</c:v>
                </c:pt>
                <c:pt idx="3">
                  <c:v>3.3431627349059134E-2</c:v>
                </c:pt>
                <c:pt idx="4">
                  <c:v>0.27779888044782108</c:v>
                </c:pt>
                <c:pt idx="5">
                  <c:v>4.1088564574171649E-2</c:v>
                </c:pt>
                <c:pt idx="6">
                  <c:v>-6.621351459416136E-2</c:v>
                </c:pt>
                <c:pt idx="7">
                  <c:v>2.7404038384646334E-2</c:v>
                </c:pt>
                <c:pt idx="8">
                  <c:v>0.16521891243502562</c:v>
                </c:pt>
                <c:pt idx="9">
                  <c:v>0.20402838864454154</c:v>
                </c:pt>
                <c:pt idx="10">
                  <c:v>9.6961215513794663E-2</c:v>
                </c:pt>
                <c:pt idx="11">
                  <c:v>0.23465613754498182</c:v>
                </c:pt>
                <c:pt idx="12">
                  <c:v>0.26134546181527352</c:v>
                </c:pt>
                <c:pt idx="13">
                  <c:v>0.35773690523790513</c:v>
                </c:pt>
                <c:pt idx="14">
                  <c:v>0.280457816873251</c:v>
                </c:pt>
                <c:pt idx="15">
                  <c:v>0.2949670131947224</c:v>
                </c:pt>
                <c:pt idx="16">
                  <c:v>0.28665033986405319</c:v>
                </c:pt>
                <c:pt idx="17">
                  <c:v>1.6358456617353134E-2</c:v>
                </c:pt>
                <c:pt idx="18">
                  <c:v>4.0523790483805833E-2</c:v>
                </c:pt>
                <c:pt idx="19">
                  <c:v>0.17892343062774785</c:v>
                </c:pt>
                <c:pt idx="20">
                  <c:v>7.394042383046795E-2</c:v>
                </c:pt>
                <c:pt idx="21">
                  <c:v>3.3076769292283537E-2</c:v>
                </c:pt>
                <c:pt idx="22">
                  <c:v>-4.3897441023590389E-2</c:v>
                </c:pt>
                <c:pt idx="23">
                  <c:v>0.2466513394642158</c:v>
                </c:pt>
                <c:pt idx="24">
                  <c:v>-9.4887045181928364E-2</c:v>
                </c:pt>
                <c:pt idx="25">
                  <c:v>-2.3025789684127496E-2</c:v>
                </c:pt>
                <c:pt idx="26">
                  <c:v>-0.17408036785285841</c:v>
                </c:pt>
                <c:pt idx="27">
                  <c:v>-0.12288084766093554</c:v>
                </c:pt>
                <c:pt idx="28">
                  <c:v>-0.84390743702518911</c:v>
                </c:pt>
                <c:pt idx="29">
                  <c:v>-0.52846361455417856</c:v>
                </c:pt>
                <c:pt idx="30">
                  <c:v>-9.2053178728508378E-2</c:v>
                </c:pt>
                <c:pt idx="31">
                  <c:v>-0.88268692522990655</c:v>
                </c:pt>
                <c:pt idx="32">
                  <c:v>-0.86704318272691072</c:v>
                </c:pt>
                <c:pt idx="33">
                  <c:v>-0.81321471411435553</c:v>
                </c:pt>
                <c:pt idx="34">
                  <c:v>-0.93306677329068322</c:v>
                </c:pt>
                <c:pt idx="35">
                  <c:v>-0.97649940023990389</c:v>
                </c:pt>
                <c:pt idx="36">
                  <c:v>-0.24599160335865644</c:v>
                </c:pt>
                <c:pt idx="37">
                  <c:v>-0.56841263494602146</c:v>
                </c:pt>
                <c:pt idx="38">
                  <c:v>-0.90682726909236244</c:v>
                </c:pt>
                <c:pt idx="39">
                  <c:v>0.1039684126349476</c:v>
                </c:pt>
                <c:pt idx="40">
                  <c:v>-1.2200519792083169</c:v>
                </c:pt>
                <c:pt idx="41">
                  <c:v>0.15224910035985406</c:v>
                </c:pt>
                <c:pt idx="42">
                  <c:v>0.64015393842463109</c:v>
                </c:pt>
                <c:pt idx="43">
                  <c:v>0.17828868452618796</c:v>
                </c:pt>
                <c:pt idx="44">
                  <c:v>0.90654738104758348</c:v>
                </c:pt>
                <c:pt idx="45">
                  <c:v>-0.2913234706117569</c:v>
                </c:pt>
                <c:pt idx="46">
                  <c:v>-1.1373350659736099</c:v>
                </c:pt>
                <c:pt idx="47">
                  <c:v>1.4891643342662961</c:v>
                </c:pt>
                <c:pt idx="48">
                  <c:v>-2.762085165933625</c:v>
                </c:pt>
                <c:pt idx="49">
                  <c:v>-0.33755497800879741</c:v>
                </c:pt>
                <c:pt idx="50">
                  <c:v>8.9267892842862864</c:v>
                </c:pt>
              </c:numCache>
            </c:numRef>
          </c:yVal>
          <c:smooth val="1"/>
        </c:ser>
        <c:ser>
          <c:idx val="2"/>
          <c:order val="2"/>
          <c:tx>
            <c:strRef>
              <c:f>Sheet1!$K$2</c:f>
              <c:strCache>
                <c:ptCount val="1"/>
                <c:pt idx="0">
                  <c:v>peptide in buffer</c:v>
                </c:pt>
              </c:strCache>
            </c:strRef>
          </c:tx>
          <c:spPr>
            <a:ln w="28575" cap="rnd">
              <a:solidFill>
                <a:schemeClr val="tx1"/>
              </a:solidFill>
              <a:round/>
            </a:ln>
            <a:effectLst/>
          </c:spPr>
          <c:marker>
            <c:symbol val="none"/>
          </c:marker>
          <c:xVal>
            <c:numRef>
              <c:f>Sheet1!$K$4:$K$69</c:f>
              <c:numCache>
                <c:formatCode>General</c:formatCode>
                <c:ptCount val="66"/>
                <c:pt idx="0">
                  <c:v>260</c:v>
                </c:pt>
                <c:pt idx="1">
                  <c:v>259</c:v>
                </c:pt>
                <c:pt idx="2">
                  <c:v>258</c:v>
                </c:pt>
                <c:pt idx="3">
                  <c:v>257</c:v>
                </c:pt>
                <c:pt idx="4">
                  <c:v>256</c:v>
                </c:pt>
                <c:pt idx="5">
                  <c:v>255</c:v>
                </c:pt>
                <c:pt idx="6">
                  <c:v>254</c:v>
                </c:pt>
                <c:pt idx="7">
                  <c:v>253</c:v>
                </c:pt>
                <c:pt idx="8">
                  <c:v>252</c:v>
                </c:pt>
                <c:pt idx="9">
                  <c:v>251</c:v>
                </c:pt>
                <c:pt idx="10">
                  <c:v>250</c:v>
                </c:pt>
                <c:pt idx="11">
                  <c:v>249</c:v>
                </c:pt>
                <c:pt idx="12">
                  <c:v>248</c:v>
                </c:pt>
                <c:pt idx="13">
                  <c:v>247</c:v>
                </c:pt>
                <c:pt idx="14">
                  <c:v>246</c:v>
                </c:pt>
                <c:pt idx="15">
                  <c:v>245</c:v>
                </c:pt>
                <c:pt idx="16">
                  <c:v>244</c:v>
                </c:pt>
                <c:pt idx="17">
                  <c:v>243</c:v>
                </c:pt>
                <c:pt idx="18">
                  <c:v>242</c:v>
                </c:pt>
                <c:pt idx="19">
                  <c:v>241</c:v>
                </c:pt>
                <c:pt idx="20">
                  <c:v>240</c:v>
                </c:pt>
                <c:pt idx="21">
                  <c:v>239</c:v>
                </c:pt>
                <c:pt idx="22">
                  <c:v>238</c:v>
                </c:pt>
                <c:pt idx="23">
                  <c:v>237</c:v>
                </c:pt>
                <c:pt idx="24">
                  <c:v>236</c:v>
                </c:pt>
                <c:pt idx="25">
                  <c:v>235</c:v>
                </c:pt>
                <c:pt idx="26">
                  <c:v>234</c:v>
                </c:pt>
                <c:pt idx="27">
                  <c:v>233</c:v>
                </c:pt>
                <c:pt idx="28">
                  <c:v>232</c:v>
                </c:pt>
                <c:pt idx="29">
                  <c:v>231</c:v>
                </c:pt>
                <c:pt idx="30">
                  <c:v>230</c:v>
                </c:pt>
                <c:pt idx="31">
                  <c:v>229</c:v>
                </c:pt>
                <c:pt idx="32">
                  <c:v>228</c:v>
                </c:pt>
                <c:pt idx="33">
                  <c:v>227</c:v>
                </c:pt>
                <c:pt idx="34">
                  <c:v>226</c:v>
                </c:pt>
                <c:pt idx="35">
                  <c:v>225</c:v>
                </c:pt>
                <c:pt idx="36">
                  <c:v>224</c:v>
                </c:pt>
                <c:pt idx="37">
                  <c:v>223</c:v>
                </c:pt>
                <c:pt idx="38">
                  <c:v>222</c:v>
                </c:pt>
                <c:pt idx="39">
                  <c:v>221</c:v>
                </c:pt>
                <c:pt idx="40">
                  <c:v>220</c:v>
                </c:pt>
                <c:pt idx="41">
                  <c:v>219</c:v>
                </c:pt>
                <c:pt idx="42">
                  <c:v>218</c:v>
                </c:pt>
                <c:pt idx="43">
                  <c:v>217</c:v>
                </c:pt>
                <c:pt idx="44">
                  <c:v>216</c:v>
                </c:pt>
                <c:pt idx="45">
                  <c:v>215</c:v>
                </c:pt>
                <c:pt idx="46">
                  <c:v>214</c:v>
                </c:pt>
                <c:pt idx="47">
                  <c:v>213</c:v>
                </c:pt>
                <c:pt idx="48">
                  <c:v>212</c:v>
                </c:pt>
                <c:pt idx="49">
                  <c:v>211</c:v>
                </c:pt>
                <c:pt idx="50">
                  <c:v>210</c:v>
                </c:pt>
                <c:pt idx="51">
                  <c:v>209</c:v>
                </c:pt>
                <c:pt idx="52">
                  <c:v>208</c:v>
                </c:pt>
                <c:pt idx="53">
                  <c:v>207</c:v>
                </c:pt>
                <c:pt idx="54">
                  <c:v>206</c:v>
                </c:pt>
                <c:pt idx="55">
                  <c:v>205</c:v>
                </c:pt>
                <c:pt idx="56">
                  <c:v>204</c:v>
                </c:pt>
                <c:pt idx="57">
                  <c:v>203</c:v>
                </c:pt>
                <c:pt idx="58">
                  <c:v>202</c:v>
                </c:pt>
                <c:pt idx="59">
                  <c:v>201</c:v>
                </c:pt>
                <c:pt idx="60">
                  <c:v>200</c:v>
                </c:pt>
                <c:pt idx="61">
                  <c:v>199</c:v>
                </c:pt>
                <c:pt idx="62">
                  <c:v>198</c:v>
                </c:pt>
                <c:pt idx="63">
                  <c:v>197</c:v>
                </c:pt>
                <c:pt idx="64">
                  <c:v>196</c:v>
                </c:pt>
                <c:pt idx="65">
                  <c:v>195</c:v>
                </c:pt>
              </c:numCache>
            </c:numRef>
          </c:xVal>
          <c:yVal>
            <c:numRef>
              <c:f>Sheet1!$M$4:$M$69</c:f>
              <c:numCache>
                <c:formatCode>General</c:formatCode>
                <c:ptCount val="66"/>
                <c:pt idx="0">
                  <c:v>0</c:v>
                </c:pt>
                <c:pt idx="1">
                  <c:v>9.8850459816074654E-2</c:v>
                </c:pt>
                <c:pt idx="2">
                  <c:v>-9.8980407836863016E-2</c:v>
                </c:pt>
                <c:pt idx="3">
                  <c:v>0.1264094362255106</c:v>
                </c:pt>
                <c:pt idx="4">
                  <c:v>-9.902039184326128E-2</c:v>
                </c:pt>
                <c:pt idx="5">
                  <c:v>1.6013594562176436E-2</c:v>
                </c:pt>
                <c:pt idx="6">
                  <c:v>1.9432227109157374E-2</c:v>
                </c:pt>
                <c:pt idx="7">
                  <c:v>-0.10097960815673623</c:v>
                </c:pt>
                <c:pt idx="8">
                  <c:v>-0.23478608556577196</c:v>
                </c:pt>
                <c:pt idx="9">
                  <c:v>-3.4046381447419449E-2</c:v>
                </c:pt>
                <c:pt idx="10">
                  <c:v>2.0861655337866658E-2</c:v>
                </c:pt>
                <c:pt idx="11">
                  <c:v>-0.30044982007196985</c:v>
                </c:pt>
                <c:pt idx="12">
                  <c:v>-0.29250299880047859</c:v>
                </c:pt>
                <c:pt idx="13">
                  <c:v>-0.32884846061575246</c:v>
                </c:pt>
                <c:pt idx="14">
                  <c:v>-0.46431427429028194</c:v>
                </c:pt>
                <c:pt idx="15">
                  <c:v>-0.25918632546980991</c:v>
                </c:pt>
                <c:pt idx="16">
                  <c:v>-0.18942423030787658</c:v>
                </c:pt>
                <c:pt idx="17">
                  <c:v>-0.45447820871651157</c:v>
                </c:pt>
                <c:pt idx="18">
                  <c:v>-0.76072570971611242</c:v>
                </c:pt>
                <c:pt idx="19">
                  <c:v>-0.54593162734905931</c:v>
                </c:pt>
                <c:pt idx="20">
                  <c:v>-0.79664134346261362</c:v>
                </c:pt>
                <c:pt idx="21">
                  <c:v>-0.96716313474609983</c:v>
                </c:pt>
                <c:pt idx="22">
                  <c:v>-1.1928628548580549</c:v>
                </c:pt>
                <c:pt idx="23">
                  <c:v>-1.2043282686925223</c:v>
                </c:pt>
                <c:pt idx="24">
                  <c:v>-1.5136545381847251</c:v>
                </c:pt>
                <c:pt idx="25">
                  <c:v>-1.6290683726509383</c:v>
                </c:pt>
                <c:pt idx="26">
                  <c:v>-2.0504998000799657</c:v>
                </c:pt>
                <c:pt idx="27">
                  <c:v>-2.0633346661335445</c:v>
                </c:pt>
                <c:pt idx="28">
                  <c:v>-2.3515593762494995</c:v>
                </c:pt>
                <c:pt idx="29">
                  <c:v>-2.4409636145541769</c:v>
                </c:pt>
                <c:pt idx="30">
                  <c:v>-2.8090963614554156</c:v>
                </c:pt>
                <c:pt idx="31">
                  <c:v>-2.474730107956816</c:v>
                </c:pt>
                <c:pt idx="32">
                  <c:v>-2.8072371051579355</c:v>
                </c:pt>
                <c:pt idx="33">
                  <c:v>-3.0719312275089954</c:v>
                </c:pt>
                <c:pt idx="34">
                  <c:v>-3.083396641343461</c:v>
                </c:pt>
                <c:pt idx="35">
                  <c:v>-2.7257796881247485</c:v>
                </c:pt>
                <c:pt idx="36">
                  <c:v>-3.0475109956017588</c:v>
                </c:pt>
                <c:pt idx="37">
                  <c:v>-2.8419832067173116</c:v>
                </c:pt>
                <c:pt idx="38">
                  <c:v>-2.7874250299880043</c:v>
                </c:pt>
                <c:pt idx="39">
                  <c:v>-2.9874650139944023</c:v>
                </c:pt>
                <c:pt idx="40">
                  <c:v>-3.0349660135945609</c:v>
                </c:pt>
                <c:pt idx="41">
                  <c:v>-3.0415333866453409</c:v>
                </c:pt>
                <c:pt idx="42">
                  <c:v>-3.0777988804478191</c:v>
                </c:pt>
                <c:pt idx="43">
                  <c:v>-3.1070871651339456</c:v>
                </c:pt>
                <c:pt idx="44">
                  <c:v>-3.3494502199120335</c:v>
                </c:pt>
                <c:pt idx="45">
                  <c:v>-3.9451119552179117</c:v>
                </c:pt>
                <c:pt idx="46">
                  <c:v>-4.2908236705317861</c:v>
                </c:pt>
                <c:pt idx="47">
                  <c:v>-4.3621651339464202</c:v>
                </c:pt>
                <c:pt idx="48">
                  <c:v>-4.6684726109556181</c:v>
                </c:pt>
                <c:pt idx="49">
                  <c:v>-5.034446221511395</c:v>
                </c:pt>
                <c:pt idx="50">
                  <c:v>-5.7160835665733689</c:v>
                </c:pt>
                <c:pt idx="51">
                  <c:v>-6.7952618952419019</c:v>
                </c:pt>
                <c:pt idx="52">
                  <c:v>-7.9998140743702519</c:v>
                </c:pt>
                <c:pt idx="53">
                  <c:v>-9.0167832866853246</c:v>
                </c:pt>
                <c:pt idx="54">
                  <c:v>-10.455947620951619</c:v>
                </c:pt>
                <c:pt idx="55">
                  <c:v>-11.960685725709716</c:v>
                </c:pt>
                <c:pt idx="56">
                  <c:v>-13.712285085965615</c:v>
                </c:pt>
                <c:pt idx="57">
                  <c:v>-14.82386045581767</c:v>
                </c:pt>
                <c:pt idx="58">
                  <c:v>-16.705337864854059</c:v>
                </c:pt>
                <c:pt idx="59">
                  <c:v>-18.271261495401841</c:v>
                </c:pt>
                <c:pt idx="60">
                  <c:v>-19.228398640543784</c:v>
                </c:pt>
                <c:pt idx="61">
                  <c:v>-19.862425029988007</c:v>
                </c:pt>
                <c:pt idx="62">
                  <c:v>-20.773880447820872</c:v>
                </c:pt>
                <c:pt idx="63">
                  <c:v>-20.505407836865253</c:v>
                </c:pt>
                <c:pt idx="64">
                  <c:v>-19.521221511395442</c:v>
                </c:pt>
                <c:pt idx="65">
                  <c:v>-19.909546181527389</c:v>
                </c:pt>
              </c:numCache>
            </c:numRef>
          </c:yVal>
          <c:smooth val="1"/>
        </c:ser>
        <c:dLbls>
          <c:showLegendKey val="0"/>
          <c:showVal val="0"/>
          <c:showCatName val="0"/>
          <c:showSerName val="0"/>
          <c:showPercent val="0"/>
          <c:showBubbleSize val="0"/>
        </c:dLbls>
        <c:axId val="176442440"/>
        <c:axId val="176448712"/>
      </c:scatterChart>
      <c:valAx>
        <c:axId val="176442440"/>
        <c:scaling>
          <c:orientation val="minMax"/>
          <c:max val="260"/>
          <c:min val="195"/>
        </c:scaling>
        <c:delete val="0"/>
        <c:axPos val="b"/>
        <c:title>
          <c:tx>
            <c:rich>
              <a:bodyPr rot="0" vert="horz"/>
              <a:lstStyle/>
              <a:p>
                <a:pPr>
                  <a:defRPr/>
                </a:pPr>
                <a:r>
                  <a:rPr lang="en-US"/>
                  <a:t>Wavelength (nm)</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176448712"/>
        <c:crossesAt val="-30"/>
        <c:crossBetween val="midCat"/>
      </c:valAx>
      <c:valAx>
        <c:axId val="176448712"/>
        <c:scaling>
          <c:orientation val="minMax"/>
        </c:scaling>
        <c:delete val="0"/>
        <c:axPos val="l"/>
        <c:title>
          <c:tx>
            <c:rich>
              <a:bodyPr rot="-5400000" vert="horz"/>
              <a:lstStyle/>
              <a:p>
                <a:pPr algn="ctr" rtl="0">
                  <a:defRPr/>
                </a:pPr>
                <a:r>
                  <a:rPr lang="en-US"/>
                  <a:t>[</a:t>
                </a:r>
                <a:r>
                  <a:rPr lang="el-GR"/>
                  <a:t>θ</a:t>
                </a:r>
                <a:r>
                  <a:rPr lang="en-US"/>
                  <a:t>] x 10-3 (deg.cm2dmol-1)</a:t>
                </a:r>
              </a:p>
            </c:rich>
          </c:tx>
          <c:layout>
            <c:manualLayout>
              <c:xMode val="edge"/>
              <c:yMode val="edge"/>
              <c:x val="6.4013194962777341E-3"/>
              <c:y val="0.2601251405372794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176442440"/>
        <c:crosses val="autoZero"/>
        <c:crossBetween val="midCat"/>
      </c:valAx>
      <c:spPr>
        <a:noFill/>
        <a:ln>
          <a:noFill/>
        </a:ln>
        <a:effectLst/>
      </c:spPr>
    </c:plotArea>
    <c:legend>
      <c:legendPos val="r"/>
      <c:legendEntry>
        <c:idx val="0"/>
        <c:txPr>
          <a:bodyPr rot="0" vert="horz"/>
          <a:lstStyle/>
          <a:p>
            <a:pPr>
              <a:defRPr/>
            </a:pPr>
            <a:endParaRPr lang="en-US"/>
          </a:p>
        </c:txPr>
      </c:legendEntry>
      <c:legendEntry>
        <c:idx val="1"/>
        <c:txPr>
          <a:bodyPr rot="0" vert="horz"/>
          <a:lstStyle/>
          <a:p>
            <a:pPr>
              <a:defRPr/>
            </a:pPr>
            <a:endParaRPr lang="en-US"/>
          </a:p>
        </c:txPr>
      </c:legendEntry>
      <c:legendEntry>
        <c:idx val="2"/>
        <c:txPr>
          <a:bodyPr rot="0" vert="horz"/>
          <a:lstStyle/>
          <a:p>
            <a:pPr>
              <a:defRPr/>
            </a:pPr>
            <a:endParaRPr lang="en-US"/>
          </a:p>
        </c:txPr>
      </c:legendEntry>
      <c:layout>
        <c:manualLayout>
          <c:xMode val="edge"/>
          <c:yMode val="edge"/>
          <c:x val="0.73232322101738012"/>
          <c:y val="0.20234805344190218"/>
          <c:w val="0.24744273986159629"/>
          <c:h val="0.31732064006175104"/>
        </c:manualLayout>
      </c:layout>
      <c:overlay val="0"/>
      <c:spPr>
        <a:noFill/>
        <a:ln>
          <a:noFill/>
        </a:ln>
        <a:effectLst/>
      </c:spPr>
      <c:txPr>
        <a:bodyPr rot="0" vert="horz"/>
        <a:lstStyle/>
        <a:p>
          <a:pPr>
            <a:defRPr/>
          </a:pPr>
          <a:endParaRPr lang="en-US"/>
        </a:p>
      </c:txPr>
    </c:legend>
    <c:plotVisOnly val="1"/>
    <c:dispBlanksAs val="gap"/>
    <c:showDLblsOverMax val="0"/>
  </c:chart>
  <c:spPr>
    <a:noFill/>
    <a:ln w="19050">
      <a:noFill/>
    </a:ln>
    <a:effectLst/>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709105774870692"/>
          <c:y val="0.15461092042051358"/>
          <c:w val="0.77557375184154431"/>
          <c:h val="0.68048184665427813"/>
        </c:manualLayout>
      </c:layout>
      <c:barChart>
        <c:barDir val="col"/>
        <c:grouping val="clustered"/>
        <c:varyColors val="0"/>
        <c:ser>
          <c:idx val="0"/>
          <c:order val="0"/>
          <c:tx>
            <c:strRef>
              <c:f>'FI Kp Roxy 7 and 8'!$T$1</c:f>
              <c:strCache>
                <c:ptCount val="1"/>
                <c:pt idx="0">
                  <c:v>Roxy7 Kp</c:v>
                </c:pt>
              </c:strCache>
            </c:strRef>
          </c:tx>
          <c:spPr>
            <a:solidFill>
              <a:schemeClr val="bg1">
                <a:lumMod val="50000"/>
              </a:schemeClr>
            </a:solidFill>
            <a:ln>
              <a:noFill/>
            </a:ln>
            <a:effectLst/>
          </c:spPr>
          <c:invertIfNegative val="0"/>
          <c:errBars>
            <c:errBarType val="both"/>
            <c:errValType val="cust"/>
            <c:noEndCap val="0"/>
            <c:plus>
              <c:numRef>
                <c:f>'FI Kp Roxy 7 and 8'!$E$2:$E$5</c:f>
                <c:numCache>
                  <c:formatCode>General</c:formatCode>
                  <c:ptCount val="4"/>
                  <c:pt idx="0">
                    <c:v>192227.10082521316</c:v>
                  </c:pt>
                  <c:pt idx="1">
                    <c:v>48913.604171992323</c:v>
                  </c:pt>
                  <c:pt idx="2">
                    <c:v>91062.677314155997</c:v>
                  </c:pt>
                  <c:pt idx="3">
                    <c:v>164006.12354529943</c:v>
                  </c:pt>
                </c:numCache>
              </c:numRef>
            </c:plus>
            <c:minus>
              <c:numRef>
                <c:f>'FI Kp Roxy 7 and 8'!$E$2:$E$5</c:f>
                <c:numCache>
                  <c:formatCode>General</c:formatCode>
                  <c:ptCount val="4"/>
                  <c:pt idx="0">
                    <c:v>192227.10082521316</c:v>
                  </c:pt>
                  <c:pt idx="1">
                    <c:v>48913.604171992323</c:v>
                  </c:pt>
                  <c:pt idx="2">
                    <c:v>91062.677314155997</c:v>
                  </c:pt>
                  <c:pt idx="3">
                    <c:v>164006.12354529943</c:v>
                  </c:pt>
                </c:numCache>
              </c:numRef>
            </c:minus>
            <c:spPr>
              <a:noFill/>
              <a:ln w="9525" cap="flat" cmpd="sng" algn="ctr">
                <a:solidFill>
                  <a:schemeClr val="tx1">
                    <a:lumMod val="65000"/>
                    <a:lumOff val="35000"/>
                  </a:schemeClr>
                </a:solidFill>
                <a:round/>
              </a:ln>
              <a:effectLst/>
            </c:spPr>
          </c:errBars>
          <c:cat>
            <c:numRef>
              <c:f>'FI Kp Roxy 7 and 8'!$S$2:$S$5</c:f>
              <c:numCache>
                <c:formatCode>General</c:formatCode>
                <c:ptCount val="4"/>
                <c:pt idx="0">
                  <c:v>5</c:v>
                </c:pt>
                <c:pt idx="1">
                  <c:v>6</c:v>
                </c:pt>
                <c:pt idx="2">
                  <c:v>7</c:v>
                </c:pt>
                <c:pt idx="3">
                  <c:v>8</c:v>
                </c:pt>
              </c:numCache>
            </c:numRef>
          </c:cat>
          <c:val>
            <c:numRef>
              <c:f>'FI Kp Roxy 7 and 8'!$T$2:$T$5</c:f>
              <c:numCache>
                <c:formatCode>General</c:formatCode>
                <c:ptCount val="4"/>
                <c:pt idx="0">
                  <c:v>1446072.5</c:v>
                </c:pt>
                <c:pt idx="1">
                  <c:v>441785.14435333334</c:v>
                </c:pt>
                <c:pt idx="2">
                  <c:v>390689.14530333335</c:v>
                </c:pt>
                <c:pt idx="3">
                  <c:v>388916.411555</c:v>
                </c:pt>
              </c:numCache>
            </c:numRef>
          </c:val>
        </c:ser>
        <c:ser>
          <c:idx val="1"/>
          <c:order val="1"/>
          <c:tx>
            <c:strRef>
              <c:f>'FI Kp Roxy 7 and 8'!$U$1</c:f>
              <c:strCache>
                <c:ptCount val="1"/>
                <c:pt idx="0">
                  <c:v>Roxy8 Kp</c:v>
                </c:pt>
              </c:strCache>
            </c:strRef>
          </c:tx>
          <c:spPr>
            <a:solidFill>
              <a:srgbClr val="F56B1F"/>
            </a:solidFill>
            <a:ln>
              <a:noFill/>
            </a:ln>
            <a:effectLst/>
          </c:spPr>
          <c:invertIfNegative val="0"/>
          <c:errBars>
            <c:errBarType val="both"/>
            <c:errValType val="cust"/>
            <c:noEndCap val="0"/>
            <c:plus>
              <c:numRef>
                <c:f>'FI Kp Roxy 7 and 8'!$N$2:$N$5</c:f>
                <c:numCache>
                  <c:formatCode>General</c:formatCode>
                  <c:ptCount val="4"/>
                  <c:pt idx="0">
                    <c:v>94565.070479999995</c:v>
                  </c:pt>
                  <c:pt idx="1">
                    <c:v>396614.7661908564</c:v>
                  </c:pt>
                  <c:pt idx="3">
                    <c:v>175361.15533629258</c:v>
                  </c:pt>
                </c:numCache>
              </c:numRef>
            </c:plus>
            <c:minus>
              <c:numRef>
                <c:f>'FI Kp Roxy 7 and 8'!$N$2:$N$5</c:f>
                <c:numCache>
                  <c:formatCode>General</c:formatCode>
                  <c:ptCount val="4"/>
                  <c:pt idx="0">
                    <c:v>94565.070479999995</c:v>
                  </c:pt>
                  <c:pt idx="1">
                    <c:v>396614.7661908564</c:v>
                  </c:pt>
                  <c:pt idx="3">
                    <c:v>175361.15533629258</c:v>
                  </c:pt>
                </c:numCache>
              </c:numRef>
            </c:minus>
            <c:spPr>
              <a:noFill/>
              <a:ln w="9525" cap="flat" cmpd="sng" algn="ctr">
                <a:solidFill>
                  <a:schemeClr val="tx1">
                    <a:lumMod val="65000"/>
                    <a:lumOff val="35000"/>
                  </a:schemeClr>
                </a:solidFill>
                <a:round/>
              </a:ln>
              <a:effectLst/>
            </c:spPr>
          </c:errBars>
          <c:cat>
            <c:numRef>
              <c:f>'FI Kp Roxy 7 and 8'!$S$2:$S$5</c:f>
              <c:numCache>
                <c:formatCode>General</c:formatCode>
                <c:ptCount val="4"/>
                <c:pt idx="0">
                  <c:v>5</c:v>
                </c:pt>
                <c:pt idx="1">
                  <c:v>6</c:v>
                </c:pt>
                <c:pt idx="2">
                  <c:v>7</c:v>
                </c:pt>
                <c:pt idx="3">
                  <c:v>8</c:v>
                </c:pt>
              </c:numCache>
            </c:numRef>
          </c:cat>
          <c:val>
            <c:numRef>
              <c:f>'FI Kp Roxy 7 and 8'!$U$2:$U$5</c:f>
              <c:numCache>
                <c:formatCode>General</c:formatCode>
                <c:ptCount val="4"/>
                <c:pt idx="0">
                  <c:v>461176.11507</c:v>
                </c:pt>
                <c:pt idx="1">
                  <c:v>676411.15188666666</c:v>
                </c:pt>
                <c:pt idx="3">
                  <c:v>420239.68746500002</c:v>
                </c:pt>
              </c:numCache>
            </c:numRef>
          </c:val>
        </c:ser>
        <c:dLbls>
          <c:showLegendKey val="0"/>
          <c:showVal val="0"/>
          <c:showCatName val="0"/>
          <c:showSerName val="0"/>
          <c:showPercent val="0"/>
          <c:showBubbleSize val="0"/>
        </c:dLbls>
        <c:gapWidth val="219"/>
        <c:overlap val="-27"/>
        <c:axId val="176444008"/>
        <c:axId val="176444400"/>
      </c:barChart>
      <c:catAx>
        <c:axId val="176444008"/>
        <c:scaling>
          <c:orientation val="minMax"/>
        </c:scaling>
        <c:delete val="0"/>
        <c:axPos val="b"/>
        <c:title>
          <c:tx>
            <c:rich>
              <a:bodyPr rot="0" vert="horz"/>
              <a:lstStyle/>
              <a:p>
                <a:pPr>
                  <a:defRPr/>
                </a:pPr>
                <a:r>
                  <a:rPr lang="en-US"/>
                  <a:t>pH</a:t>
                </a:r>
              </a:p>
            </c:rich>
          </c:tx>
          <c:layout>
            <c:manualLayout>
              <c:xMode val="edge"/>
              <c:yMode val="edge"/>
              <c:x val="0.5436869234460816"/>
              <c:y val="0.8705003641446519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76444400"/>
        <c:crosses val="autoZero"/>
        <c:auto val="1"/>
        <c:lblAlgn val="ctr"/>
        <c:lblOffset val="100"/>
        <c:noMultiLvlLbl val="0"/>
      </c:catAx>
      <c:valAx>
        <c:axId val="176444400"/>
        <c:scaling>
          <c:orientation val="minMax"/>
        </c:scaling>
        <c:delete val="0"/>
        <c:axPos val="l"/>
        <c:title>
          <c:tx>
            <c:rich>
              <a:bodyPr rot="-5400000" vert="horz"/>
              <a:lstStyle/>
              <a:p>
                <a:pPr algn="ctr" rtl="0">
                  <a:defRPr/>
                </a:pPr>
                <a:r>
                  <a:rPr lang="en-US"/>
                  <a:t>Partition Coefficient</a:t>
                </a:r>
              </a:p>
            </c:rich>
          </c:tx>
          <c:layout>
            <c:manualLayout>
              <c:xMode val="edge"/>
              <c:yMode val="edge"/>
              <c:x val="7.3781839446235E-3"/>
              <c:y val="0.21015331416906219"/>
            </c:manualLayout>
          </c:layout>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en-US"/>
          </a:p>
        </c:txPr>
        <c:crossAx val="176444008"/>
        <c:crosses val="autoZero"/>
        <c:crossBetween val="between"/>
      </c:valAx>
      <c:spPr>
        <a:noFill/>
        <a:ln>
          <a:noFill/>
        </a:ln>
        <a:effectLst/>
      </c:spPr>
    </c:plotArea>
    <c:legend>
      <c:legendPos val="b"/>
      <c:layout>
        <c:manualLayout>
          <c:xMode val="edge"/>
          <c:yMode val="edge"/>
          <c:x val="0.3704850759934078"/>
          <c:y val="0.92776843314404533"/>
          <c:w val="0.39815647317341146"/>
          <c:h val="7.2231633029303979E-2"/>
        </c:manualLayout>
      </c:layout>
      <c:overlay val="0"/>
      <c:spPr>
        <a:noFill/>
        <a:ln>
          <a:noFill/>
        </a:ln>
        <a:effectLst/>
      </c:spPr>
      <c:txPr>
        <a:bodyPr rot="0" vert="horz"/>
        <a:lstStyle/>
        <a:p>
          <a:pPr>
            <a:defRPr/>
          </a:pPr>
          <a:endParaRPr lang="en-US"/>
        </a:p>
      </c:txPr>
    </c:legend>
    <c:plotVisOnly val="1"/>
    <c:dispBlanksAs val="gap"/>
    <c:showDLblsOverMax val="0"/>
  </c:chart>
  <c:spPr>
    <a:noFill/>
    <a:ln>
      <a:noFill/>
    </a:ln>
    <a:effectLst/>
  </c:spPr>
  <c:txPr>
    <a:bodyPr/>
    <a:lstStyle/>
    <a:p>
      <a:pPr>
        <a:defRPr sz="900"/>
      </a:pPr>
      <a:endParaRPr lang="en-US"/>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8B93030F2FD433BBB67146A8B1C51B6"/>
        <w:category>
          <w:name w:val="General"/>
          <w:gallery w:val="placeholder"/>
        </w:category>
        <w:types>
          <w:type w:val="bbPlcHdr"/>
        </w:types>
        <w:behaviors>
          <w:behavior w:val="content"/>
        </w:behaviors>
        <w:guid w:val="{4DF6EA1A-6A13-4115-A8E9-29BEFC761CE5}"/>
      </w:docPartPr>
      <w:docPartBody>
        <w:p w:rsidR="0022320C" w:rsidRDefault="00600C47" w:rsidP="00600C47">
          <w:pPr>
            <w:pStyle w:val="28B93030F2FD433BBB67146A8B1C51B6"/>
          </w:pPr>
          <w:r>
            <w:rPr>
              <w:color w:val="2E74B5" w:themeColor="accent1" w:themeShade="BF"/>
              <w:sz w:val="24"/>
              <w:szCs w:val="24"/>
            </w:rPr>
            <w:t>[Document subtitle]</w:t>
          </w:r>
        </w:p>
      </w:docPartBody>
    </w:docPart>
    <w:docPart>
      <w:docPartPr>
        <w:name w:val="8C2B4D8AB03547D2AB4095F7E9F90E39"/>
        <w:category>
          <w:name w:val="General"/>
          <w:gallery w:val="placeholder"/>
        </w:category>
        <w:types>
          <w:type w:val="bbPlcHdr"/>
        </w:types>
        <w:behaviors>
          <w:behavior w:val="content"/>
        </w:behaviors>
        <w:guid w:val="{E02DC43F-2598-4DF7-97AE-06D8D86F0B34}"/>
      </w:docPartPr>
      <w:docPartBody>
        <w:p w:rsidR="0022320C" w:rsidRDefault="00600C47" w:rsidP="00600C47">
          <w:pPr>
            <w:pStyle w:val="8C2B4D8AB03547D2AB4095F7E9F90E39"/>
          </w:pPr>
          <w:r>
            <w:rPr>
              <w:color w:val="5B9BD5" w:themeColor="accent1"/>
              <w:sz w:val="28"/>
              <w:szCs w:val="28"/>
            </w:rPr>
            <w:t>[Author name]</w:t>
          </w:r>
        </w:p>
      </w:docPartBody>
    </w:docPart>
    <w:docPart>
      <w:docPartPr>
        <w:name w:val="023B5B39BAB54E78AF0BD1196453645E"/>
        <w:category>
          <w:name w:val="General"/>
          <w:gallery w:val="placeholder"/>
        </w:category>
        <w:types>
          <w:type w:val="bbPlcHdr"/>
        </w:types>
        <w:behaviors>
          <w:behavior w:val="content"/>
        </w:behaviors>
        <w:guid w:val="{BAA4B7F3-0DC2-4468-9A7A-BCAB8051439D}"/>
      </w:docPartPr>
      <w:docPartBody>
        <w:p w:rsidR="0022320C" w:rsidRDefault="00600C47" w:rsidP="00600C47">
          <w:pPr>
            <w:pStyle w:val="023B5B39BAB54E78AF0BD1196453645E"/>
          </w:pPr>
          <w:r>
            <w:rPr>
              <w:color w:val="5B9BD5"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C47"/>
    <w:rsid w:val="0022320C"/>
    <w:rsid w:val="00600C47"/>
    <w:rsid w:val="00E8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342E334B864C95AF4D5CE41E97AED2">
    <w:name w:val="53342E334B864C95AF4D5CE41E97AED2"/>
    <w:rsid w:val="00600C47"/>
  </w:style>
  <w:style w:type="paragraph" w:customStyle="1" w:styleId="F0708F686BFF43E8B173D16F066AFE74">
    <w:name w:val="F0708F686BFF43E8B173D16F066AFE74"/>
    <w:rsid w:val="00600C47"/>
  </w:style>
  <w:style w:type="paragraph" w:customStyle="1" w:styleId="28B93030F2FD433BBB67146A8B1C51B6">
    <w:name w:val="28B93030F2FD433BBB67146A8B1C51B6"/>
    <w:rsid w:val="00600C47"/>
  </w:style>
  <w:style w:type="paragraph" w:customStyle="1" w:styleId="8C2B4D8AB03547D2AB4095F7E9F90E39">
    <w:name w:val="8C2B4D8AB03547D2AB4095F7E9F90E39"/>
    <w:rsid w:val="00600C47"/>
  </w:style>
  <w:style w:type="paragraph" w:customStyle="1" w:styleId="023B5B39BAB54E78AF0BD1196453645E">
    <w:name w:val="023B5B39BAB54E78AF0BD1196453645E"/>
    <w:rsid w:val="00600C47"/>
  </w:style>
  <w:style w:type="character" w:styleId="PlaceholderText">
    <w:name w:val="Placeholder Text"/>
    <w:basedOn w:val="DefaultParagraphFont"/>
    <w:uiPriority w:val="99"/>
    <w:semiHidden/>
    <w:rsid w:val="00E869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Spring 2016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2624</TotalTime>
  <Pages>7</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BCMB 457: Honors Thesis</dc:subject>
  <dc:creator>Kristen Booth</dc:creator>
  <cp:keywords/>
  <dc:description/>
  <cp:lastModifiedBy>Kristen Booth</cp:lastModifiedBy>
  <cp:revision>256</cp:revision>
  <cp:lastPrinted>2016-03-02T19:12:00Z</cp:lastPrinted>
  <dcterms:created xsi:type="dcterms:W3CDTF">2016-02-15T01:32:00Z</dcterms:created>
  <dcterms:modified xsi:type="dcterms:W3CDTF">2016-04-29T22:23:00Z</dcterms:modified>
</cp:coreProperties>
</file>